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8900" w14:textId="2E6264C9" w:rsidR="00B05F11" w:rsidRDefault="00F1777F" w:rsidP="00E41697">
      <w:pPr>
        <w:pStyle w:val="Heading7"/>
        <w:tabs>
          <w:tab w:val="clear" w:pos="5544"/>
          <w:tab w:val="clear" w:pos="5760"/>
          <w:tab w:val="clear" w:pos="6480"/>
          <w:tab w:val="clear" w:pos="7200"/>
          <w:tab w:val="clear" w:pos="7650"/>
          <w:tab w:val="left" w:pos="291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w:drawing>
          <wp:inline distT="0" distB="0" distL="0" distR="0" wp14:anchorId="0FC13AE1" wp14:editId="3AC86B3C">
            <wp:extent cx="6400800" cy="48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ternative BCDO Header with no white sp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63A" w:rsidRPr="0060263A">
        <w:rPr>
          <w:rFonts w:ascii="Tahoma" w:hAnsi="Tahoma" w:cs="Tahoma"/>
          <w:sz w:val="28"/>
        </w:rPr>
        <w:t xml:space="preserve"> </w:t>
      </w:r>
      <w:r w:rsidR="00E41697">
        <w:rPr>
          <w:rFonts w:ascii="Tahoma" w:hAnsi="Tahoma" w:cs="Tahoma"/>
          <w:sz w:val="28"/>
        </w:rPr>
        <w:tab/>
      </w:r>
    </w:p>
    <w:p w14:paraId="757117F5" w14:textId="6E39EC93" w:rsidR="007957B2" w:rsidRDefault="00386957" w:rsidP="00DD4BBA">
      <w:pPr>
        <w:tabs>
          <w:tab w:val="left" w:pos="1560"/>
        </w:tabs>
        <w:spacing w:line="276" w:lineRule="auto"/>
        <w:rPr>
          <w:rFonts w:cs="Arial"/>
          <w:color w:val="262626" w:themeColor="text1" w:themeTint="D9"/>
          <w:sz w:val="28"/>
          <w:lang w:val="en-GB"/>
        </w:rPr>
      </w:pPr>
      <w:r>
        <w:rPr>
          <w:rFonts w:cs="Arial"/>
          <w:color w:val="262626" w:themeColor="text1" w:themeTint="D9"/>
          <w:sz w:val="28"/>
          <w:lang w:val="en-GB"/>
        </w:rPr>
        <w:t>202</w:t>
      </w:r>
      <w:r w:rsidR="00293FF0">
        <w:rPr>
          <w:rFonts w:cs="Arial"/>
          <w:color w:val="262626" w:themeColor="text1" w:themeTint="D9"/>
          <w:sz w:val="28"/>
          <w:lang w:val="en-GB"/>
        </w:rPr>
        <w:t>4</w:t>
      </w:r>
      <w:r>
        <w:rPr>
          <w:rFonts w:cs="Arial"/>
          <w:color w:val="262626" w:themeColor="text1" w:themeTint="D9"/>
          <w:sz w:val="28"/>
          <w:lang w:val="en-GB"/>
        </w:rPr>
        <w:t xml:space="preserve"> BCDO Conference</w:t>
      </w:r>
    </w:p>
    <w:p w14:paraId="4D24A3AB" w14:textId="67C71F92" w:rsidR="00DD4BBA" w:rsidRDefault="00293FF0" w:rsidP="00DD4BBA">
      <w:pPr>
        <w:tabs>
          <w:tab w:val="left" w:pos="1560"/>
        </w:tabs>
        <w:spacing w:line="276" w:lineRule="auto"/>
        <w:rPr>
          <w:rFonts w:cs="Arial"/>
          <w:color w:val="262626" w:themeColor="text1" w:themeTint="D9"/>
          <w:sz w:val="28"/>
          <w:lang w:val="en-GB"/>
        </w:rPr>
      </w:pPr>
      <w:r>
        <w:rPr>
          <w:rFonts w:cs="Arial"/>
          <w:color w:val="262626" w:themeColor="text1" w:themeTint="D9"/>
          <w:sz w:val="28"/>
          <w:lang w:val="en-GB"/>
        </w:rPr>
        <w:t>April 5</w:t>
      </w:r>
      <w:r w:rsidRPr="00293FF0">
        <w:rPr>
          <w:rFonts w:cs="Arial"/>
          <w:color w:val="262626" w:themeColor="text1" w:themeTint="D9"/>
          <w:sz w:val="28"/>
          <w:vertAlign w:val="superscript"/>
          <w:lang w:val="en-GB"/>
        </w:rPr>
        <w:t>th</w:t>
      </w:r>
      <w:r>
        <w:rPr>
          <w:rFonts w:cs="Arial"/>
          <w:color w:val="262626" w:themeColor="text1" w:themeTint="D9"/>
          <w:sz w:val="28"/>
          <w:lang w:val="en-GB"/>
        </w:rPr>
        <w:t xml:space="preserve"> – 7</w:t>
      </w:r>
      <w:r w:rsidR="00C76FE5" w:rsidRPr="00293FF0">
        <w:rPr>
          <w:rFonts w:cs="Arial"/>
          <w:color w:val="262626" w:themeColor="text1" w:themeTint="D9"/>
          <w:sz w:val="28"/>
          <w:vertAlign w:val="superscript"/>
          <w:lang w:val="en-GB"/>
        </w:rPr>
        <w:t>th</w:t>
      </w:r>
      <w:r w:rsidR="00C76FE5">
        <w:rPr>
          <w:rFonts w:cs="Arial"/>
          <w:color w:val="262626" w:themeColor="text1" w:themeTint="D9"/>
          <w:sz w:val="28"/>
          <w:lang w:val="en-GB"/>
        </w:rPr>
        <w:t>,</w:t>
      </w:r>
      <w:r w:rsidR="00386957" w:rsidRPr="009D0A92">
        <w:rPr>
          <w:rFonts w:cs="Arial"/>
          <w:color w:val="262626" w:themeColor="text1" w:themeTint="D9"/>
          <w:sz w:val="28"/>
          <w:lang w:val="en-GB"/>
        </w:rPr>
        <w:t xml:space="preserve"> 202</w:t>
      </w:r>
      <w:r>
        <w:rPr>
          <w:rFonts w:cs="Arial"/>
          <w:color w:val="262626" w:themeColor="text1" w:themeTint="D9"/>
          <w:sz w:val="28"/>
          <w:lang w:val="en-GB"/>
        </w:rPr>
        <w:t>4</w:t>
      </w:r>
      <w:r w:rsidR="003208E5">
        <w:rPr>
          <w:rFonts w:cs="Arial"/>
          <w:color w:val="262626" w:themeColor="text1" w:themeTint="D9"/>
          <w:sz w:val="28"/>
          <w:lang w:val="en-GB"/>
        </w:rPr>
        <w:t xml:space="preserve">                </w:t>
      </w:r>
    </w:p>
    <w:p w14:paraId="5A09A290" w14:textId="639F3C93" w:rsidR="00DD4BBA" w:rsidRPr="00994540" w:rsidRDefault="00EC57A7" w:rsidP="00DD4BBA">
      <w:pPr>
        <w:tabs>
          <w:tab w:val="left" w:pos="1560"/>
        </w:tabs>
        <w:spacing w:line="276" w:lineRule="auto"/>
        <w:rPr>
          <w:rFonts w:ascii="Tahoma" w:hAnsi="Tahoma" w:cs="Tahoma"/>
          <w:bCs/>
          <w:sz w:val="22"/>
          <w:lang w:val="en-GB"/>
        </w:rPr>
      </w:pPr>
      <w:r w:rsidRPr="00D75B9E">
        <w:rPr>
          <w:rFonts w:cs="Arial"/>
          <w:color w:val="262626" w:themeColor="text1" w:themeTint="D9"/>
          <w:sz w:val="28"/>
          <w:lang w:val="en-GB"/>
        </w:rPr>
        <w:t>Attendance Verification Form</w:t>
      </w:r>
      <w:r w:rsidRPr="00D75B9E">
        <w:rPr>
          <w:rFonts w:ascii="Tahoma" w:hAnsi="Tahoma" w:cs="Tahoma"/>
          <w:bCs/>
          <w:sz w:val="22"/>
          <w:lang w:val="en-GB"/>
        </w:rPr>
        <w:tab/>
      </w:r>
    </w:p>
    <w:p w14:paraId="3259D417" w14:textId="77777777" w:rsidR="00994540" w:rsidRDefault="00994540" w:rsidP="005A4C02">
      <w:pPr>
        <w:tabs>
          <w:tab w:val="left" w:pos="6840"/>
        </w:tabs>
        <w:rPr>
          <w:rFonts w:cs="Arial"/>
          <w:bCs/>
          <w:sz w:val="22"/>
          <w:lang w:val="en-GB"/>
        </w:rPr>
      </w:pPr>
    </w:p>
    <w:p w14:paraId="3026DCD6" w14:textId="3B2A3CB7" w:rsidR="00A91BF8" w:rsidRPr="00994540" w:rsidRDefault="00DB67C9" w:rsidP="00994540">
      <w:pPr>
        <w:tabs>
          <w:tab w:val="left" w:pos="6840"/>
        </w:tabs>
        <w:rPr>
          <w:rFonts w:cs="Arial"/>
          <w:bCs/>
          <w:sz w:val="22"/>
          <w:lang w:val="en-GB"/>
        </w:rPr>
      </w:pPr>
      <w:r>
        <w:rPr>
          <w:rFonts w:cs="Arial"/>
          <w:bCs/>
          <w:sz w:val="22"/>
          <w:lang w:val="en-GB"/>
        </w:rPr>
        <w:t>Dr</w:t>
      </w:r>
      <w:r w:rsidR="006F1464">
        <w:rPr>
          <w:rFonts w:cs="Arial"/>
          <w:bCs/>
          <w:sz w:val="22"/>
          <w:lang w:val="en-GB"/>
        </w:rPr>
        <w:t>.</w:t>
      </w:r>
      <w:r>
        <w:rPr>
          <w:rFonts w:cs="Arial"/>
          <w:bCs/>
          <w:sz w:val="22"/>
          <w:lang w:val="en-GB"/>
        </w:rPr>
        <w:t xml:space="preserve"> </w:t>
      </w:r>
      <w:r>
        <w:rPr>
          <w:rFonts w:cs="Arial"/>
          <w:bCs/>
          <w:sz w:val="22"/>
          <w:lang w:val="en-GB"/>
        </w:rPr>
        <w:fldChar w:fldCharType="begin"/>
      </w:r>
      <w:r>
        <w:rPr>
          <w:rFonts w:cs="Arial"/>
          <w:bCs/>
          <w:sz w:val="22"/>
          <w:lang w:val="en-GB"/>
        </w:rPr>
        <w:instrText xml:space="preserve"> MERGEFIELD First_Name </w:instrText>
      </w:r>
      <w:r>
        <w:rPr>
          <w:rFonts w:cs="Arial"/>
          <w:bCs/>
          <w:sz w:val="22"/>
          <w:lang w:val="en-GB"/>
        </w:rPr>
        <w:fldChar w:fldCharType="separate"/>
      </w:r>
      <w:r w:rsidR="00994540">
        <w:rPr>
          <w:rFonts w:cs="Arial"/>
          <w:bCs/>
          <w:noProof/>
          <w:sz w:val="22"/>
          <w:lang w:val="en-GB"/>
        </w:rPr>
        <w:t>«First_Name»</w:t>
      </w:r>
      <w:r>
        <w:rPr>
          <w:rFonts w:cs="Arial"/>
          <w:bCs/>
          <w:sz w:val="22"/>
          <w:lang w:val="en-GB"/>
        </w:rPr>
        <w:fldChar w:fldCharType="end"/>
      </w:r>
      <w:r>
        <w:rPr>
          <w:rFonts w:cs="Arial"/>
          <w:bCs/>
          <w:sz w:val="22"/>
          <w:lang w:val="en-GB"/>
        </w:rPr>
        <w:t xml:space="preserve"> </w:t>
      </w:r>
      <w:r>
        <w:rPr>
          <w:rFonts w:cs="Arial"/>
          <w:bCs/>
          <w:sz w:val="22"/>
          <w:lang w:val="en-GB"/>
        </w:rPr>
        <w:fldChar w:fldCharType="begin"/>
      </w:r>
      <w:r>
        <w:rPr>
          <w:rFonts w:cs="Arial"/>
          <w:bCs/>
          <w:sz w:val="22"/>
          <w:lang w:val="en-GB"/>
        </w:rPr>
        <w:instrText xml:space="preserve"> MERGEFIELD Last_name </w:instrText>
      </w:r>
      <w:r>
        <w:rPr>
          <w:rFonts w:cs="Arial"/>
          <w:bCs/>
          <w:sz w:val="22"/>
          <w:lang w:val="en-GB"/>
        </w:rPr>
        <w:fldChar w:fldCharType="separate"/>
      </w:r>
      <w:r w:rsidR="00994540">
        <w:rPr>
          <w:rFonts w:cs="Arial"/>
          <w:bCs/>
          <w:noProof/>
          <w:sz w:val="22"/>
          <w:lang w:val="en-GB"/>
        </w:rPr>
        <w:t>«Last_name»</w:t>
      </w:r>
      <w:r>
        <w:rPr>
          <w:rFonts w:cs="Arial"/>
          <w:bCs/>
          <w:sz w:val="22"/>
          <w:lang w:val="en-GB"/>
        </w:rPr>
        <w:fldChar w:fldCharType="end"/>
      </w:r>
      <w:r w:rsidR="00870F86">
        <w:rPr>
          <w:rFonts w:cs="Arial"/>
          <w:bCs/>
          <w:sz w:val="22"/>
          <w:lang w:val="en-GB"/>
        </w:rPr>
        <w:tab/>
        <w:t>CO</w:t>
      </w:r>
      <w:r w:rsidR="004571E2">
        <w:rPr>
          <w:rFonts w:cs="Arial"/>
          <w:bCs/>
          <w:sz w:val="22"/>
          <w:lang w:val="en-GB"/>
        </w:rPr>
        <w:t>PE EVENT ID</w:t>
      </w:r>
      <w:r w:rsidR="00FE2B51">
        <w:rPr>
          <w:rFonts w:cs="Arial"/>
          <w:bCs/>
          <w:sz w:val="22"/>
          <w:lang w:val="en-GB"/>
        </w:rPr>
        <w:t>:</w:t>
      </w:r>
    </w:p>
    <w:p w14:paraId="46835FA9" w14:textId="25D5829A" w:rsidR="00DD4BBA" w:rsidRDefault="00594D69" w:rsidP="00DD4BBA">
      <w:pPr>
        <w:tabs>
          <w:tab w:val="left" w:pos="1170"/>
          <w:tab w:val="left" w:pos="1560"/>
          <w:tab w:val="left" w:pos="2520"/>
          <w:tab w:val="left" w:pos="3960"/>
          <w:tab w:val="left" w:pos="8460"/>
        </w:tabs>
        <w:rPr>
          <w:rFonts w:cs="Arial"/>
          <w:sz w:val="22"/>
          <w:lang w:val="en-GB"/>
        </w:rPr>
      </w:pPr>
      <w:r>
        <w:rPr>
          <w:rFonts w:cs="Arial"/>
          <w:sz w:val="22"/>
          <w:lang w:val="en-GB"/>
        </w:rPr>
        <w:t>Email</w:t>
      </w:r>
      <w:r w:rsidR="00226D83">
        <w:rPr>
          <w:rFonts w:cs="Arial"/>
          <w:sz w:val="22"/>
          <w:lang w:val="en-GB"/>
        </w:rPr>
        <w:t>:</w:t>
      </w:r>
      <w:r w:rsidR="00A91BF8">
        <w:rPr>
          <w:rFonts w:cs="Arial"/>
          <w:sz w:val="22"/>
          <w:lang w:val="en-GB"/>
        </w:rPr>
        <w:t xml:space="preserve"> </w:t>
      </w:r>
      <w:r w:rsidR="00331380">
        <w:rPr>
          <w:rFonts w:cs="Arial"/>
          <w:sz w:val="22"/>
          <w:lang w:val="en-GB"/>
        </w:rPr>
        <w:fldChar w:fldCharType="begin"/>
      </w:r>
      <w:r w:rsidR="00331380">
        <w:rPr>
          <w:rFonts w:cs="Arial"/>
          <w:sz w:val="22"/>
          <w:lang w:val="en-GB"/>
        </w:rPr>
        <w:instrText xml:space="preserve"> MERGEFIELD Email </w:instrText>
      </w:r>
      <w:r w:rsidR="00331380">
        <w:rPr>
          <w:rFonts w:cs="Arial"/>
          <w:sz w:val="22"/>
          <w:lang w:val="en-GB"/>
        </w:rPr>
        <w:fldChar w:fldCharType="separate"/>
      </w:r>
      <w:r w:rsidR="00994540">
        <w:rPr>
          <w:rFonts w:cs="Arial"/>
          <w:noProof/>
          <w:sz w:val="22"/>
          <w:lang w:val="en-GB"/>
        </w:rPr>
        <w:t>«Email»</w:t>
      </w:r>
      <w:r w:rsidR="00331380">
        <w:rPr>
          <w:rFonts w:cs="Arial"/>
          <w:sz w:val="22"/>
          <w:lang w:val="en-GB"/>
        </w:rPr>
        <w:fldChar w:fldCharType="end"/>
      </w:r>
      <w:r w:rsidR="00834CA9">
        <w:rPr>
          <w:rFonts w:cs="Arial"/>
          <w:sz w:val="22"/>
          <w:lang w:val="en-GB"/>
        </w:rPr>
        <w:t xml:space="preserve">           OE Tracker Number: </w:t>
      </w:r>
      <w:r w:rsidR="00834CA9">
        <w:rPr>
          <w:rFonts w:cs="Arial"/>
          <w:sz w:val="22"/>
          <w:lang w:val="en-GB"/>
        </w:rPr>
        <w:fldChar w:fldCharType="begin"/>
      </w:r>
      <w:r w:rsidR="00834CA9">
        <w:rPr>
          <w:rFonts w:cs="Arial"/>
          <w:sz w:val="22"/>
          <w:lang w:val="en-GB"/>
        </w:rPr>
        <w:instrText xml:space="preserve"> MERGEFIELD OE_Tracker_Number </w:instrText>
      </w:r>
      <w:r w:rsidR="00834CA9">
        <w:rPr>
          <w:rFonts w:cs="Arial"/>
          <w:sz w:val="22"/>
          <w:lang w:val="en-GB"/>
        </w:rPr>
        <w:fldChar w:fldCharType="separate"/>
      </w:r>
      <w:r w:rsidR="00994540">
        <w:rPr>
          <w:rFonts w:cs="Arial"/>
          <w:noProof/>
          <w:sz w:val="22"/>
          <w:lang w:val="en-GB"/>
        </w:rPr>
        <w:t>«OE_Tracker_Number»</w:t>
      </w:r>
      <w:r w:rsidR="00834CA9">
        <w:rPr>
          <w:rFonts w:cs="Arial"/>
          <w:sz w:val="22"/>
          <w:lang w:val="en-GB"/>
        </w:rPr>
        <w:fldChar w:fldCharType="end"/>
      </w:r>
    </w:p>
    <w:p w14:paraId="5A3AE7D5" w14:textId="4B9FA4D5" w:rsidR="005E38F0" w:rsidRPr="00DD4BBA" w:rsidRDefault="005E38F0" w:rsidP="00DD4BBA">
      <w:pPr>
        <w:tabs>
          <w:tab w:val="left" w:pos="1170"/>
          <w:tab w:val="left" w:pos="1560"/>
          <w:tab w:val="left" w:pos="2520"/>
          <w:tab w:val="left" w:pos="3960"/>
          <w:tab w:val="left" w:pos="8460"/>
        </w:tabs>
        <w:rPr>
          <w:rFonts w:cs="Arial"/>
          <w:sz w:val="22"/>
          <w:lang w:val="en-GB"/>
        </w:rPr>
      </w:pPr>
      <w:r>
        <w:rPr>
          <w:rFonts w:cs="Arial"/>
          <w:b/>
          <w:szCs w:val="24"/>
          <w:lang w:val="en-GB"/>
        </w:rPr>
        <w:tab/>
      </w:r>
      <w:r w:rsidR="004D7904">
        <w:rPr>
          <w:rFonts w:cs="Arial"/>
          <w:b/>
          <w:szCs w:val="24"/>
          <w:lang w:val="en-GB"/>
        </w:rPr>
        <w:tab/>
      </w:r>
      <w:r w:rsidR="00CD11B3"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ab/>
      </w:r>
    </w:p>
    <w:p w14:paraId="66BD4DDC" w14:textId="2EC714C3" w:rsidR="00691DD9" w:rsidRPr="00EC57A7" w:rsidRDefault="005E38F0" w:rsidP="00056D01">
      <w:pPr>
        <w:tabs>
          <w:tab w:val="left" w:pos="1260"/>
          <w:tab w:val="right" w:pos="9900"/>
        </w:tabs>
        <w:spacing w:before="80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 xml:space="preserve">Category:  </w:t>
      </w:r>
      <w:r>
        <w:rPr>
          <w:rFonts w:cs="Arial"/>
          <w:b/>
          <w:szCs w:val="24"/>
          <w:lang w:val="en-GB"/>
        </w:rPr>
        <w:tab/>
      </w:r>
      <w:r w:rsidR="00BC042D">
        <w:rPr>
          <w:rFonts w:cs="Arial"/>
          <w:b/>
          <w:szCs w:val="24"/>
          <w:lang w:val="en-GB"/>
        </w:rPr>
        <w:t>Optometrist</w:t>
      </w:r>
    </w:p>
    <w:p w14:paraId="517D36AE" w14:textId="73B6AA13" w:rsidR="00B05F11" w:rsidRDefault="00B05F11" w:rsidP="001079B2">
      <w:pPr>
        <w:pStyle w:val="Heading3"/>
        <w:spacing w:before="120"/>
        <w:rPr>
          <w:rFonts w:ascii="Arial" w:hAnsi="Arial" w:cs="Arial"/>
          <w:sz w:val="22"/>
        </w:rPr>
      </w:pPr>
      <w:r w:rsidRPr="001079B2">
        <w:rPr>
          <w:rFonts w:ascii="Arial" w:hAnsi="Arial" w:cs="Arial"/>
          <w:sz w:val="22"/>
        </w:rPr>
        <w:t>CONFIRMATION OF COURSES ATTENDED</w:t>
      </w:r>
    </w:p>
    <w:p w14:paraId="1D1B89F7" w14:textId="77777777" w:rsidR="001A4668" w:rsidRPr="002D3519" w:rsidRDefault="001A4668" w:rsidP="002D3519">
      <w:pPr>
        <w:rPr>
          <w:lang w:val="en-GB"/>
        </w:rPr>
      </w:pPr>
    </w:p>
    <w:tbl>
      <w:tblPr>
        <w:tblW w:w="10648" w:type="dxa"/>
        <w:tblInd w:w="-572" w:type="dxa"/>
        <w:tblLook w:val="04A0" w:firstRow="1" w:lastRow="0" w:firstColumn="1" w:lastColumn="0" w:noHBand="0" w:noVBand="1"/>
      </w:tblPr>
      <w:tblGrid>
        <w:gridCol w:w="2535"/>
        <w:gridCol w:w="1434"/>
        <w:gridCol w:w="4214"/>
        <w:gridCol w:w="992"/>
        <w:gridCol w:w="1473"/>
      </w:tblGrid>
      <w:tr w:rsidR="00994540" w:rsidRPr="003A1C75" w14:paraId="18E3BC6A" w14:textId="0375B59C" w:rsidTr="00256A6F">
        <w:trPr>
          <w:trHeight w:val="9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AB1477" w14:textId="77777777" w:rsidR="00994540" w:rsidRPr="003A1C75" w:rsidRDefault="00994540" w:rsidP="003A1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</w:pPr>
            <w:r w:rsidRPr="003A1C7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>Speaker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CD015" w14:textId="3016EF49" w:rsidR="00994540" w:rsidRPr="003A1C75" w:rsidRDefault="00994540" w:rsidP="003A1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</w:pPr>
            <w:r w:rsidRPr="003A1C7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>COPE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 xml:space="preserve"> </w:t>
            </w:r>
            <w:r w:rsidRPr="003A1C7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>#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7679A" w14:textId="77777777" w:rsidR="00994540" w:rsidRPr="003A1C75" w:rsidRDefault="00994540" w:rsidP="003A1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</w:pPr>
            <w:r w:rsidRPr="003A1C7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>Course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1E8511" w14:textId="77777777" w:rsidR="00994540" w:rsidRPr="003A1C75" w:rsidRDefault="00994540" w:rsidP="003A1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</w:pPr>
            <w:r w:rsidRPr="003A1C7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>CE Hours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</w:tcPr>
          <w:p w14:paraId="55C4D239" w14:textId="3D2F16D8" w:rsidR="00994540" w:rsidRPr="003A1C75" w:rsidRDefault="00994540" w:rsidP="003A1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CA" w:eastAsia="en-CA"/>
              </w:rPr>
              <w:t>Course Completion Date</w:t>
            </w:r>
          </w:p>
        </w:tc>
      </w:tr>
      <w:tr w:rsidR="00994540" w:rsidRPr="003A1C75" w14:paraId="56548EDC" w14:textId="7AC1C984" w:rsidTr="00256A6F">
        <w:trPr>
          <w:trHeight w:val="618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0E21E" w14:textId="23972EE9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Alexis Malkin</w:t>
            </w:r>
          </w:p>
          <w:p w14:paraId="73BFDCD0" w14:textId="143DE6E0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6FB25" w14:textId="041BC0E1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89160-LV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D7D5B" w14:textId="42D32BAF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OD6 - </w:t>
            </w: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Expanding Your Toolbox: Low Vision for the Primary Care OD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EC767" w14:textId="6B133AC8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CE58D" w14:textId="77777777" w:rsid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775CD3F9" w14:textId="4E15BF49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10A2DCEC" w14:textId="3F3CDD96" w:rsidTr="00256A6F">
        <w:trPr>
          <w:trHeight w:val="549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05747" w14:textId="7FC06E90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Alexis Malkin</w:t>
            </w:r>
          </w:p>
          <w:p w14:paraId="04F982F7" w14:textId="092BEBFB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1E690" w14:textId="566622C1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89159-LV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72249" w14:textId="19E6C855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Making Your Smartphone Smarter: An Exploration of Low Vision Accessibility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5404" w14:textId="62458588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83ACF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1D0D8D26" w14:textId="7777777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0533FA60" w14:textId="2BECB37D" w:rsidTr="00256A6F">
        <w:trPr>
          <w:trHeight w:val="571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1F771" w14:textId="1C547452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Ana Juricic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E7C40" w14:textId="4881DE54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89445-LV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160B1" w14:textId="2E62383A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Seeing Hope: Modern Approaches to Low Vision Solutions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3E0B" w14:textId="1F74133D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E7D3B" w14:textId="74C79C1E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6B276761" w14:textId="6B070A76" w:rsidTr="00256A6F">
        <w:trPr>
          <w:trHeight w:val="551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8E834" w14:textId="6592D492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Ana</w:t>
            </w:r>
            <w:r w:rsidRPr="00994540">
              <w:rPr>
                <w:sz w:val="21"/>
                <w:szCs w:val="21"/>
              </w:rPr>
              <w:t xml:space="preserve"> </w:t>
            </w: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Juricic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0D69F" w14:textId="2BE96651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89444-LV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699C1" w14:textId="575CFFB3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Maximizing Patient Outcomes: An Interactive Workshop on Low Vision Care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7508" w14:textId="412B24C2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93C65" w14:textId="7B856042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2DF74323" w14:textId="30FE94FB" w:rsidTr="00256A6F">
        <w:trPr>
          <w:trHeight w:val="559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5EC46" w14:textId="7539A11C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BC College of Optometrists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612F9" w14:textId="0B6AD6D9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04072024-OH-1PO-02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29042" w14:textId="5F7D7144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Interactive Peer Circle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4F77D" w14:textId="121F9CFD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6340E" w14:textId="46CAC202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5B4AFBEC" w14:textId="5027D2E1" w:rsidTr="00256A6F">
        <w:trPr>
          <w:trHeight w:val="411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76F8F" w14:textId="2C8CE1B4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Bethany Fishbein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6C42" w14:textId="30AD9245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89101-PM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8F95E" w14:textId="42F280A7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Practice Management Grand Rounds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37060" w14:textId="77E668CF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1DAC1" w14:textId="30EBA3BF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</w:tc>
      </w:tr>
      <w:tr w:rsidR="00994540" w:rsidRPr="003A1C75" w14:paraId="2C0B6C61" w14:textId="67C1EFDC" w:rsidTr="00256A6F">
        <w:trPr>
          <w:trHeight w:val="630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F7FE6" w14:textId="5F5DD2E4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Bethany Fishbein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A7B5C" w14:textId="2E0FF07D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88915-PM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B6C55" w14:textId="2D7F8A21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Increase Practice Revenue Without “Selling” Anything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F915" w14:textId="5ADDCAD9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BAB48" w14:textId="1EA470AD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</w:tc>
      </w:tr>
      <w:tr w:rsidR="00994540" w:rsidRPr="003A1C75" w14:paraId="23EAAE34" w14:textId="3E86B343" w:rsidTr="00256A6F">
        <w:trPr>
          <w:trHeight w:val="630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97F3B" w14:textId="131B6917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Bethany Fishbein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2EAE7" w14:textId="24D3F4C0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89102-PM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A6C0B" w14:textId="6891E050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Finding Happiness in Optometry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FD0D0" w14:textId="061FD28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7DD77" w14:textId="3B39FFFA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</w:tc>
      </w:tr>
      <w:tr w:rsidR="00994540" w:rsidRPr="003A1C75" w14:paraId="1C48EDEA" w14:textId="6D180D0C" w:rsidTr="00256A6F">
        <w:trPr>
          <w:trHeight w:val="315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9D76E" w14:textId="39AABCD9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Carolyn Majcher &amp; Komal Patel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A8F4C" w14:textId="16A49DF7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88893-SD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825A8" w14:textId="120FB481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Posterior Segment Manifestations of Systemic Disease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99012" w14:textId="52E189F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97800" w14:textId="0C74A44A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2DB2163B" w14:textId="3C3D6E8B" w:rsidTr="00256A6F">
        <w:trPr>
          <w:trHeight w:val="315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BE8B9" w14:textId="1D792DF0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Carolyn Majcher &amp; Komal Patel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BDC51" w14:textId="4F3D0583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88892-TD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00AD4" w14:textId="49FF8D73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Eye-1-1: Ocular Emergency and Trauma Grand Rounds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C6D82" w14:textId="2ED1B204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69C78" w14:textId="5A1F3D74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1334C3F8" w14:textId="2D6D767F" w:rsidTr="00256A6F">
        <w:trPr>
          <w:trHeight w:val="504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B8E9B" w14:textId="64954999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Edward Margolin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A9A7C" w14:textId="478F2094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89527-NO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58082" w14:textId="62F1E073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Unilateral Swollen Optic Nerve: a Primer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BF90" w14:textId="4B9DA023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7A3E0" w14:textId="52352C1F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380E3AA7" w14:textId="3206BBFE" w:rsidTr="00256A6F">
        <w:trPr>
          <w:trHeight w:val="415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EAD99" w14:textId="1FF68160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Gloria Chiu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6C2BC" w14:textId="669997F1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88891-TD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9A5AC" w14:textId="51086295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Corneal Imaging Clues to Catch and Manage Keratoconus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5AF98" w14:textId="406EF701" w:rsidR="00994540" w:rsidRPr="00994540" w:rsidRDefault="00994540" w:rsidP="00293FF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A8AE9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4766BD2A" w14:textId="7777777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45162AA8" w14:textId="4B73CF72" w:rsidTr="00256A6F">
        <w:trPr>
          <w:trHeight w:val="562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CE9BE" w14:textId="3E14CE0E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Harald Gjerde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FE607" w14:textId="5DD2CA4A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89417-FV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889BD" w14:textId="207625A9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Pediatric Ophthalmology and Adult Strabismus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8E06A" w14:textId="2A56BF68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A246D" w14:textId="5DBDC6A3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716F7AAD" w14:textId="1584458A" w:rsidTr="00256A6F">
        <w:trPr>
          <w:trHeight w:val="570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F5B4D" w14:textId="75C4C4F2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Kelly Thompson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E84DF" w14:textId="0392AD0D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86725-GL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C2810" w14:textId="70C51759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AP Gonioscopy: Let's Do 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9F1D5" w14:textId="7670F6AC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3881D" w14:textId="77777777" w:rsidR="00256A6F" w:rsidRDefault="00256A6F" w:rsidP="00256A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0E6C6DBE" w14:textId="77777777" w:rsidR="00994540" w:rsidRPr="00994540" w:rsidRDefault="00994540" w:rsidP="00256A6F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7D7E7BE5" w14:textId="70BAC4BF" w:rsidTr="00256A6F">
        <w:trPr>
          <w:trHeight w:val="421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23A41" w14:textId="6CB9CF85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Kevin Chan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1AFC0" w14:textId="46639F68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89130-GO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00DF3" w14:textId="12F41DBA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Axial Length – When it is more than what you thought you knew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3FBC5" w14:textId="27F6056D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AD277" w14:textId="28BD2303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45B2577D" w14:textId="4808FB78" w:rsidTr="00256A6F">
        <w:trPr>
          <w:trHeight w:val="271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3FD65" w14:textId="7C5648C9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Paul Rollett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CF99D" w14:textId="1F6285DE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89778-FV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0C17F" w14:textId="3BEB72F5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The Balancing Act of Prescribing Therapeutic Glasses Following Concussion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BE739" w14:textId="064A7D56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3F513" w14:textId="6B818E48" w:rsidR="00994540" w:rsidRPr="00994540" w:rsidRDefault="009C55E5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6D5FDD83" w14:textId="7BFDA281" w:rsidTr="00256A6F">
        <w:trPr>
          <w:trHeight w:val="570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331D2" w14:textId="0588CB99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Paula </w:t>
            </w:r>
            <w:proofErr w:type="spellStart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MCDowell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B3634" w14:textId="69599FB5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88888-FV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B5ED3" w14:textId="412289D8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BV from Zzz to </w:t>
            </w:r>
            <w:proofErr w:type="spellStart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YAy</w:t>
            </w:r>
            <w:proofErr w:type="spellEnd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1C142" w14:textId="7420891F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EA99D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4C502F71" w14:textId="7777777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03D30D9C" w14:textId="3B38D034" w:rsidTr="00256A6F">
        <w:trPr>
          <w:trHeight w:val="384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1D0F2" w14:textId="7B338AEE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Paula </w:t>
            </w:r>
            <w:proofErr w:type="spellStart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MCDowell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98C2F" w14:textId="6F33ED47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88890-FV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3D0B8" w14:textId="0AE7B393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Pediatric Prescribing An Evidence-Based Approach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2765" w14:textId="774079C9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D946C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0D981FAE" w14:textId="7777777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05190049" w14:textId="2003FFF3" w:rsidTr="00256A6F">
        <w:trPr>
          <w:trHeight w:val="56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CAD3" w14:textId="2E47A710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Paula </w:t>
            </w:r>
            <w:proofErr w:type="spellStart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MCDowell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AE07C" w14:textId="6C8E61D5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88889-PB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2DB19" w14:textId="496992B2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Optometric Care of Transgender Patients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C370F" w14:textId="6313F774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EC76C" w14:textId="5D6F5D6C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12212D5E" w14:textId="1EB55247" w:rsidTr="00256A6F">
        <w:trPr>
          <w:trHeight w:val="555"/>
        </w:trPr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AF16" w14:textId="54A65102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Richard Maharaj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5AC2A" w14:textId="59F4F988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89332-TD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ACAE8" w14:textId="5A2CE99A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Psychology of Dry Eye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705AB" w14:textId="464AA693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3C967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2D2231AE" w14:textId="7777777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4CA5C6B4" w14:textId="13D8A96B" w:rsidTr="00256A6F">
        <w:trPr>
          <w:trHeight w:val="550"/>
        </w:trPr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2420" w14:textId="4B050A7D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Richard Maharaj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4A336" w14:textId="2C44ADF6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89333-TD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6224F" w14:textId="1A1DEA24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The Tear Film: A Superhero in All of Us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2CC9" w14:textId="4C6BE285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249EA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79E8331A" w14:textId="77777777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3ACC648F" w14:textId="5BFD665A" w:rsidTr="00256A6F">
        <w:trPr>
          <w:trHeight w:val="416"/>
        </w:trPr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4BD44" w14:textId="6A375495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Ron Melton &amp; Randall Thomas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83F7" w14:textId="63948E36" w:rsidR="00994540" w:rsidRPr="00994540" w:rsidRDefault="00994540" w:rsidP="00293FF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88968-GL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C5F4B" w14:textId="4EE23B7B" w:rsidR="00994540" w:rsidRPr="00994540" w:rsidRDefault="00994540" w:rsidP="00293FF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Glaucoma Update and Grand Round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07B70" w14:textId="1AE04BAF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C78EB" w14:textId="42CFB814" w:rsidR="00994540" w:rsidRPr="00994540" w:rsidRDefault="00994540" w:rsidP="00293F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653BCC97" w14:textId="47C78A44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A98F1" w14:textId="1531F6A6" w:rsidR="00994540" w:rsidRPr="00994540" w:rsidRDefault="00994540" w:rsidP="003F3B75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Ron Melton &amp; Randall Thomas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2AF8" w14:textId="5FBC59DA" w:rsidR="00994540" w:rsidRPr="00994540" w:rsidRDefault="00994540" w:rsidP="003F3B75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88965-PH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F48A1" w14:textId="13B0E91D" w:rsidR="00994540" w:rsidRPr="00994540" w:rsidRDefault="00994540" w:rsidP="003F3B75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Current Trends in Medical Management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22ED8" w14:textId="6983D63B" w:rsidR="00994540" w:rsidRPr="00994540" w:rsidRDefault="00994540" w:rsidP="003F3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023B3" w14:textId="5F2C6AAE" w:rsidR="00994540" w:rsidRPr="00994540" w:rsidRDefault="00994540" w:rsidP="003F3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5DC9FC51" w14:textId="7F36716D" w:rsidTr="00256A6F">
        <w:trPr>
          <w:trHeight w:val="429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49891" w14:textId="1C393A4E" w:rsidR="00994540" w:rsidRPr="00994540" w:rsidRDefault="00994540" w:rsidP="003F3B75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Sheila Morrison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D91B" w14:textId="5BEF3CD0" w:rsidR="00994540" w:rsidRPr="00994540" w:rsidRDefault="00994540" w:rsidP="003F3B75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85178-CL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E9FE5" w14:textId="6370B50D" w:rsidR="00994540" w:rsidRPr="00994540" w:rsidRDefault="00994540" w:rsidP="003F3B75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Utilizing Technology for accurate and efficient scleral lens prescribing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91226" w14:textId="075161F6" w:rsidR="00994540" w:rsidRPr="00994540" w:rsidRDefault="00994540" w:rsidP="003F3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A55E9" w14:textId="74C5ABCC" w:rsidR="00994540" w:rsidRPr="00994540" w:rsidRDefault="00994540" w:rsidP="003F3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1D7E9420" w14:textId="2FAEBA77" w:rsidTr="00256A6F">
        <w:trPr>
          <w:trHeight w:val="407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19854" w14:textId="70ECD17D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Sheila Morrison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D8D61" w14:textId="144AD5FB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84901-CL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5AB4A" w14:textId="76B895AB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Next Generation Contact Lens Fitting: Technology Driven Fitting and Design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902D6" w14:textId="08619389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43382" w14:textId="6DAC787B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2867C6BF" w14:textId="36A8D89F" w:rsidTr="00256A6F">
        <w:trPr>
          <w:trHeight w:val="429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554F0" w14:textId="214857C0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Sonia Yeung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82F57" w14:textId="106BAE3F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89128-TD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CE044" w14:textId="5D4ACDD4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Limbal stem cell disease and other causes of bumpy corneas – why this matters and how to address this prior to cataract surgery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6B5F" w14:textId="32BD1DA7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B0FCD" w14:textId="0F4DE33E" w:rsidR="00994540" w:rsidRPr="00994540" w:rsidRDefault="009C55E5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527DA185" w14:textId="1FE9DC41" w:rsidTr="00256A6F">
        <w:trPr>
          <w:trHeight w:val="421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05FCF" w14:textId="74D8D3E7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Sophia Leung &amp; Cedrick Mah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85A8C" w14:textId="72D58410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84236-LP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783D" w14:textId="05DC9EE2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In-Office Ophthalmic Lasers Lab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F8BA9" w14:textId="2B167F4B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9C926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69B3669A" w14:textId="77777777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61DBF8CD" w14:textId="22741C9B" w:rsidTr="00256A6F">
        <w:trPr>
          <w:trHeight w:val="553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A3DF7" w14:textId="166A289C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Sophia Leung &amp; Cedrick Mah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7ED9E" w14:textId="020FEF8D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84236-LP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3ABC8" w14:textId="3EB739DD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In-Office Ophthalmic Lasers Lab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1C1FE" w14:textId="35E3E3F8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EB02F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5B7A270C" w14:textId="77777777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39B1EBB9" w14:textId="7838CECC" w:rsidTr="00256A6F">
        <w:trPr>
          <w:trHeight w:val="575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4ADE8" w14:textId="496510CC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Sophia Leung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08A87" w14:textId="2D3302F9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84797-TD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F3070" w14:textId="580F7017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Nerves Don't Feel, Corneal Don't Heal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218E5" w14:textId="537A5E32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26757" w14:textId="46058B4C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7DD49E64" w14:textId="78233890" w:rsidTr="00256A6F">
        <w:trPr>
          <w:trHeight w:val="555"/>
        </w:trPr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CEC93" w14:textId="67888110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Trevor Miranda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CB178" w14:textId="0FBE242F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89550-PM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425A" w14:textId="741FA6F4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Partnering with Associates: Finding your dream practice for Associate Optometrists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B56FA" w14:textId="7B3CF20F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DE2D9" w14:textId="643C4BE7" w:rsidR="00994540" w:rsidRPr="00994540" w:rsidRDefault="009C55E5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41962D76" w14:textId="33348675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D5FFB" w14:textId="3AEF9096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Walter Potaznick &amp; Irwin </w:t>
            </w:r>
            <w:proofErr w:type="spellStart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Shwom</w:t>
            </w:r>
            <w:proofErr w:type="spellEnd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8118D" w14:textId="7A48E6E8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86719-TD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6213D" w14:textId="3D434737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Foreign Body Removal and Patching Workshop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62B41" w14:textId="042BAACC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71870" w14:textId="7223AB4B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6C9C4462" w14:textId="6E1143AC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AD8BA" w14:textId="657953E8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Walter Potaznick &amp; Irwin </w:t>
            </w:r>
            <w:proofErr w:type="spellStart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Shwom</w:t>
            </w:r>
            <w:proofErr w:type="spellEnd"/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91D54" w14:textId="59CF47FE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86718-TD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6FD79" w14:textId="590FD7BB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Punctal Plug Drug Delivery Systems and Adjunctive Treatment of Dry Eye Workshop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7029E" w14:textId="1A43FC33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E062A" w14:textId="547A47DC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6, 2024</w:t>
            </w:r>
          </w:p>
        </w:tc>
      </w:tr>
      <w:tr w:rsidR="00994540" w:rsidRPr="003A1C75" w14:paraId="4061793E" w14:textId="5D1F2ED5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FE04A" w14:textId="4057A49E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Katharine Smart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C5179" w14:textId="019A37AD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90443-PM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E5996" w14:textId="5C1293FC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  <w:t>Leadership is a Way of Being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FA609" w14:textId="4722944F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69AFB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1054765A" w14:textId="77777777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</w:p>
        </w:tc>
      </w:tr>
      <w:tr w:rsidR="00994540" w:rsidRPr="003A1C75" w14:paraId="05336B88" w14:textId="134D0D6D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F7E9D" w14:textId="524E84FB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Alphil Guilaran, Elaine Choi, Mike Anderson, Winnie Wu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931BD" w14:textId="0E31F5CD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  <w:t>90416-PM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5FE4B" w14:textId="31F79155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  <w:t>The Business Side of Optometric Practices: Operational and Legal Fundamentals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96CE5" w14:textId="3FAF6781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8C0F4" w14:textId="33F2F4B3" w:rsidR="00994540" w:rsidRPr="00994540" w:rsidRDefault="009C55E5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7, 2024</w:t>
            </w:r>
          </w:p>
        </w:tc>
      </w:tr>
      <w:tr w:rsidR="00994540" w:rsidRPr="003A1C75" w14:paraId="2B99AC9B" w14:textId="00DF0685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C9022" w14:textId="5A78FF25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Josh Johnston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2591E" w14:textId="0009C2E7" w:rsidR="00994540" w:rsidRPr="00994540" w:rsidRDefault="00994540" w:rsidP="00994540">
            <w:pPr>
              <w:rPr>
                <w:rFonts w:ascii="Calibri" w:hAnsi="Calibri" w:cs="Calibri"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89957-TD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1BBE6" w14:textId="4FD3F71A" w:rsidR="00994540" w:rsidRPr="00994540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color w:val="000000"/>
                <w:sz w:val="21"/>
                <w:szCs w:val="21"/>
              </w:rPr>
              <w:t>Dry Eye Diagnostic and Treatment Innovation Update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244E5" w14:textId="3D2EEAD2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CA" w:eastAsia="en-CA"/>
              </w:rPr>
            </w:pPr>
            <w:r w:rsidRPr="0099454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4E161" w14:textId="77777777" w:rsid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April 5, 2024</w:t>
            </w:r>
          </w:p>
          <w:p w14:paraId="0709C070" w14:textId="77777777" w:rsidR="00994540" w:rsidRPr="00994540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4540" w:rsidRPr="003A1C75" w14:paraId="52CFED69" w14:textId="1C282AEF" w:rsidTr="00256A6F">
        <w:trPr>
          <w:trHeight w:val="549"/>
        </w:trPr>
        <w:tc>
          <w:tcPr>
            <w:tcW w:w="2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D69E041" w14:textId="13B48039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1CCFE59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04662FE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5068C4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nil"/>
            </w:tcBorders>
          </w:tcPr>
          <w:p w14:paraId="4C03D22D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4ADC643A" w14:textId="49A2E525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4451A" w14:textId="0EA7C1C8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BBDE12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33A79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26F6F2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93DA80B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671C320E" w14:textId="1D645B2E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FDD566" w14:textId="54C1DC8A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F052BE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30EB4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77D466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2E0ABB7E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37271412" w14:textId="6CC7AB0F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93D98" w14:textId="2C366D88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CC962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46944A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B38CA3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42FA59EE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6A3BD591" w14:textId="1958E67D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39BB9F" w14:textId="3F14B440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DFAEBC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3F3264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7D2D32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28F19E3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25D9F0A5" w14:textId="46E0D016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7D0601" w14:textId="1853DDC9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BFE2D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2C576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CE13CA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399BC5CB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6CD304F5" w14:textId="27FFD982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784ECB" w14:textId="64701606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73A733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2271E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0390B3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1D48251F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4B4A5AB9" w14:textId="73C4E861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72145A" w14:textId="3B09D240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83A986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0B31A8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7CA171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6413D470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6FE5DB49" w14:textId="67C9A89F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87408C" w14:textId="02D3B493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C436CB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76CE01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C9E869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3E56D718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79B47EE3" w14:textId="24868CCF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1A62DF" w14:textId="0EC31E48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FFFD1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5E9F6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BD7814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58D4B9EA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57EB3631" w14:textId="73ED223E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4D2B0" w14:textId="6E6D7072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C3661B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30EE2E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2E226A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6B47955D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29240D8D" w14:textId="3439FFE8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D3C4F1" w14:textId="777FB069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70554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42EB3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1051EF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301B2925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06C56D06" w14:textId="1D063D52" w:rsidTr="00256A6F">
        <w:trPr>
          <w:trHeight w:val="549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2897E3" w14:textId="789F94AB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7CC1D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E368D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BF73AB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136B3434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  <w:tr w:rsidR="00994540" w:rsidRPr="003A1C75" w14:paraId="3EA8D115" w14:textId="12BE7853" w:rsidTr="00256A6F">
        <w:trPr>
          <w:trHeight w:val="80"/>
        </w:trPr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9F1B3F" w14:textId="1D174CF3" w:rsidR="00994540" w:rsidRDefault="00994540" w:rsidP="0099454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5159B" w14:textId="77777777" w:rsidR="00994540" w:rsidRPr="003A1C75" w:rsidRDefault="00994540" w:rsidP="00994540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2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7AAD5C" w14:textId="77777777" w:rsidR="00994540" w:rsidRPr="003A1C75" w:rsidRDefault="00994540" w:rsidP="009945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5951ED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301ABBEE" w14:textId="77777777" w:rsidR="00994540" w:rsidRPr="003A1C75" w:rsidRDefault="00994540" w:rsidP="0099454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</w:tr>
    </w:tbl>
    <w:p w14:paraId="1857A33D" w14:textId="77777777" w:rsidR="003A1C75" w:rsidRDefault="003A1C75" w:rsidP="00331380">
      <w:pPr>
        <w:tabs>
          <w:tab w:val="left" w:pos="8080"/>
        </w:tabs>
        <w:spacing w:line="288" w:lineRule="auto"/>
        <w:rPr>
          <w:rFonts w:cs="Arial"/>
          <w:b/>
          <w:sz w:val="22"/>
          <w:lang w:val="en-GB"/>
        </w:rPr>
      </w:pPr>
    </w:p>
    <w:p w14:paraId="30BC1B82" w14:textId="68F75712" w:rsidR="005D1C3E" w:rsidRPr="003A1C75" w:rsidRDefault="00327126" w:rsidP="003A1C75">
      <w:pPr>
        <w:tabs>
          <w:tab w:val="left" w:pos="8080"/>
        </w:tabs>
        <w:spacing w:line="288" w:lineRule="auto"/>
        <w:rPr>
          <w:rFonts w:cs="Arial"/>
          <w:b/>
          <w:sz w:val="26"/>
          <w:szCs w:val="26"/>
          <w:lang w:val="en-GB"/>
        </w:rPr>
      </w:pPr>
      <w:r w:rsidRPr="00331380">
        <w:rPr>
          <w:rFonts w:cs="Arial"/>
          <w:b/>
          <w:i/>
          <w:iCs/>
          <w:sz w:val="26"/>
          <w:szCs w:val="26"/>
          <w:lang w:val="en-GB"/>
        </w:rPr>
        <w:t>TOTAL CREDIT HOURS:</w:t>
      </w:r>
      <w:r w:rsidR="00834CA9">
        <w:rPr>
          <w:rFonts w:cs="Arial"/>
          <w:b/>
          <w:i/>
          <w:iCs/>
          <w:sz w:val="26"/>
          <w:szCs w:val="26"/>
          <w:lang w:val="en-GB"/>
        </w:rPr>
        <w:t xml:space="preserve">  </w:t>
      </w:r>
      <w:r w:rsidR="00C76FE5">
        <w:rPr>
          <w:rFonts w:cs="Arial"/>
          <w:b/>
          <w:i/>
          <w:iCs/>
          <w:sz w:val="26"/>
          <w:szCs w:val="26"/>
          <w:lang w:val="en-GB"/>
        </w:rPr>
        <w:t>45</w:t>
      </w:r>
    </w:p>
    <w:p w14:paraId="046E4DDB" w14:textId="54E3E8C6" w:rsidR="009821AC" w:rsidRPr="005D1C3E" w:rsidRDefault="00CA4F12" w:rsidP="009821AC">
      <w:pPr>
        <w:tabs>
          <w:tab w:val="left" w:pos="9072"/>
        </w:tabs>
        <w:spacing w:before="120" w:after="120"/>
        <w:jc w:val="both"/>
        <w:rPr>
          <w:rFonts w:cs="Arial"/>
          <w:bCs/>
          <w:sz w:val="20"/>
          <w:szCs w:val="19"/>
          <w:lang w:val="en-GB"/>
        </w:rPr>
      </w:pPr>
      <w:r w:rsidRPr="005D1C3E">
        <w:rPr>
          <w:rFonts w:cs="Arial"/>
          <w:sz w:val="20"/>
          <w:szCs w:val="19"/>
        </w:rPr>
        <w:t xml:space="preserve">Optometrists are required to attend at least 50 minutes per hour for each hour of the session offered to obtain credit. Attendance must be recorded at the beginning and </w:t>
      </w:r>
      <w:r w:rsidR="005D1C3E" w:rsidRPr="005D1C3E">
        <w:rPr>
          <w:rFonts w:cs="Arial"/>
          <w:sz w:val="20"/>
          <w:szCs w:val="19"/>
        </w:rPr>
        <w:t xml:space="preserve">end </w:t>
      </w:r>
      <w:r w:rsidRPr="005D1C3E">
        <w:rPr>
          <w:rFonts w:cs="Arial"/>
          <w:sz w:val="20"/>
          <w:szCs w:val="19"/>
        </w:rPr>
        <w:t xml:space="preserve">of </w:t>
      </w:r>
      <w:r w:rsidR="00074AB6" w:rsidRPr="005D1C3E">
        <w:rPr>
          <w:rFonts w:cs="Arial"/>
          <w:sz w:val="20"/>
          <w:szCs w:val="19"/>
        </w:rPr>
        <w:t xml:space="preserve">each </w:t>
      </w:r>
      <w:r w:rsidRPr="005D1C3E">
        <w:rPr>
          <w:rFonts w:cs="Arial"/>
          <w:sz w:val="20"/>
          <w:szCs w:val="19"/>
        </w:rPr>
        <w:t>session. No partial credit is permitted.</w:t>
      </w:r>
      <w:r w:rsidR="00074AB6" w:rsidRPr="005D1C3E">
        <w:rPr>
          <w:rFonts w:cs="Arial"/>
          <w:sz w:val="20"/>
          <w:szCs w:val="19"/>
        </w:rPr>
        <w:t xml:space="preserve"> </w:t>
      </w:r>
      <w:r w:rsidR="00074AB6" w:rsidRPr="005D1C3E">
        <w:rPr>
          <w:rFonts w:cs="Arial"/>
          <w:bCs/>
          <w:sz w:val="20"/>
          <w:szCs w:val="19"/>
          <w:lang w:val="en-GB"/>
        </w:rPr>
        <w:t>Please keep this original as verification of attendance. CE verification records should be kept for seven (7) years.</w:t>
      </w:r>
    </w:p>
    <w:p w14:paraId="641C5405" w14:textId="267440BA" w:rsidR="009821AC" w:rsidRDefault="00074AB6" w:rsidP="009821AC">
      <w:pPr>
        <w:tabs>
          <w:tab w:val="left" w:pos="9072"/>
        </w:tabs>
        <w:spacing w:before="120" w:after="120"/>
        <w:jc w:val="both"/>
        <w:rPr>
          <w:rFonts w:cs="Arial"/>
          <w:bCs/>
          <w:sz w:val="20"/>
          <w:szCs w:val="19"/>
          <w:lang w:val="en-GB"/>
        </w:rPr>
      </w:pPr>
      <w:r w:rsidRPr="005D1C3E">
        <w:rPr>
          <w:rFonts w:cs="Arial"/>
          <w:bCs/>
          <w:sz w:val="20"/>
          <w:szCs w:val="19"/>
          <w:lang w:val="en-GB"/>
        </w:rPr>
        <w:t>For BCDO COPE Events, the association will file your credits</w:t>
      </w:r>
      <w:r w:rsidR="00A91BF8">
        <w:rPr>
          <w:rFonts w:cs="Arial"/>
          <w:bCs/>
          <w:sz w:val="20"/>
          <w:szCs w:val="19"/>
          <w:lang w:val="en-GB"/>
        </w:rPr>
        <w:t>, for those with OE Tracker numbers, directly</w:t>
      </w:r>
      <w:r w:rsidRPr="005D1C3E">
        <w:rPr>
          <w:rFonts w:cs="Arial"/>
          <w:bCs/>
          <w:sz w:val="20"/>
          <w:szCs w:val="19"/>
          <w:lang w:val="en-GB"/>
        </w:rPr>
        <w:t xml:space="preserve"> with ARBO within 30 days of the event. </w:t>
      </w:r>
      <w:r w:rsidR="00A91BF8">
        <w:rPr>
          <w:rFonts w:cs="Arial"/>
          <w:bCs/>
          <w:sz w:val="20"/>
          <w:szCs w:val="19"/>
          <w:lang w:val="en-GB"/>
        </w:rPr>
        <w:t xml:space="preserve">If you do not have an OE Tracker number, please file your credits with the College of Optometrists of BC. </w:t>
      </w:r>
    </w:p>
    <w:p w14:paraId="15FEFA0E" w14:textId="195C47AC" w:rsidR="00074AB6" w:rsidRPr="005D1C3E" w:rsidRDefault="00074AB6" w:rsidP="009821AC">
      <w:pPr>
        <w:tabs>
          <w:tab w:val="left" w:pos="9072"/>
        </w:tabs>
        <w:spacing w:before="120" w:after="120"/>
        <w:jc w:val="both"/>
        <w:rPr>
          <w:rFonts w:cs="Arial"/>
          <w:sz w:val="20"/>
          <w:szCs w:val="19"/>
          <w:lang w:val="en-GB"/>
        </w:rPr>
      </w:pPr>
      <w:r w:rsidRPr="005D1C3E">
        <w:rPr>
          <w:rFonts w:cs="Arial"/>
          <w:bCs/>
          <w:sz w:val="20"/>
          <w:szCs w:val="19"/>
          <w:lang w:val="en-GB"/>
        </w:rPr>
        <w:t xml:space="preserve">Please advise the association ASAP if there is a problem with this verification form. </w:t>
      </w:r>
    </w:p>
    <w:p w14:paraId="2A9F9A62" w14:textId="71271723" w:rsidR="00B05F11" w:rsidRPr="0061140B" w:rsidRDefault="00B05F11" w:rsidP="003256D9">
      <w:pPr>
        <w:tabs>
          <w:tab w:val="left" w:pos="9072"/>
        </w:tabs>
        <w:rPr>
          <w:rFonts w:cs="Arial"/>
          <w:sz w:val="16"/>
          <w:szCs w:val="19"/>
        </w:rPr>
      </w:pPr>
    </w:p>
    <w:sectPr w:rsidR="00B05F11" w:rsidRPr="0061140B" w:rsidSect="00256A6F">
      <w:footerReference w:type="default" r:id="rId9"/>
      <w:pgSz w:w="12240" w:h="15840" w:code="1"/>
      <w:pgMar w:top="709" w:right="1008" w:bottom="172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4313" w14:textId="77777777" w:rsidR="002B3429" w:rsidRDefault="002B3429">
      <w:r>
        <w:separator/>
      </w:r>
    </w:p>
  </w:endnote>
  <w:endnote w:type="continuationSeparator" w:id="0">
    <w:p w14:paraId="6EF61FBB" w14:textId="77777777" w:rsidR="002B3429" w:rsidRDefault="002B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A666" w14:textId="3CA84BA2" w:rsidR="002B3429" w:rsidRDefault="002B3429">
    <w:pPr>
      <w:pStyle w:val="Footer"/>
    </w:pPr>
    <w:r>
      <w:rPr>
        <w:noProof/>
      </w:rPr>
      <w:drawing>
        <wp:inline distT="0" distB="0" distL="0" distR="0" wp14:anchorId="1F6A5D98" wp14:editId="5C8D9C61">
          <wp:extent cx="6400800" cy="656590"/>
          <wp:effectExtent l="0" t="0" r="0" b="0"/>
          <wp:docPr id="1317237647" name="Picture 1317237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DO Footer - 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F26D" w14:textId="77777777" w:rsidR="002B3429" w:rsidRDefault="002B3429">
      <w:r>
        <w:separator/>
      </w:r>
    </w:p>
  </w:footnote>
  <w:footnote w:type="continuationSeparator" w:id="0">
    <w:p w14:paraId="1B62436D" w14:textId="77777777" w:rsidR="002B3429" w:rsidRDefault="002B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2CCD"/>
    <w:multiLevelType w:val="hybridMultilevel"/>
    <w:tmpl w:val="BCC42AF0"/>
    <w:lvl w:ilvl="0" w:tplc="88F6BE74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10CE7"/>
    <w:multiLevelType w:val="hybridMultilevel"/>
    <w:tmpl w:val="F706594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6143644">
    <w:abstractNumId w:val="1"/>
  </w:num>
  <w:num w:numId="2" w16cid:durableId="189723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BCAO_GOV\CES\2021\Annual Conference &amp; OPTOFAIR\Accreditation\Attendee Reports &amp; Lists\CE Lists\Copy of CE Credits and Certificates Lists_Al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ull Conf CE Credits$'`"/>
    <w:dataSource r:id="rId1"/>
    <w:checkErrors w:val="3"/>
    <w:odso>
      <w:udl w:val="Provider=Microsoft.ACE.OLEDB.12.0;User ID=Admin;Data Source=S:\BCAO_GOV\CES\2021\Annual Conference &amp; OPTOFAIR\Accreditation\Attendee Reports &amp; Lists\CE Lists\Copy of CE Credits and Certificates Lists_Al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ull Conf CE Credits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0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1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Email"/>
        <w:mappedName w:val="E-mail Address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OwNAJiAzMDYwMLSyUdpeDU4uLM/DyQAsNaAHkZWmYsAAAA"/>
  </w:docVars>
  <w:rsids>
    <w:rsidRoot w:val="00B05F11"/>
    <w:rsid w:val="000037A8"/>
    <w:rsid w:val="000130CE"/>
    <w:rsid w:val="00016513"/>
    <w:rsid w:val="000222A0"/>
    <w:rsid w:val="00037E3E"/>
    <w:rsid w:val="00056719"/>
    <w:rsid w:val="00056D01"/>
    <w:rsid w:val="00074AB6"/>
    <w:rsid w:val="00083C6B"/>
    <w:rsid w:val="00096728"/>
    <w:rsid w:val="000A2285"/>
    <w:rsid w:val="000A33DC"/>
    <w:rsid w:val="000B128C"/>
    <w:rsid w:val="000D1AAA"/>
    <w:rsid w:val="000E08C4"/>
    <w:rsid w:val="000F2001"/>
    <w:rsid w:val="000F5386"/>
    <w:rsid w:val="001044FE"/>
    <w:rsid w:val="001079B2"/>
    <w:rsid w:val="001171FC"/>
    <w:rsid w:val="00132FC5"/>
    <w:rsid w:val="00140103"/>
    <w:rsid w:val="001465CC"/>
    <w:rsid w:val="0014715D"/>
    <w:rsid w:val="001645D5"/>
    <w:rsid w:val="00172DFE"/>
    <w:rsid w:val="0017626E"/>
    <w:rsid w:val="00187267"/>
    <w:rsid w:val="00187A42"/>
    <w:rsid w:val="001A41D0"/>
    <w:rsid w:val="001A4668"/>
    <w:rsid w:val="001B544E"/>
    <w:rsid w:val="001C3B81"/>
    <w:rsid w:val="00205988"/>
    <w:rsid w:val="00206626"/>
    <w:rsid w:val="00221CF8"/>
    <w:rsid w:val="00226D83"/>
    <w:rsid w:val="0023396A"/>
    <w:rsid w:val="002440FC"/>
    <w:rsid w:val="00252FBB"/>
    <w:rsid w:val="00256A6F"/>
    <w:rsid w:val="00293FF0"/>
    <w:rsid w:val="002B3429"/>
    <w:rsid w:val="002C5F71"/>
    <w:rsid w:val="002D3519"/>
    <w:rsid w:val="002D6647"/>
    <w:rsid w:val="002E06CE"/>
    <w:rsid w:val="002E5788"/>
    <w:rsid w:val="002F7C15"/>
    <w:rsid w:val="003017ED"/>
    <w:rsid w:val="003208E5"/>
    <w:rsid w:val="003256D9"/>
    <w:rsid w:val="0032658A"/>
    <w:rsid w:val="00327126"/>
    <w:rsid w:val="00331380"/>
    <w:rsid w:val="00381F9B"/>
    <w:rsid w:val="003837AB"/>
    <w:rsid w:val="00386957"/>
    <w:rsid w:val="00396C8D"/>
    <w:rsid w:val="003A1C75"/>
    <w:rsid w:val="003E0F39"/>
    <w:rsid w:val="003F1B4A"/>
    <w:rsid w:val="003F3B75"/>
    <w:rsid w:val="00401A3D"/>
    <w:rsid w:val="0041145B"/>
    <w:rsid w:val="00422A53"/>
    <w:rsid w:val="004319A7"/>
    <w:rsid w:val="00432FA5"/>
    <w:rsid w:val="00433C3B"/>
    <w:rsid w:val="004343F3"/>
    <w:rsid w:val="00436726"/>
    <w:rsid w:val="004571E2"/>
    <w:rsid w:val="004600CB"/>
    <w:rsid w:val="00464319"/>
    <w:rsid w:val="00466134"/>
    <w:rsid w:val="00473AAF"/>
    <w:rsid w:val="00487853"/>
    <w:rsid w:val="004979B3"/>
    <w:rsid w:val="004B5546"/>
    <w:rsid w:val="004D246A"/>
    <w:rsid w:val="004D7904"/>
    <w:rsid w:val="004E573D"/>
    <w:rsid w:val="005008EC"/>
    <w:rsid w:val="005017DD"/>
    <w:rsid w:val="00515B7F"/>
    <w:rsid w:val="0052119B"/>
    <w:rsid w:val="0054204B"/>
    <w:rsid w:val="00570BE8"/>
    <w:rsid w:val="005841E2"/>
    <w:rsid w:val="00594D69"/>
    <w:rsid w:val="005A4C02"/>
    <w:rsid w:val="005B04DB"/>
    <w:rsid w:val="005B6935"/>
    <w:rsid w:val="005D1320"/>
    <w:rsid w:val="005D1C3E"/>
    <w:rsid w:val="005D7CC9"/>
    <w:rsid w:val="005E38F0"/>
    <w:rsid w:val="0060263A"/>
    <w:rsid w:val="0061140B"/>
    <w:rsid w:val="006416B7"/>
    <w:rsid w:val="00641DE7"/>
    <w:rsid w:val="006426DD"/>
    <w:rsid w:val="00665686"/>
    <w:rsid w:val="00674260"/>
    <w:rsid w:val="00691DD9"/>
    <w:rsid w:val="006936E6"/>
    <w:rsid w:val="006B14BA"/>
    <w:rsid w:val="006B7E85"/>
    <w:rsid w:val="006E6598"/>
    <w:rsid w:val="006F1464"/>
    <w:rsid w:val="007064DA"/>
    <w:rsid w:val="00710BFA"/>
    <w:rsid w:val="00747636"/>
    <w:rsid w:val="00771CF7"/>
    <w:rsid w:val="007952D2"/>
    <w:rsid w:val="007957B2"/>
    <w:rsid w:val="007B4B44"/>
    <w:rsid w:val="007B6C10"/>
    <w:rsid w:val="007E1D2A"/>
    <w:rsid w:val="007E4EEF"/>
    <w:rsid w:val="007E57EB"/>
    <w:rsid w:val="007F0491"/>
    <w:rsid w:val="007F61F9"/>
    <w:rsid w:val="00801C1A"/>
    <w:rsid w:val="00803293"/>
    <w:rsid w:val="00810A57"/>
    <w:rsid w:val="008113DC"/>
    <w:rsid w:val="0081511E"/>
    <w:rsid w:val="00817441"/>
    <w:rsid w:val="00834CA9"/>
    <w:rsid w:val="00837E43"/>
    <w:rsid w:val="008566B7"/>
    <w:rsid w:val="00865EC7"/>
    <w:rsid w:val="00866BB0"/>
    <w:rsid w:val="00870F86"/>
    <w:rsid w:val="00871040"/>
    <w:rsid w:val="0087232A"/>
    <w:rsid w:val="00881494"/>
    <w:rsid w:val="00895F04"/>
    <w:rsid w:val="0089711A"/>
    <w:rsid w:val="008C2450"/>
    <w:rsid w:val="008C59F2"/>
    <w:rsid w:val="008E7A7B"/>
    <w:rsid w:val="00936FC1"/>
    <w:rsid w:val="0093700C"/>
    <w:rsid w:val="009821AC"/>
    <w:rsid w:val="009866D3"/>
    <w:rsid w:val="00994540"/>
    <w:rsid w:val="009A2836"/>
    <w:rsid w:val="009A689D"/>
    <w:rsid w:val="009B34C4"/>
    <w:rsid w:val="009C55E5"/>
    <w:rsid w:val="009D0A92"/>
    <w:rsid w:val="009D4275"/>
    <w:rsid w:val="009F0140"/>
    <w:rsid w:val="009F5232"/>
    <w:rsid w:val="00A00F45"/>
    <w:rsid w:val="00A17A0F"/>
    <w:rsid w:val="00A2108C"/>
    <w:rsid w:val="00A73A15"/>
    <w:rsid w:val="00A91BF8"/>
    <w:rsid w:val="00AB6128"/>
    <w:rsid w:val="00AC2764"/>
    <w:rsid w:val="00AD3D8F"/>
    <w:rsid w:val="00AD54D4"/>
    <w:rsid w:val="00AE2A8C"/>
    <w:rsid w:val="00AE2C86"/>
    <w:rsid w:val="00B05F11"/>
    <w:rsid w:val="00B06F62"/>
    <w:rsid w:val="00B10D71"/>
    <w:rsid w:val="00B11199"/>
    <w:rsid w:val="00B126E3"/>
    <w:rsid w:val="00B23C6A"/>
    <w:rsid w:val="00B267B5"/>
    <w:rsid w:val="00B408CB"/>
    <w:rsid w:val="00B44A04"/>
    <w:rsid w:val="00B473CE"/>
    <w:rsid w:val="00B47BE8"/>
    <w:rsid w:val="00B807FC"/>
    <w:rsid w:val="00B849A3"/>
    <w:rsid w:val="00BA2F66"/>
    <w:rsid w:val="00BC0004"/>
    <w:rsid w:val="00BC042D"/>
    <w:rsid w:val="00BC0604"/>
    <w:rsid w:val="00BC0F4D"/>
    <w:rsid w:val="00BD543B"/>
    <w:rsid w:val="00BD6C4F"/>
    <w:rsid w:val="00C02BBC"/>
    <w:rsid w:val="00C119AE"/>
    <w:rsid w:val="00C22A0A"/>
    <w:rsid w:val="00C27C1A"/>
    <w:rsid w:val="00C319C9"/>
    <w:rsid w:val="00C322BB"/>
    <w:rsid w:val="00C413A6"/>
    <w:rsid w:val="00C54393"/>
    <w:rsid w:val="00C56C70"/>
    <w:rsid w:val="00C76FE5"/>
    <w:rsid w:val="00C81368"/>
    <w:rsid w:val="00C87224"/>
    <w:rsid w:val="00C97529"/>
    <w:rsid w:val="00CA0F61"/>
    <w:rsid w:val="00CA4F12"/>
    <w:rsid w:val="00CD11B3"/>
    <w:rsid w:val="00CD2392"/>
    <w:rsid w:val="00CF2395"/>
    <w:rsid w:val="00CF4F6B"/>
    <w:rsid w:val="00D0499E"/>
    <w:rsid w:val="00D127E7"/>
    <w:rsid w:val="00D42F15"/>
    <w:rsid w:val="00D4359D"/>
    <w:rsid w:val="00D60E3B"/>
    <w:rsid w:val="00D75B9E"/>
    <w:rsid w:val="00D821F1"/>
    <w:rsid w:val="00D83812"/>
    <w:rsid w:val="00D941A1"/>
    <w:rsid w:val="00DB67C9"/>
    <w:rsid w:val="00DB67CA"/>
    <w:rsid w:val="00DC3587"/>
    <w:rsid w:val="00DC53FD"/>
    <w:rsid w:val="00DC57EC"/>
    <w:rsid w:val="00DD4BBA"/>
    <w:rsid w:val="00DF208C"/>
    <w:rsid w:val="00DF24CE"/>
    <w:rsid w:val="00E127CB"/>
    <w:rsid w:val="00E146F6"/>
    <w:rsid w:val="00E16E6C"/>
    <w:rsid w:val="00E238C9"/>
    <w:rsid w:val="00E348D8"/>
    <w:rsid w:val="00E34D85"/>
    <w:rsid w:val="00E366D6"/>
    <w:rsid w:val="00E41697"/>
    <w:rsid w:val="00E62694"/>
    <w:rsid w:val="00E66AF9"/>
    <w:rsid w:val="00E70C04"/>
    <w:rsid w:val="00E7258D"/>
    <w:rsid w:val="00E8272B"/>
    <w:rsid w:val="00E90421"/>
    <w:rsid w:val="00E9486C"/>
    <w:rsid w:val="00EC57A7"/>
    <w:rsid w:val="00EF62D1"/>
    <w:rsid w:val="00F00DB0"/>
    <w:rsid w:val="00F018E9"/>
    <w:rsid w:val="00F02B58"/>
    <w:rsid w:val="00F031BF"/>
    <w:rsid w:val="00F109E5"/>
    <w:rsid w:val="00F1777F"/>
    <w:rsid w:val="00F22FA5"/>
    <w:rsid w:val="00F24A33"/>
    <w:rsid w:val="00F3605F"/>
    <w:rsid w:val="00F5008C"/>
    <w:rsid w:val="00F53067"/>
    <w:rsid w:val="00F617CF"/>
    <w:rsid w:val="00F61B08"/>
    <w:rsid w:val="00F64DF5"/>
    <w:rsid w:val="00F66948"/>
    <w:rsid w:val="00F82958"/>
    <w:rsid w:val="00F83340"/>
    <w:rsid w:val="00F93338"/>
    <w:rsid w:val="00FB46AF"/>
    <w:rsid w:val="00FB5432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."/>
  <w:listSeparator w:val=","/>
  <w14:docId w14:val="79C96344"/>
  <w15:docId w15:val="{CD9DF32B-A513-4C22-8BC3-AFDE8E01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170"/>
        <w:tab w:val="left" w:pos="1872"/>
        <w:tab w:val="left" w:pos="2520"/>
        <w:tab w:val="left" w:pos="3960"/>
        <w:tab w:val="left" w:pos="8460"/>
      </w:tabs>
      <w:jc w:val="center"/>
      <w:outlineLvl w:val="2"/>
    </w:pPr>
    <w:rPr>
      <w:rFonts w:ascii="Times New Roman" w:hAnsi="Times New Roman"/>
      <w:b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ahoma" w:hAnsi="Tahoma" w:cs="Tahoma"/>
      <w:b/>
      <w:bCs/>
      <w:sz w:val="18"/>
      <w:szCs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040"/>
        <w:tab w:val="left" w:pos="8160"/>
        <w:tab w:val="left" w:pos="8460"/>
      </w:tabs>
      <w:outlineLvl w:val="4"/>
    </w:pPr>
    <w:rPr>
      <w:rFonts w:ascii="Times New Roman" w:hAnsi="Times New Roman"/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b/>
      <w:bCs/>
      <w:sz w:val="40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5544"/>
        <w:tab w:val="left" w:pos="5760"/>
        <w:tab w:val="left" w:pos="6480"/>
        <w:tab w:val="left" w:pos="7200"/>
        <w:tab w:val="left" w:pos="7650"/>
      </w:tabs>
      <w:outlineLvl w:val="6"/>
    </w:pPr>
    <w:rPr>
      <w:rFonts w:ascii="Times New Roman" w:hAnsi="Times New Roman"/>
      <w:b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16"/>
    </w:rPr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Tahoma" w:hAnsi="Tahoma" w:cs="Tahoma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Narrow" w:hAnsi="Arial Narrow"/>
      <w:szCs w:val="24"/>
      <w:lang w:val="en-CA"/>
    </w:rPr>
  </w:style>
  <w:style w:type="paragraph" w:styleId="BalloonText">
    <w:name w:val="Balloon Text"/>
    <w:basedOn w:val="Normal"/>
    <w:link w:val="BalloonTextChar"/>
    <w:rsid w:val="0070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64DA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7957B2"/>
    <w:rPr>
      <w:b/>
      <w:bCs/>
    </w:rPr>
  </w:style>
  <w:style w:type="table" w:styleId="TableGrid">
    <w:name w:val="Table Grid"/>
    <w:basedOn w:val="TableNormal"/>
    <w:rsid w:val="00E1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BCAO_GOV\CES\2021\Annual%20Conference%20&amp;%20OPTOFAIR\Accreditation\Attendee%20Reports%20&amp;%20Lists\CE%20Lists\Copy%20of%20CE%20Credits%20and%20Certificates%20Lists_All.xlsx" TargetMode="External"/><Relationship Id="rId1" Type="http://schemas.openxmlformats.org/officeDocument/2006/relationships/mailMergeSource" Target="file:///S:\BCAO_GOV\CES\2021\Annual%20Conference%20&amp;%20OPTOFAIR\Accreditation\Attendee%20Reports%20&amp;%20Lists\CE%20Lists\Copy%20of%20CE%20Credits%20and%20Certificates%20Lists_All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5873-8706-431A-B12B-9F51A6E5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694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BCAO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Vangie Johnson</dc:creator>
  <cp:lastModifiedBy>Claire Tusiime</cp:lastModifiedBy>
  <cp:revision>20</cp:revision>
  <cp:lastPrinted>2017-03-20T17:42:00Z</cp:lastPrinted>
  <dcterms:created xsi:type="dcterms:W3CDTF">2021-08-31T22:34:00Z</dcterms:created>
  <dcterms:modified xsi:type="dcterms:W3CDTF">2024-03-29T01:02:00Z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