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6B9C9" w14:textId="1A5A9D36" w:rsidR="00971EE0" w:rsidRPr="004F5836" w:rsidRDefault="00971EE0" w:rsidP="00293F2B">
      <w:pPr>
        <w:spacing w:after="0" w:line="360" w:lineRule="auto"/>
        <w:jc w:val="both"/>
        <w:rPr>
          <w:rStyle w:val="Strong"/>
          <w:rFonts w:ascii="Arial" w:hAnsi="Arial" w:cs="Arial"/>
          <w:iCs/>
          <w:sz w:val="20"/>
          <w:szCs w:val="20"/>
        </w:rPr>
      </w:pPr>
      <w:r w:rsidRPr="004F5836">
        <w:rPr>
          <w:rStyle w:val="Strong"/>
          <w:rFonts w:ascii="Arial" w:hAnsi="Arial" w:cs="Arial"/>
          <w:iCs/>
          <w:sz w:val="20"/>
          <w:szCs w:val="20"/>
        </w:rPr>
        <w:t>Organizational Safety Culture's Impact on Environmental Risk Management in the Oil and Gas Supply Chain: A High Reliability Theory Perspective</w:t>
      </w:r>
    </w:p>
    <w:p w14:paraId="214DD96A" w14:textId="429A8535" w:rsidR="007E4B1D" w:rsidRPr="004F5836" w:rsidRDefault="007E4B1D" w:rsidP="00293F2B">
      <w:pPr>
        <w:spacing w:after="0" w:line="360" w:lineRule="auto"/>
        <w:jc w:val="both"/>
        <w:rPr>
          <w:rStyle w:val="Strong"/>
          <w:rFonts w:ascii="Arial" w:hAnsi="Arial" w:cs="Arial"/>
          <w:i/>
          <w:iCs/>
          <w:sz w:val="20"/>
          <w:szCs w:val="20"/>
        </w:rPr>
      </w:pPr>
    </w:p>
    <w:p w14:paraId="3EADBFD9" w14:textId="77777777" w:rsidR="007E4B1D" w:rsidRPr="004F5836" w:rsidRDefault="007E4B1D" w:rsidP="007E4B1D">
      <w:pPr>
        <w:spacing w:after="0" w:line="360" w:lineRule="auto"/>
        <w:jc w:val="both"/>
        <w:rPr>
          <w:rFonts w:ascii="Arial" w:hAnsi="Arial" w:cs="Arial"/>
          <w:bCs/>
          <w:iCs/>
          <w:sz w:val="20"/>
          <w:szCs w:val="20"/>
        </w:rPr>
      </w:pPr>
      <w:r w:rsidRPr="004F5836">
        <w:rPr>
          <w:rFonts w:ascii="Arial" w:hAnsi="Arial" w:cs="Arial"/>
          <w:bCs/>
          <w:iCs/>
          <w:sz w:val="20"/>
          <w:szCs w:val="20"/>
        </w:rPr>
        <w:t>Ashem Emmanuel Egila</w:t>
      </w:r>
      <w:r w:rsidRPr="004F5836">
        <w:rPr>
          <w:rFonts w:ascii="Arial" w:hAnsi="Arial" w:cs="Arial"/>
          <w:bCs/>
          <w:iCs/>
          <w:sz w:val="20"/>
          <w:szCs w:val="20"/>
          <w:vertAlign w:val="superscript"/>
        </w:rPr>
        <w:t>a</w:t>
      </w:r>
      <w:r w:rsidRPr="004F5836">
        <w:rPr>
          <w:rFonts w:ascii="Arial" w:hAnsi="Arial" w:cs="Arial"/>
          <w:bCs/>
          <w:iCs/>
          <w:sz w:val="20"/>
          <w:szCs w:val="20"/>
        </w:rPr>
        <w:t>; Muhammad Mustafa Kamal</w:t>
      </w:r>
      <w:r w:rsidRPr="004F5836">
        <w:rPr>
          <w:rFonts w:ascii="Arial" w:hAnsi="Arial" w:cs="Arial"/>
          <w:bCs/>
          <w:iCs/>
          <w:sz w:val="20"/>
          <w:szCs w:val="20"/>
          <w:vertAlign w:val="superscript"/>
        </w:rPr>
        <w:t>b</w:t>
      </w:r>
      <w:r w:rsidRPr="004F5836">
        <w:rPr>
          <w:rFonts w:ascii="Arial" w:hAnsi="Arial" w:cs="Arial"/>
          <w:bCs/>
          <w:iCs/>
          <w:sz w:val="20"/>
          <w:szCs w:val="20"/>
        </w:rPr>
        <w:t>; Benny Tjahjono</w:t>
      </w:r>
      <w:r w:rsidRPr="004F5836">
        <w:rPr>
          <w:rFonts w:ascii="Arial" w:hAnsi="Arial" w:cs="Arial"/>
          <w:bCs/>
          <w:iCs/>
          <w:sz w:val="20"/>
          <w:szCs w:val="20"/>
          <w:vertAlign w:val="superscript"/>
        </w:rPr>
        <w:t>c</w:t>
      </w:r>
      <w:r w:rsidRPr="004F5836">
        <w:rPr>
          <w:rFonts w:ascii="Arial" w:hAnsi="Arial" w:cs="Arial"/>
          <w:bCs/>
          <w:iCs/>
          <w:sz w:val="20"/>
          <w:szCs w:val="20"/>
        </w:rPr>
        <w:t xml:space="preserve">; </w:t>
      </w:r>
    </w:p>
    <w:p w14:paraId="2AA5CC8A" w14:textId="2C0F7FD4" w:rsidR="007E4B1D" w:rsidRPr="004F5836" w:rsidRDefault="007E4B1D" w:rsidP="007E4B1D">
      <w:pPr>
        <w:spacing w:after="0" w:line="360" w:lineRule="auto"/>
        <w:jc w:val="both"/>
        <w:rPr>
          <w:rFonts w:ascii="Arial" w:hAnsi="Arial" w:cs="Arial"/>
          <w:bCs/>
          <w:iCs/>
          <w:sz w:val="20"/>
          <w:szCs w:val="20"/>
        </w:rPr>
      </w:pPr>
      <w:r w:rsidRPr="004F5836">
        <w:rPr>
          <w:rFonts w:ascii="Arial" w:hAnsi="Arial" w:cs="Arial"/>
          <w:bCs/>
          <w:iCs/>
          <w:sz w:val="20"/>
          <w:szCs w:val="20"/>
          <w:vertAlign w:val="superscript"/>
        </w:rPr>
        <w:t>a,c</w:t>
      </w:r>
      <w:r w:rsidR="004F5836" w:rsidRPr="004F5836">
        <w:rPr>
          <w:rFonts w:ascii="Arial" w:hAnsi="Arial" w:cs="Arial"/>
          <w:bCs/>
          <w:iCs/>
          <w:sz w:val="20"/>
          <w:szCs w:val="20"/>
          <w:vertAlign w:val="superscript"/>
        </w:rPr>
        <w:t xml:space="preserve">   </w:t>
      </w:r>
      <w:r w:rsidRPr="004F5836">
        <w:rPr>
          <w:rFonts w:ascii="Arial" w:hAnsi="Arial" w:cs="Arial"/>
          <w:bCs/>
          <w:iCs/>
          <w:sz w:val="20"/>
          <w:szCs w:val="20"/>
        </w:rPr>
        <w:t>Business in Society, Responsible Business, Economies &amp; Society, Coventry University CV1 5FB</w:t>
      </w:r>
    </w:p>
    <w:p w14:paraId="35A48268" w14:textId="0C281EF8" w:rsidR="007E4B1D" w:rsidRPr="004F5836" w:rsidRDefault="007E4B1D" w:rsidP="007E4B1D">
      <w:pPr>
        <w:spacing w:after="0" w:line="360" w:lineRule="auto"/>
        <w:jc w:val="both"/>
        <w:rPr>
          <w:rFonts w:ascii="Arial" w:hAnsi="Arial" w:cs="Arial"/>
          <w:bCs/>
          <w:iCs/>
          <w:sz w:val="20"/>
          <w:szCs w:val="20"/>
        </w:rPr>
      </w:pPr>
      <w:r w:rsidRPr="004F5836">
        <w:rPr>
          <w:rFonts w:ascii="Arial" w:hAnsi="Arial" w:cs="Arial"/>
          <w:bCs/>
          <w:iCs/>
          <w:sz w:val="20"/>
          <w:szCs w:val="20"/>
          <w:vertAlign w:val="superscript"/>
        </w:rPr>
        <w:t>b</w:t>
      </w:r>
      <w:r w:rsidRPr="004F5836">
        <w:rPr>
          <w:rFonts w:ascii="Arial" w:hAnsi="Arial" w:cs="Arial"/>
          <w:bCs/>
          <w:iCs/>
          <w:sz w:val="20"/>
          <w:szCs w:val="20"/>
        </w:rPr>
        <w:t xml:space="preserve"> University </w:t>
      </w:r>
      <w:r w:rsidR="004F5836" w:rsidRPr="004F5836">
        <w:rPr>
          <w:rFonts w:ascii="Arial" w:hAnsi="Arial" w:cs="Arial"/>
          <w:bCs/>
          <w:iCs/>
          <w:sz w:val="20"/>
          <w:szCs w:val="20"/>
        </w:rPr>
        <w:t>of</w:t>
      </w:r>
      <w:r w:rsidRPr="004F5836">
        <w:rPr>
          <w:rFonts w:ascii="Arial" w:hAnsi="Arial" w:cs="Arial"/>
          <w:bCs/>
          <w:iCs/>
          <w:sz w:val="20"/>
          <w:szCs w:val="20"/>
        </w:rPr>
        <w:t xml:space="preserve"> Exeter Business School, University of Exeter, Rennes Drive,</w:t>
      </w:r>
      <w:r w:rsidR="004F5836" w:rsidRPr="004F5836">
        <w:rPr>
          <w:rFonts w:ascii="Arial" w:hAnsi="Arial" w:cs="Arial"/>
          <w:bCs/>
          <w:iCs/>
          <w:sz w:val="20"/>
          <w:szCs w:val="20"/>
        </w:rPr>
        <w:t xml:space="preserve">   </w:t>
      </w:r>
      <w:r w:rsidRPr="004F5836">
        <w:rPr>
          <w:rFonts w:ascii="Arial" w:hAnsi="Arial" w:cs="Arial"/>
          <w:bCs/>
          <w:iCs/>
          <w:sz w:val="20"/>
          <w:szCs w:val="20"/>
        </w:rPr>
        <w:t>Exeter,</w:t>
      </w:r>
      <w:r w:rsidR="004F5836" w:rsidRPr="004F5836">
        <w:rPr>
          <w:rFonts w:ascii="Arial" w:hAnsi="Arial" w:cs="Arial"/>
          <w:bCs/>
          <w:iCs/>
          <w:sz w:val="20"/>
          <w:szCs w:val="20"/>
        </w:rPr>
        <w:t xml:space="preserve">   </w:t>
      </w:r>
      <w:r w:rsidRPr="004F5836">
        <w:rPr>
          <w:rFonts w:ascii="Arial" w:hAnsi="Arial" w:cs="Arial"/>
          <w:bCs/>
          <w:iCs/>
          <w:sz w:val="20"/>
          <w:szCs w:val="20"/>
        </w:rPr>
        <w:t>EX4 4ST</w:t>
      </w:r>
    </w:p>
    <w:p w14:paraId="7A223E31" w14:textId="77777777" w:rsidR="00971EE0" w:rsidRPr="004F5836" w:rsidRDefault="00971EE0" w:rsidP="00293F2B">
      <w:pPr>
        <w:spacing w:after="0" w:line="360" w:lineRule="auto"/>
        <w:jc w:val="both"/>
        <w:rPr>
          <w:rStyle w:val="Strong"/>
          <w:rFonts w:ascii="Arial" w:hAnsi="Arial" w:cs="Arial"/>
          <w:i/>
          <w:iCs/>
          <w:sz w:val="20"/>
          <w:szCs w:val="20"/>
        </w:rPr>
      </w:pPr>
    </w:p>
    <w:p w14:paraId="0EB8C667" w14:textId="77777777" w:rsidR="00971EE0" w:rsidRPr="004F5836" w:rsidRDefault="00971EE0" w:rsidP="00293F2B">
      <w:pPr>
        <w:spacing w:after="0" w:line="360" w:lineRule="auto"/>
        <w:jc w:val="both"/>
        <w:rPr>
          <w:rStyle w:val="Strong"/>
          <w:rFonts w:ascii="Arial" w:hAnsi="Arial" w:cs="Arial"/>
          <w:i/>
          <w:iCs/>
          <w:sz w:val="20"/>
          <w:szCs w:val="20"/>
        </w:rPr>
      </w:pPr>
      <w:r w:rsidRPr="004F5836">
        <w:rPr>
          <w:rStyle w:val="Strong"/>
          <w:rFonts w:ascii="Arial" w:hAnsi="Arial" w:cs="Arial"/>
          <w:i/>
          <w:iCs/>
          <w:sz w:val="20"/>
          <w:szCs w:val="20"/>
        </w:rPr>
        <w:t>Abstract</w:t>
      </w:r>
    </w:p>
    <w:p w14:paraId="57FC4D19" w14:textId="5F3274E5" w:rsidR="00971EE0" w:rsidRPr="004F5836" w:rsidRDefault="00FC2307" w:rsidP="00C87B0F">
      <w:pPr>
        <w:spacing w:after="0" w:line="240" w:lineRule="auto"/>
        <w:jc w:val="both"/>
        <w:rPr>
          <w:rStyle w:val="Strong"/>
          <w:rFonts w:ascii="Arial" w:hAnsi="Arial" w:cs="Arial"/>
          <w:b w:val="0"/>
          <w:bCs w:val="0"/>
          <w:i/>
          <w:iCs/>
          <w:sz w:val="20"/>
          <w:szCs w:val="20"/>
        </w:rPr>
      </w:pPr>
      <w:r w:rsidRPr="004F5836">
        <w:rPr>
          <w:rStyle w:val="Strong"/>
          <w:rFonts w:ascii="Arial" w:hAnsi="Arial" w:cs="Arial"/>
          <w:b w:val="0"/>
          <w:bCs w:val="0"/>
          <w:i/>
          <w:iCs/>
          <w:sz w:val="20"/>
          <w:szCs w:val="20"/>
        </w:rPr>
        <w:t>The frequency of hazards in oil and gas supply chains is extremely high in certain regions.</w:t>
      </w:r>
      <w:r w:rsidR="00C87B0F" w:rsidRPr="004F5836">
        <w:rPr>
          <w:rStyle w:val="Strong"/>
          <w:rFonts w:ascii="Arial" w:hAnsi="Arial" w:cs="Arial"/>
          <w:b w:val="0"/>
          <w:bCs w:val="0"/>
          <w:i/>
          <w:iCs/>
          <w:sz w:val="20"/>
          <w:szCs w:val="20"/>
        </w:rPr>
        <w:t xml:space="preserve"> Despite growing calls for alternatives, certain oil and gas products continue to be necessary for economic growth and sustainability in developing countries. </w:t>
      </w:r>
      <w:r w:rsidR="0041525C" w:rsidRPr="004F5836">
        <w:rPr>
          <w:rStyle w:val="Strong"/>
          <w:rFonts w:ascii="Arial" w:hAnsi="Arial" w:cs="Arial"/>
          <w:b w:val="0"/>
          <w:bCs w:val="0"/>
          <w:i/>
          <w:iCs/>
          <w:sz w:val="20"/>
          <w:szCs w:val="20"/>
        </w:rPr>
        <w:t>This study aims to develop a conceptual framework to understand the impact of internal stakeholders' perceptions of organisational safety culture on operational environmental risk management in the oil and gas supply chain.</w:t>
      </w:r>
      <w:r w:rsidR="00C87B0F" w:rsidRPr="004F5836">
        <w:rPr>
          <w:rStyle w:val="Strong"/>
          <w:rFonts w:ascii="Arial" w:hAnsi="Arial" w:cs="Arial"/>
          <w:b w:val="0"/>
          <w:bCs w:val="0"/>
          <w:i/>
          <w:iCs/>
          <w:sz w:val="20"/>
          <w:szCs w:val="20"/>
        </w:rPr>
        <w:t xml:space="preserve"> This study uses high reliability theory, failure mode and effect analysis, and risk-mitigation strategies to gain insight into risk perception among employees in the oil and gas supply chain and access relative importance. </w:t>
      </w:r>
      <w:r w:rsidR="0041525C" w:rsidRPr="004F5836">
        <w:rPr>
          <w:rStyle w:val="Strong"/>
          <w:rFonts w:ascii="Arial" w:hAnsi="Arial" w:cs="Arial"/>
          <w:b w:val="0"/>
          <w:bCs w:val="0"/>
          <w:i/>
          <w:iCs/>
          <w:sz w:val="20"/>
          <w:szCs w:val="20"/>
        </w:rPr>
        <w:t>The study finds that organisational safety culture has a significant impact on stakeholder analysis of severity and risk mitigation strategies, but the ease of detection and frequency are insignificant.</w:t>
      </w:r>
      <w:r w:rsidR="00C87B0F" w:rsidRPr="004F5836">
        <w:rPr>
          <w:rStyle w:val="Strong"/>
          <w:rFonts w:ascii="Arial" w:hAnsi="Arial" w:cs="Arial"/>
          <w:b w:val="0"/>
          <w:bCs w:val="0"/>
          <w:i/>
          <w:iCs/>
          <w:sz w:val="20"/>
          <w:szCs w:val="20"/>
        </w:rPr>
        <w:t xml:space="preserve"> The findings show that human-caused environmental risk is perceived as the most important across different employee groups, and more integration is needed to ensure that stakeholders address an improved safety culture to facilitate the development of effective risk management strategies by improving detection and frequency analysis. This study highlights the need for a more comprehensive approach to safety culture and environmental risk management in the oil and gas industry, focusing on the importance of stakeholder analysis, risk mitigation strategies, and improved detection and frequency analysis.</w:t>
      </w:r>
    </w:p>
    <w:p w14:paraId="35F82211" w14:textId="77777777" w:rsidR="00532A2C" w:rsidRPr="004F5836" w:rsidRDefault="00532A2C" w:rsidP="00C87B0F">
      <w:pPr>
        <w:spacing w:after="0" w:line="240" w:lineRule="auto"/>
        <w:jc w:val="both"/>
        <w:rPr>
          <w:rStyle w:val="Strong"/>
          <w:rFonts w:ascii="Arial" w:hAnsi="Arial" w:cs="Arial"/>
          <w:b w:val="0"/>
          <w:bCs w:val="0"/>
          <w:sz w:val="20"/>
          <w:szCs w:val="20"/>
        </w:rPr>
      </w:pPr>
    </w:p>
    <w:p w14:paraId="0526A9C1" w14:textId="7862882B" w:rsidR="00971EE0" w:rsidRPr="004F5836" w:rsidRDefault="00971EE0" w:rsidP="00C93A95">
      <w:pPr>
        <w:spacing w:after="0" w:line="360" w:lineRule="auto"/>
        <w:rPr>
          <w:rStyle w:val="Strong"/>
          <w:rFonts w:ascii="Arial" w:hAnsi="Arial" w:cs="Arial"/>
          <w:b w:val="0"/>
          <w:bCs w:val="0"/>
          <w:i/>
          <w:sz w:val="20"/>
          <w:szCs w:val="20"/>
        </w:rPr>
      </w:pPr>
      <w:r w:rsidRPr="004F5836">
        <w:rPr>
          <w:rStyle w:val="Strong"/>
          <w:rFonts w:ascii="Arial" w:hAnsi="Arial" w:cs="Arial"/>
          <w:b w:val="0"/>
          <w:bCs w:val="0"/>
          <w:sz w:val="20"/>
          <w:szCs w:val="20"/>
        </w:rPr>
        <w:t>Key words:</w:t>
      </w:r>
      <w:r w:rsidRPr="004F5836">
        <w:t xml:space="preserve"> </w:t>
      </w:r>
      <w:r w:rsidRPr="004F5836">
        <w:rPr>
          <w:rStyle w:val="Strong"/>
          <w:rFonts w:ascii="Arial" w:hAnsi="Arial" w:cs="Arial"/>
          <w:b w:val="0"/>
          <w:bCs w:val="0"/>
          <w:i/>
          <w:sz w:val="20"/>
          <w:szCs w:val="20"/>
        </w:rPr>
        <w:t xml:space="preserve">Oil and Gas supply chain, Organisation safety culture, Environmental Risk </w:t>
      </w:r>
      <w:r w:rsidR="00C93A95" w:rsidRPr="004F5836">
        <w:rPr>
          <w:rStyle w:val="Strong"/>
          <w:rFonts w:ascii="Arial" w:hAnsi="Arial" w:cs="Arial"/>
          <w:b w:val="0"/>
          <w:bCs w:val="0"/>
          <w:i/>
          <w:sz w:val="20"/>
          <w:szCs w:val="20"/>
        </w:rPr>
        <w:t>Management,</w:t>
      </w:r>
      <w:r w:rsidRPr="004F5836">
        <w:rPr>
          <w:rStyle w:val="Strong"/>
          <w:rFonts w:ascii="Arial" w:hAnsi="Arial" w:cs="Arial"/>
          <w:b w:val="0"/>
          <w:bCs w:val="0"/>
          <w:i/>
          <w:sz w:val="20"/>
          <w:szCs w:val="20"/>
        </w:rPr>
        <w:t xml:space="preserve"> High Reliability Organisation</w:t>
      </w:r>
    </w:p>
    <w:p w14:paraId="770EC9C9" w14:textId="77777777" w:rsidR="00C93A95" w:rsidRPr="004F5836" w:rsidRDefault="00C93A95" w:rsidP="00293F2B">
      <w:pPr>
        <w:spacing w:after="0" w:line="360" w:lineRule="auto"/>
        <w:jc w:val="both"/>
        <w:rPr>
          <w:rStyle w:val="Strong"/>
          <w:rFonts w:ascii="Arial" w:hAnsi="Arial" w:cs="Arial"/>
          <w:b w:val="0"/>
          <w:bCs w:val="0"/>
          <w:sz w:val="20"/>
          <w:szCs w:val="20"/>
        </w:rPr>
      </w:pPr>
    </w:p>
    <w:p w14:paraId="2DE10628" w14:textId="77777777" w:rsidR="00C93A95" w:rsidRPr="004F5836" w:rsidRDefault="00C93A95" w:rsidP="00293F2B">
      <w:pPr>
        <w:spacing w:after="0" w:line="360" w:lineRule="auto"/>
        <w:jc w:val="both"/>
        <w:rPr>
          <w:rStyle w:val="Strong"/>
          <w:rFonts w:ascii="Arial" w:hAnsi="Arial" w:cs="Arial"/>
          <w:b w:val="0"/>
          <w:bCs w:val="0"/>
          <w:sz w:val="20"/>
          <w:szCs w:val="20"/>
        </w:rPr>
      </w:pPr>
    </w:p>
    <w:p w14:paraId="374AF348" w14:textId="77777777" w:rsidR="00971EE0" w:rsidRPr="004F5836" w:rsidRDefault="00971EE0" w:rsidP="00293F2B">
      <w:pPr>
        <w:spacing w:after="0" w:line="360" w:lineRule="auto"/>
        <w:jc w:val="both"/>
        <w:rPr>
          <w:rStyle w:val="Strong"/>
          <w:rFonts w:ascii="Arial" w:hAnsi="Arial" w:cs="Arial"/>
          <w:b w:val="0"/>
          <w:bCs w:val="0"/>
          <w:sz w:val="20"/>
          <w:szCs w:val="20"/>
        </w:rPr>
      </w:pPr>
      <w:r w:rsidRPr="004F5836">
        <w:rPr>
          <w:rStyle w:val="Strong"/>
          <w:rFonts w:ascii="Arial" w:hAnsi="Arial" w:cs="Arial"/>
          <w:b w:val="0"/>
          <w:bCs w:val="0"/>
          <w:sz w:val="20"/>
          <w:szCs w:val="20"/>
        </w:rPr>
        <w:t>‘</w:t>
      </w:r>
    </w:p>
    <w:p w14:paraId="5163E467" w14:textId="77777777" w:rsidR="00971EE0" w:rsidRPr="004F5836" w:rsidRDefault="00971EE0" w:rsidP="00293F2B">
      <w:pPr>
        <w:pStyle w:val="Heading2"/>
        <w:numPr>
          <w:ilvl w:val="0"/>
          <w:numId w:val="1"/>
        </w:numPr>
        <w:spacing w:line="360" w:lineRule="auto"/>
        <w:jc w:val="both"/>
        <w:rPr>
          <w:rFonts w:ascii="Arial" w:hAnsi="Arial" w:cs="Arial"/>
          <w:b/>
          <w:bCs/>
          <w:color w:val="auto"/>
          <w:sz w:val="20"/>
          <w:szCs w:val="20"/>
        </w:rPr>
      </w:pPr>
      <w:r w:rsidRPr="004F5836">
        <w:rPr>
          <w:rStyle w:val="Strong"/>
          <w:rFonts w:ascii="Arial" w:hAnsi="Arial" w:cs="Arial"/>
          <w:color w:val="auto"/>
          <w:sz w:val="20"/>
          <w:szCs w:val="20"/>
        </w:rPr>
        <w:t xml:space="preserve">Introduction </w:t>
      </w:r>
    </w:p>
    <w:p w14:paraId="4DD2E7FB" w14:textId="04526748" w:rsidR="00C87B0F" w:rsidRPr="004F5836" w:rsidRDefault="0041525C" w:rsidP="00AF7B91">
      <w:pPr>
        <w:spacing w:after="0" w:line="360" w:lineRule="auto"/>
        <w:jc w:val="both"/>
        <w:rPr>
          <w:rStyle w:val="Strong"/>
          <w:rFonts w:ascii="Arial" w:hAnsi="Arial" w:cs="Arial"/>
          <w:b w:val="0"/>
          <w:bCs w:val="0"/>
          <w:sz w:val="20"/>
          <w:szCs w:val="20"/>
        </w:rPr>
      </w:pPr>
      <w:r w:rsidRPr="004F5836">
        <w:rPr>
          <w:rStyle w:val="Strong"/>
          <w:rFonts w:ascii="Arial" w:hAnsi="Arial" w:cs="Arial"/>
          <w:b w:val="0"/>
          <w:bCs w:val="0"/>
          <w:sz w:val="20"/>
          <w:szCs w:val="20"/>
        </w:rPr>
        <w:t>Many economies in the Global South still use industrial growth and productivity models that span the social, environmental, and economic dimensions (Cohen, 2020).</w:t>
      </w:r>
      <w:r w:rsidR="00C87B0F" w:rsidRPr="004F5836">
        <w:rPr>
          <w:rStyle w:val="Strong"/>
          <w:rFonts w:ascii="Arial" w:hAnsi="Arial" w:cs="Arial"/>
          <w:b w:val="0"/>
          <w:bCs w:val="0"/>
          <w:sz w:val="20"/>
          <w:szCs w:val="20"/>
        </w:rPr>
        <w:t xml:space="preserve"> Oil and gas (O&amp;G) sources are vital to the global economy despite their environmental and social harm (Wan Ahmad et al., 2017). </w:t>
      </w:r>
      <w:r w:rsidRPr="004F5836">
        <w:rPr>
          <w:rStyle w:val="Strong"/>
          <w:rFonts w:ascii="Arial" w:hAnsi="Arial" w:cs="Arial"/>
          <w:b w:val="0"/>
          <w:bCs w:val="0"/>
          <w:sz w:val="20"/>
          <w:szCs w:val="20"/>
        </w:rPr>
        <w:t>Because of its environmental impact, the oil and gas supply chain is a global concern (Chen et al., 2021; Gardas, 2019).</w:t>
      </w:r>
      <w:r w:rsidR="00C87B0F" w:rsidRPr="004F5836">
        <w:rPr>
          <w:rStyle w:val="Strong"/>
          <w:rFonts w:ascii="Arial" w:hAnsi="Arial" w:cs="Arial"/>
          <w:b w:val="0"/>
          <w:bCs w:val="0"/>
          <w:sz w:val="20"/>
          <w:szCs w:val="20"/>
        </w:rPr>
        <w:t xml:space="preserve"> </w:t>
      </w:r>
      <w:r w:rsidRPr="004F5836">
        <w:rPr>
          <w:rStyle w:val="Strong"/>
          <w:rFonts w:ascii="Arial" w:hAnsi="Arial" w:cs="Arial"/>
          <w:b w:val="0"/>
          <w:bCs w:val="0"/>
          <w:sz w:val="20"/>
          <w:szCs w:val="20"/>
        </w:rPr>
        <w:t>Injury and death often arise from work teams, workplaces, equipment, and material interactions (Cezar-Vaz et al., 2012).</w:t>
      </w:r>
      <w:r w:rsidR="00C87B0F" w:rsidRPr="004F5836">
        <w:rPr>
          <w:rStyle w:val="Strong"/>
          <w:rFonts w:ascii="Arial" w:hAnsi="Arial" w:cs="Arial"/>
          <w:b w:val="0"/>
          <w:bCs w:val="0"/>
          <w:sz w:val="20"/>
          <w:szCs w:val="20"/>
        </w:rPr>
        <w:t xml:space="preserve"> </w:t>
      </w:r>
      <w:r w:rsidRPr="004F5836">
        <w:rPr>
          <w:rStyle w:val="Strong"/>
          <w:rFonts w:ascii="Arial" w:hAnsi="Arial" w:cs="Arial"/>
          <w:b w:val="0"/>
          <w:bCs w:val="0"/>
          <w:sz w:val="20"/>
          <w:szCs w:val="20"/>
        </w:rPr>
        <w:t>Various safety management methods have been used to address these risks.</w:t>
      </w:r>
      <w:r w:rsidR="00C87B0F" w:rsidRPr="004F5836">
        <w:rPr>
          <w:rStyle w:val="Strong"/>
          <w:rFonts w:ascii="Arial" w:hAnsi="Arial" w:cs="Arial"/>
          <w:b w:val="0"/>
          <w:bCs w:val="0"/>
          <w:sz w:val="20"/>
          <w:szCs w:val="20"/>
        </w:rPr>
        <w:t xml:space="preserve"> Developing economies depend on oil and gas supply systems. </w:t>
      </w:r>
      <w:r w:rsidR="00FC2307" w:rsidRPr="004F5836">
        <w:rPr>
          <w:rStyle w:val="Strong"/>
          <w:rFonts w:ascii="Arial" w:hAnsi="Arial" w:cs="Arial"/>
          <w:b w:val="0"/>
          <w:bCs w:val="0"/>
          <w:sz w:val="20"/>
          <w:szCs w:val="20"/>
        </w:rPr>
        <w:t>Although renewable energy is required, constraints prevent its acceptance, making the oil and gas business the most profitable and significant (Sharma et al., 2023).</w:t>
      </w:r>
    </w:p>
    <w:p w14:paraId="25964AAB" w14:textId="77777777" w:rsidR="00C87B0F" w:rsidRPr="004F5836" w:rsidRDefault="00C87B0F" w:rsidP="00AF7B91">
      <w:pPr>
        <w:spacing w:after="0" w:line="360" w:lineRule="auto"/>
        <w:jc w:val="both"/>
        <w:rPr>
          <w:rStyle w:val="Strong"/>
          <w:rFonts w:ascii="Arial" w:hAnsi="Arial" w:cs="Arial"/>
          <w:b w:val="0"/>
          <w:bCs w:val="0"/>
          <w:sz w:val="20"/>
          <w:szCs w:val="20"/>
        </w:rPr>
      </w:pPr>
    </w:p>
    <w:p w14:paraId="3ED083E9" w14:textId="78DCDA18" w:rsidR="00AF7B91" w:rsidRPr="004F5836" w:rsidRDefault="0041525C" w:rsidP="00AF7B91">
      <w:pPr>
        <w:spacing w:after="0" w:line="360" w:lineRule="auto"/>
        <w:jc w:val="both"/>
        <w:rPr>
          <w:rStyle w:val="Strong"/>
          <w:rFonts w:ascii="Arial" w:hAnsi="Arial" w:cs="Arial"/>
          <w:b w:val="0"/>
          <w:bCs w:val="0"/>
          <w:sz w:val="20"/>
          <w:szCs w:val="20"/>
        </w:rPr>
      </w:pPr>
      <w:r w:rsidRPr="004F5836">
        <w:rPr>
          <w:rStyle w:val="Strong"/>
          <w:rFonts w:ascii="Arial" w:hAnsi="Arial" w:cs="Arial"/>
          <w:b w:val="0"/>
          <w:bCs w:val="0"/>
          <w:sz w:val="20"/>
          <w:szCs w:val="20"/>
        </w:rPr>
        <w:t>The oil and gas industry comprises five stages: exploration, extraction, refining, transportation, and marketing of oil and its byproducts (Homayoun et al.</w:t>
      </w:r>
      <w:r w:rsidR="00FC2307" w:rsidRPr="004F5836">
        <w:rPr>
          <w:rStyle w:val="Strong"/>
          <w:rFonts w:ascii="Arial" w:hAnsi="Arial" w:cs="Arial"/>
          <w:b w:val="0"/>
          <w:bCs w:val="0"/>
          <w:sz w:val="20"/>
          <w:szCs w:val="20"/>
        </w:rPr>
        <w:t xml:space="preserve"> 2016).</w:t>
      </w:r>
      <w:r w:rsidR="00AF7B91" w:rsidRPr="004F5836">
        <w:rPr>
          <w:rStyle w:val="Strong"/>
          <w:rFonts w:ascii="Arial" w:hAnsi="Arial" w:cs="Arial"/>
          <w:b w:val="0"/>
          <w:bCs w:val="0"/>
          <w:sz w:val="20"/>
          <w:szCs w:val="20"/>
        </w:rPr>
        <w:t xml:space="preserve"> </w:t>
      </w:r>
      <w:r w:rsidR="00FC2307" w:rsidRPr="004F5836">
        <w:rPr>
          <w:rStyle w:val="Strong"/>
          <w:rFonts w:ascii="Arial" w:hAnsi="Arial" w:cs="Arial"/>
          <w:b w:val="0"/>
          <w:bCs w:val="0"/>
          <w:sz w:val="20"/>
          <w:szCs w:val="20"/>
        </w:rPr>
        <w:t>Such jobs are dangerous to the environment, workers, and communities, and accidents are likely to kill people.</w:t>
      </w:r>
      <w:r w:rsidR="00AF7B91" w:rsidRPr="004F5836">
        <w:rPr>
          <w:rStyle w:val="Strong"/>
          <w:rFonts w:ascii="Arial" w:hAnsi="Arial" w:cs="Arial"/>
          <w:b w:val="0"/>
          <w:bCs w:val="0"/>
          <w:sz w:val="20"/>
          <w:szCs w:val="20"/>
        </w:rPr>
        <w:t xml:space="preserve"> </w:t>
      </w:r>
      <w:r w:rsidR="00483628" w:rsidRPr="004F5836">
        <w:rPr>
          <w:rStyle w:val="Strong"/>
          <w:rFonts w:ascii="Arial" w:hAnsi="Arial" w:cs="Arial"/>
          <w:b w:val="0"/>
          <w:bCs w:val="0"/>
          <w:sz w:val="20"/>
          <w:szCs w:val="20"/>
        </w:rPr>
        <w:t>By 2050, developing countries will house more than 90% of the world's population (Mangla et al., 2018).</w:t>
      </w:r>
      <w:r w:rsidR="00AF7B91" w:rsidRPr="004F5836">
        <w:rPr>
          <w:rStyle w:val="Strong"/>
          <w:rFonts w:ascii="Arial" w:hAnsi="Arial" w:cs="Arial"/>
          <w:b w:val="0"/>
          <w:bCs w:val="0"/>
          <w:sz w:val="20"/>
          <w:szCs w:val="20"/>
        </w:rPr>
        <w:t xml:space="preserve"> This study examines how organisational safety culture affects oil and gas environmental risk management (Ojuola et al., </w:t>
      </w:r>
      <w:r w:rsidR="00AF7B91" w:rsidRPr="004F5836">
        <w:rPr>
          <w:rStyle w:val="Strong"/>
          <w:rFonts w:ascii="Arial" w:hAnsi="Arial" w:cs="Arial"/>
          <w:b w:val="0"/>
          <w:bCs w:val="0"/>
          <w:sz w:val="20"/>
          <w:szCs w:val="20"/>
        </w:rPr>
        <w:lastRenderedPageBreak/>
        <w:t xml:space="preserve">2020). </w:t>
      </w:r>
      <w:r w:rsidR="00FC2307" w:rsidRPr="004F5836">
        <w:rPr>
          <w:rStyle w:val="Strong"/>
          <w:rFonts w:ascii="Arial" w:hAnsi="Arial" w:cs="Arial"/>
          <w:b w:val="0"/>
          <w:bCs w:val="0"/>
          <w:sz w:val="20"/>
          <w:szCs w:val="20"/>
        </w:rPr>
        <w:t>The oil and gas industry is vital to global energy, economic growth, and environmental protection.</w:t>
      </w:r>
      <w:r w:rsidR="00AF7B91" w:rsidRPr="004F5836">
        <w:rPr>
          <w:rStyle w:val="Strong"/>
          <w:rFonts w:ascii="Arial" w:hAnsi="Arial" w:cs="Arial"/>
          <w:b w:val="0"/>
          <w:bCs w:val="0"/>
          <w:sz w:val="20"/>
          <w:szCs w:val="20"/>
        </w:rPr>
        <w:t xml:space="preserve"> </w:t>
      </w:r>
      <w:r w:rsidR="00483628" w:rsidRPr="004F5836">
        <w:rPr>
          <w:rStyle w:val="Strong"/>
          <w:rFonts w:ascii="Arial" w:hAnsi="Arial" w:cs="Arial"/>
          <w:b w:val="0"/>
          <w:bCs w:val="0"/>
          <w:sz w:val="20"/>
          <w:szCs w:val="20"/>
        </w:rPr>
        <w:t>Energy demand increases the pressure on the sector to prioritise environmental safety and risk management.</w:t>
      </w:r>
      <w:r w:rsidR="00AF7B91" w:rsidRPr="004F5836">
        <w:rPr>
          <w:rStyle w:val="Strong"/>
          <w:rFonts w:ascii="Arial" w:hAnsi="Arial" w:cs="Arial"/>
          <w:b w:val="0"/>
          <w:bCs w:val="0"/>
          <w:sz w:val="20"/>
          <w:szCs w:val="20"/>
        </w:rPr>
        <w:t xml:space="preserve"> This endeavour centres on organisational safety culture, which includes safety beliefs, attitudes, and behaviours (Biggs et al., 2013; Musonda, 2021). </w:t>
      </w:r>
      <w:r w:rsidR="00FC2307" w:rsidRPr="004F5836">
        <w:rPr>
          <w:rStyle w:val="Strong"/>
          <w:rFonts w:ascii="Arial" w:hAnsi="Arial" w:cs="Arial"/>
          <w:b w:val="0"/>
          <w:bCs w:val="0"/>
          <w:sz w:val="20"/>
          <w:szCs w:val="20"/>
        </w:rPr>
        <w:t xml:space="preserve">Understanding how safety culture affects environmental risk management is crucial to oil and gas safety and </w:t>
      </w:r>
      <w:r w:rsidR="004F5836" w:rsidRPr="004F5836">
        <w:rPr>
          <w:rStyle w:val="Strong"/>
          <w:rFonts w:ascii="Arial" w:hAnsi="Arial" w:cs="Arial"/>
          <w:b w:val="0"/>
          <w:bCs w:val="0"/>
          <w:sz w:val="20"/>
          <w:szCs w:val="20"/>
        </w:rPr>
        <w:t>sustainability. Our</w:t>
      </w:r>
      <w:r w:rsidR="00AF7B91" w:rsidRPr="004F5836">
        <w:rPr>
          <w:rStyle w:val="Strong"/>
          <w:rFonts w:ascii="Arial" w:hAnsi="Arial" w:cs="Arial"/>
          <w:b w:val="0"/>
          <w:bCs w:val="0"/>
          <w:sz w:val="20"/>
          <w:szCs w:val="20"/>
        </w:rPr>
        <w:t xml:space="preserve"> study analyses the complex relationship between organisational safety culture and environmental risk management in the oil and gas industry. This study analyses the literature, empirical evidence, and industry best practices to determine how safety culture affects oil and gas operations' environmental risk identification, assessment, and mitigation. </w:t>
      </w:r>
      <w:r w:rsidRPr="004F5836">
        <w:rPr>
          <w:rStyle w:val="Strong"/>
          <w:rFonts w:ascii="Arial" w:hAnsi="Arial" w:cs="Arial"/>
          <w:b w:val="0"/>
          <w:bCs w:val="0"/>
          <w:sz w:val="20"/>
          <w:szCs w:val="20"/>
        </w:rPr>
        <w:t>Understanding and connecting with the public helps environmental risk management.</w:t>
      </w:r>
      <w:r w:rsidR="00AF7B91" w:rsidRPr="004F5836">
        <w:rPr>
          <w:rStyle w:val="Strong"/>
          <w:rFonts w:ascii="Arial" w:hAnsi="Arial" w:cs="Arial"/>
          <w:b w:val="0"/>
          <w:bCs w:val="0"/>
          <w:sz w:val="20"/>
          <w:szCs w:val="20"/>
        </w:rPr>
        <w:t xml:space="preserve"> </w:t>
      </w:r>
      <w:r w:rsidR="00FC2307" w:rsidRPr="004F5836">
        <w:rPr>
          <w:rStyle w:val="Strong"/>
          <w:rFonts w:ascii="Arial" w:hAnsi="Arial" w:cs="Arial"/>
          <w:b w:val="0"/>
          <w:bCs w:val="0"/>
          <w:sz w:val="20"/>
          <w:szCs w:val="20"/>
        </w:rPr>
        <w:t>Laypeople have higher risk perceptions of radiation, nuclear power, and nuclear waste than professionals (Kajenthira et al., 2012).</w:t>
      </w:r>
      <w:r w:rsidR="00AF7B91" w:rsidRPr="004F5836">
        <w:rPr>
          <w:rStyle w:val="Strong"/>
          <w:rFonts w:ascii="Arial" w:hAnsi="Arial" w:cs="Arial"/>
          <w:b w:val="0"/>
          <w:bCs w:val="0"/>
          <w:sz w:val="20"/>
          <w:szCs w:val="20"/>
        </w:rPr>
        <w:t xml:space="preserve"> Employee risk perceptions of environmental risk elements in Nigerian oil and gas supply networks were examined. </w:t>
      </w:r>
      <w:r w:rsidR="00FC2307" w:rsidRPr="004F5836">
        <w:rPr>
          <w:rStyle w:val="Strong"/>
          <w:rFonts w:ascii="Arial" w:hAnsi="Arial" w:cs="Arial"/>
          <w:b w:val="0"/>
          <w:bCs w:val="0"/>
          <w:sz w:val="20"/>
          <w:szCs w:val="20"/>
        </w:rPr>
        <w:t>Using stakeholder feedback, we examined how organisational safety culture affects environmental risk management.</w:t>
      </w:r>
    </w:p>
    <w:p w14:paraId="60614D65" w14:textId="77777777" w:rsidR="00AF7B91" w:rsidRPr="004F5836" w:rsidRDefault="00AF7B91" w:rsidP="00AF7B91">
      <w:pPr>
        <w:spacing w:after="0" w:line="360" w:lineRule="auto"/>
        <w:jc w:val="both"/>
        <w:rPr>
          <w:rStyle w:val="Strong"/>
          <w:rFonts w:ascii="Arial" w:hAnsi="Arial" w:cs="Arial"/>
          <w:b w:val="0"/>
          <w:bCs w:val="0"/>
          <w:sz w:val="20"/>
          <w:szCs w:val="20"/>
        </w:rPr>
      </w:pPr>
    </w:p>
    <w:p w14:paraId="73ACEC56" w14:textId="704366E7" w:rsidR="00971EE0" w:rsidRPr="004F5836" w:rsidRDefault="00FC2307" w:rsidP="00AF7B91">
      <w:pPr>
        <w:spacing w:after="0" w:line="360" w:lineRule="auto"/>
        <w:jc w:val="both"/>
        <w:rPr>
          <w:rStyle w:val="Strong"/>
          <w:rFonts w:ascii="Arial" w:hAnsi="Arial" w:cs="Arial"/>
          <w:b w:val="0"/>
          <w:bCs w:val="0"/>
          <w:sz w:val="20"/>
          <w:szCs w:val="20"/>
        </w:rPr>
      </w:pPr>
      <w:r w:rsidRPr="004F5836">
        <w:rPr>
          <w:rStyle w:val="Strong"/>
          <w:rFonts w:ascii="Arial" w:hAnsi="Arial" w:cs="Arial"/>
          <w:b w:val="0"/>
          <w:bCs w:val="0"/>
          <w:sz w:val="20"/>
          <w:szCs w:val="20"/>
        </w:rPr>
        <w:t>Oil and gas supply chain disruptions can be addressed by understanding how decision-making stakeholders perceive organisational safety, cultural risk, and environmental risk management.</w:t>
      </w:r>
      <w:r w:rsidR="00AF7B91" w:rsidRPr="004F5836">
        <w:rPr>
          <w:rStyle w:val="Strong"/>
          <w:rFonts w:ascii="Arial" w:hAnsi="Arial" w:cs="Arial"/>
          <w:b w:val="0"/>
          <w:bCs w:val="0"/>
          <w:sz w:val="20"/>
          <w:szCs w:val="20"/>
        </w:rPr>
        <w:t xml:space="preserve"> </w:t>
      </w:r>
      <w:r w:rsidRPr="004F5836">
        <w:rPr>
          <w:rStyle w:val="Strong"/>
          <w:rFonts w:ascii="Arial" w:hAnsi="Arial" w:cs="Arial"/>
          <w:b w:val="0"/>
          <w:bCs w:val="0"/>
          <w:sz w:val="20"/>
          <w:szCs w:val="20"/>
        </w:rPr>
        <w:t>Decision-making is driven by stakeholder risk perceptions (Al Nahyan et al., 2021; Fleming, 1998; Jia, 2020; Karimi, 2021).</w:t>
      </w:r>
      <w:r w:rsidR="00AF7B91" w:rsidRPr="004F5836">
        <w:rPr>
          <w:rStyle w:val="Strong"/>
          <w:rFonts w:ascii="Arial" w:hAnsi="Arial" w:cs="Arial"/>
          <w:b w:val="0"/>
          <w:bCs w:val="0"/>
          <w:sz w:val="20"/>
          <w:szCs w:val="20"/>
        </w:rPr>
        <w:t xml:space="preserve"> </w:t>
      </w:r>
      <w:r w:rsidRPr="004F5836">
        <w:rPr>
          <w:rStyle w:val="Strong"/>
          <w:rFonts w:ascii="Arial" w:hAnsi="Arial" w:cs="Arial"/>
          <w:b w:val="0"/>
          <w:bCs w:val="0"/>
          <w:sz w:val="20"/>
          <w:szCs w:val="20"/>
        </w:rPr>
        <w:t>In a supply chain, stakeholders can cooperate or clash (Hörisch, 2014; Hofmann et al., 2014).</w:t>
      </w:r>
      <w:r w:rsidR="00AF7B91" w:rsidRPr="004F5836">
        <w:rPr>
          <w:rStyle w:val="Strong"/>
          <w:rFonts w:ascii="Arial" w:hAnsi="Arial" w:cs="Arial"/>
          <w:b w:val="0"/>
          <w:bCs w:val="0"/>
          <w:sz w:val="20"/>
          <w:szCs w:val="20"/>
        </w:rPr>
        <w:t xml:space="preserve"> Top management commitment (Dubey et al., 2018; Wijethilake &amp; Lama, 2019) and organisational safety culture (Agwu et al., 2019; Ambituuni et al., 2014; Biggs et al., 2013) significantly impact environmental risk management in the oil and gas industry. </w:t>
      </w:r>
      <w:r w:rsidRPr="004F5836">
        <w:rPr>
          <w:rStyle w:val="Strong"/>
          <w:rFonts w:ascii="Arial" w:hAnsi="Arial" w:cs="Arial"/>
          <w:b w:val="0"/>
          <w:bCs w:val="0"/>
          <w:sz w:val="20"/>
          <w:szCs w:val="20"/>
        </w:rPr>
        <w:t>This study showed these relationships individually.</w:t>
      </w:r>
      <w:r w:rsidR="00AF7B91" w:rsidRPr="004F5836">
        <w:rPr>
          <w:rStyle w:val="Strong"/>
          <w:rFonts w:ascii="Arial" w:hAnsi="Arial" w:cs="Arial"/>
          <w:b w:val="0"/>
          <w:bCs w:val="0"/>
          <w:sz w:val="20"/>
          <w:szCs w:val="20"/>
        </w:rPr>
        <w:t xml:space="preserve"> </w:t>
      </w:r>
      <w:r w:rsidR="00354455" w:rsidRPr="004F5836">
        <w:rPr>
          <w:rStyle w:val="Strong"/>
          <w:rFonts w:ascii="Arial" w:hAnsi="Arial" w:cs="Arial"/>
          <w:b w:val="0"/>
          <w:bCs w:val="0"/>
          <w:sz w:val="20"/>
          <w:szCs w:val="20"/>
        </w:rPr>
        <w:t>Because of this contradiction, few studies have examined oil and gas supply chains (Ahmad et al., 2017; Ahmad &amp; Rezaei, 2015; Florescu, 2019; Gardas, 2019).</w:t>
      </w:r>
      <w:r w:rsidR="00AF7B91" w:rsidRPr="004F5836">
        <w:rPr>
          <w:rStyle w:val="Strong"/>
          <w:rFonts w:ascii="Arial" w:hAnsi="Arial" w:cs="Arial"/>
          <w:b w:val="0"/>
          <w:bCs w:val="0"/>
          <w:sz w:val="20"/>
          <w:szCs w:val="20"/>
        </w:rPr>
        <w:t xml:space="preserve"> More research is needed on environmental risk management due to stakeholder disagreements, especially in the Global South, where oil and gas dependence is predicted to expand beyond Sustainable Development Goal 2030.This study investigates why some organisational safety and risk management methods succeed while others fail. </w:t>
      </w:r>
      <w:r w:rsidRPr="004F5836">
        <w:rPr>
          <w:rStyle w:val="Strong"/>
          <w:rFonts w:ascii="Arial" w:hAnsi="Arial" w:cs="Arial"/>
          <w:b w:val="0"/>
          <w:bCs w:val="0"/>
          <w:sz w:val="20"/>
          <w:szCs w:val="20"/>
        </w:rPr>
        <w:t>Effective organisational support, identification and management of ignored economic and organisational elements, and safety and risk management programs help explain this phenomenon (Sadeh, 2022).</w:t>
      </w:r>
      <w:r w:rsidR="00AF7B91" w:rsidRPr="004F5836">
        <w:rPr>
          <w:rStyle w:val="Strong"/>
          <w:rFonts w:ascii="Arial" w:hAnsi="Arial" w:cs="Arial"/>
          <w:b w:val="0"/>
          <w:bCs w:val="0"/>
          <w:sz w:val="20"/>
          <w:szCs w:val="20"/>
        </w:rPr>
        <w:t xml:space="preserve"> Assessing oil and gas staff safety culture practices affects environmental risk management severity, frequency, ease of discovery, and risk-mitigation measures.</w:t>
      </w:r>
    </w:p>
    <w:p w14:paraId="4BF394E1" w14:textId="77777777" w:rsidR="00971EE0" w:rsidRPr="004F5836" w:rsidRDefault="00971EE0" w:rsidP="00426029">
      <w:pPr>
        <w:spacing w:after="0" w:line="360" w:lineRule="auto"/>
        <w:jc w:val="both"/>
        <w:rPr>
          <w:rStyle w:val="Strong"/>
          <w:rFonts w:ascii="Arial" w:hAnsi="Arial" w:cs="Arial"/>
          <w:b w:val="0"/>
          <w:bCs w:val="0"/>
          <w:sz w:val="20"/>
          <w:szCs w:val="20"/>
        </w:rPr>
      </w:pPr>
    </w:p>
    <w:p w14:paraId="5AA35C78" w14:textId="77777777" w:rsidR="00971EE0" w:rsidRPr="004F5836" w:rsidRDefault="00971EE0" w:rsidP="00426029">
      <w:pPr>
        <w:spacing w:after="0" w:line="360" w:lineRule="auto"/>
        <w:jc w:val="both"/>
        <w:rPr>
          <w:rStyle w:val="Strong"/>
          <w:rFonts w:ascii="Arial" w:hAnsi="Arial" w:cs="Arial"/>
          <w:b w:val="0"/>
          <w:bCs w:val="0"/>
          <w:sz w:val="20"/>
          <w:szCs w:val="20"/>
        </w:rPr>
      </w:pPr>
    </w:p>
    <w:p w14:paraId="481F548A" w14:textId="57A787FF" w:rsidR="00971EE0" w:rsidRPr="004F5836" w:rsidRDefault="00971EE0" w:rsidP="00426029">
      <w:pPr>
        <w:pStyle w:val="Heading2"/>
        <w:spacing w:line="360" w:lineRule="auto"/>
        <w:jc w:val="both"/>
        <w:rPr>
          <w:rStyle w:val="Strong"/>
          <w:rFonts w:ascii="Arial" w:hAnsi="Arial" w:cs="Arial"/>
          <w:color w:val="auto"/>
          <w:sz w:val="20"/>
          <w:szCs w:val="20"/>
        </w:rPr>
      </w:pPr>
      <w:r w:rsidRPr="004F5836">
        <w:rPr>
          <w:rStyle w:val="Strong"/>
          <w:rFonts w:ascii="Arial" w:hAnsi="Arial" w:cs="Arial"/>
          <w:color w:val="auto"/>
          <w:sz w:val="20"/>
          <w:szCs w:val="20"/>
        </w:rPr>
        <w:t>2.</w:t>
      </w:r>
      <w:r w:rsidR="004F5836" w:rsidRPr="004F5836">
        <w:rPr>
          <w:rStyle w:val="Strong"/>
          <w:rFonts w:ascii="Arial" w:hAnsi="Arial" w:cs="Arial"/>
          <w:color w:val="auto"/>
          <w:sz w:val="20"/>
          <w:szCs w:val="20"/>
        </w:rPr>
        <w:t xml:space="preserve">0 </w:t>
      </w:r>
      <w:r w:rsidRPr="004F5836">
        <w:rPr>
          <w:rStyle w:val="Strong"/>
          <w:rFonts w:ascii="Arial" w:hAnsi="Arial" w:cs="Arial"/>
          <w:color w:val="auto"/>
          <w:sz w:val="20"/>
          <w:szCs w:val="20"/>
        </w:rPr>
        <w:t xml:space="preserve">Theoretical </w:t>
      </w:r>
      <w:r w:rsidR="004F5836" w:rsidRPr="004F5836">
        <w:rPr>
          <w:rStyle w:val="Strong"/>
          <w:rFonts w:ascii="Arial" w:hAnsi="Arial" w:cs="Arial"/>
          <w:color w:val="auto"/>
          <w:sz w:val="20"/>
          <w:szCs w:val="20"/>
        </w:rPr>
        <w:t>Background</w:t>
      </w:r>
    </w:p>
    <w:p w14:paraId="74FB1004" w14:textId="59ED5DCF" w:rsidR="00971EE0" w:rsidRPr="004F5836" w:rsidRDefault="00971EE0" w:rsidP="00426029">
      <w:pPr>
        <w:pStyle w:val="Heading3"/>
        <w:spacing w:line="360" w:lineRule="auto"/>
        <w:jc w:val="both"/>
        <w:rPr>
          <w:rStyle w:val="Strong"/>
          <w:rFonts w:ascii="Arial" w:hAnsi="Arial" w:cs="Arial"/>
          <w:color w:val="auto"/>
          <w:sz w:val="20"/>
          <w:szCs w:val="20"/>
        </w:rPr>
      </w:pPr>
      <w:r w:rsidRPr="004F5836">
        <w:rPr>
          <w:rStyle w:val="Strong"/>
          <w:rFonts w:ascii="Arial" w:hAnsi="Arial" w:cs="Arial"/>
          <w:color w:val="auto"/>
          <w:sz w:val="20"/>
          <w:szCs w:val="20"/>
        </w:rPr>
        <w:t xml:space="preserve">2.1 High </w:t>
      </w:r>
      <w:r w:rsidR="004F5836" w:rsidRPr="004F5836">
        <w:rPr>
          <w:rStyle w:val="Strong"/>
          <w:rFonts w:ascii="Arial" w:hAnsi="Arial" w:cs="Arial"/>
          <w:color w:val="auto"/>
          <w:sz w:val="20"/>
          <w:szCs w:val="20"/>
        </w:rPr>
        <w:t>Reliability Theory</w:t>
      </w:r>
    </w:p>
    <w:p w14:paraId="378AC497" w14:textId="7A4B1C6C" w:rsidR="00C87B0F" w:rsidRDefault="00FC2307" w:rsidP="00085C60">
      <w:pPr>
        <w:spacing w:after="0" w:line="360" w:lineRule="auto"/>
        <w:jc w:val="both"/>
        <w:rPr>
          <w:rFonts w:ascii="Arial" w:hAnsi="Arial" w:cs="Arial"/>
          <w:sz w:val="20"/>
          <w:szCs w:val="20"/>
        </w:rPr>
      </w:pPr>
      <w:r w:rsidRPr="004F5836">
        <w:rPr>
          <w:rFonts w:ascii="Arial" w:hAnsi="Arial" w:cs="Arial"/>
          <w:sz w:val="20"/>
          <w:szCs w:val="20"/>
        </w:rPr>
        <w:t>High-reliability theory (HRT) states that high-risk businesses can attain and maintain high safety and dependability through specific practices, cultures, and leadership behaviours (Lekka &amp; Sugden, 2011).</w:t>
      </w:r>
      <w:r w:rsidR="00C87B0F" w:rsidRPr="004F5836">
        <w:rPr>
          <w:rFonts w:ascii="Arial" w:hAnsi="Arial" w:cs="Arial"/>
          <w:sz w:val="20"/>
          <w:szCs w:val="20"/>
        </w:rPr>
        <w:t xml:space="preserve"> </w:t>
      </w:r>
      <w:r w:rsidRPr="004F5836">
        <w:rPr>
          <w:rFonts w:ascii="Arial" w:hAnsi="Arial" w:cs="Arial"/>
          <w:sz w:val="20"/>
          <w:szCs w:val="20"/>
        </w:rPr>
        <w:t>The idea of organisational psychology has spread to healthcare, aviation, and nuclear power (Weick &amp; Sctcliffe, 2015).</w:t>
      </w:r>
      <w:r w:rsidR="00C87B0F" w:rsidRPr="004F5836">
        <w:rPr>
          <w:rFonts w:ascii="Arial" w:hAnsi="Arial" w:cs="Arial"/>
          <w:sz w:val="20"/>
          <w:szCs w:val="20"/>
        </w:rPr>
        <w:t xml:space="preserve"> Emergency rooms, aircraft carrier flight operations, and firefighting units are HRT benchmarks (Hartzel &amp; Spangler, 2021). HRT studies how companies might excel in operational safety </w:t>
      </w:r>
      <w:r w:rsidR="00C87B0F" w:rsidRPr="004F5836">
        <w:rPr>
          <w:rFonts w:ascii="Arial" w:hAnsi="Arial" w:cs="Arial"/>
          <w:sz w:val="20"/>
          <w:szCs w:val="20"/>
        </w:rPr>
        <w:lastRenderedPageBreak/>
        <w:t xml:space="preserve">and dependability in complex, high-risk situations (Biedermann, Papatheodorou, Prowle, &amp; Bulatovic, 2024). </w:t>
      </w:r>
      <w:r w:rsidRPr="004F5836">
        <w:rPr>
          <w:rFonts w:ascii="Arial" w:hAnsi="Arial" w:cs="Arial"/>
          <w:sz w:val="20"/>
          <w:szCs w:val="20"/>
        </w:rPr>
        <w:t>The theory emphasises five traits that high-reliability organisations (HROs) need to achieve ambitious, stable operational standards: preoccupation with failure, reluctance to simplify, sensitivity to operations, commitment to resilience, and deference to experts.</w:t>
      </w:r>
    </w:p>
    <w:p w14:paraId="2E8E6208" w14:textId="77777777" w:rsidR="004F5836" w:rsidRPr="004F5836" w:rsidRDefault="004F5836" w:rsidP="00085C60">
      <w:pPr>
        <w:spacing w:after="0" w:line="360" w:lineRule="auto"/>
        <w:jc w:val="both"/>
        <w:rPr>
          <w:rFonts w:ascii="Arial" w:hAnsi="Arial" w:cs="Arial"/>
          <w:sz w:val="20"/>
          <w:szCs w:val="20"/>
        </w:rPr>
      </w:pPr>
      <w:bookmarkStart w:id="0" w:name="_GoBack"/>
      <w:bookmarkEnd w:id="0"/>
    </w:p>
    <w:p w14:paraId="06AEEA41" w14:textId="311102DD" w:rsidR="00C87B0F" w:rsidRPr="004F5836" w:rsidRDefault="00FC2307" w:rsidP="00085C60">
      <w:pPr>
        <w:spacing w:after="0" w:line="360" w:lineRule="auto"/>
        <w:jc w:val="both"/>
        <w:rPr>
          <w:rFonts w:ascii="Arial" w:hAnsi="Arial" w:cs="Arial"/>
          <w:sz w:val="20"/>
          <w:szCs w:val="20"/>
        </w:rPr>
      </w:pPr>
      <w:r w:rsidRPr="004F5836">
        <w:rPr>
          <w:rFonts w:ascii="Arial" w:hAnsi="Arial" w:cs="Arial"/>
          <w:sz w:val="20"/>
          <w:szCs w:val="20"/>
        </w:rPr>
        <w:t>There is growing research on HRO's applicability of HRO in healthcare, aviation, and nuclear power (Enya et al., 2019; Hartzel &amp; Spangler, 2021; Howe et al., 2023; Pillay et al., 2020); however, few studies have examined its high reliability in oil and gas.</w:t>
      </w:r>
      <w:r w:rsidR="00C87B0F" w:rsidRPr="004F5836">
        <w:rPr>
          <w:rFonts w:ascii="Arial" w:hAnsi="Arial" w:cs="Arial"/>
          <w:sz w:val="20"/>
          <w:szCs w:val="20"/>
        </w:rPr>
        <w:t xml:space="preserve"> This gap shows the lack of a coherent theory for HRO process design and implementation recommendations. </w:t>
      </w:r>
      <w:r w:rsidRPr="004F5836">
        <w:rPr>
          <w:rFonts w:ascii="Arial" w:hAnsi="Arial" w:cs="Arial"/>
          <w:sz w:val="20"/>
          <w:szCs w:val="20"/>
        </w:rPr>
        <w:t>There has not been much research on using HRT as a unified approach, because it is difficult to develop techniques that can be used in any industry to evaluate HRO applications (Dwyer et al., 2023).</w:t>
      </w:r>
      <w:r w:rsidR="00C87B0F" w:rsidRPr="004F5836">
        <w:rPr>
          <w:rFonts w:ascii="Arial" w:hAnsi="Arial" w:cs="Arial"/>
          <w:sz w:val="20"/>
          <w:szCs w:val="20"/>
        </w:rPr>
        <w:t xml:space="preserve"> </w:t>
      </w:r>
      <w:r w:rsidRPr="004F5836">
        <w:rPr>
          <w:rFonts w:ascii="Arial" w:hAnsi="Arial" w:cs="Arial"/>
          <w:sz w:val="20"/>
          <w:szCs w:val="20"/>
        </w:rPr>
        <w:t>Natural disasters, political unrest, foreign conflicts, and other unanticipated crises have plagued institutions since civilisation began.</w:t>
      </w:r>
      <w:r w:rsidR="00C87B0F" w:rsidRPr="004F5836">
        <w:rPr>
          <w:rFonts w:ascii="Arial" w:hAnsi="Arial" w:cs="Arial"/>
          <w:sz w:val="20"/>
          <w:szCs w:val="20"/>
        </w:rPr>
        <w:t xml:space="preserve"> During catastrophic catastrophes, organisational resilience requires an understanding of how functionality is preserved. High-reliability organising (HRO) promises to eliminate bureaucracy and improve safety without compromising performance (Harvey et al., 2019).</w:t>
      </w:r>
    </w:p>
    <w:p w14:paraId="6EC08027" w14:textId="77777777" w:rsidR="00C87B0F" w:rsidRPr="004F5836" w:rsidRDefault="00C87B0F" w:rsidP="00085C60">
      <w:pPr>
        <w:spacing w:after="0" w:line="360" w:lineRule="auto"/>
        <w:jc w:val="both"/>
        <w:rPr>
          <w:rFonts w:ascii="Arial" w:hAnsi="Arial" w:cs="Arial"/>
          <w:sz w:val="20"/>
          <w:szCs w:val="20"/>
        </w:rPr>
      </w:pPr>
    </w:p>
    <w:p w14:paraId="3E3E5E91" w14:textId="7A03AE85" w:rsidR="000050C9" w:rsidRPr="004F5836" w:rsidRDefault="00FC2307" w:rsidP="004F5836">
      <w:pPr>
        <w:spacing w:line="360" w:lineRule="auto"/>
        <w:jc w:val="both"/>
        <w:rPr>
          <w:rFonts w:ascii="Arial" w:hAnsi="Arial" w:cs="Arial"/>
          <w:sz w:val="20"/>
          <w:szCs w:val="20"/>
        </w:rPr>
      </w:pPr>
      <w:r w:rsidRPr="004F5836">
        <w:rPr>
          <w:rFonts w:ascii="Arial" w:hAnsi="Arial" w:cs="Arial"/>
          <w:sz w:val="20"/>
          <w:szCs w:val="20"/>
        </w:rPr>
        <w:t>Few studies have explored high-reliability organisation theory in oil and gas (Lethcoe &amp; Nbelski, 2020).</w:t>
      </w:r>
      <w:r w:rsidR="000050C9" w:rsidRPr="004F5836">
        <w:rPr>
          <w:rFonts w:ascii="Arial" w:hAnsi="Arial" w:cs="Arial"/>
          <w:sz w:val="20"/>
          <w:szCs w:val="20"/>
        </w:rPr>
        <w:t xml:space="preserve"> Previous research has suggested that organisations are unreliable but may be transitioning to HROs (Glasmeier &amp; William, 2022). Others say that the lack of a unified body of theory with clear instructions on how to design and implement HRO processes, along with the fact that it's hard to come up with methods that can be used across industries, might stop more research from being done on putting HRO theory into practise as a unified approach, leading to a lack of empirical </w:t>
      </w:r>
      <w:r w:rsidR="004F5836" w:rsidRPr="004F5836">
        <w:rPr>
          <w:rFonts w:ascii="Arial" w:hAnsi="Arial" w:cs="Arial"/>
          <w:sz w:val="20"/>
          <w:szCs w:val="20"/>
        </w:rPr>
        <w:t>studies. A</w:t>
      </w:r>
      <w:r w:rsidR="000050C9" w:rsidRPr="004F5836">
        <w:rPr>
          <w:rFonts w:ascii="Arial" w:hAnsi="Arial" w:cs="Arial"/>
          <w:sz w:val="20"/>
          <w:szCs w:val="20"/>
        </w:rPr>
        <w:t xml:space="preserve"> lot of scientific and business papers have been influenced by HRO theory, but they use a subset of or change some of its elements and principles to fit different situations (Dwyer et al., 2023) It has been used to look at all the ways that the role affects the performance and longevity of an organization.HRO principles such as high tempo, operational decision-making, clear and repeated communication, an open organisational culture, knowledge sharing, and trust have been used to reduce risk and improve safety (Grabowski et al., 2023). </w:t>
      </w:r>
      <w:r w:rsidRPr="004F5836">
        <w:rPr>
          <w:rFonts w:ascii="Arial" w:hAnsi="Arial" w:cs="Arial"/>
          <w:sz w:val="20"/>
          <w:szCs w:val="20"/>
        </w:rPr>
        <w:t>Previous research has used it to diagnose organisational reliability states and improvement opportunities in the complex, high-risk, error-prone upstream sector of the offshore oil and gas industry (Alothman 2016).</w:t>
      </w:r>
    </w:p>
    <w:p w14:paraId="2359DEE6" w14:textId="77777777" w:rsidR="000050C9" w:rsidRPr="004F5836" w:rsidRDefault="000050C9" w:rsidP="000050C9"/>
    <w:p w14:paraId="2861038C" w14:textId="64E4F2AA" w:rsidR="00971EE0" w:rsidRPr="004F5836" w:rsidRDefault="00971EE0" w:rsidP="00426029">
      <w:pPr>
        <w:pStyle w:val="Heading3"/>
        <w:spacing w:line="360" w:lineRule="auto"/>
        <w:jc w:val="both"/>
        <w:rPr>
          <w:rStyle w:val="Strong"/>
          <w:rFonts w:ascii="Arial" w:hAnsi="Arial" w:cs="Arial"/>
          <w:color w:val="auto"/>
          <w:sz w:val="20"/>
          <w:szCs w:val="20"/>
        </w:rPr>
      </w:pPr>
      <w:r w:rsidRPr="004F5836">
        <w:rPr>
          <w:rStyle w:val="Strong"/>
          <w:rFonts w:ascii="Arial" w:hAnsi="Arial" w:cs="Arial"/>
          <w:color w:val="auto"/>
          <w:sz w:val="20"/>
          <w:szCs w:val="20"/>
        </w:rPr>
        <w:t xml:space="preserve">2.2 Organisation Safety Culture </w:t>
      </w:r>
    </w:p>
    <w:p w14:paraId="4B141097" w14:textId="484D04E2" w:rsidR="009D70DA" w:rsidRPr="004F5836" w:rsidRDefault="009D70DA" w:rsidP="009D70DA">
      <w:pPr>
        <w:spacing w:line="360" w:lineRule="auto"/>
        <w:jc w:val="both"/>
        <w:rPr>
          <w:rFonts w:ascii="Arial" w:hAnsi="Arial" w:cs="Arial"/>
          <w:sz w:val="20"/>
          <w:szCs w:val="20"/>
        </w:rPr>
      </w:pPr>
      <w:r w:rsidRPr="004F5836">
        <w:rPr>
          <w:rFonts w:ascii="Arial" w:hAnsi="Arial" w:cs="Arial"/>
          <w:sz w:val="20"/>
          <w:szCs w:val="20"/>
        </w:rPr>
        <w:t xml:space="preserve">Organisational safety culture includes safety principles, beliefs, attitudes, and practices. </w:t>
      </w:r>
      <w:r w:rsidR="00654F2F" w:rsidRPr="004F5836">
        <w:rPr>
          <w:rFonts w:ascii="Arial" w:hAnsi="Arial" w:cs="Arial"/>
          <w:sz w:val="20"/>
          <w:szCs w:val="20"/>
        </w:rPr>
        <w:t>It shows how much an organisation values safety and integrates it into its operations, practices, and decision-making (Biggs et al., 2013; Clarke, 1998).</w:t>
      </w:r>
      <w:r w:rsidRPr="004F5836">
        <w:rPr>
          <w:rFonts w:ascii="Arial" w:hAnsi="Arial" w:cs="Arial"/>
          <w:sz w:val="20"/>
          <w:szCs w:val="20"/>
        </w:rPr>
        <w:t xml:space="preserve"> Organisational safety culture is heavily influenced by national safety culture (Migueles &amp; Zanini, 2024). Hofstede's six dimensions of national culture affect all organisational activities (Boscari, Bortolotti, &amp; Netland, 2018), and research has shown that cultural dimensions affect organisational safety culture (Purang et al., 2018). </w:t>
      </w:r>
      <w:r w:rsidR="00FC2307" w:rsidRPr="004F5836">
        <w:rPr>
          <w:rFonts w:ascii="Arial" w:hAnsi="Arial" w:cs="Arial"/>
          <w:sz w:val="20"/>
          <w:szCs w:val="20"/>
        </w:rPr>
        <w:t xml:space="preserve">Fostering a safety culture, in which everyone takes </w:t>
      </w:r>
      <w:r w:rsidR="00FC2307" w:rsidRPr="004F5836">
        <w:rPr>
          <w:rFonts w:ascii="Arial" w:hAnsi="Arial" w:cs="Arial"/>
          <w:sz w:val="20"/>
          <w:szCs w:val="20"/>
        </w:rPr>
        <w:lastRenderedPageBreak/>
        <w:t>responsibility for working safely, requires an understanding of safety views and attitudes.</w:t>
      </w:r>
      <w:r w:rsidRPr="004F5836">
        <w:rPr>
          <w:rFonts w:ascii="Arial" w:hAnsi="Arial" w:cs="Arial"/>
          <w:sz w:val="20"/>
          <w:szCs w:val="20"/>
        </w:rPr>
        <w:t xml:space="preserve"> </w:t>
      </w:r>
      <w:r w:rsidR="00FC2307" w:rsidRPr="004F5836">
        <w:rPr>
          <w:rFonts w:ascii="Arial" w:hAnsi="Arial" w:cs="Arial"/>
          <w:sz w:val="20"/>
          <w:szCs w:val="20"/>
        </w:rPr>
        <w:t>Risk perception is crucial in a strong safety culture (Fleming et al.</w:t>
      </w:r>
      <w:r w:rsidRPr="004F5836">
        <w:rPr>
          <w:rFonts w:ascii="Arial" w:hAnsi="Arial" w:cs="Arial"/>
          <w:sz w:val="20"/>
          <w:szCs w:val="20"/>
        </w:rPr>
        <w:t xml:space="preserve"> 1998).</w:t>
      </w:r>
    </w:p>
    <w:p w14:paraId="5BCD46A6" w14:textId="5D72571F" w:rsidR="009D70DA" w:rsidRPr="004F5836" w:rsidRDefault="00FC2307" w:rsidP="009D70DA">
      <w:pPr>
        <w:spacing w:line="360" w:lineRule="auto"/>
        <w:jc w:val="both"/>
        <w:rPr>
          <w:rFonts w:ascii="Arial" w:hAnsi="Arial" w:cs="Arial"/>
          <w:sz w:val="20"/>
          <w:szCs w:val="20"/>
        </w:rPr>
      </w:pPr>
      <w:r w:rsidRPr="004F5836">
        <w:rPr>
          <w:rFonts w:ascii="Arial" w:hAnsi="Arial" w:cs="Arial"/>
          <w:sz w:val="20"/>
          <w:szCs w:val="20"/>
        </w:rPr>
        <w:t>To improve construction safety, researchers have recommended improving safety training, procedures, and monitoring (Waqar et al., 2020).</w:t>
      </w:r>
      <w:r w:rsidR="009D70DA" w:rsidRPr="004F5836">
        <w:rPr>
          <w:rFonts w:ascii="Arial" w:hAnsi="Arial" w:cs="Arial"/>
          <w:sz w:val="20"/>
          <w:szCs w:val="20"/>
        </w:rPr>
        <w:t xml:space="preserve"> </w:t>
      </w:r>
      <w:r w:rsidRPr="004F5836">
        <w:rPr>
          <w:rFonts w:ascii="Arial" w:hAnsi="Arial" w:cs="Arial"/>
          <w:sz w:val="20"/>
          <w:szCs w:val="20"/>
        </w:rPr>
        <w:t>Implementing a safety culture in the oil and gas supply chain requires a bottom-up approach that focuses on attitudes, beliefs, and controls, while allowing for local variance (Hudson, 2007).</w:t>
      </w:r>
    </w:p>
    <w:p w14:paraId="6C1D4689" w14:textId="58AD89F9" w:rsidR="009D70DA" w:rsidRPr="004F5836" w:rsidRDefault="000518C1" w:rsidP="009D70DA">
      <w:pPr>
        <w:spacing w:line="360" w:lineRule="auto"/>
        <w:jc w:val="both"/>
        <w:rPr>
          <w:rFonts w:ascii="Arial" w:hAnsi="Arial" w:cs="Arial"/>
          <w:sz w:val="20"/>
          <w:szCs w:val="20"/>
        </w:rPr>
      </w:pPr>
      <w:r w:rsidRPr="004F5836">
        <w:rPr>
          <w:rFonts w:ascii="Arial" w:hAnsi="Arial" w:cs="Arial"/>
          <w:sz w:val="20"/>
          <w:szCs w:val="20"/>
        </w:rPr>
        <w:t>Process safety management systems are inconsistent and inefficient, causing sustainability issues in oil and gas industries (Silvestre et al., 2017).</w:t>
      </w:r>
      <w:r w:rsidR="009D70DA" w:rsidRPr="004F5836">
        <w:rPr>
          <w:rFonts w:ascii="Arial" w:hAnsi="Arial" w:cs="Arial"/>
          <w:sz w:val="20"/>
          <w:szCs w:val="20"/>
        </w:rPr>
        <w:t xml:space="preserve"> The Nigerian oil and gas industry's safety culture might improve worker safety, as 54% of participants lack motivation and 55% prioritise task delivery over safety (Ehiaguina &amp; Moda, 2020). Thus, an effective safety culture improves organisational safety (Alkhaledi et al., 2023).Due to its complexity, organisational safety culture is underdeveloped and confusing. </w:t>
      </w:r>
      <w:r w:rsidR="00FC2307" w:rsidRPr="004F5836">
        <w:rPr>
          <w:rFonts w:ascii="Arial" w:hAnsi="Arial" w:cs="Arial"/>
          <w:sz w:val="20"/>
          <w:szCs w:val="20"/>
        </w:rPr>
        <w:t>For the cultural norms of acceptance of work, roles and rules, functional lines and limits of authority, accountability, and communication require tight support (Schulman, 2020).</w:t>
      </w:r>
    </w:p>
    <w:p w14:paraId="73DAE0A0" w14:textId="62C5F439" w:rsidR="00971EE0" w:rsidRPr="004F5836" w:rsidRDefault="009D70DA" w:rsidP="009D70DA">
      <w:pPr>
        <w:spacing w:line="360" w:lineRule="auto"/>
        <w:jc w:val="both"/>
        <w:rPr>
          <w:rFonts w:ascii="Arial" w:hAnsi="Arial" w:cs="Arial"/>
          <w:sz w:val="20"/>
          <w:szCs w:val="20"/>
        </w:rPr>
      </w:pPr>
      <w:r w:rsidRPr="004F5836">
        <w:rPr>
          <w:rFonts w:ascii="Arial" w:hAnsi="Arial" w:cs="Arial"/>
          <w:sz w:val="20"/>
          <w:szCs w:val="20"/>
        </w:rPr>
        <w:t xml:space="preserve">Organisational safety culture improves safety performance, with a strong safety management system as a mediating factor (Otitolaiye et al., 2021). </w:t>
      </w:r>
      <w:r w:rsidR="00FC2307" w:rsidRPr="004F5836">
        <w:rPr>
          <w:rFonts w:ascii="Arial" w:hAnsi="Arial" w:cs="Arial"/>
          <w:sz w:val="20"/>
          <w:szCs w:val="20"/>
        </w:rPr>
        <w:t>This culture is fair, accountable, transparent, and honest in reporting and learning, integrated into hazard awareness and risk management, and is informed and flexible (Sellers, 2011).</w:t>
      </w:r>
      <w:r w:rsidRPr="004F5836">
        <w:rPr>
          <w:rFonts w:ascii="Arial" w:hAnsi="Arial" w:cs="Arial"/>
          <w:sz w:val="20"/>
          <w:szCs w:val="20"/>
        </w:rPr>
        <w:t xml:space="preserve"> </w:t>
      </w:r>
      <w:r w:rsidR="00C94A18" w:rsidRPr="004F5836">
        <w:rPr>
          <w:rFonts w:ascii="Arial" w:hAnsi="Arial" w:cs="Arial"/>
          <w:sz w:val="20"/>
          <w:szCs w:val="20"/>
        </w:rPr>
        <w:t>Managers’ and employees' safety attitudes, knowledge management, and 'community of practice also influence it (Jarvis, Virovere, &amp; Tint, 2014).</w:t>
      </w:r>
      <w:r w:rsidRPr="004F5836">
        <w:rPr>
          <w:rFonts w:ascii="Arial" w:hAnsi="Arial" w:cs="Arial"/>
          <w:sz w:val="20"/>
          <w:szCs w:val="20"/>
        </w:rPr>
        <w:t xml:space="preserve"> Superior hazard recognition and risk severity understanding require a mature and good organisational safety culture (Mohamed, 2005).</w:t>
      </w:r>
    </w:p>
    <w:p w14:paraId="2EE83CE2" w14:textId="77777777" w:rsidR="00971EE0" w:rsidRPr="004F5836" w:rsidRDefault="00971EE0" w:rsidP="00426029">
      <w:pPr>
        <w:spacing w:line="360" w:lineRule="auto"/>
        <w:jc w:val="both"/>
        <w:rPr>
          <w:rFonts w:ascii="Arial" w:hAnsi="Arial" w:cs="Arial"/>
          <w:sz w:val="20"/>
          <w:szCs w:val="20"/>
        </w:rPr>
      </w:pPr>
    </w:p>
    <w:p w14:paraId="1E746D2A" w14:textId="77777777" w:rsidR="00971EE0" w:rsidRPr="004F5836" w:rsidRDefault="00971EE0" w:rsidP="00426029">
      <w:pPr>
        <w:spacing w:line="360" w:lineRule="auto"/>
        <w:jc w:val="both"/>
      </w:pPr>
    </w:p>
    <w:p w14:paraId="738CAD89" w14:textId="77777777" w:rsidR="00971EE0" w:rsidRPr="004F5836" w:rsidRDefault="00971EE0" w:rsidP="00426029">
      <w:pPr>
        <w:pStyle w:val="Heading3"/>
        <w:spacing w:line="360" w:lineRule="auto"/>
        <w:jc w:val="both"/>
        <w:rPr>
          <w:rStyle w:val="Strong"/>
          <w:rFonts w:ascii="Arial" w:hAnsi="Arial" w:cs="Arial"/>
          <w:color w:val="auto"/>
          <w:sz w:val="20"/>
          <w:szCs w:val="20"/>
        </w:rPr>
      </w:pPr>
      <w:r w:rsidRPr="004F5836">
        <w:rPr>
          <w:rStyle w:val="Strong"/>
          <w:rFonts w:ascii="Arial" w:hAnsi="Arial" w:cs="Arial"/>
          <w:color w:val="auto"/>
          <w:sz w:val="20"/>
          <w:szCs w:val="20"/>
        </w:rPr>
        <w:t xml:space="preserve">2.3 Environmental Risk Management </w:t>
      </w:r>
    </w:p>
    <w:p w14:paraId="768E4D8D" w14:textId="228C0016" w:rsidR="00CC35F1" w:rsidRPr="004F5836" w:rsidRDefault="00FC2307" w:rsidP="00CC35F1">
      <w:pPr>
        <w:spacing w:after="0" w:line="360" w:lineRule="auto"/>
        <w:jc w:val="both"/>
        <w:rPr>
          <w:rFonts w:ascii="Arial" w:hAnsi="Arial" w:cs="Arial"/>
          <w:sz w:val="20"/>
          <w:szCs w:val="20"/>
        </w:rPr>
      </w:pPr>
      <w:r w:rsidRPr="004F5836">
        <w:rPr>
          <w:rFonts w:ascii="Arial" w:hAnsi="Arial" w:cs="Arial"/>
          <w:sz w:val="20"/>
          <w:szCs w:val="20"/>
        </w:rPr>
        <w:t>Environmental risk management involves the detection, assessment, and management of environment-related risks and uncertainties that can affect ecosystems, human health, and the environment.</w:t>
      </w:r>
      <w:r w:rsidR="000050C9" w:rsidRPr="004F5836">
        <w:rPr>
          <w:rFonts w:ascii="Arial" w:hAnsi="Arial" w:cs="Arial"/>
          <w:sz w:val="20"/>
          <w:szCs w:val="20"/>
        </w:rPr>
        <w:t xml:space="preserve"> </w:t>
      </w:r>
      <w:r w:rsidRPr="004F5836">
        <w:rPr>
          <w:rFonts w:ascii="Arial" w:hAnsi="Arial" w:cs="Arial"/>
          <w:sz w:val="20"/>
          <w:szCs w:val="20"/>
        </w:rPr>
        <w:t>Environmental risks, vulnerabilities, and repercussions have been systematically analysed (Freise &amp; Seuring, 2015).</w:t>
      </w:r>
      <w:r w:rsidR="000050C9" w:rsidRPr="004F5836">
        <w:rPr>
          <w:rFonts w:ascii="Arial" w:hAnsi="Arial" w:cs="Arial"/>
          <w:sz w:val="20"/>
          <w:szCs w:val="20"/>
        </w:rPr>
        <w:t xml:space="preserve"> </w:t>
      </w:r>
      <w:r w:rsidR="0041525C" w:rsidRPr="004F5836">
        <w:rPr>
          <w:rFonts w:ascii="Arial" w:hAnsi="Arial" w:cs="Arial"/>
          <w:sz w:val="20"/>
          <w:szCs w:val="20"/>
        </w:rPr>
        <w:t>Given the lack of comprehensive data and the aggregation of risks from multiple environmental impacts, environmental risk management in the oil and gas supply chain is essential for understanding and reducing industrial risks (Mehul et al., 2021).</w:t>
      </w:r>
      <w:r w:rsidR="000050C9" w:rsidRPr="004F5836">
        <w:rPr>
          <w:rFonts w:ascii="Arial" w:hAnsi="Arial" w:cs="Arial"/>
          <w:sz w:val="20"/>
          <w:szCs w:val="20"/>
        </w:rPr>
        <w:t xml:space="preserve"> </w:t>
      </w:r>
      <w:r w:rsidRPr="004F5836">
        <w:rPr>
          <w:rFonts w:ascii="Arial" w:hAnsi="Arial" w:cs="Arial"/>
          <w:sz w:val="20"/>
          <w:szCs w:val="20"/>
        </w:rPr>
        <w:t>Effective environmental risk management is becoming increasingly important because of the frequency of major environmental mishaps (Wang, Hu, &amp; Zhao, 2013).</w:t>
      </w:r>
      <w:r w:rsidR="000050C9" w:rsidRPr="004F5836">
        <w:rPr>
          <w:rFonts w:ascii="Arial" w:hAnsi="Arial" w:cs="Arial"/>
          <w:sz w:val="20"/>
          <w:szCs w:val="20"/>
        </w:rPr>
        <w:t xml:space="preserve"> </w:t>
      </w:r>
      <w:r w:rsidRPr="004F5836">
        <w:rPr>
          <w:rFonts w:ascii="Arial" w:hAnsi="Arial" w:cs="Arial"/>
          <w:sz w:val="20"/>
          <w:szCs w:val="20"/>
        </w:rPr>
        <w:t>To meet this need, our study uses failure mode effect analysis (FMEA) to find environmental risk sources in the oil and gas supply chain industry.</w:t>
      </w:r>
      <w:r w:rsidR="000050C9" w:rsidRPr="004F5836">
        <w:rPr>
          <w:rFonts w:ascii="Arial" w:hAnsi="Arial" w:cs="Arial"/>
          <w:sz w:val="20"/>
          <w:szCs w:val="20"/>
        </w:rPr>
        <w:t xml:space="preserve"> It also includes a general risk response based on environmental risk </w:t>
      </w:r>
      <w:r w:rsidR="004F5836" w:rsidRPr="004F5836">
        <w:rPr>
          <w:rFonts w:ascii="Arial" w:hAnsi="Arial" w:cs="Arial"/>
          <w:sz w:val="20"/>
          <w:szCs w:val="20"/>
        </w:rPr>
        <w:t>assessment. Accident</w:t>
      </w:r>
      <w:r w:rsidR="000050C9" w:rsidRPr="004F5836">
        <w:rPr>
          <w:rFonts w:ascii="Arial" w:hAnsi="Arial" w:cs="Arial"/>
          <w:sz w:val="20"/>
          <w:szCs w:val="20"/>
        </w:rPr>
        <w:t xml:space="preserve"> prevention and risk control require a strong environmental risk management system, especially with the increased emphasis on environmentally responsible supply chain management (Jaisree &amp; Palani, 2024).</w:t>
      </w:r>
    </w:p>
    <w:p w14:paraId="0D4471B9" w14:textId="77777777" w:rsidR="000050C9" w:rsidRPr="004F5836" w:rsidRDefault="000050C9" w:rsidP="00CC35F1">
      <w:pPr>
        <w:spacing w:after="0" w:line="360" w:lineRule="auto"/>
        <w:jc w:val="both"/>
        <w:rPr>
          <w:rFonts w:ascii="Arial" w:hAnsi="Arial" w:cs="Arial"/>
          <w:sz w:val="20"/>
          <w:szCs w:val="20"/>
        </w:rPr>
      </w:pPr>
    </w:p>
    <w:p w14:paraId="56A85893" w14:textId="6577E77F" w:rsidR="00FD2E97" w:rsidRPr="004F5836" w:rsidRDefault="00FC2307" w:rsidP="00CC35F1">
      <w:pPr>
        <w:spacing w:after="0" w:line="360" w:lineRule="auto"/>
        <w:jc w:val="both"/>
        <w:rPr>
          <w:rFonts w:ascii="Arial" w:hAnsi="Arial" w:cs="Arial"/>
          <w:sz w:val="20"/>
          <w:szCs w:val="20"/>
        </w:rPr>
      </w:pPr>
      <w:r w:rsidRPr="004F5836">
        <w:rPr>
          <w:rFonts w:ascii="Arial" w:hAnsi="Arial" w:cs="Arial"/>
          <w:sz w:val="20"/>
          <w:szCs w:val="20"/>
        </w:rPr>
        <w:t>Unmanaged environmental concerns in the oil and gas industries can cause tragedies.</w:t>
      </w:r>
      <w:r w:rsidR="000050C9" w:rsidRPr="004F5836">
        <w:rPr>
          <w:rFonts w:ascii="Arial" w:hAnsi="Arial" w:cs="Arial"/>
          <w:sz w:val="20"/>
          <w:szCs w:val="20"/>
        </w:rPr>
        <w:t xml:space="preserve"> </w:t>
      </w:r>
      <w:r w:rsidRPr="004F5836">
        <w:rPr>
          <w:rFonts w:ascii="Arial" w:hAnsi="Arial" w:cs="Arial"/>
          <w:sz w:val="20"/>
          <w:szCs w:val="20"/>
        </w:rPr>
        <w:t xml:space="preserve">Risk management can anticipate these hazards; however, inefficient implementation may have negative </w:t>
      </w:r>
      <w:r w:rsidRPr="004F5836">
        <w:rPr>
          <w:rFonts w:ascii="Arial" w:hAnsi="Arial" w:cs="Arial"/>
          <w:sz w:val="20"/>
          <w:szCs w:val="20"/>
        </w:rPr>
        <w:lastRenderedPageBreak/>
        <w:t>effects (Rodhi et al., 2018).</w:t>
      </w:r>
      <w:r w:rsidR="000050C9" w:rsidRPr="004F5836">
        <w:rPr>
          <w:rFonts w:ascii="Arial" w:hAnsi="Arial" w:cs="Arial"/>
          <w:sz w:val="20"/>
          <w:szCs w:val="20"/>
        </w:rPr>
        <w:t xml:space="preserve"> Oil spills, pollution, habitat destruction, and greenhouse gas emissions threaten ecosystems and human health, and require strict regulations and proactive measures to mitigate their environmental impacts (Albu, 2018). </w:t>
      </w:r>
      <w:r w:rsidRPr="004F5836">
        <w:rPr>
          <w:rFonts w:ascii="Arial" w:hAnsi="Arial" w:cs="Arial"/>
          <w:sz w:val="20"/>
          <w:szCs w:val="20"/>
        </w:rPr>
        <w:t>The FMEA is a widely used reliability analysis technique; however, its conventional method has limitations that reduce its effectiveness (Liu et al., 2019).</w:t>
      </w:r>
      <w:r w:rsidR="000050C9" w:rsidRPr="004F5836">
        <w:rPr>
          <w:rFonts w:ascii="Arial" w:hAnsi="Arial" w:cs="Arial"/>
          <w:sz w:val="20"/>
          <w:szCs w:val="20"/>
        </w:rPr>
        <w:t xml:space="preserve"> Failure Mode and Effects Analysis is a systematic and proactive method used to identify and prioritise potential failure modes in a system, process, product, or service and assess their effects on performance, reliability, safety, and quality (Zhu et al., 2020). Fuzzy logic is used to assess component/item failure mode risks more effectively and flexibly (Testik &amp; Unlu, 2023). This methodology evaluates risk severity, frequency, and ease of detection, which are essential for supply chain risk management (Rajiv, Kumar, &amp; Pradeep, 2005). </w:t>
      </w:r>
      <w:r w:rsidRPr="004F5836">
        <w:rPr>
          <w:rFonts w:ascii="Arial" w:hAnsi="Arial" w:cs="Arial"/>
          <w:sz w:val="20"/>
          <w:szCs w:val="20"/>
        </w:rPr>
        <w:t>Quantitative and qualitative analyses were used to assess the likelihood and potential consequences of the identified risks.</w:t>
      </w:r>
      <w:r w:rsidR="000050C9" w:rsidRPr="004F5836">
        <w:rPr>
          <w:rFonts w:ascii="Arial" w:hAnsi="Arial" w:cs="Arial"/>
          <w:sz w:val="20"/>
          <w:szCs w:val="20"/>
        </w:rPr>
        <w:t xml:space="preserve"> Risk avoidance, transfer, reduction, and acceptance must be implemented to reduce supply chain impact (Nihlani, Byju, &amp; Kaur Chhabda, 2023).</w:t>
      </w:r>
    </w:p>
    <w:p w14:paraId="579F035A" w14:textId="77777777" w:rsidR="000050C9" w:rsidRPr="004F5836" w:rsidRDefault="000050C9" w:rsidP="00CC35F1">
      <w:pPr>
        <w:spacing w:after="0" w:line="360" w:lineRule="auto"/>
        <w:jc w:val="both"/>
        <w:rPr>
          <w:rStyle w:val="Strong"/>
          <w:rFonts w:ascii="Arial" w:hAnsi="Arial" w:cs="Arial"/>
          <w:b w:val="0"/>
          <w:bCs w:val="0"/>
          <w:sz w:val="20"/>
          <w:szCs w:val="20"/>
        </w:rPr>
      </w:pPr>
    </w:p>
    <w:p w14:paraId="0A5EE72E" w14:textId="3879D729" w:rsidR="00FD2E97" w:rsidRPr="004F5836" w:rsidRDefault="00FC2307" w:rsidP="00FD2E97">
      <w:pPr>
        <w:spacing w:after="0" w:line="360" w:lineRule="auto"/>
        <w:jc w:val="both"/>
        <w:rPr>
          <w:rFonts w:ascii="Arial" w:hAnsi="Arial" w:cs="Arial"/>
          <w:sz w:val="20"/>
          <w:szCs w:val="20"/>
        </w:rPr>
      </w:pPr>
      <w:r w:rsidRPr="004F5836">
        <w:rPr>
          <w:rFonts w:ascii="Arial" w:hAnsi="Arial" w:cs="Arial"/>
          <w:sz w:val="20"/>
          <w:szCs w:val="20"/>
        </w:rPr>
        <w:t>Failure Mode and Effects Analysis (FMEA) has been used with fuzzy topsis in the oil and gas industry (Kolios, Umofia, &amp; Shafiee, 2017), but this study uses PLS-SEM to better understand environmental risk management components.</w:t>
      </w:r>
      <w:r w:rsidR="00FD2E97" w:rsidRPr="004F5836">
        <w:rPr>
          <w:rFonts w:ascii="Arial" w:hAnsi="Arial" w:cs="Arial"/>
          <w:sz w:val="20"/>
          <w:szCs w:val="20"/>
        </w:rPr>
        <w:t xml:space="preserve"> High-reliability theory can examine how organisational safety culture affects employees' perceptions of environmental risk severity, frequency, and risk-mitigation measures. </w:t>
      </w:r>
      <w:r w:rsidRPr="004F5836">
        <w:rPr>
          <w:rFonts w:ascii="Arial" w:hAnsi="Arial" w:cs="Arial"/>
          <w:sz w:val="20"/>
          <w:szCs w:val="20"/>
        </w:rPr>
        <w:t>Researchers have stressed the relevance of safety culture in high-reliability organisations, particularly the influence of digital transformation (Jablonski &amp; Jablonski, 2021). stressed the importance of management and operational actions in safe operations (Dekker &amp; Wood, 2010) and the need to remove learning barriers in high-risk sociotechnical systems.</w:t>
      </w:r>
      <w:r w:rsidR="00FD2E97" w:rsidRPr="004F5836">
        <w:rPr>
          <w:rFonts w:ascii="Arial" w:hAnsi="Arial" w:cs="Arial"/>
          <w:sz w:val="20"/>
          <w:szCs w:val="20"/>
        </w:rPr>
        <w:t xml:space="preserve"> 2010 (Pidgeon). The organisational and safety culture of several big hazard organisations is being changed to make them more reliable and safe (Lekka &amp; Sugden, 2011). </w:t>
      </w:r>
      <w:r w:rsidRPr="004F5836">
        <w:rPr>
          <w:rFonts w:ascii="Arial" w:hAnsi="Arial" w:cs="Arial"/>
          <w:sz w:val="20"/>
          <w:szCs w:val="20"/>
        </w:rPr>
        <w:t>The traditional risk perspective probability supports the HRO theory despite alternatives (Khorsandi &amp; Aven, 2014).</w:t>
      </w:r>
      <w:r w:rsidR="00FD2E97" w:rsidRPr="004F5836">
        <w:rPr>
          <w:rFonts w:ascii="Arial" w:hAnsi="Arial" w:cs="Arial"/>
          <w:sz w:val="20"/>
          <w:szCs w:val="20"/>
        </w:rPr>
        <w:t xml:space="preserve"> Organisational safety culture is the consequence of employees' values, attitudes, and perceptions that prioritise safety over other aims (Badia, Navajas, &amp; Losilla, 2020). </w:t>
      </w:r>
      <w:r w:rsidR="00A70F20" w:rsidRPr="004F5836">
        <w:rPr>
          <w:rFonts w:ascii="Arial" w:hAnsi="Arial" w:cs="Arial"/>
          <w:sz w:val="20"/>
          <w:szCs w:val="20"/>
        </w:rPr>
        <w:t>Previous studies have revealed that organisational factors affect safety performance.</w:t>
      </w:r>
      <w:r w:rsidR="00FD2E97" w:rsidRPr="004F5836">
        <w:rPr>
          <w:rFonts w:ascii="Arial" w:hAnsi="Arial" w:cs="Arial"/>
          <w:sz w:val="20"/>
          <w:szCs w:val="20"/>
        </w:rPr>
        <w:t xml:space="preserve"> </w:t>
      </w:r>
      <w:r w:rsidR="00A70F20" w:rsidRPr="004F5836">
        <w:rPr>
          <w:rFonts w:ascii="Arial" w:hAnsi="Arial" w:cs="Arial"/>
          <w:sz w:val="20"/>
          <w:szCs w:val="20"/>
        </w:rPr>
        <w:t>This study used the high reliability organisations theory (HROT) to describe the Nigerian oil and gas supply chain safety culture (Lekka &amp; Sugden, 2011).</w:t>
      </w:r>
      <w:r w:rsidR="00FD2E97" w:rsidRPr="004F5836">
        <w:rPr>
          <w:rFonts w:ascii="Arial" w:hAnsi="Arial" w:cs="Arial"/>
          <w:sz w:val="20"/>
          <w:szCs w:val="20"/>
        </w:rPr>
        <w:t xml:space="preserve"> </w:t>
      </w:r>
      <w:r w:rsidR="00A70F20" w:rsidRPr="004F5836">
        <w:rPr>
          <w:rFonts w:ascii="Arial" w:hAnsi="Arial" w:cs="Arial"/>
          <w:sz w:val="20"/>
          <w:szCs w:val="20"/>
        </w:rPr>
        <w:t>Safety culture covers the values, procedures, and work practices that help organisations avoid mistakes and avert disasters (Alibage, Jetter, Aminpour, Grey, &amp; Scyphers, 2018).</w:t>
      </w:r>
      <w:r w:rsidRPr="004F5836">
        <w:rPr>
          <w:rFonts w:ascii="Arial" w:hAnsi="Arial" w:cs="Arial"/>
          <w:sz w:val="20"/>
          <w:szCs w:val="20"/>
        </w:rPr>
        <w:t>To access the organisation’s response, the FMEA and risk-mitigation strategies were determined.</w:t>
      </w:r>
      <w:r w:rsidR="00FD2E97" w:rsidRPr="004F5836">
        <w:rPr>
          <w:rFonts w:ascii="Arial" w:hAnsi="Arial" w:cs="Arial"/>
          <w:sz w:val="20"/>
          <w:szCs w:val="20"/>
        </w:rPr>
        <w:t xml:space="preserve"> </w:t>
      </w:r>
      <w:r w:rsidR="00CC7C19" w:rsidRPr="004F5836">
        <w:rPr>
          <w:rFonts w:ascii="Arial" w:hAnsi="Arial" w:cs="Arial"/>
          <w:sz w:val="20"/>
          <w:szCs w:val="20"/>
        </w:rPr>
        <w:t>In our study, employees provided expert opinions on severity, frequency, detection ease, and risk mitigation measures to operationalise environmental risk management.</w:t>
      </w:r>
      <w:r w:rsidR="00FD2E97" w:rsidRPr="004F5836">
        <w:rPr>
          <w:rFonts w:ascii="Arial" w:hAnsi="Arial" w:cs="Arial"/>
          <w:sz w:val="20"/>
          <w:szCs w:val="20"/>
        </w:rPr>
        <w:t xml:space="preserve"> </w:t>
      </w:r>
      <w:r w:rsidRPr="004F5836">
        <w:rPr>
          <w:rFonts w:ascii="Arial" w:hAnsi="Arial" w:cs="Arial"/>
          <w:sz w:val="20"/>
          <w:szCs w:val="20"/>
        </w:rPr>
        <w:t>These claims lead us to hypothesise the following.</w:t>
      </w:r>
      <w:r w:rsidR="00FD2E97" w:rsidRPr="004F5836">
        <w:rPr>
          <w:rFonts w:ascii="Arial" w:hAnsi="Arial" w:cs="Arial"/>
          <w:sz w:val="20"/>
          <w:szCs w:val="20"/>
        </w:rPr>
        <w:t xml:space="preserve"> </w:t>
      </w:r>
    </w:p>
    <w:p w14:paraId="47062E33" w14:textId="77777777" w:rsidR="00971EE0" w:rsidRPr="004F5836" w:rsidRDefault="00971EE0" w:rsidP="00293F2B">
      <w:pPr>
        <w:spacing w:after="0" w:line="360" w:lineRule="auto"/>
        <w:jc w:val="both"/>
        <w:rPr>
          <w:rStyle w:val="Strong"/>
          <w:rFonts w:ascii="Arial" w:hAnsi="Arial" w:cs="Arial"/>
          <w:b w:val="0"/>
          <w:bCs w:val="0"/>
          <w:sz w:val="20"/>
          <w:szCs w:val="20"/>
        </w:rPr>
      </w:pPr>
    </w:p>
    <w:p w14:paraId="53272E99" w14:textId="7B2629A1" w:rsidR="00971EE0" w:rsidRPr="004F5836" w:rsidRDefault="00971EE0" w:rsidP="004F5836">
      <w:pPr>
        <w:spacing w:after="0" w:line="360" w:lineRule="auto"/>
        <w:rPr>
          <w:rFonts w:ascii="Arial" w:hAnsi="Arial" w:cs="Arial"/>
          <w:i/>
          <w:iCs/>
          <w:sz w:val="20"/>
          <w:szCs w:val="20"/>
        </w:rPr>
      </w:pPr>
      <w:r w:rsidRPr="004F5836">
        <w:rPr>
          <w:rFonts w:ascii="Arial" w:hAnsi="Arial" w:cs="Arial"/>
          <w:i/>
          <w:sz w:val="20"/>
          <w:szCs w:val="20"/>
        </w:rPr>
        <w:t xml:space="preserve">H1: </w:t>
      </w:r>
      <w:bookmarkStart w:id="1" w:name="_Hlk160158882"/>
      <w:r w:rsidRPr="004F5836">
        <w:rPr>
          <w:rFonts w:ascii="Arial" w:hAnsi="Arial" w:cs="Arial"/>
          <w:i/>
          <w:iCs/>
          <w:sz w:val="20"/>
          <w:szCs w:val="20"/>
        </w:rPr>
        <w:t>Organizational safety culture has a significant</w:t>
      </w:r>
      <w:r w:rsidR="004F5836" w:rsidRPr="004F5836">
        <w:rPr>
          <w:rFonts w:ascii="Arial" w:hAnsi="Arial" w:cs="Arial"/>
          <w:i/>
          <w:iCs/>
          <w:sz w:val="20"/>
          <w:szCs w:val="20"/>
        </w:rPr>
        <w:t xml:space="preserve">   </w:t>
      </w:r>
      <w:r w:rsidRPr="004F5836">
        <w:rPr>
          <w:rFonts w:ascii="Arial" w:hAnsi="Arial" w:cs="Arial"/>
          <w:i/>
          <w:iCs/>
          <w:sz w:val="20"/>
          <w:szCs w:val="20"/>
        </w:rPr>
        <w:t>and positive impact on risk-mitigation strategies, as it pertains to the environment</w:t>
      </w:r>
      <w:bookmarkEnd w:id="1"/>
      <w:r w:rsidRPr="004F5836">
        <w:rPr>
          <w:rFonts w:ascii="Arial" w:hAnsi="Arial" w:cs="Arial"/>
          <w:i/>
          <w:iCs/>
          <w:sz w:val="20"/>
          <w:szCs w:val="20"/>
        </w:rPr>
        <w:t>.</w:t>
      </w:r>
    </w:p>
    <w:p w14:paraId="213375C8" w14:textId="77777777" w:rsidR="00971EE0" w:rsidRPr="004F5836" w:rsidRDefault="00971EE0" w:rsidP="004F5836">
      <w:pPr>
        <w:spacing w:after="0" w:line="360" w:lineRule="auto"/>
        <w:rPr>
          <w:rFonts w:ascii="Arial" w:hAnsi="Arial" w:cs="Arial"/>
          <w:i/>
          <w:iCs/>
          <w:sz w:val="20"/>
          <w:szCs w:val="20"/>
        </w:rPr>
      </w:pPr>
    </w:p>
    <w:p w14:paraId="4E3A3719" w14:textId="4D1ACBB9" w:rsidR="00971EE0" w:rsidRPr="004F5836" w:rsidRDefault="00971EE0" w:rsidP="004F5836">
      <w:pPr>
        <w:spacing w:after="0" w:line="360" w:lineRule="auto"/>
        <w:rPr>
          <w:rFonts w:ascii="Arial" w:hAnsi="Arial" w:cs="Arial"/>
          <w:i/>
          <w:iCs/>
          <w:sz w:val="20"/>
          <w:szCs w:val="20"/>
        </w:rPr>
      </w:pPr>
      <w:r w:rsidRPr="004F5836">
        <w:rPr>
          <w:rFonts w:ascii="Arial" w:hAnsi="Arial" w:cs="Arial"/>
          <w:i/>
          <w:iCs/>
          <w:sz w:val="20"/>
          <w:szCs w:val="20"/>
        </w:rPr>
        <w:t>H2: Organizational safety culture has a significant</w:t>
      </w:r>
      <w:r w:rsidR="004F5836" w:rsidRPr="004F5836">
        <w:rPr>
          <w:rFonts w:ascii="Arial" w:hAnsi="Arial" w:cs="Arial"/>
          <w:i/>
          <w:iCs/>
          <w:sz w:val="20"/>
          <w:szCs w:val="20"/>
        </w:rPr>
        <w:t xml:space="preserve">   </w:t>
      </w:r>
      <w:r w:rsidRPr="004F5836">
        <w:rPr>
          <w:rFonts w:ascii="Arial" w:hAnsi="Arial" w:cs="Arial"/>
          <w:i/>
          <w:iCs/>
          <w:sz w:val="20"/>
          <w:szCs w:val="20"/>
        </w:rPr>
        <w:t>and positive impact on employees’ perception of</w:t>
      </w:r>
      <w:r w:rsidR="004F5836" w:rsidRPr="004F5836">
        <w:rPr>
          <w:rFonts w:ascii="Arial" w:hAnsi="Arial" w:cs="Arial"/>
          <w:i/>
          <w:iCs/>
          <w:sz w:val="20"/>
          <w:szCs w:val="20"/>
        </w:rPr>
        <w:t xml:space="preserve">   </w:t>
      </w:r>
      <w:r w:rsidRPr="004F5836">
        <w:rPr>
          <w:rFonts w:ascii="Arial" w:hAnsi="Arial" w:cs="Arial"/>
          <w:i/>
          <w:iCs/>
          <w:sz w:val="20"/>
          <w:szCs w:val="20"/>
        </w:rPr>
        <w:t>environmental risk severity.</w:t>
      </w:r>
    </w:p>
    <w:p w14:paraId="2A6091D3" w14:textId="0289164D" w:rsidR="00971EE0" w:rsidRPr="004F5836" w:rsidRDefault="00971EE0" w:rsidP="004F5836">
      <w:pPr>
        <w:spacing w:after="0" w:line="360" w:lineRule="auto"/>
        <w:rPr>
          <w:rFonts w:ascii="Arial" w:hAnsi="Arial" w:cs="Arial"/>
          <w:i/>
          <w:iCs/>
          <w:sz w:val="20"/>
          <w:szCs w:val="20"/>
        </w:rPr>
      </w:pPr>
      <w:r w:rsidRPr="004F5836">
        <w:rPr>
          <w:rFonts w:ascii="Arial" w:hAnsi="Arial" w:cs="Arial"/>
          <w:i/>
          <w:iCs/>
          <w:sz w:val="20"/>
          <w:szCs w:val="20"/>
        </w:rPr>
        <w:lastRenderedPageBreak/>
        <w:t>H3: Organisation safety culture has a significant</w:t>
      </w:r>
      <w:r w:rsidR="004F5836" w:rsidRPr="004F5836">
        <w:rPr>
          <w:rFonts w:ascii="Arial" w:hAnsi="Arial" w:cs="Arial"/>
          <w:i/>
          <w:iCs/>
          <w:sz w:val="20"/>
          <w:szCs w:val="20"/>
        </w:rPr>
        <w:t xml:space="preserve">   </w:t>
      </w:r>
      <w:r w:rsidRPr="004F5836">
        <w:rPr>
          <w:rFonts w:ascii="Arial" w:hAnsi="Arial" w:cs="Arial"/>
          <w:i/>
          <w:iCs/>
          <w:sz w:val="20"/>
          <w:szCs w:val="20"/>
        </w:rPr>
        <w:t>and positive impact on the employee perception to</w:t>
      </w:r>
      <w:r w:rsidR="004F5836" w:rsidRPr="004F5836">
        <w:rPr>
          <w:rFonts w:ascii="Arial" w:hAnsi="Arial" w:cs="Arial"/>
          <w:i/>
          <w:iCs/>
          <w:sz w:val="20"/>
          <w:szCs w:val="20"/>
        </w:rPr>
        <w:t xml:space="preserve">   </w:t>
      </w:r>
      <w:r w:rsidRPr="004F5836">
        <w:rPr>
          <w:rFonts w:ascii="Arial" w:hAnsi="Arial" w:cs="Arial"/>
          <w:i/>
          <w:iCs/>
          <w:sz w:val="20"/>
          <w:szCs w:val="20"/>
        </w:rPr>
        <w:t>environment risk frequency</w:t>
      </w:r>
    </w:p>
    <w:p w14:paraId="55C71A07" w14:textId="77777777" w:rsidR="00971EE0" w:rsidRPr="004F5836" w:rsidRDefault="00971EE0" w:rsidP="004F5836">
      <w:pPr>
        <w:spacing w:after="0" w:line="360" w:lineRule="auto"/>
        <w:rPr>
          <w:rFonts w:ascii="Arial" w:hAnsi="Arial" w:cs="Arial"/>
          <w:i/>
          <w:iCs/>
          <w:sz w:val="20"/>
          <w:szCs w:val="20"/>
        </w:rPr>
      </w:pPr>
    </w:p>
    <w:p w14:paraId="523E583B" w14:textId="4EDB854F" w:rsidR="00971EE0" w:rsidRPr="004F5836" w:rsidRDefault="00971EE0" w:rsidP="004F5836">
      <w:pPr>
        <w:spacing w:after="0" w:line="360" w:lineRule="auto"/>
        <w:rPr>
          <w:rFonts w:ascii="Arial" w:hAnsi="Arial" w:cs="Arial"/>
          <w:i/>
          <w:iCs/>
          <w:sz w:val="20"/>
          <w:szCs w:val="20"/>
        </w:rPr>
      </w:pPr>
      <w:r w:rsidRPr="004F5836">
        <w:rPr>
          <w:rFonts w:ascii="Arial" w:hAnsi="Arial" w:cs="Arial"/>
          <w:i/>
          <w:iCs/>
          <w:sz w:val="20"/>
          <w:szCs w:val="20"/>
        </w:rPr>
        <w:t>H4: organisation safety culture has a significant</w:t>
      </w:r>
      <w:r w:rsidR="004F5836" w:rsidRPr="004F5836">
        <w:rPr>
          <w:rFonts w:ascii="Arial" w:hAnsi="Arial" w:cs="Arial"/>
          <w:i/>
          <w:iCs/>
          <w:sz w:val="20"/>
          <w:szCs w:val="20"/>
        </w:rPr>
        <w:t xml:space="preserve">   </w:t>
      </w:r>
      <w:r w:rsidRPr="004F5836">
        <w:rPr>
          <w:rFonts w:ascii="Arial" w:hAnsi="Arial" w:cs="Arial"/>
          <w:i/>
          <w:iCs/>
          <w:sz w:val="20"/>
          <w:szCs w:val="20"/>
        </w:rPr>
        <w:t>and positive impact on the employee perception to</w:t>
      </w:r>
      <w:r w:rsidR="004F5836" w:rsidRPr="004F5836">
        <w:rPr>
          <w:rFonts w:ascii="Arial" w:hAnsi="Arial" w:cs="Arial"/>
          <w:i/>
          <w:iCs/>
          <w:sz w:val="20"/>
          <w:szCs w:val="20"/>
        </w:rPr>
        <w:t xml:space="preserve">   </w:t>
      </w:r>
      <w:r w:rsidRPr="004F5836">
        <w:rPr>
          <w:rFonts w:ascii="Arial" w:hAnsi="Arial" w:cs="Arial"/>
          <w:i/>
          <w:iCs/>
          <w:sz w:val="20"/>
          <w:szCs w:val="20"/>
        </w:rPr>
        <w:t>environment risk ease of detection</w:t>
      </w:r>
    </w:p>
    <w:p w14:paraId="6E997809" w14:textId="4E3FE781" w:rsidR="00971EE0" w:rsidRPr="004F5836" w:rsidRDefault="00971EE0" w:rsidP="004F5836">
      <w:pPr>
        <w:spacing w:after="0" w:line="360" w:lineRule="auto"/>
        <w:rPr>
          <w:rFonts w:ascii="Arial" w:hAnsi="Arial" w:cs="Arial"/>
          <w:i/>
          <w:iCs/>
          <w:sz w:val="20"/>
          <w:szCs w:val="20"/>
        </w:rPr>
      </w:pPr>
      <w:r w:rsidRPr="004F5836">
        <w:rPr>
          <w:rFonts w:ascii="Arial" w:hAnsi="Arial" w:cs="Arial"/>
          <w:i/>
          <w:iCs/>
          <w:sz w:val="20"/>
          <w:szCs w:val="20"/>
        </w:rPr>
        <w:t xml:space="preserve">H5, H6, </w:t>
      </w:r>
      <w:r w:rsidR="004F5836" w:rsidRPr="004F5836">
        <w:rPr>
          <w:rFonts w:ascii="Arial" w:hAnsi="Arial" w:cs="Arial"/>
          <w:i/>
          <w:iCs/>
          <w:sz w:val="20"/>
          <w:szCs w:val="20"/>
        </w:rPr>
        <w:t>and H7</w:t>
      </w:r>
      <w:r w:rsidRPr="004F5836">
        <w:rPr>
          <w:rFonts w:ascii="Arial" w:hAnsi="Arial" w:cs="Arial"/>
          <w:i/>
          <w:iCs/>
          <w:sz w:val="20"/>
          <w:szCs w:val="20"/>
        </w:rPr>
        <w:t>: ease of detection, severity and frequency have a significant and positive impact on the risk</w:t>
      </w:r>
      <w:r w:rsidR="004F5836">
        <w:rPr>
          <w:rFonts w:ascii="Arial" w:hAnsi="Arial" w:cs="Arial"/>
          <w:i/>
          <w:iCs/>
          <w:sz w:val="20"/>
          <w:szCs w:val="20"/>
        </w:rPr>
        <w:t xml:space="preserve"> </w:t>
      </w:r>
      <w:r w:rsidRPr="004F5836">
        <w:rPr>
          <w:rFonts w:ascii="Arial" w:hAnsi="Arial" w:cs="Arial"/>
          <w:i/>
          <w:iCs/>
          <w:sz w:val="20"/>
          <w:szCs w:val="20"/>
        </w:rPr>
        <w:t>mitigation strategy</w:t>
      </w:r>
    </w:p>
    <w:p w14:paraId="109EE51D" w14:textId="77777777" w:rsidR="00971EE0" w:rsidRPr="004F5836" w:rsidRDefault="00971EE0" w:rsidP="00293F2B">
      <w:pPr>
        <w:spacing w:after="0" w:line="360" w:lineRule="auto"/>
        <w:jc w:val="both"/>
        <w:rPr>
          <w:rFonts w:ascii="Arial" w:hAnsi="Arial" w:cs="Arial"/>
          <w:i/>
          <w:iCs/>
          <w:sz w:val="20"/>
          <w:szCs w:val="20"/>
        </w:rPr>
      </w:pPr>
    </w:p>
    <w:p w14:paraId="3AC8361E" w14:textId="77777777" w:rsidR="00971EE0" w:rsidRPr="004F5836" w:rsidRDefault="00971EE0" w:rsidP="00293F2B">
      <w:pPr>
        <w:spacing w:after="0" w:line="360" w:lineRule="auto"/>
        <w:jc w:val="both"/>
        <w:rPr>
          <w:rFonts w:ascii="Arial" w:hAnsi="Arial" w:cs="Arial"/>
          <w:i/>
          <w:iCs/>
          <w:sz w:val="20"/>
          <w:szCs w:val="20"/>
        </w:rPr>
      </w:pPr>
    </w:p>
    <w:p w14:paraId="2DD0F9A9" w14:textId="54279868" w:rsidR="00971EE0" w:rsidRPr="004F5836" w:rsidRDefault="00971EE0" w:rsidP="00293F2B">
      <w:pPr>
        <w:spacing w:after="0" w:line="360" w:lineRule="auto"/>
        <w:jc w:val="both"/>
        <w:rPr>
          <w:rFonts w:ascii="Arial" w:hAnsi="Arial" w:cs="Arial"/>
          <w:sz w:val="20"/>
          <w:szCs w:val="20"/>
        </w:rPr>
      </w:pPr>
      <w:r w:rsidRPr="004F5836">
        <w:rPr>
          <w:rFonts w:ascii="Arial" w:hAnsi="Arial" w:cs="Arial"/>
          <w:sz w:val="20"/>
          <w:szCs w:val="20"/>
        </w:rPr>
        <w:t>The conceptual framework in figure 2 depicts the relationship perceived by internal stakeholders as it pertains to environmental risk factors, and emphasises the significance of FMEA</w:t>
      </w:r>
      <w:r w:rsidR="004F5836" w:rsidRPr="004F5836">
        <w:rPr>
          <w:rFonts w:ascii="Arial" w:hAnsi="Arial" w:cs="Arial"/>
          <w:sz w:val="20"/>
          <w:szCs w:val="20"/>
        </w:rPr>
        <w:t xml:space="preserve">   </w:t>
      </w:r>
      <w:r w:rsidRPr="004F5836">
        <w:rPr>
          <w:rFonts w:ascii="Arial" w:hAnsi="Arial" w:cs="Arial"/>
          <w:sz w:val="20"/>
          <w:szCs w:val="20"/>
        </w:rPr>
        <w:t>in promoting a sustainable supply chain and addressing environmental risks, particularly those related to natural disasters.</w:t>
      </w:r>
    </w:p>
    <w:p w14:paraId="45069D4A" w14:textId="77777777" w:rsidR="00971EE0" w:rsidRPr="004F5836" w:rsidRDefault="00971EE0" w:rsidP="00293F2B">
      <w:pPr>
        <w:spacing w:after="0" w:line="360" w:lineRule="auto"/>
        <w:jc w:val="both"/>
        <w:rPr>
          <w:rFonts w:ascii="Arial" w:hAnsi="Arial" w:cs="Arial"/>
          <w:i/>
          <w:iCs/>
          <w:sz w:val="20"/>
          <w:szCs w:val="20"/>
        </w:rPr>
      </w:pPr>
    </w:p>
    <w:p w14:paraId="29CCF202" w14:textId="77777777" w:rsidR="00971EE0" w:rsidRPr="004F5836" w:rsidRDefault="00971EE0" w:rsidP="00293F2B">
      <w:pPr>
        <w:spacing w:after="0" w:line="360" w:lineRule="auto"/>
        <w:jc w:val="both"/>
        <w:rPr>
          <w:rFonts w:ascii="Arial" w:hAnsi="Arial" w:cs="Arial"/>
          <w:i/>
          <w:iCs/>
          <w:sz w:val="20"/>
          <w:szCs w:val="20"/>
        </w:rPr>
      </w:pPr>
    </w:p>
    <w:p w14:paraId="366CED33" w14:textId="77777777" w:rsidR="00971EE0" w:rsidRPr="004F5836" w:rsidRDefault="00971EE0" w:rsidP="00293F2B">
      <w:pPr>
        <w:spacing w:after="0" w:line="360" w:lineRule="auto"/>
        <w:jc w:val="both"/>
        <w:rPr>
          <w:rFonts w:ascii="Arial" w:hAnsi="Arial" w:cs="Arial"/>
          <w:i/>
          <w:iCs/>
          <w:sz w:val="20"/>
          <w:szCs w:val="20"/>
        </w:rPr>
      </w:pPr>
      <w:r w:rsidRPr="004F5836">
        <w:rPr>
          <w:noProof/>
          <w:lang w:eastAsia="en-GB"/>
        </w:rPr>
        <mc:AlternateContent>
          <mc:Choice Requires="wpg">
            <w:drawing>
              <wp:anchor distT="0" distB="0" distL="114300" distR="114300" simplePos="0" relativeHeight="251659264" behindDoc="0" locked="0" layoutInCell="1" allowOverlap="1" wp14:anchorId="42CFACA7" wp14:editId="341F4A86">
                <wp:simplePos x="0" y="0"/>
                <wp:positionH relativeFrom="column">
                  <wp:posOffset>0</wp:posOffset>
                </wp:positionH>
                <wp:positionV relativeFrom="paragraph">
                  <wp:posOffset>222250</wp:posOffset>
                </wp:positionV>
                <wp:extent cx="5886450" cy="2500630"/>
                <wp:effectExtent l="0" t="0" r="19050" b="13970"/>
                <wp:wrapTopAndBottom/>
                <wp:docPr id="161" name="Group 160">
                  <a:extLst xmlns:a="http://schemas.openxmlformats.org/drawingml/2006/main">
                    <a:ext uri="{FF2B5EF4-FFF2-40B4-BE49-F238E27FC236}">
                      <a16:creationId xmlns:a16="http://schemas.microsoft.com/office/drawing/2014/main" id="{DF17515C-7E04-9D17-1BEF-441EAA15A38D}"/>
                    </a:ext>
                  </a:extLst>
                </wp:docPr>
                <wp:cNvGraphicFramePr/>
                <a:graphic xmlns:a="http://schemas.openxmlformats.org/drawingml/2006/main">
                  <a:graphicData uri="http://schemas.microsoft.com/office/word/2010/wordprocessingGroup">
                    <wpg:wgp>
                      <wpg:cNvGrpSpPr/>
                      <wpg:grpSpPr>
                        <a:xfrm>
                          <a:off x="0" y="0"/>
                          <a:ext cx="5886450" cy="2500630"/>
                          <a:chOff x="0" y="0"/>
                          <a:chExt cx="6489464" cy="2500827"/>
                        </a:xfrm>
                      </wpg:grpSpPr>
                      <wps:wsp>
                        <wps:cNvPr id="305643698" name="Oval 305643698">
                          <a:extLst>
                            <a:ext uri="{FF2B5EF4-FFF2-40B4-BE49-F238E27FC236}">
                              <a16:creationId xmlns:a16="http://schemas.microsoft.com/office/drawing/2014/main" id="{CA354179-D5B7-A0C2-88B1-FF435CD85F10}"/>
                            </a:ext>
                          </a:extLst>
                        </wps:cNvPr>
                        <wps:cNvSpPr/>
                        <wps:spPr>
                          <a:xfrm>
                            <a:off x="0" y="867619"/>
                            <a:ext cx="1616941" cy="622902"/>
                          </a:xfrm>
                          <a:prstGeom prst="ellipse">
                            <a:avLst/>
                          </a:prstGeom>
                        </wps:spPr>
                        <wps:style>
                          <a:lnRef idx="2">
                            <a:schemeClr val="dk1"/>
                          </a:lnRef>
                          <a:fillRef idx="1">
                            <a:schemeClr val="lt1"/>
                          </a:fillRef>
                          <a:effectRef idx="0">
                            <a:schemeClr val="dk1"/>
                          </a:effectRef>
                          <a:fontRef idx="minor">
                            <a:schemeClr val="dk1"/>
                          </a:fontRef>
                        </wps:style>
                        <wps:txbx>
                          <w:txbxContent>
                            <w:p w14:paraId="67A8D41D" w14:textId="77777777" w:rsidR="00532A2C" w:rsidRPr="006F63A2" w:rsidRDefault="00532A2C" w:rsidP="0014263C">
                              <w:pPr>
                                <w:jc w:val="center"/>
                                <w:rPr>
                                  <w:rFonts w:ascii="Arial" w:hAnsi="Arial" w:cs="Arial"/>
                                  <w:b/>
                                  <w:bCs/>
                                  <w:color w:val="000000" w:themeColor="dark1"/>
                                  <w:kern w:val="24"/>
                                  <w:sz w:val="20"/>
                                  <w:szCs w:val="20"/>
                                  <w14:ligatures w14:val="none"/>
                                </w:rPr>
                              </w:pPr>
                              <w:r w:rsidRPr="006F63A2">
                                <w:rPr>
                                  <w:rFonts w:ascii="Arial" w:hAnsi="Arial" w:cs="Arial"/>
                                  <w:b/>
                                  <w:bCs/>
                                  <w:color w:val="000000" w:themeColor="dark1"/>
                                  <w:kern w:val="24"/>
                                  <w:sz w:val="20"/>
                                  <w:szCs w:val="20"/>
                                </w:rPr>
                                <w:t>Organisation Safety culture</w:t>
                              </w:r>
                            </w:p>
                          </w:txbxContent>
                        </wps:txbx>
                        <wps:bodyPr rtlCol="0" anchor="ctr"/>
                      </wps:wsp>
                      <wps:wsp>
                        <wps:cNvPr id="1412682876" name="Oval 1412682876">
                          <a:extLst>
                            <a:ext uri="{FF2B5EF4-FFF2-40B4-BE49-F238E27FC236}">
                              <a16:creationId xmlns:a16="http://schemas.microsoft.com/office/drawing/2014/main" id="{F1E54785-12E8-FAE8-30B4-9D575BF0E3D7}"/>
                            </a:ext>
                          </a:extLst>
                        </wps:cNvPr>
                        <wps:cNvSpPr/>
                        <wps:spPr>
                          <a:xfrm>
                            <a:off x="2453992" y="1314426"/>
                            <a:ext cx="1403870" cy="576146"/>
                          </a:xfrm>
                          <a:prstGeom prst="ellipse">
                            <a:avLst/>
                          </a:prstGeom>
                        </wps:spPr>
                        <wps:style>
                          <a:lnRef idx="2">
                            <a:schemeClr val="dk1"/>
                          </a:lnRef>
                          <a:fillRef idx="1">
                            <a:schemeClr val="lt1"/>
                          </a:fillRef>
                          <a:effectRef idx="0">
                            <a:schemeClr val="dk1"/>
                          </a:effectRef>
                          <a:fontRef idx="minor">
                            <a:schemeClr val="dk1"/>
                          </a:fontRef>
                        </wps:style>
                        <wps:txbx>
                          <w:txbxContent>
                            <w:p w14:paraId="52DE54A5" w14:textId="77777777" w:rsidR="00532A2C" w:rsidRPr="002D60B3" w:rsidRDefault="00532A2C" w:rsidP="00A24C4A">
                              <w:pPr>
                                <w:jc w:val="center"/>
                                <w:rPr>
                                  <w:rFonts w:ascii="Arial" w:hAnsi="Arial" w:cs="Arial"/>
                                  <w:b/>
                                  <w:bCs/>
                                  <w:color w:val="000000" w:themeColor="dark1"/>
                                  <w:kern w:val="24"/>
                                  <w:sz w:val="18"/>
                                  <w:szCs w:val="18"/>
                                  <w14:ligatures w14:val="none"/>
                                </w:rPr>
                              </w:pPr>
                              <w:r w:rsidRPr="002D60B3">
                                <w:rPr>
                                  <w:rFonts w:ascii="Arial" w:hAnsi="Arial" w:cs="Arial"/>
                                  <w:b/>
                                  <w:bCs/>
                                  <w:color w:val="000000" w:themeColor="dark1"/>
                                  <w:kern w:val="24"/>
                                  <w:sz w:val="18"/>
                                  <w:szCs w:val="18"/>
                                </w:rPr>
                                <w:t>Ease of Detection</w:t>
                              </w:r>
                            </w:p>
                          </w:txbxContent>
                        </wps:txbx>
                        <wps:bodyPr rtlCol="0" anchor="ctr"/>
                      </wps:wsp>
                      <wps:wsp>
                        <wps:cNvPr id="1606285525" name="Oval 1606285525">
                          <a:extLst>
                            <a:ext uri="{FF2B5EF4-FFF2-40B4-BE49-F238E27FC236}">
                              <a16:creationId xmlns:a16="http://schemas.microsoft.com/office/drawing/2014/main" id="{59543CB2-7FC1-1AF5-0FBB-33FEBCBEBF10}"/>
                            </a:ext>
                          </a:extLst>
                        </wps:cNvPr>
                        <wps:cNvSpPr/>
                        <wps:spPr>
                          <a:xfrm>
                            <a:off x="2525411" y="1938538"/>
                            <a:ext cx="1411290" cy="398644"/>
                          </a:xfrm>
                          <a:prstGeom prst="ellipse">
                            <a:avLst/>
                          </a:prstGeom>
                        </wps:spPr>
                        <wps:style>
                          <a:lnRef idx="2">
                            <a:schemeClr val="dk1"/>
                          </a:lnRef>
                          <a:fillRef idx="1">
                            <a:schemeClr val="lt1"/>
                          </a:fillRef>
                          <a:effectRef idx="0">
                            <a:schemeClr val="dk1"/>
                          </a:effectRef>
                          <a:fontRef idx="minor">
                            <a:schemeClr val="dk1"/>
                          </a:fontRef>
                        </wps:style>
                        <wps:txbx>
                          <w:txbxContent>
                            <w:p w14:paraId="36621E4D" w14:textId="77777777" w:rsidR="00532A2C" w:rsidRPr="006F63A2" w:rsidRDefault="00532A2C" w:rsidP="0014263C">
                              <w:pPr>
                                <w:jc w:val="center"/>
                                <w:rPr>
                                  <w:rFonts w:ascii="Arial" w:hAnsi="Arial" w:cs="Arial"/>
                                  <w:b/>
                                  <w:bCs/>
                                  <w:color w:val="000000" w:themeColor="dark1"/>
                                  <w:kern w:val="24"/>
                                  <w:sz w:val="20"/>
                                  <w:szCs w:val="20"/>
                                  <w14:ligatures w14:val="none"/>
                                </w:rPr>
                              </w:pPr>
                              <w:r w:rsidRPr="006F63A2">
                                <w:rPr>
                                  <w:rFonts w:ascii="Arial" w:hAnsi="Arial" w:cs="Arial"/>
                                  <w:b/>
                                  <w:bCs/>
                                  <w:color w:val="000000" w:themeColor="dark1"/>
                                  <w:kern w:val="24"/>
                                  <w:sz w:val="20"/>
                                  <w:szCs w:val="20"/>
                                </w:rPr>
                                <w:t>Frequency</w:t>
                              </w:r>
                            </w:p>
                          </w:txbxContent>
                        </wps:txbx>
                        <wps:bodyPr rtlCol="0" anchor="ctr"/>
                      </wps:wsp>
                      <wps:wsp>
                        <wps:cNvPr id="732718839" name="Oval 732718839">
                          <a:extLst>
                            <a:ext uri="{FF2B5EF4-FFF2-40B4-BE49-F238E27FC236}">
                              <a16:creationId xmlns:a16="http://schemas.microsoft.com/office/drawing/2014/main" id="{6C3D954D-B80B-AC36-AE18-59495F54D96A}"/>
                            </a:ext>
                          </a:extLst>
                        </wps:cNvPr>
                        <wps:cNvSpPr/>
                        <wps:spPr>
                          <a:xfrm>
                            <a:off x="2502966" y="506367"/>
                            <a:ext cx="1456180" cy="410018"/>
                          </a:xfrm>
                          <a:prstGeom prst="ellipse">
                            <a:avLst/>
                          </a:prstGeom>
                        </wps:spPr>
                        <wps:style>
                          <a:lnRef idx="2">
                            <a:schemeClr val="dk1"/>
                          </a:lnRef>
                          <a:fillRef idx="1">
                            <a:schemeClr val="lt1"/>
                          </a:fillRef>
                          <a:effectRef idx="0">
                            <a:schemeClr val="dk1"/>
                          </a:effectRef>
                          <a:fontRef idx="minor">
                            <a:schemeClr val="dk1"/>
                          </a:fontRef>
                        </wps:style>
                        <wps:txbx>
                          <w:txbxContent>
                            <w:p w14:paraId="6D313A13" w14:textId="77777777" w:rsidR="00532A2C" w:rsidRPr="006F63A2" w:rsidRDefault="00532A2C" w:rsidP="0014263C">
                              <w:pPr>
                                <w:jc w:val="center"/>
                                <w:rPr>
                                  <w:rFonts w:ascii="Arial" w:hAnsi="Arial" w:cs="Arial"/>
                                  <w:b/>
                                  <w:bCs/>
                                  <w:color w:val="000000" w:themeColor="dark1"/>
                                  <w:kern w:val="24"/>
                                  <w:sz w:val="20"/>
                                  <w:szCs w:val="20"/>
                                  <w14:ligatures w14:val="none"/>
                                </w:rPr>
                              </w:pPr>
                              <w:r w:rsidRPr="006F63A2">
                                <w:rPr>
                                  <w:rFonts w:ascii="Arial" w:hAnsi="Arial" w:cs="Arial"/>
                                  <w:b/>
                                  <w:bCs/>
                                  <w:color w:val="000000" w:themeColor="dark1"/>
                                  <w:kern w:val="24"/>
                                  <w:sz w:val="20"/>
                                  <w:szCs w:val="20"/>
                                </w:rPr>
                                <w:t>Severity</w:t>
                              </w:r>
                              <w:r w:rsidRPr="006F63A2">
                                <w:rPr>
                                  <w:rFonts w:hAnsi="Aptos"/>
                                  <w:b/>
                                  <w:bCs/>
                                  <w:color w:val="000000" w:themeColor="dark1"/>
                                  <w:kern w:val="24"/>
                                  <w:sz w:val="20"/>
                                  <w:szCs w:val="20"/>
                                </w:rPr>
                                <w:t xml:space="preserve"> </w:t>
                              </w:r>
                            </w:p>
                          </w:txbxContent>
                        </wps:txbx>
                        <wps:bodyPr rtlCol="0" anchor="ctr"/>
                      </wps:wsp>
                      <wps:wsp>
                        <wps:cNvPr id="1566588242" name="Oval 1566588242">
                          <a:extLst>
                            <a:ext uri="{FF2B5EF4-FFF2-40B4-BE49-F238E27FC236}">
                              <a16:creationId xmlns:a16="http://schemas.microsoft.com/office/drawing/2014/main" id="{17191254-79FE-DCB6-B827-101CC87D33EF}"/>
                            </a:ext>
                          </a:extLst>
                        </wps:cNvPr>
                        <wps:cNvSpPr/>
                        <wps:spPr>
                          <a:xfrm>
                            <a:off x="4784184" y="836976"/>
                            <a:ext cx="1610513" cy="850415"/>
                          </a:xfrm>
                          <a:prstGeom prst="ellipse">
                            <a:avLst/>
                          </a:prstGeom>
                        </wps:spPr>
                        <wps:style>
                          <a:lnRef idx="2">
                            <a:schemeClr val="dk1"/>
                          </a:lnRef>
                          <a:fillRef idx="1">
                            <a:schemeClr val="lt1"/>
                          </a:fillRef>
                          <a:effectRef idx="0">
                            <a:schemeClr val="dk1"/>
                          </a:effectRef>
                          <a:fontRef idx="minor">
                            <a:schemeClr val="dk1"/>
                          </a:fontRef>
                        </wps:style>
                        <wps:txbx>
                          <w:txbxContent>
                            <w:p w14:paraId="148DDD65" w14:textId="77777777" w:rsidR="00532A2C" w:rsidRPr="006F63A2" w:rsidRDefault="00532A2C" w:rsidP="0014263C">
                              <w:pPr>
                                <w:jc w:val="center"/>
                                <w:rPr>
                                  <w:rFonts w:ascii="Arial" w:hAnsi="Arial" w:cs="Arial"/>
                                  <w:b/>
                                  <w:bCs/>
                                  <w:color w:val="000000" w:themeColor="dark1"/>
                                  <w:kern w:val="24"/>
                                  <w14:ligatures w14:val="none"/>
                                </w:rPr>
                              </w:pPr>
                              <w:r w:rsidRPr="006F63A2">
                                <w:rPr>
                                  <w:rFonts w:ascii="Arial" w:hAnsi="Arial" w:cs="Arial"/>
                                  <w:b/>
                                  <w:bCs/>
                                  <w:color w:val="000000" w:themeColor="dark1"/>
                                  <w:kern w:val="24"/>
                                  <w:sz w:val="20"/>
                                  <w:szCs w:val="20"/>
                                </w:rPr>
                                <w:t>Risk Mitigation</w:t>
                              </w:r>
                              <w:r w:rsidRPr="006F63A2">
                                <w:rPr>
                                  <w:rFonts w:ascii="Arial" w:hAnsi="Arial" w:cs="Arial"/>
                                  <w:b/>
                                  <w:bCs/>
                                  <w:color w:val="000000" w:themeColor="dark1"/>
                                  <w:kern w:val="24"/>
                                </w:rPr>
                                <w:t xml:space="preserve"> </w:t>
                              </w:r>
                              <w:r w:rsidRPr="006F63A2">
                                <w:rPr>
                                  <w:rFonts w:ascii="Arial" w:hAnsi="Arial" w:cs="Arial"/>
                                  <w:b/>
                                  <w:bCs/>
                                  <w:color w:val="000000" w:themeColor="dark1"/>
                                  <w:kern w:val="24"/>
                                  <w:sz w:val="20"/>
                                  <w:szCs w:val="20"/>
                                </w:rPr>
                                <w:t>Strategy</w:t>
                              </w:r>
                            </w:p>
                          </w:txbxContent>
                        </wps:txbx>
                        <wps:bodyPr rtlCol="0" anchor="ctr"/>
                      </wps:wsp>
                      <wps:wsp>
                        <wps:cNvPr id="879963211" name="Straight Arrow Connector 879963211">
                          <a:extLst>
                            <a:ext uri="{FF2B5EF4-FFF2-40B4-BE49-F238E27FC236}">
                              <a16:creationId xmlns:a16="http://schemas.microsoft.com/office/drawing/2014/main" id="{28918DA7-C104-D995-10C5-AC2BE2D3DA74}"/>
                            </a:ext>
                          </a:extLst>
                        </wps:cNvPr>
                        <wps:cNvCnPr>
                          <a:cxnSpLocks/>
                          <a:stCxn id="305643698" idx="6"/>
                          <a:endCxn id="1566588242" idx="2"/>
                        </wps:cNvCnPr>
                        <wps:spPr>
                          <a:xfrm>
                            <a:off x="1616941" y="1179071"/>
                            <a:ext cx="3167243" cy="8311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54234350" name="Straight Arrow Connector 1654234350">
                          <a:extLst>
                            <a:ext uri="{FF2B5EF4-FFF2-40B4-BE49-F238E27FC236}">
                              <a16:creationId xmlns:a16="http://schemas.microsoft.com/office/drawing/2014/main" id="{36AE9254-8E79-CE6B-1DCF-460B10DC855F}"/>
                            </a:ext>
                          </a:extLst>
                        </wps:cNvPr>
                        <wps:cNvCnPr>
                          <a:cxnSpLocks/>
                          <a:stCxn id="305643698" idx="6"/>
                          <a:endCxn id="732718839" idx="2"/>
                        </wps:cNvCnPr>
                        <wps:spPr>
                          <a:xfrm flipV="1">
                            <a:off x="1616941" y="711376"/>
                            <a:ext cx="886025" cy="46769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13134041" name="Straight Arrow Connector 313134041">
                          <a:extLst>
                            <a:ext uri="{FF2B5EF4-FFF2-40B4-BE49-F238E27FC236}">
                              <a16:creationId xmlns:a16="http://schemas.microsoft.com/office/drawing/2014/main" id="{4634D23F-9B79-D86C-175E-2117C7AFDA46}"/>
                            </a:ext>
                          </a:extLst>
                        </wps:cNvPr>
                        <wps:cNvCnPr>
                          <a:cxnSpLocks/>
                          <a:stCxn id="305643698" idx="6"/>
                          <a:endCxn id="1412682876" idx="2"/>
                        </wps:cNvCnPr>
                        <wps:spPr>
                          <a:xfrm>
                            <a:off x="1616941" y="1179071"/>
                            <a:ext cx="837050" cy="42342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5213440" name="Straight Arrow Connector 235213440">
                          <a:extLst>
                            <a:ext uri="{FF2B5EF4-FFF2-40B4-BE49-F238E27FC236}">
                              <a16:creationId xmlns:a16="http://schemas.microsoft.com/office/drawing/2014/main" id="{FC6097A3-CED1-7460-55CD-C96A4671931C}"/>
                            </a:ext>
                          </a:extLst>
                        </wps:cNvPr>
                        <wps:cNvCnPr>
                          <a:cxnSpLocks/>
                          <a:stCxn id="305643698" idx="6"/>
                          <a:endCxn id="1606285525" idx="2"/>
                        </wps:cNvCnPr>
                        <wps:spPr>
                          <a:xfrm>
                            <a:off x="1616941" y="1179070"/>
                            <a:ext cx="908470" cy="95879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794156770" name="Straight Arrow Connector 1794156770">
                          <a:extLst>
                            <a:ext uri="{FF2B5EF4-FFF2-40B4-BE49-F238E27FC236}">
                              <a16:creationId xmlns:a16="http://schemas.microsoft.com/office/drawing/2014/main" id="{0C2165FC-1535-91C6-2877-BE41BE1C9269}"/>
                            </a:ext>
                          </a:extLst>
                        </wps:cNvPr>
                        <wps:cNvCnPr>
                          <a:cxnSpLocks/>
                          <a:stCxn id="1606285525" idx="6"/>
                          <a:endCxn id="1566588242" idx="2"/>
                        </wps:cNvCnPr>
                        <wps:spPr>
                          <a:xfrm flipV="1">
                            <a:off x="3936701" y="1262183"/>
                            <a:ext cx="847483" cy="87567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944828258" name="Straight Arrow Connector 1944828258">
                          <a:extLst>
                            <a:ext uri="{FF2B5EF4-FFF2-40B4-BE49-F238E27FC236}">
                              <a16:creationId xmlns:a16="http://schemas.microsoft.com/office/drawing/2014/main" id="{0E0B5826-6325-9391-540E-78C0E105380A}"/>
                            </a:ext>
                          </a:extLst>
                        </wps:cNvPr>
                        <wps:cNvCnPr>
                          <a:cxnSpLocks/>
                          <a:stCxn id="732718839" idx="6"/>
                          <a:endCxn id="1566588242" idx="2"/>
                        </wps:cNvCnPr>
                        <wps:spPr>
                          <a:xfrm>
                            <a:off x="3959146" y="711376"/>
                            <a:ext cx="825038" cy="55080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115063097" name="Straight Arrow Connector 2115063097">
                          <a:extLst>
                            <a:ext uri="{FF2B5EF4-FFF2-40B4-BE49-F238E27FC236}">
                              <a16:creationId xmlns:a16="http://schemas.microsoft.com/office/drawing/2014/main" id="{CE88552E-3270-437E-FA04-2B8B779AA0F9}"/>
                            </a:ext>
                          </a:extLst>
                        </wps:cNvPr>
                        <wps:cNvCnPr>
                          <a:cxnSpLocks/>
                          <a:stCxn id="1412682876" idx="6"/>
                          <a:endCxn id="1566588242" idx="2"/>
                        </wps:cNvCnPr>
                        <wps:spPr>
                          <a:xfrm flipV="1">
                            <a:off x="3857862" y="1262183"/>
                            <a:ext cx="926322" cy="34031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262992508" name="TextBox 138">
                          <a:extLst>
                            <a:ext uri="{FF2B5EF4-FFF2-40B4-BE49-F238E27FC236}">
                              <a16:creationId xmlns:a16="http://schemas.microsoft.com/office/drawing/2014/main" id="{76837276-2AA2-8685-6E2F-788BA66005E4}"/>
                            </a:ext>
                          </a:extLst>
                        </wps:cNvPr>
                        <wps:cNvSpPr txBox="1"/>
                        <wps:spPr>
                          <a:xfrm>
                            <a:off x="1949433" y="936511"/>
                            <a:ext cx="411505" cy="361979"/>
                          </a:xfrm>
                          <a:prstGeom prst="rect">
                            <a:avLst/>
                          </a:prstGeom>
                          <a:noFill/>
                        </wps:spPr>
                        <wps:txbx>
                          <w:txbxContent>
                            <w:p w14:paraId="21733426"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H1</w:t>
                              </w:r>
                            </w:p>
                          </w:txbxContent>
                        </wps:txbx>
                        <wps:bodyPr wrap="square" rtlCol="0">
                          <a:noAutofit/>
                        </wps:bodyPr>
                      </wps:wsp>
                      <wps:wsp>
                        <wps:cNvPr id="405258834" name="TextBox 139">
                          <a:extLst>
                            <a:ext uri="{FF2B5EF4-FFF2-40B4-BE49-F238E27FC236}">
                              <a16:creationId xmlns:a16="http://schemas.microsoft.com/office/drawing/2014/main" id="{FEAEAA41-0481-EE23-CB72-6D6C010BF6BA}"/>
                            </a:ext>
                          </a:extLst>
                        </wps:cNvPr>
                        <wps:cNvSpPr txBox="1"/>
                        <wps:spPr>
                          <a:xfrm>
                            <a:off x="1669762" y="759377"/>
                            <a:ext cx="478819" cy="361979"/>
                          </a:xfrm>
                          <a:prstGeom prst="rect">
                            <a:avLst/>
                          </a:prstGeom>
                          <a:noFill/>
                        </wps:spPr>
                        <wps:txbx>
                          <w:txbxContent>
                            <w:p w14:paraId="5BA46215"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H2</w:t>
                              </w:r>
                            </w:p>
                          </w:txbxContent>
                        </wps:txbx>
                        <wps:bodyPr wrap="square" rtlCol="0">
                          <a:noAutofit/>
                        </wps:bodyPr>
                      </wps:wsp>
                      <wps:wsp>
                        <wps:cNvPr id="1293403726" name="TextBox 140">
                          <a:extLst>
                            <a:ext uri="{FF2B5EF4-FFF2-40B4-BE49-F238E27FC236}">
                              <a16:creationId xmlns:a16="http://schemas.microsoft.com/office/drawing/2014/main" id="{8181F519-7B04-D7B5-86BE-B0D95DA29B38}"/>
                            </a:ext>
                          </a:extLst>
                        </wps:cNvPr>
                        <wps:cNvSpPr txBox="1"/>
                        <wps:spPr>
                          <a:xfrm>
                            <a:off x="1447456" y="1325412"/>
                            <a:ext cx="422301" cy="361979"/>
                          </a:xfrm>
                          <a:prstGeom prst="rect">
                            <a:avLst/>
                          </a:prstGeom>
                          <a:noFill/>
                        </wps:spPr>
                        <wps:txbx>
                          <w:txbxContent>
                            <w:p w14:paraId="4C539605"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H3</w:t>
                              </w:r>
                            </w:p>
                          </w:txbxContent>
                        </wps:txbx>
                        <wps:bodyPr wrap="square" rtlCol="0">
                          <a:noAutofit/>
                        </wps:bodyPr>
                      </wps:wsp>
                      <wps:wsp>
                        <wps:cNvPr id="1093649890" name="TextBox 141">
                          <a:extLst>
                            <a:ext uri="{FF2B5EF4-FFF2-40B4-BE49-F238E27FC236}">
                              <a16:creationId xmlns:a16="http://schemas.microsoft.com/office/drawing/2014/main" id="{BFE5E064-F87F-D4C2-A61E-9B68E501DB55}"/>
                            </a:ext>
                          </a:extLst>
                        </wps:cNvPr>
                        <wps:cNvSpPr txBox="1"/>
                        <wps:spPr>
                          <a:xfrm>
                            <a:off x="1922119" y="1346355"/>
                            <a:ext cx="438812" cy="361979"/>
                          </a:xfrm>
                          <a:prstGeom prst="rect">
                            <a:avLst/>
                          </a:prstGeom>
                          <a:noFill/>
                        </wps:spPr>
                        <wps:txbx>
                          <w:txbxContent>
                            <w:p w14:paraId="3DAF2837"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H4</w:t>
                              </w:r>
                            </w:p>
                          </w:txbxContent>
                        </wps:txbx>
                        <wps:bodyPr wrap="square" rtlCol="0">
                          <a:noAutofit/>
                        </wps:bodyPr>
                      </wps:wsp>
                      <wps:wsp>
                        <wps:cNvPr id="280483661" name="TextBox 142">
                          <a:extLst>
                            <a:ext uri="{FF2B5EF4-FFF2-40B4-BE49-F238E27FC236}">
                              <a16:creationId xmlns:a16="http://schemas.microsoft.com/office/drawing/2014/main" id="{B9FC7A29-976C-FF56-E334-F1CE43DEC900}"/>
                            </a:ext>
                          </a:extLst>
                        </wps:cNvPr>
                        <wps:cNvSpPr txBox="1"/>
                        <wps:spPr>
                          <a:xfrm>
                            <a:off x="4081700" y="590573"/>
                            <a:ext cx="438812" cy="361979"/>
                          </a:xfrm>
                          <a:prstGeom prst="rect">
                            <a:avLst/>
                          </a:prstGeom>
                          <a:noFill/>
                        </wps:spPr>
                        <wps:txbx>
                          <w:txbxContent>
                            <w:p w14:paraId="03A69D20"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H5</w:t>
                              </w:r>
                            </w:p>
                          </w:txbxContent>
                        </wps:txbx>
                        <wps:bodyPr wrap="square" rtlCol="0">
                          <a:noAutofit/>
                        </wps:bodyPr>
                      </wps:wsp>
                      <wps:wsp>
                        <wps:cNvPr id="953295911" name="TextBox 143">
                          <a:extLst>
                            <a:ext uri="{FF2B5EF4-FFF2-40B4-BE49-F238E27FC236}">
                              <a16:creationId xmlns:a16="http://schemas.microsoft.com/office/drawing/2014/main" id="{BA1F3D9D-A8AB-37DB-B79E-D29D622EA7D4}"/>
                            </a:ext>
                          </a:extLst>
                        </wps:cNvPr>
                        <wps:cNvSpPr txBox="1"/>
                        <wps:spPr>
                          <a:xfrm>
                            <a:off x="4000587" y="1890572"/>
                            <a:ext cx="417856" cy="361979"/>
                          </a:xfrm>
                          <a:prstGeom prst="rect">
                            <a:avLst/>
                          </a:prstGeom>
                          <a:noFill/>
                        </wps:spPr>
                        <wps:txbx>
                          <w:txbxContent>
                            <w:p w14:paraId="29E6919E"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H6</w:t>
                              </w:r>
                            </w:p>
                          </w:txbxContent>
                        </wps:txbx>
                        <wps:bodyPr wrap="square" rtlCol="0">
                          <a:noAutofit/>
                        </wps:bodyPr>
                      </wps:wsp>
                      <wps:wsp>
                        <wps:cNvPr id="1388112442" name="TextBox 144">
                          <a:extLst>
                            <a:ext uri="{FF2B5EF4-FFF2-40B4-BE49-F238E27FC236}">
                              <a16:creationId xmlns:a16="http://schemas.microsoft.com/office/drawing/2014/main" id="{90F658F3-3867-218B-BD9B-44F317948F78}"/>
                            </a:ext>
                          </a:extLst>
                        </wps:cNvPr>
                        <wps:cNvSpPr txBox="1"/>
                        <wps:spPr>
                          <a:xfrm>
                            <a:off x="4002960" y="1375244"/>
                            <a:ext cx="463579" cy="361979"/>
                          </a:xfrm>
                          <a:prstGeom prst="rect">
                            <a:avLst/>
                          </a:prstGeom>
                          <a:noFill/>
                        </wps:spPr>
                        <wps:txbx>
                          <w:txbxContent>
                            <w:p w14:paraId="0D6D2EB2"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H7</w:t>
                              </w:r>
                            </w:p>
                          </w:txbxContent>
                        </wps:txbx>
                        <wps:bodyPr wrap="square" rtlCol="0">
                          <a:noAutofit/>
                        </wps:bodyPr>
                      </wps:wsp>
                      <wps:wsp>
                        <wps:cNvPr id="729820442" name="Rectangle 729820442">
                          <a:extLst>
                            <a:ext uri="{FF2B5EF4-FFF2-40B4-BE49-F238E27FC236}">
                              <a16:creationId xmlns:a16="http://schemas.microsoft.com/office/drawing/2014/main" id="{83A13760-059F-D6DB-C5B2-5109F074BAE5}"/>
                            </a:ext>
                          </a:extLst>
                        </wps:cNvPr>
                        <wps:cNvSpPr/>
                        <wps:spPr>
                          <a:xfrm>
                            <a:off x="2388218" y="240706"/>
                            <a:ext cx="4101246" cy="2260121"/>
                          </a:xfrm>
                          <a:prstGeom prst="rect">
                            <a:avLst/>
                          </a:prstGeom>
                          <a:noFill/>
                          <a:ln w="3175">
                            <a:solidFill>
                              <a:schemeClr val="bg1"/>
                            </a:solidFill>
                            <a:prstDash val="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397725" name="TextBox 158">
                          <a:extLst>
                            <a:ext uri="{FF2B5EF4-FFF2-40B4-BE49-F238E27FC236}">
                              <a16:creationId xmlns:a16="http://schemas.microsoft.com/office/drawing/2014/main" id="{1CFD202E-08A4-CE03-FB85-A8F2A63E25F8}"/>
                            </a:ext>
                          </a:extLst>
                        </wps:cNvPr>
                        <wps:cNvSpPr txBox="1"/>
                        <wps:spPr>
                          <a:xfrm>
                            <a:off x="2454143" y="286690"/>
                            <a:ext cx="3946982" cy="2145126"/>
                          </a:xfrm>
                          <a:prstGeom prst="rect">
                            <a:avLst/>
                          </a:prstGeom>
                          <a:noFill/>
                          <a:ln w="28575">
                            <a:solidFill>
                              <a:schemeClr val="tx1"/>
                            </a:solidFill>
                            <a:prstDash val="sysDash"/>
                          </a:ln>
                        </wps:spPr>
                        <wps:bodyPr wrap="square" rtlCol="0">
                          <a:noAutofit/>
                        </wps:bodyPr>
                      </wps:wsp>
                      <wps:wsp>
                        <wps:cNvPr id="1713039475" name="TextBox 159">
                          <a:extLst>
                            <a:ext uri="{FF2B5EF4-FFF2-40B4-BE49-F238E27FC236}">
                              <a16:creationId xmlns:a16="http://schemas.microsoft.com/office/drawing/2014/main" id="{547ED561-B7A8-6D92-E7C5-20CCA5F9E8B8}"/>
                            </a:ext>
                          </a:extLst>
                        </wps:cNvPr>
                        <wps:cNvSpPr txBox="1"/>
                        <wps:spPr>
                          <a:xfrm>
                            <a:off x="2761697" y="0"/>
                            <a:ext cx="2619258" cy="361950"/>
                          </a:xfrm>
                          <a:prstGeom prst="rect">
                            <a:avLst/>
                          </a:prstGeom>
                          <a:noFill/>
                        </wps:spPr>
                        <wps:txbx>
                          <w:txbxContent>
                            <w:p w14:paraId="30A52367" w14:textId="77777777" w:rsidR="00532A2C" w:rsidRDefault="00532A2C" w:rsidP="0014263C">
                              <w:pPr>
                                <w:rPr>
                                  <w:rFonts w:ascii="Arial" w:hAnsi="Arial" w:cs="Arial"/>
                                  <w:b/>
                                  <w:bCs/>
                                  <w:color w:val="000000" w:themeColor="text1"/>
                                  <w:kern w:val="24"/>
                                  <w:sz w:val="20"/>
                                  <w:szCs w:val="20"/>
                                  <w14:ligatures w14:val="none"/>
                                </w:rPr>
                              </w:pPr>
                              <w:r>
                                <w:rPr>
                                  <w:rFonts w:ascii="Arial" w:hAnsi="Arial" w:cs="Arial"/>
                                  <w:b/>
                                  <w:bCs/>
                                  <w:color w:val="000000" w:themeColor="text1"/>
                                  <w:kern w:val="24"/>
                                  <w:sz w:val="20"/>
                                  <w:szCs w:val="20"/>
                                </w:rPr>
                                <w:t>Environmental Risk Management</w:t>
                              </w:r>
                            </w:p>
                          </w:txbxContent>
                        </wps:txbx>
                        <wps:bodyPr wrap="square" rtlCol="0">
                          <a:noAutofit/>
                        </wps:bodyPr>
                      </wps:wsp>
                    </wpg:wgp>
                  </a:graphicData>
                </a:graphic>
                <wp14:sizeRelH relativeFrom="margin">
                  <wp14:pctWidth>0</wp14:pctWidth>
                </wp14:sizeRelH>
              </wp:anchor>
            </w:drawing>
          </mc:Choice>
          <mc:Fallback>
            <w:pict>
              <v:group w14:anchorId="42CFACA7" id="Group 160" o:spid="_x0000_s1026" style="position:absolute;left:0;text-align:left;margin-left:0;margin-top:17.5pt;width:463.5pt;height:196.9pt;z-index:251659264;mso-width-relative:margin" coordsize="64894,25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">
                <v:oval id="Oval 305643698" o:spid="_x0000_s1027" style="position:absolute;top:8676;width:16169;height:6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" fillcolor="white [3201]" strokecolor="black [3200]" strokeweight="1pt">
                  <v:stroke joinstyle="miter"/>
                  <v:textbox>
                    <w:txbxContent>
                      <w:p w14:paraId="67A8D41D" w14:textId="77777777" w:rsidR="00532A2C" w:rsidRPr="006F63A2" w:rsidRDefault="00532A2C" w:rsidP="0014263C">
                        <w:pPr>
                          <w:jc w:val="center"/>
                          <w:rPr>
                            <w:rFonts w:ascii="Arial" w:hAnsi="Arial" w:cs="Arial"/>
                            <w:b/>
                            <w:bCs/>
                            <w:color w:val="000000" w:themeColor="dark1"/>
                            <w:kern w:val="24"/>
                            <w:sz w:val="20"/>
                            <w:szCs w:val="20"/>
                            <w14:ligatures w14:val="none"/>
                          </w:rPr>
                        </w:pPr>
                        <w:r w:rsidRPr="006F63A2">
                          <w:rPr>
                            <w:rFonts w:ascii="Arial" w:hAnsi="Arial" w:cs="Arial"/>
                            <w:b/>
                            <w:bCs/>
                            <w:color w:val="000000" w:themeColor="dark1"/>
                            <w:kern w:val="24"/>
                            <w:sz w:val="20"/>
                            <w:szCs w:val="20"/>
                          </w:rPr>
                          <w:t>Organisation Safety culture</w:t>
                        </w:r>
                      </w:p>
                    </w:txbxContent>
                  </v:textbox>
                </v:oval>
                <v:oval id="Oval 1412682876" o:spid="_x0000_s1028" style="position:absolute;left:24539;top:13144;width:14039;height:5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" fillcolor="white [3201]" strokecolor="black [3200]" strokeweight="1pt">
                  <v:stroke joinstyle="miter"/>
                  <v:textbox>
                    <w:txbxContent>
                      <w:p w14:paraId="52DE54A5" w14:textId="77777777" w:rsidR="00532A2C" w:rsidRPr="002D60B3" w:rsidRDefault="00532A2C" w:rsidP="00A24C4A">
                        <w:pPr>
                          <w:jc w:val="center"/>
                          <w:rPr>
                            <w:rFonts w:ascii="Arial" w:hAnsi="Arial" w:cs="Arial"/>
                            <w:b/>
                            <w:bCs/>
                            <w:color w:val="000000" w:themeColor="dark1"/>
                            <w:kern w:val="24"/>
                            <w:sz w:val="18"/>
                            <w:szCs w:val="18"/>
                            <w14:ligatures w14:val="none"/>
                          </w:rPr>
                        </w:pPr>
                        <w:r w:rsidRPr="002D60B3">
                          <w:rPr>
                            <w:rFonts w:ascii="Arial" w:hAnsi="Arial" w:cs="Arial"/>
                            <w:b/>
                            <w:bCs/>
                            <w:color w:val="000000" w:themeColor="dark1"/>
                            <w:kern w:val="24"/>
                            <w:sz w:val="18"/>
                            <w:szCs w:val="18"/>
                          </w:rPr>
                          <w:t>Ease of Detection</w:t>
                        </w:r>
                      </w:p>
                    </w:txbxContent>
                  </v:textbox>
                </v:oval>
                <v:oval id="Oval 1606285525" o:spid="_x0000_s1029" style="position:absolute;left:25254;top:19385;width:14113;height:3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" fillcolor="white [3201]" strokecolor="black [3200]" strokeweight="1pt">
                  <v:stroke joinstyle="miter"/>
                  <v:textbox>
                    <w:txbxContent>
                      <w:p w14:paraId="36621E4D" w14:textId="77777777" w:rsidR="00532A2C" w:rsidRPr="006F63A2" w:rsidRDefault="00532A2C" w:rsidP="0014263C">
                        <w:pPr>
                          <w:jc w:val="center"/>
                          <w:rPr>
                            <w:rFonts w:ascii="Arial" w:hAnsi="Arial" w:cs="Arial"/>
                            <w:b/>
                            <w:bCs/>
                            <w:color w:val="000000" w:themeColor="dark1"/>
                            <w:kern w:val="24"/>
                            <w:sz w:val="20"/>
                            <w:szCs w:val="20"/>
                            <w14:ligatures w14:val="none"/>
                          </w:rPr>
                        </w:pPr>
                        <w:r w:rsidRPr="006F63A2">
                          <w:rPr>
                            <w:rFonts w:ascii="Arial" w:hAnsi="Arial" w:cs="Arial"/>
                            <w:b/>
                            <w:bCs/>
                            <w:color w:val="000000" w:themeColor="dark1"/>
                            <w:kern w:val="24"/>
                            <w:sz w:val="20"/>
                            <w:szCs w:val="20"/>
                          </w:rPr>
                          <w:t>Frequency</w:t>
                        </w:r>
                      </w:p>
                    </w:txbxContent>
                  </v:textbox>
                </v:oval>
                <v:oval id="Oval 732718839" o:spid="_x0000_s1030" style="position:absolute;left:25029;top:5063;width:14562;height:4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" fillcolor="white [3201]" strokecolor="black [3200]" strokeweight="1pt">
                  <v:stroke joinstyle="miter"/>
                  <v:textbox>
                    <w:txbxContent>
                      <w:p w14:paraId="6D313A13" w14:textId="77777777" w:rsidR="00532A2C" w:rsidRPr="006F63A2" w:rsidRDefault="00532A2C" w:rsidP="0014263C">
                        <w:pPr>
                          <w:jc w:val="center"/>
                          <w:rPr>
                            <w:rFonts w:ascii="Arial" w:hAnsi="Arial" w:cs="Arial"/>
                            <w:b/>
                            <w:bCs/>
                            <w:color w:val="000000" w:themeColor="dark1"/>
                            <w:kern w:val="24"/>
                            <w:sz w:val="20"/>
                            <w:szCs w:val="20"/>
                            <w14:ligatures w14:val="none"/>
                          </w:rPr>
                        </w:pPr>
                        <w:r w:rsidRPr="006F63A2">
                          <w:rPr>
                            <w:rFonts w:ascii="Arial" w:hAnsi="Arial" w:cs="Arial"/>
                            <w:b/>
                            <w:bCs/>
                            <w:color w:val="000000" w:themeColor="dark1"/>
                            <w:kern w:val="24"/>
                            <w:sz w:val="20"/>
                            <w:szCs w:val="20"/>
                          </w:rPr>
                          <w:t>Severity</w:t>
                        </w:r>
                        <w:r w:rsidRPr="006F63A2">
                          <w:rPr>
                            <w:rFonts w:hAnsi="Aptos"/>
                            <w:b/>
                            <w:bCs/>
                            <w:color w:val="000000" w:themeColor="dark1"/>
                            <w:kern w:val="24"/>
                            <w:sz w:val="20"/>
                            <w:szCs w:val="20"/>
                          </w:rPr>
                          <w:t xml:space="preserve"> </w:t>
                        </w:r>
                      </w:p>
                    </w:txbxContent>
                  </v:textbox>
                </v:oval>
                <v:oval id="Oval 1566588242" o:spid="_x0000_s1031" style="position:absolute;left:47841;top:8369;width:16105;height:8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" fillcolor="white [3201]" strokecolor="black [3200]" strokeweight="1pt">
                  <v:stroke joinstyle="miter"/>
                  <v:textbox>
                    <w:txbxContent>
                      <w:p w14:paraId="148DDD65" w14:textId="77777777" w:rsidR="00532A2C" w:rsidRPr="006F63A2" w:rsidRDefault="00532A2C" w:rsidP="0014263C">
                        <w:pPr>
                          <w:jc w:val="center"/>
                          <w:rPr>
                            <w:rFonts w:ascii="Arial" w:hAnsi="Arial" w:cs="Arial"/>
                            <w:b/>
                            <w:bCs/>
                            <w:color w:val="000000" w:themeColor="dark1"/>
                            <w:kern w:val="24"/>
                            <w14:ligatures w14:val="none"/>
                          </w:rPr>
                        </w:pPr>
                        <w:r w:rsidRPr="006F63A2">
                          <w:rPr>
                            <w:rFonts w:ascii="Arial" w:hAnsi="Arial" w:cs="Arial"/>
                            <w:b/>
                            <w:bCs/>
                            <w:color w:val="000000" w:themeColor="dark1"/>
                            <w:kern w:val="24"/>
                            <w:sz w:val="20"/>
                            <w:szCs w:val="20"/>
                          </w:rPr>
                          <w:t>Risk Mitigation</w:t>
                        </w:r>
                        <w:r w:rsidRPr="006F63A2">
                          <w:rPr>
                            <w:rFonts w:ascii="Arial" w:hAnsi="Arial" w:cs="Arial"/>
                            <w:b/>
                            <w:bCs/>
                            <w:color w:val="000000" w:themeColor="dark1"/>
                            <w:kern w:val="24"/>
                          </w:rPr>
                          <w:t xml:space="preserve"> </w:t>
                        </w:r>
                        <w:r w:rsidRPr="006F63A2">
                          <w:rPr>
                            <w:rFonts w:ascii="Arial" w:hAnsi="Arial" w:cs="Arial"/>
                            <w:b/>
                            <w:bCs/>
                            <w:color w:val="000000" w:themeColor="dark1"/>
                            <w:kern w:val="24"/>
                            <w:sz w:val="20"/>
                            <w:szCs w:val="20"/>
                          </w:rPr>
                          <w:t>Strategy</w:t>
                        </w:r>
                      </w:p>
                    </w:txbxContent>
                  </v:textbox>
                </v:oval>
                <v:shapetype id="_x0000_t32" coordsize="21600,21600" o:spt="32" o:oned="t" path="m,l21600,21600e" filled="f">
                  <v:path arrowok="t" fillok="f" o:connecttype="none"/>
                  <o:lock v:ext="edit" shapetype="t"/>
                </v:shapetype>
                <v:shape id="Straight Arrow Connector 879963211" o:spid="_x0000_s1032" type="#_x0000_t32" style="position:absolute;left:16169;top:11790;width:31672;height:8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" strokecolor="black [3200]" strokeweight="1pt">
                  <v:stroke endarrow="block" joinstyle="miter"/>
                  <o:lock v:ext="edit" shapetype="f"/>
                </v:shape>
                <v:shape id="Straight Arrow Connector 1654234350" o:spid="_x0000_s1033" type="#_x0000_t32" style="position:absolute;left:16169;top:7113;width:8860;height:46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" strokecolor="black [3200]" strokeweight="1pt">
                  <v:stroke endarrow="block" joinstyle="miter"/>
                  <o:lock v:ext="edit" shapetype="f"/>
                </v:shape>
                <v:shape id="Straight Arrow Connector 313134041" o:spid="_x0000_s1034" type="#_x0000_t32" style="position:absolute;left:16169;top:11790;width:8370;height:42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" strokecolor="black [3200]" strokeweight="1pt">
                  <v:stroke endarrow="block" joinstyle="miter"/>
                  <o:lock v:ext="edit" shapetype="f"/>
                </v:shape>
                <v:shape id="Straight Arrow Connector 235213440" o:spid="_x0000_s1035" type="#_x0000_t32" style="position:absolute;left:16169;top:11790;width:9085;height:95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" strokecolor="black [3200]" strokeweight="1pt">
                  <v:stroke endarrow="block" joinstyle="miter"/>
                  <o:lock v:ext="edit" shapetype="f"/>
                </v:shape>
                <v:shape id="Straight Arrow Connector 1794156770" o:spid="_x0000_s1036" type="#_x0000_t32" style="position:absolute;left:39367;top:12621;width:8474;height:87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" strokecolor="black [3200]" strokeweight="1pt">
                  <v:stroke endarrow="block" joinstyle="miter"/>
                  <o:lock v:ext="edit" shapetype="f"/>
                </v:shape>
                <v:shape id="Straight Arrow Connector 1944828258" o:spid="_x0000_s1037" type="#_x0000_t32" style="position:absolute;left:39591;top:7113;width:8250;height:5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" strokecolor="black [3200]" strokeweight="1pt">
                  <v:stroke endarrow="block" joinstyle="miter"/>
                  <o:lock v:ext="edit" shapetype="f"/>
                </v:shape>
                <v:shape id="Straight Arrow Connector 2115063097" o:spid="_x0000_s1038" type="#_x0000_t32" style="position:absolute;left:38578;top:12621;width:9263;height:34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" strokecolor="black [3200]" strokeweight="1pt">
                  <v:stroke endarrow="block" joinstyle="miter"/>
                  <o:lock v:ext="edit" shapetype="f"/>
                </v:shape>
                <v:shapetype id="_x0000_t202" coordsize="21600,21600" o:spt="202" path="m,l,21600r21600,l21600,xe">
                  <v:stroke joinstyle="miter"/>
                  <v:path gradientshapeok="t" o:connecttype="rect"/>
                </v:shapetype>
                <v:shape id="TextBox 138" o:spid="_x0000_s1039" type="#_x0000_t202" style="position:absolute;left:19494;top:9365;width:4115;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" filled="f" stroked="f">
                  <v:textbox>
                    <w:txbxContent>
                      <w:p w14:paraId="21733426"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H1</w:t>
                        </w:r>
                      </w:p>
                    </w:txbxContent>
                  </v:textbox>
                </v:shape>
                <v:shape id="TextBox 139" o:spid="_x0000_s1040" type="#_x0000_t202" style="position:absolute;left:16697;top:7593;width:478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" filled="f" stroked="f">
                  <v:textbox>
                    <w:txbxContent>
                      <w:p w14:paraId="5BA46215"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H2</w:t>
                        </w:r>
                      </w:p>
                    </w:txbxContent>
                  </v:textbox>
                </v:shape>
                <v:shape id="TextBox 140" o:spid="_x0000_s1041" type="#_x0000_t202" style="position:absolute;left:14474;top:13254;width:42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" filled="f" stroked="f">
                  <v:textbox>
                    <w:txbxContent>
                      <w:p w14:paraId="4C539605"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H3</w:t>
                        </w:r>
                      </w:p>
                    </w:txbxContent>
                  </v:textbox>
                </v:shape>
                <v:shape id="TextBox 141" o:spid="_x0000_s1042" type="#_x0000_t202" style="position:absolute;left:19221;top:13463;width:438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" filled="f" stroked="f">
                  <v:textbox>
                    <w:txbxContent>
                      <w:p w14:paraId="3DAF2837"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H4</w:t>
                        </w:r>
                      </w:p>
                    </w:txbxContent>
                  </v:textbox>
                </v:shape>
                <v:shape id="TextBox 142" o:spid="_x0000_s1043" type="#_x0000_t202" style="position:absolute;left:40817;top:5905;width:438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" filled="f" stroked="f">
                  <v:textbox>
                    <w:txbxContent>
                      <w:p w14:paraId="03A69D20"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H5</w:t>
                        </w:r>
                      </w:p>
                    </w:txbxContent>
                  </v:textbox>
                </v:shape>
                <v:shape id="TextBox 143" o:spid="_x0000_s1044" type="#_x0000_t202" style="position:absolute;left:40005;top:18905;width:4179;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" filled="f" stroked="f">
                  <v:textbox>
                    <w:txbxContent>
                      <w:p w14:paraId="29E6919E"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H6</w:t>
                        </w:r>
                      </w:p>
                    </w:txbxContent>
                  </v:textbox>
                </v:shape>
                <v:shape id="TextBox 144" o:spid="_x0000_s1045" type="#_x0000_t202" style="position:absolute;left:40029;top:13752;width:4636;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" filled="f" stroked="f">
                  <v:textbox>
                    <w:txbxContent>
                      <w:p w14:paraId="0D6D2EB2" w14:textId="77777777" w:rsidR="00532A2C" w:rsidRPr="00AD557F" w:rsidRDefault="00532A2C" w:rsidP="0014263C">
                        <w:pPr>
                          <w:rPr>
                            <w:rFonts w:ascii="Arial" w:hAnsi="Arial" w:cs="Arial"/>
                            <w:b/>
                            <w:bCs/>
                            <w:color w:val="000000" w:themeColor="text1"/>
                            <w:kern w:val="24"/>
                            <w:sz w:val="20"/>
                            <w:szCs w:val="20"/>
                            <w14:ligatures w14:val="none"/>
                          </w:rPr>
                        </w:pPr>
                        <w:r w:rsidRPr="00AD557F">
                          <w:rPr>
                            <w:rFonts w:ascii="Arial" w:hAnsi="Arial" w:cs="Arial"/>
                            <w:b/>
                            <w:bCs/>
                            <w:color w:val="000000" w:themeColor="text1"/>
                            <w:kern w:val="24"/>
                            <w:sz w:val="20"/>
                            <w:szCs w:val="20"/>
                          </w:rPr>
                          <w:t>H7</w:t>
                        </w:r>
                      </w:p>
                    </w:txbxContent>
                  </v:textbox>
                </v:shape>
                <v:rect id="Rectangle 729820442" o:spid="_x0000_s1046" style="position:absolute;left:23882;top:2407;width:41012;height:22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" filled="f" strokecolor="white [3212]" strokeweight=".25pt">
                  <v:stroke dashstyle="dash"/>
                </v:rect>
                <v:shape id="TextBox 158" o:spid="_x0000_s1047" type="#_x0000_t202" style="position:absolute;left:24541;top:2866;width:39470;height:21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" filled="f" strokecolor="black [3213]" strokeweight="2.25pt">
                  <v:stroke dashstyle="3 1"/>
                </v:shape>
                <v:shape id="TextBox 159" o:spid="_x0000_s1048" type="#_x0000_t202" style="position:absolute;left:27616;width:2619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" filled="f" stroked="f">
                  <v:textbox>
                    <w:txbxContent>
                      <w:p w14:paraId="30A52367" w14:textId="77777777" w:rsidR="00532A2C" w:rsidRDefault="00532A2C" w:rsidP="0014263C">
                        <w:pPr>
                          <w:rPr>
                            <w:rFonts w:ascii="Arial" w:hAnsi="Arial" w:cs="Arial"/>
                            <w:b/>
                            <w:bCs/>
                            <w:color w:val="000000" w:themeColor="text1"/>
                            <w:kern w:val="24"/>
                            <w:sz w:val="20"/>
                            <w:szCs w:val="20"/>
                            <w14:ligatures w14:val="none"/>
                          </w:rPr>
                        </w:pPr>
                        <w:r>
                          <w:rPr>
                            <w:rFonts w:ascii="Arial" w:hAnsi="Arial" w:cs="Arial"/>
                            <w:b/>
                            <w:bCs/>
                            <w:color w:val="000000" w:themeColor="text1"/>
                            <w:kern w:val="24"/>
                            <w:sz w:val="20"/>
                            <w:szCs w:val="20"/>
                          </w:rPr>
                          <w:t>Environmental Risk Management</w:t>
                        </w:r>
                      </w:p>
                    </w:txbxContent>
                  </v:textbox>
                </v:shape>
                <w10:wrap type="topAndBottom"/>
              </v:group>
            </w:pict>
          </mc:Fallback>
        </mc:AlternateContent>
      </w:r>
      <w:r w:rsidRPr="004F5836">
        <w:rPr>
          <w:noProof/>
          <w:lang w:eastAsia="en-GB"/>
        </w:rPr>
        <mc:AlternateContent>
          <mc:Choice Requires="wps">
            <w:drawing>
              <wp:anchor distT="0" distB="0" distL="114300" distR="114300" simplePos="0" relativeHeight="251660288" behindDoc="0" locked="0" layoutInCell="1" allowOverlap="1" wp14:anchorId="2F7AD7F0" wp14:editId="16BAE330">
                <wp:simplePos x="0" y="0"/>
                <wp:positionH relativeFrom="column">
                  <wp:posOffset>0</wp:posOffset>
                </wp:positionH>
                <wp:positionV relativeFrom="paragraph">
                  <wp:posOffset>2776855</wp:posOffset>
                </wp:positionV>
                <wp:extent cx="5886450" cy="635"/>
                <wp:effectExtent l="0" t="0" r="0" b="0"/>
                <wp:wrapNone/>
                <wp:docPr id="1303531755" name="Text Box 1"/>
                <wp:cNvGraphicFramePr/>
                <a:graphic xmlns:a="http://schemas.openxmlformats.org/drawingml/2006/main">
                  <a:graphicData uri="http://schemas.microsoft.com/office/word/2010/wordprocessingShape">
                    <wps:wsp>
                      <wps:cNvSpPr txBox="1"/>
                      <wps:spPr>
                        <a:xfrm>
                          <a:off x="0" y="0"/>
                          <a:ext cx="5886450" cy="635"/>
                        </a:xfrm>
                        <a:prstGeom prst="rect">
                          <a:avLst/>
                        </a:prstGeom>
                        <a:solidFill>
                          <a:prstClr val="white"/>
                        </a:solidFill>
                        <a:ln>
                          <a:noFill/>
                        </a:ln>
                      </wps:spPr>
                      <wps:txbx>
                        <w:txbxContent>
                          <w:p w14:paraId="4A4BFDDC" w14:textId="77777777" w:rsidR="00532A2C" w:rsidRPr="00A37A46" w:rsidRDefault="00532A2C" w:rsidP="00B7328B">
                            <w:pPr>
                              <w:pStyle w:val="Caption"/>
                              <w:rPr>
                                <w:noProof/>
                              </w:rPr>
                            </w:pPr>
                            <w:r>
                              <w:t>Figure 2: Conceptual framework for Environment risk Management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7AD7F0" id="Text Box 1" o:spid="_x0000_s1049" type="#_x0000_t202" style="position:absolute;left:0;text-align:left;margin-left:0;margin-top:218.65pt;width:463.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" stroked="f">
                <v:textbox style="mso-fit-shape-to-text:t" inset="0,0,0,0">
                  <w:txbxContent>
                    <w:p w14:paraId="4A4BFDDC" w14:textId="77777777" w:rsidR="00532A2C" w:rsidRPr="00A37A46" w:rsidRDefault="00532A2C" w:rsidP="00B7328B">
                      <w:pPr>
                        <w:pStyle w:val="Caption"/>
                        <w:rPr>
                          <w:noProof/>
                        </w:rPr>
                      </w:pPr>
                      <w:r>
                        <w:t>Figure 2: Conceptual framework for Environment risk Management</w:t>
                      </w:r>
                    </w:p>
                  </w:txbxContent>
                </v:textbox>
              </v:shape>
            </w:pict>
          </mc:Fallback>
        </mc:AlternateContent>
      </w:r>
      <w:r w:rsidRPr="004F5836">
        <w:rPr>
          <w:rFonts w:ascii="Arial" w:hAnsi="Arial" w:cs="Arial"/>
          <w:i/>
          <w:iCs/>
          <w:sz w:val="20"/>
          <w:szCs w:val="20"/>
        </w:rPr>
        <w:t xml:space="preserve"> </w:t>
      </w:r>
    </w:p>
    <w:p w14:paraId="0BD49965" w14:textId="77777777" w:rsidR="00971EE0" w:rsidRPr="004F5836" w:rsidRDefault="00971EE0" w:rsidP="00293F2B">
      <w:pPr>
        <w:spacing w:after="0" w:line="360" w:lineRule="auto"/>
        <w:jc w:val="both"/>
        <w:rPr>
          <w:rFonts w:ascii="Arial" w:hAnsi="Arial" w:cs="Arial"/>
          <w:i/>
          <w:iCs/>
          <w:sz w:val="20"/>
          <w:szCs w:val="20"/>
        </w:rPr>
      </w:pPr>
    </w:p>
    <w:p w14:paraId="760D5F53" w14:textId="77777777" w:rsidR="00971EE0" w:rsidRPr="004F5836" w:rsidRDefault="00971EE0" w:rsidP="00293F2B">
      <w:pPr>
        <w:spacing w:after="0" w:line="360" w:lineRule="auto"/>
        <w:jc w:val="both"/>
        <w:rPr>
          <w:rFonts w:ascii="Arial" w:hAnsi="Arial" w:cs="Arial"/>
          <w:i/>
          <w:iCs/>
          <w:sz w:val="20"/>
          <w:szCs w:val="20"/>
        </w:rPr>
      </w:pPr>
    </w:p>
    <w:p w14:paraId="7A0EF6B9" w14:textId="77777777" w:rsidR="00971EE0" w:rsidRPr="004F5836" w:rsidRDefault="00971EE0" w:rsidP="00293F2B">
      <w:pPr>
        <w:spacing w:after="0" w:line="360" w:lineRule="auto"/>
        <w:jc w:val="both"/>
        <w:rPr>
          <w:rFonts w:ascii="Arial" w:hAnsi="Arial" w:cs="Arial"/>
          <w:i/>
          <w:iCs/>
          <w:sz w:val="20"/>
          <w:szCs w:val="20"/>
        </w:rPr>
      </w:pPr>
    </w:p>
    <w:p w14:paraId="2B1C15EA" w14:textId="77777777" w:rsidR="00971EE0" w:rsidRPr="004F5836" w:rsidRDefault="00971EE0" w:rsidP="00293F2B">
      <w:pPr>
        <w:spacing w:after="0" w:line="360" w:lineRule="auto"/>
        <w:jc w:val="both"/>
        <w:rPr>
          <w:rFonts w:ascii="Arial" w:hAnsi="Arial" w:cs="Arial"/>
          <w:i/>
          <w:iCs/>
          <w:sz w:val="20"/>
          <w:szCs w:val="20"/>
        </w:rPr>
      </w:pPr>
    </w:p>
    <w:p w14:paraId="6F816B7A" w14:textId="77777777" w:rsidR="00971EE0" w:rsidRPr="004F5836" w:rsidRDefault="00971EE0" w:rsidP="00293F2B">
      <w:pPr>
        <w:pStyle w:val="Heading2"/>
        <w:spacing w:line="360" w:lineRule="auto"/>
        <w:jc w:val="both"/>
        <w:rPr>
          <w:rFonts w:ascii="Arial" w:hAnsi="Arial" w:cs="Arial"/>
          <w:b/>
          <w:bCs/>
          <w:color w:val="auto"/>
          <w:sz w:val="24"/>
          <w:szCs w:val="24"/>
        </w:rPr>
      </w:pPr>
      <w:r w:rsidRPr="004F5836">
        <w:rPr>
          <w:rFonts w:ascii="Arial" w:hAnsi="Arial" w:cs="Arial"/>
          <w:b/>
          <w:bCs/>
          <w:color w:val="auto"/>
          <w:sz w:val="24"/>
          <w:szCs w:val="24"/>
        </w:rPr>
        <w:t xml:space="preserve">3.0 Research Methodology </w:t>
      </w:r>
    </w:p>
    <w:p w14:paraId="06422E2E" w14:textId="3FB700CF" w:rsidR="000050C9" w:rsidRPr="004F5836" w:rsidRDefault="00FC2307" w:rsidP="00293F2B">
      <w:pPr>
        <w:spacing w:after="0" w:line="360" w:lineRule="auto"/>
        <w:jc w:val="both"/>
        <w:rPr>
          <w:rFonts w:ascii="Arial" w:hAnsi="Arial" w:cs="Arial"/>
          <w:sz w:val="20"/>
          <w:szCs w:val="20"/>
        </w:rPr>
      </w:pPr>
      <w:r w:rsidRPr="004F5836">
        <w:rPr>
          <w:rFonts w:ascii="Arial" w:hAnsi="Arial" w:cs="Arial"/>
          <w:sz w:val="20"/>
          <w:szCs w:val="20"/>
        </w:rPr>
        <w:t>This study is explanatory and seeks to develop insights into the notion of environmental risk management process using failure mode effect analysis through a conceptual framework.</w:t>
      </w:r>
      <w:r w:rsidR="000050C9" w:rsidRPr="004F5836">
        <w:rPr>
          <w:rFonts w:ascii="Arial" w:hAnsi="Arial" w:cs="Arial"/>
          <w:sz w:val="20"/>
          <w:szCs w:val="20"/>
        </w:rPr>
        <w:t xml:space="preserve"> It also applies well-established tools and techniques to come up with generalisable answers about how organisational safety culture impacts environmental risk management, albeit without the use of hypothesis testing. </w:t>
      </w:r>
      <w:r w:rsidRPr="004F5836">
        <w:rPr>
          <w:rFonts w:ascii="Arial" w:hAnsi="Arial" w:cs="Arial"/>
          <w:sz w:val="20"/>
          <w:szCs w:val="20"/>
        </w:rPr>
        <w:t>Owing to this methodological orientation, the research was designed using data collection methods for the analysis.</w:t>
      </w:r>
      <w:r w:rsidR="000050C9" w:rsidRPr="004F5836">
        <w:rPr>
          <w:rFonts w:ascii="Arial" w:hAnsi="Arial" w:cs="Arial"/>
          <w:sz w:val="20"/>
          <w:szCs w:val="20"/>
        </w:rPr>
        <w:t xml:space="preserve"> </w:t>
      </w:r>
      <w:r w:rsidRPr="004F5836">
        <w:rPr>
          <w:rFonts w:ascii="Arial" w:hAnsi="Arial" w:cs="Arial"/>
          <w:sz w:val="20"/>
          <w:szCs w:val="20"/>
        </w:rPr>
        <w:t>The conceptual framework provided a structure for the formulation of the data collection and analysis processes of an empirical study to achieve the research objectives.</w:t>
      </w:r>
    </w:p>
    <w:p w14:paraId="3C1DDE10" w14:textId="77777777" w:rsidR="000050C9" w:rsidRPr="004F5836" w:rsidRDefault="000050C9" w:rsidP="00293F2B">
      <w:pPr>
        <w:spacing w:after="0" w:line="360" w:lineRule="auto"/>
        <w:jc w:val="both"/>
        <w:rPr>
          <w:rFonts w:ascii="Arial" w:hAnsi="Arial" w:cs="Arial"/>
          <w:sz w:val="20"/>
          <w:szCs w:val="20"/>
        </w:rPr>
      </w:pPr>
    </w:p>
    <w:p w14:paraId="2CE2BF68" w14:textId="5A3E0982" w:rsidR="000050C9" w:rsidRPr="004F5836" w:rsidRDefault="00FC2307" w:rsidP="00293F2B">
      <w:pPr>
        <w:spacing w:after="0" w:line="360" w:lineRule="auto"/>
        <w:jc w:val="both"/>
        <w:rPr>
          <w:rFonts w:ascii="Arial" w:hAnsi="Arial" w:cs="Arial"/>
          <w:sz w:val="20"/>
          <w:szCs w:val="20"/>
        </w:rPr>
      </w:pPr>
      <w:r w:rsidRPr="004F5836">
        <w:rPr>
          <w:rFonts w:ascii="Arial" w:hAnsi="Arial" w:cs="Arial"/>
          <w:sz w:val="20"/>
          <w:szCs w:val="20"/>
        </w:rPr>
        <w:t>This study aimed to rate and characterise the organisational safety culture of oil and gas companies within the Nigerian environment and its impact on environmental risk management.</w:t>
      </w:r>
      <w:r w:rsidR="000050C9" w:rsidRPr="004F5836">
        <w:rPr>
          <w:rFonts w:ascii="Arial" w:hAnsi="Arial" w:cs="Arial"/>
          <w:sz w:val="20"/>
          <w:szCs w:val="20"/>
        </w:rPr>
        <w:t xml:space="preserve"> The principal research question was directed at establishing the perception that stakeholders in the oil and gas supply chain behave in an unsafe manner, despite the existing rules, processes, and procedures in place. Therefore, quantitative data are required to examine the central proposition of the behaviour of oil and gas supply chain companies. The choice of a quantitative method is supported by Creswell (2009), who contends that the quantitative method is useful for testing theories and identifying variables in a study by utilising surveys and experiments with outputs being numerical or statistical in nature. The advantage of using a quantitative research method is that it allows for objective measures and numerical analysis of data, thereby facilitating the comparison, aggregation of data, generalisation, and deduction of relationships (Yilmaz 2013). Questionnaires (closed-ended questions) were used to obtain numeric data for statistical analysis to achieve the objectives of the study. The questionnaire, developed through a detailed literature review of relevant literature, contained questions on safety behaviour and culture using attributes of high-reliability organisations.</w:t>
      </w:r>
    </w:p>
    <w:p w14:paraId="13801F12" w14:textId="77777777" w:rsidR="000050C9" w:rsidRPr="004F5836" w:rsidRDefault="000050C9" w:rsidP="00293F2B">
      <w:pPr>
        <w:spacing w:after="0" w:line="360" w:lineRule="auto"/>
        <w:jc w:val="both"/>
        <w:rPr>
          <w:rFonts w:ascii="Arial" w:hAnsi="Arial" w:cs="Arial"/>
          <w:sz w:val="20"/>
          <w:szCs w:val="20"/>
        </w:rPr>
      </w:pPr>
    </w:p>
    <w:p w14:paraId="180FE6FD" w14:textId="77777777" w:rsidR="00971EE0" w:rsidRPr="004F5836" w:rsidRDefault="00971EE0" w:rsidP="00293F2B">
      <w:pPr>
        <w:spacing w:after="0" w:line="360" w:lineRule="auto"/>
        <w:jc w:val="both"/>
        <w:rPr>
          <w:rFonts w:ascii="Arial" w:hAnsi="Arial" w:cs="Arial"/>
          <w:sz w:val="20"/>
          <w:szCs w:val="20"/>
        </w:rPr>
      </w:pPr>
      <w:r w:rsidRPr="004F5836">
        <w:rPr>
          <w:rFonts w:ascii="Arial" w:hAnsi="Arial" w:cs="Arial"/>
          <w:sz w:val="20"/>
          <w:szCs w:val="20"/>
        </w:rPr>
        <w:t>The questions were straightforward and presented no ambiguity. This paper is structured into two sections. The initial section gathered data on respondents’ demographic information, including their age group, gender, years of service/experience, and the position they held in the organisation. The second portion consisted of various statements pertaining to the level of agreement on a specific safety behaviour. The questionnaires were disseminated electronically and in hard copy to respondents in designated organisations via LinkedIn. Statistical analyses were performed using SPSS, PLS-SEM, SmartPLS, and FMEA to elucidate and gain a comprehensive understanding of the concepts.</w:t>
      </w:r>
    </w:p>
    <w:p w14:paraId="351D2E3C" w14:textId="77777777" w:rsidR="00971EE0" w:rsidRPr="004F5836" w:rsidRDefault="00971EE0" w:rsidP="00293F2B">
      <w:pPr>
        <w:spacing w:after="0" w:line="360" w:lineRule="auto"/>
        <w:jc w:val="both"/>
        <w:rPr>
          <w:rFonts w:ascii="Arial" w:hAnsi="Arial" w:cs="Arial"/>
          <w:sz w:val="20"/>
          <w:szCs w:val="20"/>
        </w:rPr>
      </w:pPr>
    </w:p>
    <w:p w14:paraId="3B8381B9" w14:textId="77777777" w:rsidR="00971EE0" w:rsidRPr="004F5836" w:rsidRDefault="00971EE0" w:rsidP="00293F2B">
      <w:pPr>
        <w:pStyle w:val="Heading3"/>
        <w:spacing w:line="360" w:lineRule="auto"/>
        <w:jc w:val="both"/>
        <w:rPr>
          <w:rFonts w:ascii="Arial" w:hAnsi="Arial" w:cs="Arial"/>
          <w:b/>
          <w:bCs/>
          <w:color w:val="auto"/>
          <w:sz w:val="24"/>
          <w:szCs w:val="24"/>
        </w:rPr>
      </w:pPr>
      <w:r w:rsidRPr="004F5836">
        <w:rPr>
          <w:rFonts w:ascii="Arial" w:hAnsi="Arial" w:cs="Arial"/>
          <w:b/>
          <w:bCs/>
          <w:color w:val="auto"/>
          <w:sz w:val="24"/>
          <w:szCs w:val="24"/>
        </w:rPr>
        <w:t xml:space="preserve">4.0 Results Analysis </w:t>
      </w:r>
    </w:p>
    <w:p w14:paraId="3F146C73" w14:textId="77777777" w:rsidR="00971EE0" w:rsidRPr="004F5836" w:rsidRDefault="00971EE0" w:rsidP="00293F2B">
      <w:pPr>
        <w:spacing w:after="0" w:line="360" w:lineRule="auto"/>
        <w:jc w:val="both"/>
        <w:rPr>
          <w:rFonts w:ascii="Arial" w:hAnsi="Arial" w:cs="Arial"/>
          <w:sz w:val="20"/>
          <w:szCs w:val="20"/>
        </w:rPr>
      </w:pPr>
      <w:r w:rsidRPr="004F5836">
        <w:rPr>
          <w:rFonts w:ascii="Arial" w:hAnsi="Arial" w:cs="Arial"/>
          <w:sz w:val="20"/>
          <w:szCs w:val="20"/>
        </w:rPr>
        <w:t>Data from the questionnaire survey were analysed using the Statistical Package for the Social Sciences (SPSS), version 23 software, to generate descriptive and inferential statistical values, providing insights into the study's findings. The computed outputs included mean and standard deviation (SD) values, which were used to rank and discuss responses based on their mean values. The outcomes were presented both in tables and text within the 'Results' section, facilitating the interpretation of data aligned with the study objectives.</w:t>
      </w:r>
    </w:p>
    <w:p w14:paraId="0D91543E" w14:textId="77777777" w:rsidR="00971EE0" w:rsidRPr="004F5836" w:rsidRDefault="00971EE0" w:rsidP="00293F2B">
      <w:pPr>
        <w:spacing w:after="0" w:line="360" w:lineRule="auto"/>
        <w:jc w:val="both"/>
        <w:rPr>
          <w:rFonts w:ascii="Arial" w:hAnsi="Arial" w:cs="Arial"/>
          <w:sz w:val="20"/>
          <w:szCs w:val="20"/>
        </w:rPr>
      </w:pPr>
    </w:p>
    <w:p w14:paraId="1B59878C" w14:textId="652FBA30" w:rsidR="00971EE0" w:rsidRPr="004F5836" w:rsidRDefault="00FC2307" w:rsidP="00293F2B">
      <w:pPr>
        <w:spacing w:after="0" w:line="360" w:lineRule="auto"/>
        <w:jc w:val="both"/>
        <w:rPr>
          <w:rFonts w:ascii="Arial" w:hAnsi="Arial" w:cs="Arial"/>
          <w:sz w:val="20"/>
          <w:szCs w:val="20"/>
        </w:rPr>
      </w:pPr>
      <w:r w:rsidRPr="004F5836">
        <w:rPr>
          <w:rFonts w:ascii="Arial" w:hAnsi="Arial" w:cs="Arial"/>
          <w:sz w:val="20"/>
          <w:szCs w:val="20"/>
        </w:rPr>
        <w:t>Reliability statistical analysis was performed for the 20 items to ensure suitability.</w:t>
      </w:r>
      <w:r w:rsidR="00971EE0" w:rsidRPr="004F5836">
        <w:rPr>
          <w:rFonts w:ascii="Arial" w:hAnsi="Arial" w:cs="Arial"/>
          <w:sz w:val="20"/>
          <w:szCs w:val="20"/>
        </w:rPr>
        <w:t xml:space="preserve"> </w:t>
      </w:r>
      <w:r w:rsidRPr="004F5836">
        <w:rPr>
          <w:rFonts w:ascii="Arial" w:hAnsi="Arial" w:cs="Arial"/>
          <w:sz w:val="20"/>
          <w:szCs w:val="20"/>
        </w:rPr>
        <w:t>The findings indicate that Cronbach’s alpha was 0.774 and would decrease when other factors were removed.</w:t>
      </w:r>
      <w:r w:rsidR="00971EE0" w:rsidRPr="004F5836">
        <w:rPr>
          <w:rFonts w:ascii="Arial" w:hAnsi="Arial" w:cs="Arial"/>
          <w:sz w:val="20"/>
          <w:szCs w:val="20"/>
        </w:rPr>
        <w:t xml:space="preserve"> </w:t>
      </w:r>
      <w:r w:rsidRPr="004F5836">
        <w:rPr>
          <w:rFonts w:ascii="Arial" w:hAnsi="Arial" w:cs="Arial"/>
          <w:sz w:val="20"/>
          <w:szCs w:val="20"/>
        </w:rPr>
        <w:t>The total explained variance was 19.5, indicating</w:t>
      </w:r>
      <w:r w:rsidR="004F5836" w:rsidRPr="004F5836">
        <w:rPr>
          <w:rFonts w:ascii="Arial" w:hAnsi="Arial" w:cs="Arial"/>
          <w:sz w:val="20"/>
          <w:szCs w:val="20"/>
        </w:rPr>
        <w:t xml:space="preserve">   </w:t>
      </w:r>
      <w:r w:rsidRPr="004F5836">
        <w:rPr>
          <w:rFonts w:ascii="Arial" w:hAnsi="Arial" w:cs="Arial"/>
          <w:sz w:val="20"/>
          <w:szCs w:val="20"/>
        </w:rPr>
        <w:t>suitability.</w:t>
      </w:r>
      <w:r w:rsidR="00971EE0" w:rsidRPr="004F5836">
        <w:rPr>
          <w:rFonts w:ascii="Arial" w:hAnsi="Arial" w:cs="Arial"/>
          <w:sz w:val="20"/>
          <w:szCs w:val="20"/>
        </w:rPr>
        <w:t xml:space="preserve"> The identification of key environmental risks was based on a literature review and insights from industry experts. Stakeholder opinions, collected from Nigerian oil and gas companies, informed the analysis, which employed Failure Mode Effect Analysis (FMEA). FMEA facilitates qualitative and quantitative analysis of severity, frequency, ease of detection, and risk response, prioritising concerns and addressing subjectivity and ambiguity in risk analysis. The </w:t>
      </w:r>
      <w:r w:rsidR="00971EE0" w:rsidRPr="004F5836">
        <w:rPr>
          <w:rFonts w:ascii="Arial" w:hAnsi="Arial" w:cs="Arial"/>
          <w:sz w:val="20"/>
          <w:szCs w:val="20"/>
        </w:rPr>
        <w:lastRenderedPageBreak/>
        <w:t>questionnaire comprised five components with measurement items derived from prior research and tailored to suit the context of the study. After the initial pilot survey, slight adjustments were made to the measurement items.</w:t>
      </w:r>
    </w:p>
    <w:p w14:paraId="54B1C21A" w14:textId="77777777" w:rsidR="00971EE0" w:rsidRPr="004F5836" w:rsidRDefault="00971EE0" w:rsidP="00293F2B">
      <w:pPr>
        <w:spacing w:after="0" w:line="360" w:lineRule="auto"/>
        <w:jc w:val="both"/>
        <w:rPr>
          <w:rFonts w:ascii="Arial" w:hAnsi="Arial" w:cs="Arial"/>
          <w:sz w:val="20"/>
          <w:szCs w:val="20"/>
        </w:rPr>
      </w:pPr>
    </w:p>
    <w:p w14:paraId="42703AC8" w14:textId="77777777" w:rsidR="00971EE0" w:rsidRPr="004F5836" w:rsidRDefault="00971EE0" w:rsidP="00293F2B">
      <w:pPr>
        <w:spacing w:after="0" w:line="360" w:lineRule="auto"/>
        <w:jc w:val="both"/>
        <w:rPr>
          <w:rFonts w:ascii="Arial" w:hAnsi="Arial" w:cs="Arial"/>
          <w:sz w:val="20"/>
          <w:szCs w:val="20"/>
        </w:rPr>
      </w:pPr>
      <w:r w:rsidRPr="004F5836">
        <w:rPr>
          <w:rFonts w:ascii="Arial" w:hAnsi="Arial" w:cs="Arial"/>
          <w:sz w:val="20"/>
          <w:szCs w:val="20"/>
        </w:rPr>
        <w:t>This study focused on Nigerian oil and gas employees, primarily accessed through LinkedIn, a professional networking platform. A web-based survey yielded 265 valid questionnaires, reflecting a male demographic with a diverse educational background and professional experience. Stakeholder roles ranged from CEO/top management to frontline operations, spanning different company sizes, ownership structures, and industry sectors, including midstream, upstream, and downstream operations, as detailed in Table 1</w:t>
      </w:r>
    </w:p>
    <w:p w14:paraId="668BF49A" w14:textId="77777777" w:rsidR="00971EE0" w:rsidRPr="004F5836" w:rsidRDefault="00971EE0" w:rsidP="00293F2B">
      <w:pPr>
        <w:spacing w:after="0" w:line="360" w:lineRule="auto"/>
        <w:jc w:val="both"/>
        <w:rPr>
          <w:rFonts w:ascii="Arial" w:hAnsi="Arial" w:cs="Arial"/>
          <w:sz w:val="20"/>
          <w:szCs w:val="20"/>
        </w:rPr>
      </w:pPr>
    </w:p>
    <w:p w14:paraId="2233B201" w14:textId="77777777" w:rsidR="00971EE0" w:rsidRPr="004F5836" w:rsidRDefault="00971EE0" w:rsidP="00293F2B">
      <w:pPr>
        <w:pStyle w:val="Caption"/>
        <w:keepNext/>
        <w:spacing w:line="360" w:lineRule="auto"/>
        <w:rPr>
          <w:color w:val="auto"/>
        </w:rPr>
      </w:pPr>
      <w:r w:rsidRPr="004F5836">
        <w:rPr>
          <w:color w:val="auto"/>
        </w:rPr>
        <w:t xml:space="preserve">Table </w:t>
      </w:r>
      <w:r w:rsidR="004F60F0" w:rsidRPr="004F5836">
        <w:rPr>
          <w:color w:val="auto"/>
        </w:rPr>
        <w:fldChar w:fldCharType="begin"/>
      </w:r>
      <w:r w:rsidR="004F60F0" w:rsidRPr="004F5836">
        <w:rPr>
          <w:color w:val="auto"/>
        </w:rPr>
        <w:instrText xml:space="preserve"> SEQ Table \* ARABIC </w:instrText>
      </w:r>
      <w:r w:rsidR="004F60F0" w:rsidRPr="004F5836">
        <w:rPr>
          <w:color w:val="auto"/>
        </w:rPr>
        <w:fldChar w:fldCharType="separate"/>
      </w:r>
      <w:r w:rsidRPr="004F5836">
        <w:rPr>
          <w:noProof/>
          <w:color w:val="auto"/>
        </w:rPr>
        <w:t>1</w:t>
      </w:r>
      <w:r w:rsidR="004F60F0" w:rsidRPr="004F5836">
        <w:rPr>
          <w:noProof/>
          <w:color w:val="auto"/>
        </w:rPr>
        <w:fldChar w:fldCharType="end"/>
      </w:r>
      <w:r w:rsidRPr="004F5836">
        <w:rPr>
          <w:color w:val="auto"/>
        </w:rPr>
        <w:t>:Respondent demographic</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3630"/>
        <w:gridCol w:w="866"/>
      </w:tblGrid>
      <w:tr w:rsidR="004F5836" w:rsidRPr="004F5836" w14:paraId="63DFF376" w14:textId="77777777" w:rsidTr="00DC3700">
        <w:trPr>
          <w:trHeight w:val="273"/>
        </w:trPr>
        <w:tc>
          <w:tcPr>
            <w:tcW w:w="2509" w:type="pct"/>
            <w:tcBorders>
              <w:top w:val="single" w:sz="4" w:space="0" w:color="auto"/>
              <w:bottom w:val="single" w:sz="4" w:space="0" w:color="auto"/>
            </w:tcBorders>
            <w:noWrap/>
            <w:hideMark/>
          </w:tcPr>
          <w:p w14:paraId="3440A615"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 </w:t>
            </w:r>
          </w:p>
        </w:tc>
        <w:tc>
          <w:tcPr>
            <w:tcW w:w="2011" w:type="pct"/>
            <w:tcBorders>
              <w:top w:val="single" w:sz="4" w:space="0" w:color="auto"/>
              <w:bottom w:val="single" w:sz="4" w:space="0" w:color="auto"/>
            </w:tcBorders>
            <w:noWrap/>
            <w:hideMark/>
          </w:tcPr>
          <w:p w14:paraId="2F3045AD"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 </w:t>
            </w:r>
          </w:p>
        </w:tc>
        <w:tc>
          <w:tcPr>
            <w:tcW w:w="480" w:type="pct"/>
            <w:tcBorders>
              <w:top w:val="single" w:sz="4" w:space="0" w:color="auto"/>
              <w:bottom w:val="single" w:sz="4" w:space="0" w:color="auto"/>
            </w:tcBorders>
            <w:noWrap/>
            <w:hideMark/>
          </w:tcPr>
          <w:p w14:paraId="69EDD3B7"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 N=265</w:t>
            </w:r>
          </w:p>
        </w:tc>
      </w:tr>
      <w:tr w:rsidR="004F5836" w:rsidRPr="004F5836" w14:paraId="656608E6" w14:textId="77777777" w:rsidTr="00D95368">
        <w:trPr>
          <w:trHeight w:val="236"/>
        </w:trPr>
        <w:tc>
          <w:tcPr>
            <w:tcW w:w="2509" w:type="pct"/>
            <w:vMerge w:val="restart"/>
            <w:tcBorders>
              <w:top w:val="single" w:sz="4" w:space="0" w:color="auto"/>
            </w:tcBorders>
            <w:noWrap/>
            <w:hideMark/>
          </w:tcPr>
          <w:p w14:paraId="218BE9DC"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Gender</w:t>
            </w:r>
          </w:p>
        </w:tc>
        <w:tc>
          <w:tcPr>
            <w:tcW w:w="2011" w:type="pct"/>
            <w:tcBorders>
              <w:top w:val="single" w:sz="4" w:space="0" w:color="auto"/>
            </w:tcBorders>
            <w:noWrap/>
            <w:hideMark/>
          </w:tcPr>
          <w:p w14:paraId="0F97574B"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 xml:space="preserve">Male </w:t>
            </w:r>
          </w:p>
        </w:tc>
        <w:tc>
          <w:tcPr>
            <w:tcW w:w="480" w:type="pct"/>
            <w:tcBorders>
              <w:top w:val="single" w:sz="4" w:space="0" w:color="auto"/>
            </w:tcBorders>
            <w:noWrap/>
            <w:hideMark/>
          </w:tcPr>
          <w:p w14:paraId="3BFC9ED4"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206</w:t>
            </w:r>
          </w:p>
        </w:tc>
      </w:tr>
      <w:tr w:rsidR="004F5836" w:rsidRPr="004F5836" w14:paraId="6B5FD090" w14:textId="77777777" w:rsidTr="00D95368">
        <w:trPr>
          <w:trHeight w:val="149"/>
        </w:trPr>
        <w:tc>
          <w:tcPr>
            <w:tcW w:w="2509" w:type="pct"/>
            <w:vMerge/>
            <w:hideMark/>
          </w:tcPr>
          <w:p w14:paraId="16705040" w14:textId="77777777" w:rsidR="00971EE0" w:rsidRPr="004F5836" w:rsidRDefault="00971EE0" w:rsidP="00101A61">
            <w:pPr>
              <w:jc w:val="both"/>
              <w:rPr>
                <w:rFonts w:ascii="Arial" w:hAnsi="Arial" w:cs="Arial"/>
                <w:sz w:val="18"/>
                <w:szCs w:val="18"/>
              </w:rPr>
            </w:pPr>
          </w:p>
        </w:tc>
        <w:tc>
          <w:tcPr>
            <w:tcW w:w="2011" w:type="pct"/>
            <w:noWrap/>
            <w:hideMark/>
          </w:tcPr>
          <w:p w14:paraId="6DC361EB"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 xml:space="preserve">Female </w:t>
            </w:r>
          </w:p>
        </w:tc>
        <w:tc>
          <w:tcPr>
            <w:tcW w:w="480" w:type="pct"/>
            <w:noWrap/>
            <w:hideMark/>
          </w:tcPr>
          <w:p w14:paraId="7B9056D3"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59</w:t>
            </w:r>
          </w:p>
        </w:tc>
      </w:tr>
      <w:tr w:rsidR="004F5836" w:rsidRPr="004F5836" w14:paraId="1EDC7C12" w14:textId="77777777" w:rsidTr="00DC3700">
        <w:trPr>
          <w:trHeight w:val="109"/>
        </w:trPr>
        <w:tc>
          <w:tcPr>
            <w:tcW w:w="2509" w:type="pct"/>
            <w:vMerge w:val="restart"/>
            <w:noWrap/>
            <w:hideMark/>
          </w:tcPr>
          <w:p w14:paraId="55D12484"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Education</w:t>
            </w:r>
          </w:p>
        </w:tc>
        <w:tc>
          <w:tcPr>
            <w:tcW w:w="2011" w:type="pct"/>
            <w:noWrap/>
            <w:hideMark/>
          </w:tcPr>
          <w:p w14:paraId="5372ADB3" w14:textId="62BD9C94" w:rsidR="00971EE0" w:rsidRPr="004F5836" w:rsidRDefault="00971EE0" w:rsidP="00101A61">
            <w:pPr>
              <w:jc w:val="both"/>
              <w:rPr>
                <w:rFonts w:ascii="Arial" w:hAnsi="Arial" w:cs="Arial"/>
                <w:sz w:val="18"/>
                <w:szCs w:val="18"/>
              </w:rPr>
            </w:pPr>
            <w:r w:rsidRPr="004F5836">
              <w:rPr>
                <w:rFonts w:ascii="Arial" w:hAnsi="Arial" w:cs="Arial"/>
                <w:sz w:val="18"/>
                <w:szCs w:val="18"/>
              </w:rPr>
              <w:t>Not</w:t>
            </w:r>
            <w:r w:rsidR="004F5836" w:rsidRPr="004F5836">
              <w:rPr>
                <w:rFonts w:ascii="Arial" w:hAnsi="Arial" w:cs="Arial"/>
                <w:sz w:val="18"/>
                <w:szCs w:val="18"/>
              </w:rPr>
              <w:t xml:space="preserve">   </w:t>
            </w:r>
            <w:r w:rsidRPr="004F5836">
              <w:rPr>
                <w:rFonts w:ascii="Arial" w:hAnsi="Arial" w:cs="Arial"/>
                <w:sz w:val="18"/>
                <w:szCs w:val="18"/>
              </w:rPr>
              <w:t>More Than Secondary</w:t>
            </w:r>
          </w:p>
        </w:tc>
        <w:tc>
          <w:tcPr>
            <w:tcW w:w="480" w:type="pct"/>
            <w:noWrap/>
            <w:hideMark/>
          </w:tcPr>
          <w:p w14:paraId="717E8C62"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13</w:t>
            </w:r>
          </w:p>
        </w:tc>
      </w:tr>
      <w:tr w:rsidR="004F5836" w:rsidRPr="004F5836" w14:paraId="52BDF897" w14:textId="77777777" w:rsidTr="00D95368">
        <w:trPr>
          <w:trHeight w:val="241"/>
        </w:trPr>
        <w:tc>
          <w:tcPr>
            <w:tcW w:w="2509" w:type="pct"/>
            <w:vMerge/>
            <w:hideMark/>
          </w:tcPr>
          <w:p w14:paraId="0B908ABF" w14:textId="77777777" w:rsidR="00971EE0" w:rsidRPr="004F5836" w:rsidRDefault="00971EE0" w:rsidP="00101A61">
            <w:pPr>
              <w:jc w:val="both"/>
              <w:rPr>
                <w:rFonts w:ascii="Arial" w:hAnsi="Arial" w:cs="Arial"/>
                <w:sz w:val="18"/>
                <w:szCs w:val="18"/>
              </w:rPr>
            </w:pPr>
          </w:p>
        </w:tc>
        <w:tc>
          <w:tcPr>
            <w:tcW w:w="2011" w:type="pct"/>
            <w:noWrap/>
            <w:hideMark/>
          </w:tcPr>
          <w:p w14:paraId="43276A73"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University Graduate</w:t>
            </w:r>
          </w:p>
        </w:tc>
        <w:tc>
          <w:tcPr>
            <w:tcW w:w="480" w:type="pct"/>
            <w:noWrap/>
            <w:hideMark/>
          </w:tcPr>
          <w:p w14:paraId="5A2B85EF"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135</w:t>
            </w:r>
          </w:p>
        </w:tc>
      </w:tr>
      <w:tr w:rsidR="004F5836" w:rsidRPr="004F5836" w14:paraId="482DAC6F" w14:textId="77777777" w:rsidTr="00D95368">
        <w:trPr>
          <w:trHeight w:val="234"/>
        </w:trPr>
        <w:tc>
          <w:tcPr>
            <w:tcW w:w="2509" w:type="pct"/>
            <w:vMerge/>
            <w:hideMark/>
          </w:tcPr>
          <w:p w14:paraId="5CF69FBB" w14:textId="77777777" w:rsidR="00971EE0" w:rsidRPr="004F5836" w:rsidRDefault="00971EE0" w:rsidP="00101A61">
            <w:pPr>
              <w:jc w:val="both"/>
              <w:rPr>
                <w:rFonts w:ascii="Arial" w:hAnsi="Arial" w:cs="Arial"/>
                <w:sz w:val="18"/>
                <w:szCs w:val="18"/>
              </w:rPr>
            </w:pPr>
          </w:p>
        </w:tc>
        <w:tc>
          <w:tcPr>
            <w:tcW w:w="2011" w:type="pct"/>
            <w:noWrap/>
            <w:hideMark/>
          </w:tcPr>
          <w:p w14:paraId="7C5AB1D4"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Postgraduate</w:t>
            </w:r>
          </w:p>
        </w:tc>
        <w:tc>
          <w:tcPr>
            <w:tcW w:w="480" w:type="pct"/>
            <w:noWrap/>
            <w:hideMark/>
          </w:tcPr>
          <w:p w14:paraId="3E651D9C"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109</w:t>
            </w:r>
          </w:p>
        </w:tc>
      </w:tr>
      <w:tr w:rsidR="004F5836" w:rsidRPr="004F5836" w14:paraId="77B783FE" w14:textId="77777777" w:rsidTr="00D95368">
        <w:trPr>
          <w:trHeight w:val="137"/>
        </w:trPr>
        <w:tc>
          <w:tcPr>
            <w:tcW w:w="2509" w:type="pct"/>
            <w:vMerge/>
            <w:hideMark/>
          </w:tcPr>
          <w:p w14:paraId="1B3CF219" w14:textId="77777777" w:rsidR="00971EE0" w:rsidRPr="004F5836" w:rsidRDefault="00971EE0" w:rsidP="00101A61">
            <w:pPr>
              <w:jc w:val="both"/>
              <w:rPr>
                <w:rFonts w:ascii="Arial" w:hAnsi="Arial" w:cs="Arial"/>
                <w:sz w:val="18"/>
                <w:szCs w:val="18"/>
              </w:rPr>
            </w:pPr>
          </w:p>
        </w:tc>
        <w:tc>
          <w:tcPr>
            <w:tcW w:w="2011" w:type="pct"/>
            <w:noWrap/>
            <w:hideMark/>
          </w:tcPr>
          <w:p w14:paraId="0C205F6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PhD</w:t>
            </w:r>
          </w:p>
        </w:tc>
        <w:tc>
          <w:tcPr>
            <w:tcW w:w="480" w:type="pct"/>
            <w:noWrap/>
            <w:hideMark/>
          </w:tcPr>
          <w:p w14:paraId="50F8E6B5"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8</w:t>
            </w:r>
          </w:p>
        </w:tc>
      </w:tr>
      <w:tr w:rsidR="004F5836" w:rsidRPr="004F5836" w14:paraId="521C9BDC" w14:textId="77777777" w:rsidTr="00D95368">
        <w:trPr>
          <w:trHeight w:val="225"/>
        </w:trPr>
        <w:tc>
          <w:tcPr>
            <w:tcW w:w="2509" w:type="pct"/>
            <w:vMerge w:val="restart"/>
            <w:noWrap/>
            <w:hideMark/>
          </w:tcPr>
          <w:p w14:paraId="564FAA1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Experience</w:t>
            </w:r>
          </w:p>
        </w:tc>
        <w:tc>
          <w:tcPr>
            <w:tcW w:w="2011" w:type="pct"/>
            <w:noWrap/>
            <w:hideMark/>
          </w:tcPr>
          <w:p w14:paraId="493D609E"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Less Than 5</w:t>
            </w:r>
          </w:p>
        </w:tc>
        <w:tc>
          <w:tcPr>
            <w:tcW w:w="480" w:type="pct"/>
            <w:noWrap/>
            <w:hideMark/>
          </w:tcPr>
          <w:p w14:paraId="52B05794"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87</w:t>
            </w:r>
          </w:p>
        </w:tc>
      </w:tr>
      <w:tr w:rsidR="004F5836" w:rsidRPr="004F5836" w14:paraId="0375B509" w14:textId="77777777" w:rsidTr="00D95368">
        <w:trPr>
          <w:trHeight w:val="143"/>
        </w:trPr>
        <w:tc>
          <w:tcPr>
            <w:tcW w:w="2509" w:type="pct"/>
            <w:vMerge/>
            <w:hideMark/>
          </w:tcPr>
          <w:p w14:paraId="2E94319F" w14:textId="77777777" w:rsidR="00971EE0" w:rsidRPr="004F5836" w:rsidRDefault="00971EE0" w:rsidP="00101A61">
            <w:pPr>
              <w:jc w:val="both"/>
              <w:rPr>
                <w:rFonts w:ascii="Arial" w:hAnsi="Arial" w:cs="Arial"/>
                <w:sz w:val="18"/>
                <w:szCs w:val="18"/>
              </w:rPr>
            </w:pPr>
          </w:p>
        </w:tc>
        <w:tc>
          <w:tcPr>
            <w:tcW w:w="2011" w:type="pct"/>
            <w:noWrap/>
            <w:hideMark/>
          </w:tcPr>
          <w:p w14:paraId="06406D6B"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05-10 year</w:t>
            </w:r>
          </w:p>
        </w:tc>
        <w:tc>
          <w:tcPr>
            <w:tcW w:w="480" w:type="pct"/>
            <w:noWrap/>
            <w:hideMark/>
          </w:tcPr>
          <w:p w14:paraId="70B24E60"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69</w:t>
            </w:r>
          </w:p>
        </w:tc>
      </w:tr>
      <w:tr w:rsidR="004F5836" w:rsidRPr="004F5836" w14:paraId="7AC6564D" w14:textId="77777777" w:rsidTr="00D95368">
        <w:trPr>
          <w:trHeight w:val="133"/>
        </w:trPr>
        <w:tc>
          <w:tcPr>
            <w:tcW w:w="2509" w:type="pct"/>
            <w:vMerge/>
            <w:hideMark/>
          </w:tcPr>
          <w:p w14:paraId="55AECCFF" w14:textId="77777777" w:rsidR="00971EE0" w:rsidRPr="004F5836" w:rsidRDefault="00971EE0" w:rsidP="00101A61">
            <w:pPr>
              <w:jc w:val="both"/>
              <w:rPr>
                <w:rFonts w:ascii="Arial" w:hAnsi="Arial" w:cs="Arial"/>
                <w:sz w:val="18"/>
                <w:szCs w:val="18"/>
              </w:rPr>
            </w:pPr>
          </w:p>
        </w:tc>
        <w:tc>
          <w:tcPr>
            <w:tcW w:w="2011" w:type="pct"/>
            <w:noWrap/>
            <w:hideMark/>
          </w:tcPr>
          <w:p w14:paraId="2DFB2B5A"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11-15 year</w:t>
            </w:r>
          </w:p>
        </w:tc>
        <w:tc>
          <w:tcPr>
            <w:tcW w:w="480" w:type="pct"/>
            <w:noWrap/>
            <w:hideMark/>
          </w:tcPr>
          <w:p w14:paraId="17BAF7EF"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69</w:t>
            </w:r>
          </w:p>
        </w:tc>
      </w:tr>
      <w:tr w:rsidR="004F5836" w:rsidRPr="004F5836" w14:paraId="48EEA7BC" w14:textId="77777777" w:rsidTr="00D95368">
        <w:trPr>
          <w:trHeight w:val="207"/>
        </w:trPr>
        <w:tc>
          <w:tcPr>
            <w:tcW w:w="2509" w:type="pct"/>
            <w:vMerge/>
            <w:hideMark/>
          </w:tcPr>
          <w:p w14:paraId="25E9B6F2" w14:textId="77777777" w:rsidR="00971EE0" w:rsidRPr="004F5836" w:rsidRDefault="00971EE0" w:rsidP="00101A61">
            <w:pPr>
              <w:jc w:val="both"/>
              <w:rPr>
                <w:rFonts w:ascii="Arial" w:hAnsi="Arial" w:cs="Arial"/>
                <w:sz w:val="18"/>
                <w:szCs w:val="18"/>
              </w:rPr>
            </w:pPr>
          </w:p>
        </w:tc>
        <w:tc>
          <w:tcPr>
            <w:tcW w:w="2011" w:type="pct"/>
            <w:noWrap/>
            <w:hideMark/>
          </w:tcPr>
          <w:p w14:paraId="121C15D8"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16-20</w:t>
            </w:r>
          </w:p>
        </w:tc>
        <w:tc>
          <w:tcPr>
            <w:tcW w:w="480" w:type="pct"/>
            <w:noWrap/>
            <w:hideMark/>
          </w:tcPr>
          <w:p w14:paraId="5A7EAE3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22</w:t>
            </w:r>
          </w:p>
        </w:tc>
      </w:tr>
      <w:tr w:rsidR="004F5836" w:rsidRPr="004F5836" w14:paraId="7162DFEF" w14:textId="77777777" w:rsidTr="00D95368">
        <w:trPr>
          <w:trHeight w:val="139"/>
        </w:trPr>
        <w:tc>
          <w:tcPr>
            <w:tcW w:w="2509" w:type="pct"/>
            <w:vMerge/>
            <w:hideMark/>
          </w:tcPr>
          <w:p w14:paraId="06A5A7C6" w14:textId="77777777" w:rsidR="00971EE0" w:rsidRPr="004F5836" w:rsidRDefault="00971EE0" w:rsidP="00101A61">
            <w:pPr>
              <w:jc w:val="both"/>
              <w:rPr>
                <w:rFonts w:ascii="Arial" w:hAnsi="Arial" w:cs="Arial"/>
                <w:sz w:val="18"/>
                <w:szCs w:val="18"/>
              </w:rPr>
            </w:pPr>
          </w:p>
        </w:tc>
        <w:tc>
          <w:tcPr>
            <w:tcW w:w="2011" w:type="pct"/>
            <w:noWrap/>
            <w:hideMark/>
          </w:tcPr>
          <w:p w14:paraId="1C220D8E"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More Than 20</w:t>
            </w:r>
          </w:p>
        </w:tc>
        <w:tc>
          <w:tcPr>
            <w:tcW w:w="480" w:type="pct"/>
            <w:noWrap/>
            <w:hideMark/>
          </w:tcPr>
          <w:p w14:paraId="616EC405"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18</w:t>
            </w:r>
          </w:p>
        </w:tc>
      </w:tr>
      <w:tr w:rsidR="004F5836" w:rsidRPr="004F5836" w14:paraId="6999C68A" w14:textId="77777777" w:rsidTr="00D95368">
        <w:trPr>
          <w:trHeight w:val="213"/>
        </w:trPr>
        <w:tc>
          <w:tcPr>
            <w:tcW w:w="2509" w:type="pct"/>
            <w:vMerge w:val="restart"/>
            <w:noWrap/>
            <w:hideMark/>
          </w:tcPr>
          <w:p w14:paraId="7935D825"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Internal Stakeholder Employee</w:t>
            </w:r>
          </w:p>
        </w:tc>
        <w:tc>
          <w:tcPr>
            <w:tcW w:w="2011" w:type="pct"/>
            <w:noWrap/>
            <w:hideMark/>
          </w:tcPr>
          <w:p w14:paraId="21B1FB41"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CEO/Top Management</w:t>
            </w:r>
          </w:p>
        </w:tc>
        <w:tc>
          <w:tcPr>
            <w:tcW w:w="480" w:type="pct"/>
            <w:noWrap/>
            <w:hideMark/>
          </w:tcPr>
          <w:p w14:paraId="4400B12C"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30</w:t>
            </w:r>
          </w:p>
        </w:tc>
      </w:tr>
      <w:tr w:rsidR="004F5836" w:rsidRPr="004F5836" w14:paraId="6936A4F7" w14:textId="77777777" w:rsidTr="00DC3700">
        <w:trPr>
          <w:trHeight w:val="155"/>
        </w:trPr>
        <w:tc>
          <w:tcPr>
            <w:tcW w:w="2509" w:type="pct"/>
            <w:vMerge/>
            <w:hideMark/>
          </w:tcPr>
          <w:p w14:paraId="4B628901" w14:textId="77777777" w:rsidR="00971EE0" w:rsidRPr="004F5836" w:rsidRDefault="00971EE0" w:rsidP="00101A61">
            <w:pPr>
              <w:jc w:val="both"/>
              <w:rPr>
                <w:rFonts w:ascii="Arial" w:hAnsi="Arial" w:cs="Arial"/>
                <w:sz w:val="18"/>
                <w:szCs w:val="18"/>
              </w:rPr>
            </w:pPr>
          </w:p>
        </w:tc>
        <w:tc>
          <w:tcPr>
            <w:tcW w:w="2011" w:type="pct"/>
            <w:noWrap/>
            <w:hideMark/>
          </w:tcPr>
          <w:p w14:paraId="1E2EC248"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Middle Management</w:t>
            </w:r>
          </w:p>
        </w:tc>
        <w:tc>
          <w:tcPr>
            <w:tcW w:w="480" w:type="pct"/>
            <w:noWrap/>
            <w:hideMark/>
          </w:tcPr>
          <w:p w14:paraId="02E0129C"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86</w:t>
            </w:r>
          </w:p>
        </w:tc>
      </w:tr>
      <w:tr w:rsidR="004F5836" w:rsidRPr="004F5836" w14:paraId="00ED209C" w14:textId="77777777" w:rsidTr="00D95368">
        <w:trPr>
          <w:trHeight w:val="229"/>
        </w:trPr>
        <w:tc>
          <w:tcPr>
            <w:tcW w:w="2509" w:type="pct"/>
            <w:vMerge/>
            <w:hideMark/>
          </w:tcPr>
          <w:p w14:paraId="70637DB5" w14:textId="77777777" w:rsidR="00971EE0" w:rsidRPr="004F5836" w:rsidRDefault="00971EE0" w:rsidP="00101A61">
            <w:pPr>
              <w:jc w:val="both"/>
              <w:rPr>
                <w:rFonts w:ascii="Arial" w:hAnsi="Arial" w:cs="Arial"/>
                <w:sz w:val="18"/>
                <w:szCs w:val="18"/>
              </w:rPr>
            </w:pPr>
          </w:p>
        </w:tc>
        <w:tc>
          <w:tcPr>
            <w:tcW w:w="2011" w:type="pct"/>
            <w:noWrap/>
            <w:hideMark/>
          </w:tcPr>
          <w:p w14:paraId="33DA81C4"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Supervisor</w:t>
            </w:r>
          </w:p>
        </w:tc>
        <w:tc>
          <w:tcPr>
            <w:tcW w:w="480" w:type="pct"/>
            <w:noWrap/>
            <w:hideMark/>
          </w:tcPr>
          <w:p w14:paraId="60B0FD2A"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72</w:t>
            </w:r>
          </w:p>
        </w:tc>
      </w:tr>
      <w:tr w:rsidR="004F5836" w:rsidRPr="004F5836" w14:paraId="5111E883" w14:textId="77777777" w:rsidTr="00D95368">
        <w:trPr>
          <w:trHeight w:val="219"/>
        </w:trPr>
        <w:tc>
          <w:tcPr>
            <w:tcW w:w="2509" w:type="pct"/>
            <w:vMerge/>
            <w:hideMark/>
          </w:tcPr>
          <w:p w14:paraId="2408A6D0" w14:textId="77777777" w:rsidR="00971EE0" w:rsidRPr="004F5836" w:rsidRDefault="00971EE0" w:rsidP="00101A61">
            <w:pPr>
              <w:jc w:val="both"/>
              <w:rPr>
                <w:rFonts w:ascii="Arial" w:hAnsi="Arial" w:cs="Arial"/>
                <w:sz w:val="18"/>
                <w:szCs w:val="18"/>
              </w:rPr>
            </w:pPr>
          </w:p>
        </w:tc>
        <w:tc>
          <w:tcPr>
            <w:tcW w:w="2011" w:type="pct"/>
            <w:noWrap/>
            <w:hideMark/>
          </w:tcPr>
          <w:p w14:paraId="7AF43E7F"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Frontline Operation</w:t>
            </w:r>
          </w:p>
        </w:tc>
        <w:tc>
          <w:tcPr>
            <w:tcW w:w="480" w:type="pct"/>
            <w:noWrap/>
            <w:hideMark/>
          </w:tcPr>
          <w:p w14:paraId="070E77AD"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67</w:t>
            </w:r>
          </w:p>
        </w:tc>
      </w:tr>
      <w:tr w:rsidR="004F5836" w:rsidRPr="004F5836" w14:paraId="699AD367" w14:textId="77777777" w:rsidTr="00D95368">
        <w:trPr>
          <w:trHeight w:val="195"/>
        </w:trPr>
        <w:tc>
          <w:tcPr>
            <w:tcW w:w="2509" w:type="pct"/>
            <w:vMerge/>
            <w:hideMark/>
          </w:tcPr>
          <w:p w14:paraId="3711BA10" w14:textId="77777777" w:rsidR="00971EE0" w:rsidRPr="004F5836" w:rsidRDefault="00971EE0" w:rsidP="00101A61">
            <w:pPr>
              <w:jc w:val="both"/>
              <w:rPr>
                <w:rFonts w:ascii="Arial" w:hAnsi="Arial" w:cs="Arial"/>
                <w:sz w:val="18"/>
                <w:szCs w:val="18"/>
              </w:rPr>
            </w:pPr>
          </w:p>
        </w:tc>
        <w:tc>
          <w:tcPr>
            <w:tcW w:w="2011" w:type="pct"/>
            <w:noWrap/>
            <w:hideMark/>
          </w:tcPr>
          <w:p w14:paraId="3E1BD4CD"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Others</w:t>
            </w:r>
          </w:p>
        </w:tc>
        <w:tc>
          <w:tcPr>
            <w:tcW w:w="480" w:type="pct"/>
            <w:noWrap/>
            <w:hideMark/>
          </w:tcPr>
          <w:p w14:paraId="4CBF7FE8"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10</w:t>
            </w:r>
          </w:p>
        </w:tc>
      </w:tr>
      <w:tr w:rsidR="004F5836" w:rsidRPr="004F5836" w14:paraId="080F97EA" w14:textId="77777777" w:rsidTr="00D95368">
        <w:trPr>
          <w:trHeight w:val="185"/>
        </w:trPr>
        <w:tc>
          <w:tcPr>
            <w:tcW w:w="2509" w:type="pct"/>
            <w:vMerge w:val="restart"/>
            <w:noWrap/>
            <w:hideMark/>
          </w:tcPr>
          <w:p w14:paraId="73ACF460"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Company Size</w:t>
            </w:r>
          </w:p>
        </w:tc>
        <w:tc>
          <w:tcPr>
            <w:tcW w:w="2011" w:type="pct"/>
            <w:noWrap/>
            <w:hideMark/>
          </w:tcPr>
          <w:p w14:paraId="4D27FE8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Medium Size</w:t>
            </w:r>
          </w:p>
        </w:tc>
        <w:tc>
          <w:tcPr>
            <w:tcW w:w="480" w:type="pct"/>
            <w:noWrap/>
            <w:hideMark/>
          </w:tcPr>
          <w:p w14:paraId="125CAAC2"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96</w:t>
            </w:r>
          </w:p>
        </w:tc>
      </w:tr>
      <w:tr w:rsidR="004F5836" w:rsidRPr="004F5836" w14:paraId="5108AA7F" w14:textId="77777777" w:rsidTr="00D95368">
        <w:trPr>
          <w:trHeight w:val="161"/>
        </w:trPr>
        <w:tc>
          <w:tcPr>
            <w:tcW w:w="2509" w:type="pct"/>
            <w:vMerge/>
            <w:hideMark/>
          </w:tcPr>
          <w:p w14:paraId="5943B1C4" w14:textId="77777777" w:rsidR="00971EE0" w:rsidRPr="004F5836" w:rsidRDefault="00971EE0" w:rsidP="00101A61">
            <w:pPr>
              <w:jc w:val="both"/>
              <w:rPr>
                <w:rFonts w:ascii="Arial" w:hAnsi="Arial" w:cs="Arial"/>
                <w:sz w:val="18"/>
                <w:szCs w:val="18"/>
              </w:rPr>
            </w:pPr>
          </w:p>
        </w:tc>
        <w:tc>
          <w:tcPr>
            <w:tcW w:w="2011" w:type="pct"/>
            <w:noWrap/>
            <w:hideMark/>
          </w:tcPr>
          <w:p w14:paraId="15078A2B"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Large</w:t>
            </w:r>
          </w:p>
        </w:tc>
        <w:tc>
          <w:tcPr>
            <w:tcW w:w="480" w:type="pct"/>
            <w:noWrap/>
            <w:hideMark/>
          </w:tcPr>
          <w:p w14:paraId="5D4C3E8E"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67</w:t>
            </w:r>
          </w:p>
        </w:tc>
      </w:tr>
      <w:tr w:rsidR="004F5836" w:rsidRPr="004F5836" w14:paraId="2FA457D1" w14:textId="77777777" w:rsidTr="00D95368">
        <w:trPr>
          <w:trHeight w:val="151"/>
        </w:trPr>
        <w:tc>
          <w:tcPr>
            <w:tcW w:w="2509" w:type="pct"/>
            <w:vMerge/>
            <w:hideMark/>
          </w:tcPr>
          <w:p w14:paraId="5481ACF7" w14:textId="77777777" w:rsidR="00971EE0" w:rsidRPr="004F5836" w:rsidRDefault="00971EE0" w:rsidP="00101A61">
            <w:pPr>
              <w:jc w:val="both"/>
              <w:rPr>
                <w:rFonts w:ascii="Arial" w:hAnsi="Arial" w:cs="Arial"/>
                <w:sz w:val="18"/>
                <w:szCs w:val="18"/>
              </w:rPr>
            </w:pPr>
          </w:p>
        </w:tc>
        <w:tc>
          <w:tcPr>
            <w:tcW w:w="2011" w:type="pct"/>
            <w:noWrap/>
            <w:hideMark/>
          </w:tcPr>
          <w:p w14:paraId="0DD56FFA"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Very Large</w:t>
            </w:r>
          </w:p>
        </w:tc>
        <w:tc>
          <w:tcPr>
            <w:tcW w:w="480" w:type="pct"/>
            <w:noWrap/>
            <w:hideMark/>
          </w:tcPr>
          <w:p w14:paraId="5035810B"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60</w:t>
            </w:r>
          </w:p>
        </w:tc>
      </w:tr>
      <w:tr w:rsidR="004F5836" w:rsidRPr="004F5836" w14:paraId="0085D5B1" w14:textId="77777777" w:rsidTr="00D95368">
        <w:trPr>
          <w:trHeight w:val="107"/>
        </w:trPr>
        <w:tc>
          <w:tcPr>
            <w:tcW w:w="2509" w:type="pct"/>
            <w:vMerge/>
            <w:hideMark/>
          </w:tcPr>
          <w:p w14:paraId="4EC9B814" w14:textId="77777777" w:rsidR="00971EE0" w:rsidRPr="004F5836" w:rsidRDefault="00971EE0" w:rsidP="00101A61">
            <w:pPr>
              <w:jc w:val="both"/>
              <w:rPr>
                <w:rFonts w:ascii="Arial" w:hAnsi="Arial" w:cs="Arial"/>
                <w:sz w:val="18"/>
                <w:szCs w:val="18"/>
              </w:rPr>
            </w:pPr>
          </w:p>
        </w:tc>
        <w:tc>
          <w:tcPr>
            <w:tcW w:w="2011" w:type="pct"/>
            <w:noWrap/>
            <w:hideMark/>
          </w:tcPr>
          <w:p w14:paraId="2BA7B83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Government Owned</w:t>
            </w:r>
          </w:p>
        </w:tc>
        <w:tc>
          <w:tcPr>
            <w:tcW w:w="480" w:type="pct"/>
            <w:noWrap/>
            <w:hideMark/>
          </w:tcPr>
          <w:p w14:paraId="5C533E31"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31</w:t>
            </w:r>
          </w:p>
        </w:tc>
      </w:tr>
      <w:tr w:rsidR="004F5836" w:rsidRPr="004F5836" w14:paraId="648CCED1" w14:textId="77777777" w:rsidTr="00D95368">
        <w:trPr>
          <w:trHeight w:val="117"/>
        </w:trPr>
        <w:tc>
          <w:tcPr>
            <w:tcW w:w="2509" w:type="pct"/>
            <w:vMerge/>
            <w:hideMark/>
          </w:tcPr>
          <w:p w14:paraId="29638C64" w14:textId="77777777" w:rsidR="00971EE0" w:rsidRPr="004F5836" w:rsidRDefault="00971EE0" w:rsidP="00101A61">
            <w:pPr>
              <w:jc w:val="both"/>
              <w:rPr>
                <w:rFonts w:ascii="Arial" w:hAnsi="Arial" w:cs="Arial"/>
                <w:sz w:val="18"/>
                <w:szCs w:val="18"/>
              </w:rPr>
            </w:pPr>
          </w:p>
        </w:tc>
        <w:tc>
          <w:tcPr>
            <w:tcW w:w="2011" w:type="pct"/>
            <w:noWrap/>
            <w:hideMark/>
          </w:tcPr>
          <w:p w14:paraId="6B0DAECB"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Other Specific</w:t>
            </w:r>
          </w:p>
        </w:tc>
        <w:tc>
          <w:tcPr>
            <w:tcW w:w="480" w:type="pct"/>
            <w:noWrap/>
            <w:hideMark/>
          </w:tcPr>
          <w:p w14:paraId="06F79E9E"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9</w:t>
            </w:r>
          </w:p>
        </w:tc>
      </w:tr>
      <w:tr w:rsidR="004F5836" w:rsidRPr="004F5836" w14:paraId="65DFF8AF" w14:textId="77777777" w:rsidTr="00D95368">
        <w:trPr>
          <w:trHeight w:val="197"/>
        </w:trPr>
        <w:tc>
          <w:tcPr>
            <w:tcW w:w="2509" w:type="pct"/>
            <w:vMerge w:val="restart"/>
            <w:noWrap/>
            <w:hideMark/>
          </w:tcPr>
          <w:p w14:paraId="08E70358"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Supply Chain Segment</w:t>
            </w:r>
          </w:p>
        </w:tc>
        <w:tc>
          <w:tcPr>
            <w:tcW w:w="2011" w:type="pct"/>
            <w:noWrap/>
            <w:hideMark/>
          </w:tcPr>
          <w:p w14:paraId="2177EB2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Mid-Stream</w:t>
            </w:r>
          </w:p>
        </w:tc>
        <w:tc>
          <w:tcPr>
            <w:tcW w:w="480" w:type="pct"/>
            <w:noWrap/>
            <w:hideMark/>
          </w:tcPr>
          <w:p w14:paraId="10855379"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70</w:t>
            </w:r>
          </w:p>
        </w:tc>
      </w:tr>
      <w:tr w:rsidR="004F5836" w:rsidRPr="004F5836" w14:paraId="4CB7FDDE" w14:textId="77777777" w:rsidTr="00D95368">
        <w:trPr>
          <w:trHeight w:val="225"/>
        </w:trPr>
        <w:tc>
          <w:tcPr>
            <w:tcW w:w="2509" w:type="pct"/>
            <w:vMerge/>
            <w:hideMark/>
          </w:tcPr>
          <w:p w14:paraId="5C544676" w14:textId="77777777" w:rsidR="00971EE0" w:rsidRPr="004F5836" w:rsidRDefault="00971EE0" w:rsidP="00101A61">
            <w:pPr>
              <w:jc w:val="both"/>
              <w:rPr>
                <w:rFonts w:ascii="Arial" w:hAnsi="Arial" w:cs="Arial"/>
                <w:sz w:val="18"/>
                <w:szCs w:val="18"/>
              </w:rPr>
            </w:pPr>
          </w:p>
        </w:tc>
        <w:tc>
          <w:tcPr>
            <w:tcW w:w="2011" w:type="pct"/>
            <w:noWrap/>
            <w:hideMark/>
          </w:tcPr>
          <w:p w14:paraId="2820047F"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Upstream</w:t>
            </w:r>
          </w:p>
        </w:tc>
        <w:tc>
          <w:tcPr>
            <w:tcW w:w="480" w:type="pct"/>
            <w:noWrap/>
            <w:hideMark/>
          </w:tcPr>
          <w:p w14:paraId="6F5937A1"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80</w:t>
            </w:r>
          </w:p>
        </w:tc>
      </w:tr>
      <w:tr w:rsidR="00971EE0" w:rsidRPr="004F5836" w14:paraId="71A49C8B" w14:textId="77777777" w:rsidTr="00DC3700">
        <w:trPr>
          <w:trHeight w:val="159"/>
        </w:trPr>
        <w:tc>
          <w:tcPr>
            <w:tcW w:w="2509" w:type="pct"/>
            <w:vMerge/>
            <w:hideMark/>
          </w:tcPr>
          <w:p w14:paraId="49931A85" w14:textId="77777777" w:rsidR="00971EE0" w:rsidRPr="004F5836" w:rsidRDefault="00971EE0" w:rsidP="00101A61">
            <w:pPr>
              <w:jc w:val="both"/>
              <w:rPr>
                <w:rFonts w:ascii="Arial" w:hAnsi="Arial" w:cs="Arial"/>
                <w:sz w:val="18"/>
                <w:szCs w:val="18"/>
              </w:rPr>
            </w:pPr>
          </w:p>
        </w:tc>
        <w:tc>
          <w:tcPr>
            <w:tcW w:w="2011" w:type="pct"/>
            <w:noWrap/>
            <w:hideMark/>
          </w:tcPr>
          <w:p w14:paraId="2B6D373C"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Down</w:t>
            </w:r>
          </w:p>
        </w:tc>
        <w:tc>
          <w:tcPr>
            <w:tcW w:w="480" w:type="pct"/>
            <w:noWrap/>
            <w:hideMark/>
          </w:tcPr>
          <w:p w14:paraId="17ECC740" w14:textId="77777777" w:rsidR="00971EE0" w:rsidRPr="004F5836" w:rsidRDefault="00971EE0" w:rsidP="00101A61">
            <w:pPr>
              <w:jc w:val="both"/>
              <w:rPr>
                <w:rFonts w:ascii="Arial" w:hAnsi="Arial" w:cs="Arial"/>
                <w:sz w:val="18"/>
                <w:szCs w:val="18"/>
              </w:rPr>
            </w:pPr>
            <w:r w:rsidRPr="004F5836">
              <w:rPr>
                <w:rFonts w:ascii="Arial" w:hAnsi="Arial" w:cs="Arial"/>
                <w:sz w:val="18"/>
                <w:szCs w:val="18"/>
              </w:rPr>
              <w:t>84</w:t>
            </w:r>
          </w:p>
        </w:tc>
      </w:tr>
    </w:tbl>
    <w:p w14:paraId="53166679" w14:textId="77777777" w:rsidR="00971EE0" w:rsidRPr="004F5836" w:rsidRDefault="00971EE0" w:rsidP="00293F2B">
      <w:pPr>
        <w:spacing w:after="0" w:line="360" w:lineRule="auto"/>
        <w:jc w:val="both"/>
        <w:rPr>
          <w:rFonts w:ascii="Arial" w:hAnsi="Arial" w:cs="Arial"/>
          <w:sz w:val="20"/>
          <w:szCs w:val="20"/>
        </w:rPr>
      </w:pPr>
    </w:p>
    <w:p w14:paraId="1D66120A" w14:textId="77777777" w:rsidR="00971EE0" w:rsidRPr="004F5836" w:rsidRDefault="00971EE0" w:rsidP="00293F2B">
      <w:pPr>
        <w:spacing w:after="0" w:line="360" w:lineRule="auto"/>
        <w:jc w:val="both"/>
        <w:rPr>
          <w:rFonts w:ascii="Arial" w:hAnsi="Arial" w:cs="Arial"/>
          <w:sz w:val="20"/>
          <w:szCs w:val="20"/>
        </w:rPr>
      </w:pPr>
    </w:p>
    <w:p w14:paraId="6FCEDA8E" w14:textId="77777777" w:rsidR="00971EE0" w:rsidRPr="004F5836" w:rsidRDefault="00971EE0" w:rsidP="00293F2B">
      <w:pPr>
        <w:spacing w:after="0" w:line="360" w:lineRule="auto"/>
        <w:jc w:val="both"/>
        <w:rPr>
          <w:rFonts w:ascii="Arial" w:hAnsi="Arial" w:cs="Arial"/>
          <w:sz w:val="20"/>
          <w:szCs w:val="20"/>
        </w:rPr>
      </w:pPr>
      <w:r w:rsidRPr="004F5836">
        <w:rPr>
          <w:rFonts w:ascii="Arial" w:hAnsi="Arial" w:cs="Arial"/>
          <w:sz w:val="20"/>
          <w:szCs w:val="20"/>
        </w:rPr>
        <w:t>Measurement model</w:t>
      </w:r>
    </w:p>
    <w:p w14:paraId="6DA35A04" w14:textId="15CCDB1D" w:rsidR="00971EE0" w:rsidRPr="004F5836" w:rsidRDefault="00971EE0" w:rsidP="00293F2B">
      <w:pPr>
        <w:spacing w:after="0" w:line="360" w:lineRule="auto"/>
        <w:jc w:val="both"/>
        <w:rPr>
          <w:rFonts w:ascii="Arial" w:hAnsi="Arial" w:cs="Arial"/>
          <w:sz w:val="20"/>
          <w:szCs w:val="20"/>
        </w:rPr>
      </w:pPr>
      <w:r w:rsidRPr="004F5836">
        <w:rPr>
          <w:rFonts w:ascii="Arial" w:hAnsi="Arial" w:cs="Arial"/>
          <w:sz w:val="20"/>
          <w:szCs w:val="20"/>
        </w:rPr>
        <w:t xml:space="preserve">This study was conducted using data obtained from internal stakeholders of the organisation’s safety culture. </w:t>
      </w:r>
      <w:r w:rsidR="0041525C" w:rsidRPr="004F5836">
        <w:rPr>
          <w:rFonts w:ascii="Arial" w:hAnsi="Arial" w:cs="Arial"/>
          <w:sz w:val="20"/>
          <w:szCs w:val="20"/>
        </w:rPr>
        <w:t>Analysis data were obtained by administering the following measurement instruments: (1) a survey including five standardised scales given to oil and gas supply chain workers, and (2) three</w:t>
      </w:r>
      <w:r w:rsidR="004F5836" w:rsidRPr="004F5836">
        <w:rPr>
          <w:rFonts w:ascii="Arial" w:hAnsi="Arial" w:cs="Arial"/>
          <w:sz w:val="20"/>
          <w:szCs w:val="20"/>
        </w:rPr>
        <w:t xml:space="preserve">   </w:t>
      </w:r>
      <w:r w:rsidR="0041525C" w:rsidRPr="004F5836">
        <w:rPr>
          <w:rFonts w:ascii="Arial" w:hAnsi="Arial" w:cs="Arial"/>
          <w:sz w:val="20"/>
          <w:szCs w:val="20"/>
        </w:rPr>
        <w:t>perception anchored rating scales given to a representative sample of each severity, frequency, ease of detection, and risk mitigation strategy.</w:t>
      </w:r>
      <w:r w:rsidRPr="004F5836">
        <w:rPr>
          <w:rFonts w:ascii="Arial" w:hAnsi="Arial" w:cs="Arial"/>
          <w:sz w:val="20"/>
          <w:szCs w:val="20"/>
        </w:rPr>
        <w:t xml:space="preserve"> The construct and its indices provide a comprehensive framework for understanding and addressing the safety culture within an organisation, assessing sustainability risks, and implementing corresponding mitigation strategies to promote safety and environmental stewardship.</w:t>
      </w:r>
    </w:p>
    <w:p w14:paraId="2EC142F7" w14:textId="77777777" w:rsidR="00971EE0" w:rsidRPr="004F5836" w:rsidRDefault="00971EE0" w:rsidP="00293F2B">
      <w:pPr>
        <w:spacing w:after="0" w:line="360" w:lineRule="auto"/>
        <w:jc w:val="both"/>
        <w:rPr>
          <w:rFonts w:ascii="Arial" w:hAnsi="Arial" w:cs="Arial"/>
          <w:sz w:val="20"/>
          <w:szCs w:val="20"/>
        </w:rPr>
      </w:pPr>
    </w:p>
    <w:tbl>
      <w:tblPr>
        <w:tblStyle w:val="TableGrid"/>
        <w:tblW w:w="9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
        <w:gridCol w:w="4874"/>
        <w:gridCol w:w="3862"/>
      </w:tblGrid>
      <w:tr w:rsidR="004F5836" w:rsidRPr="004F5836" w14:paraId="02E6E056" w14:textId="77777777" w:rsidTr="006D3164">
        <w:trPr>
          <w:trHeight w:val="216"/>
        </w:trPr>
        <w:tc>
          <w:tcPr>
            <w:tcW w:w="9560" w:type="dxa"/>
            <w:gridSpan w:val="3"/>
            <w:tcBorders>
              <w:top w:val="single" w:sz="4" w:space="0" w:color="auto"/>
              <w:bottom w:val="single" w:sz="4" w:space="0" w:color="auto"/>
            </w:tcBorders>
            <w:noWrap/>
            <w:hideMark/>
          </w:tcPr>
          <w:p w14:paraId="4732CCC8" w14:textId="3D1DD600"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lastRenderedPageBreak/>
              <w:t>Indicator</w:t>
            </w:r>
            <w:r w:rsidR="004F5836" w:rsidRPr="004F5836">
              <w:rPr>
                <w:rFonts w:ascii="Arial" w:hAnsi="Arial" w:cs="Arial"/>
                <w:bCs/>
                <w:i/>
                <w:sz w:val="18"/>
                <w:szCs w:val="18"/>
              </w:rPr>
              <w:t xml:space="preserve">   </w:t>
            </w:r>
            <w:r w:rsidRPr="004F5836">
              <w:rPr>
                <w:rFonts w:ascii="Arial" w:hAnsi="Arial" w:cs="Arial"/>
                <w:bCs/>
                <w:i/>
                <w:sz w:val="18"/>
                <w:szCs w:val="18"/>
              </w:rPr>
              <w:t>Organisation Safety Culture</w:t>
            </w:r>
            <w:r w:rsidR="004F5836" w:rsidRPr="004F5836">
              <w:rPr>
                <w:rFonts w:ascii="Arial" w:hAnsi="Arial" w:cs="Arial"/>
                <w:bCs/>
                <w:i/>
                <w:sz w:val="18"/>
                <w:szCs w:val="18"/>
              </w:rPr>
              <w:t xml:space="preserve">                                                                                                            </w:t>
            </w:r>
            <w:r w:rsidRPr="004F5836">
              <w:rPr>
                <w:rFonts w:ascii="Arial" w:hAnsi="Arial" w:cs="Arial"/>
                <w:bCs/>
                <w:i/>
                <w:sz w:val="18"/>
                <w:szCs w:val="18"/>
              </w:rPr>
              <w:t xml:space="preserve"> Authors</w:t>
            </w:r>
          </w:p>
        </w:tc>
      </w:tr>
      <w:tr w:rsidR="004F5836" w:rsidRPr="004F5836" w14:paraId="7EE874CE" w14:textId="77777777" w:rsidTr="006D3164">
        <w:trPr>
          <w:trHeight w:val="207"/>
        </w:trPr>
        <w:tc>
          <w:tcPr>
            <w:tcW w:w="824" w:type="dxa"/>
            <w:tcBorders>
              <w:top w:val="single" w:sz="4" w:space="0" w:color="auto"/>
            </w:tcBorders>
            <w:hideMark/>
          </w:tcPr>
          <w:p w14:paraId="6E390840"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OSC1</w:t>
            </w:r>
          </w:p>
        </w:tc>
        <w:tc>
          <w:tcPr>
            <w:tcW w:w="4874" w:type="dxa"/>
            <w:tcBorders>
              <w:top w:val="single" w:sz="4" w:space="0" w:color="auto"/>
            </w:tcBorders>
            <w:hideMark/>
          </w:tcPr>
          <w:p w14:paraId="1CFE6442"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Alert to errors or unexpected events</w:t>
            </w:r>
          </w:p>
        </w:tc>
        <w:tc>
          <w:tcPr>
            <w:tcW w:w="3862" w:type="dxa"/>
            <w:vMerge w:val="restart"/>
            <w:tcBorders>
              <w:top w:val="single" w:sz="4" w:space="0" w:color="auto"/>
            </w:tcBorders>
            <w:hideMark/>
          </w:tcPr>
          <w:p w14:paraId="6658FCD5" w14:textId="77777777" w:rsidR="00971EE0" w:rsidRPr="004F5836" w:rsidRDefault="00971EE0" w:rsidP="00FC6673">
            <w:pPr>
              <w:spacing w:line="360" w:lineRule="auto"/>
              <w:jc w:val="both"/>
              <w:rPr>
                <w:rFonts w:ascii="Arial" w:hAnsi="Arial" w:cs="Arial"/>
                <w:bCs/>
                <w:i/>
                <w:sz w:val="18"/>
                <w:szCs w:val="18"/>
                <w:lang w:val="fi-FI"/>
              </w:rPr>
            </w:pPr>
            <w:r w:rsidRPr="004F5836">
              <w:rPr>
                <w:rFonts w:ascii="Arial" w:hAnsi="Arial" w:cs="Arial"/>
                <w:bCs/>
                <w:i/>
                <w:sz w:val="18"/>
                <w:szCs w:val="18"/>
                <w:lang w:val="fi-FI"/>
              </w:rPr>
              <w:t>(Enya et al., 2020; Pillay et al., 2020; Wan Ahmad, Rezaei, Tavasszy, et al., 2016)</w:t>
            </w:r>
          </w:p>
        </w:tc>
      </w:tr>
      <w:tr w:rsidR="004F5836" w:rsidRPr="004F5836" w14:paraId="72622B94" w14:textId="77777777" w:rsidTr="00922B94">
        <w:trPr>
          <w:trHeight w:val="255"/>
        </w:trPr>
        <w:tc>
          <w:tcPr>
            <w:tcW w:w="824" w:type="dxa"/>
            <w:hideMark/>
          </w:tcPr>
          <w:p w14:paraId="36D60596"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OSC2</w:t>
            </w:r>
          </w:p>
        </w:tc>
        <w:tc>
          <w:tcPr>
            <w:tcW w:w="4874" w:type="dxa"/>
            <w:hideMark/>
          </w:tcPr>
          <w:p w14:paraId="4BA123FB"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Decision making is extended as far as rationally possible</w:t>
            </w:r>
          </w:p>
        </w:tc>
        <w:tc>
          <w:tcPr>
            <w:tcW w:w="3862" w:type="dxa"/>
            <w:vMerge/>
            <w:hideMark/>
          </w:tcPr>
          <w:p w14:paraId="7FEE41E0"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682AF4DB" w14:textId="77777777" w:rsidTr="00922B94">
        <w:trPr>
          <w:trHeight w:val="183"/>
        </w:trPr>
        <w:tc>
          <w:tcPr>
            <w:tcW w:w="824" w:type="dxa"/>
            <w:hideMark/>
          </w:tcPr>
          <w:p w14:paraId="3B2EBAB0"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OSC3</w:t>
            </w:r>
          </w:p>
        </w:tc>
        <w:tc>
          <w:tcPr>
            <w:tcW w:w="4874" w:type="dxa"/>
            <w:hideMark/>
          </w:tcPr>
          <w:p w14:paraId="0ABCB766"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 xml:space="preserve">Supported, protected, and encouraged to bring up problems </w:t>
            </w:r>
          </w:p>
        </w:tc>
        <w:tc>
          <w:tcPr>
            <w:tcW w:w="3862" w:type="dxa"/>
            <w:vMerge/>
            <w:hideMark/>
          </w:tcPr>
          <w:p w14:paraId="04D48625"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4A2B74AB" w14:textId="77777777" w:rsidTr="00922B94">
        <w:trPr>
          <w:trHeight w:val="249"/>
        </w:trPr>
        <w:tc>
          <w:tcPr>
            <w:tcW w:w="824" w:type="dxa"/>
            <w:hideMark/>
          </w:tcPr>
          <w:p w14:paraId="53007755"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OSC4</w:t>
            </w:r>
          </w:p>
        </w:tc>
        <w:tc>
          <w:tcPr>
            <w:tcW w:w="4874" w:type="dxa"/>
            <w:hideMark/>
          </w:tcPr>
          <w:p w14:paraId="53EEE8CC"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Sufficient expertise exists to see patterns of anomalies</w:t>
            </w:r>
          </w:p>
        </w:tc>
        <w:tc>
          <w:tcPr>
            <w:tcW w:w="3862" w:type="dxa"/>
            <w:vMerge/>
            <w:hideMark/>
          </w:tcPr>
          <w:p w14:paraId="0F65A9B0"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121A412B" w14:textId="77777777" w:rsidTr="00922B94">
        <w:trPr>
          <w:trHeight w:val="408"/>
        </w:trPr>
        <w:tc>
          <w:tcPr>
            <w:tcW w:w="824" w:type="dxa"/>
            <w:hideMark/>
          </w:tcPr>
          <w:p w14:paraId="002792A6"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OSC5</w:t>
            </w:r>
          </w:p>
        </w:tc>
        <w:tc>
          <w:tcPr>
            <w:tcW w:w="4874" w:type="dxa"/>
            <w:hideMark/>
          </w:tcPr>
          <w:p w14:paraId="0931AB92"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Safety concerns with adequate training, preventive response, and learning outcomes</w:t>
            </w:r>
          </w:p>
        </w:tc>
        <w:tc>
          <w:tcPr>
            <w:tcW w:w="3862" w:type="dxa"/>
            <w:vMerge/>
            <w:hideMark/>
          </w:tcPr>
          <w:p w14:paraId="518FBB88"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5840DB0C" w14:textId="77777777" w:rsidTr="00922B94">
        <w:trPr>
          <w:trHeight w:val="439"/>
        </w:trPr>
        <w:tc>
          <w:tcPr>
            <w:tcW w:w="824" w:type="dxa"/>
            <w:hideMark/>
          </w:tcPr>
          <w:p w14:paraId="1442C0FA"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OSC6</w:t>
            </w:r>
          </w:p>
        </w:tc>
        <w:tc>
          <w:tcPr>
            <w:tcW w:w="4874" w:type="dxa"/>
            <w:hideMark/>
          </w:tcPr>
          <w:p w14:paraId="5FF1ECB1"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Clear understanding of stakeholder expertise to handle operations and problems</w:t>
            </w:r>
          </w:p>
        </w:tc>
        <w:tc>
          <w:tcPr>
            <w:tcW w:w="3862" w:type="dxa"/>
            <w:vMerge/>
            <w:hideMark/>
          </w:tcPr>
          <w:p w14:paraId="5F123324"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44E4AE9C" w14:textId="77777777" w:rsidTr="006D3164">
        <w:trPr>
          <w:trHeight w:val="424"/>
        </w:trPr>
        <w:tc>
          <w:tcPr>
            <w:tcW w:w="824" w:type="dxa"/>
            <w:hideMark/>
          </w:tcPr>
          <w:p w14:paraId="4B203593"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OSC7</w:t>
            </w:r>
          </w:p>
        </w:tc>
        <w:tc>
          <w:tcPr>
            <w:tcW w:w="4874" w:type="dxa"/>
            <w:hideMark/>
          </w:tcPr>
          <w:p w14:paraId="2DB4168E"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Top management is committed to improving organisation safety culture</w:t>
            </w:r>
          </w:p>
        </w:tc>
        <w:tc>
          <w:tcPr>
            <w:tcW w:w="3862" w:type="dxa"/>
            <w:vMerge/>
            <w:hideMark/>
          </w:tcPr>
          <w:p w14:paraId="70D20A5E"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3319F869" w14:textId="77777777" w:rsidTr="006D3164">
        <w:trPr>
          <w:trHeight w:val="404"/>
        </w:trPr>
        <w:tc>
          <w:tcPr>
            <w:tcW w:w="824" w:type="dxa"/>
            <w:tcBorders>
              <w:bottom w:val="single" w:sz="4" w:space="0" w:color="auto"/>
            </w:tcBorders>
            <w:hideMark/>
          </w:tcPr>
          <w:p w14:paraId="140B7742"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OSC8</w:t>
            </w:r>
          </w:p>
        </w:tc>
        <w:tc>
          <w:tcPr>
            <w:tcW w:w="4874" w:type="dxa"/>
            <w:tcBorders>
              <w:bottom w:val="single" w:sz="4" w:space="0" w:color="auto"/>
            </w:tcBorders>
            <w:hideMark/>
          </w:tcPr>
          <w:p w14:paraId="16EAD7A0"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Top management are knowledgeable about problems, perceptions, unwritten rules, traditions, beliefs in the safety culture</w:t>
            </w:r>
          </w:p>
        </w:tc>
        <w:tc>
          <w:tcPr>
            <w:tcW w:w="3862" w:type="dxa"/>
            <w:tcBorders>
              <w:bottom w:val="single" w:sz="4" w:space="0" w:color="auto"/>
            </w:tcBorders>
            <w:hideMark/>
          </w:tcPr>
          <w:p w14:paraId="4A5ED4E4"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(Wan Ahmad et al., 2016)</w:t>
            </w:r>
          </w:p>
        </w:tc>
      </w:tr>
      <w:tr w:rsidR="004F5836" w:rsidRPr="004F5836" w14:paraId="0290D7DE" w14:textId="77777777" w:rsidTr="00FA04B2">
        <w:trPr>
          <w:trHeight w:val="241"/>
        </w:trPr>
        <w:tc>
          <w:tcPr>
            <w:tcW w:w="9560" w:type="dxa"/>
            <w:gridSpan w:val="3"/>
            <w:tcBorders>
              <w:top w:val="single" w:sz="4" w:space="0" w:color="auto"/>
              <w:bottom w:val="single" w:sz="4" w:space="0" w:color="auto"/>
            </w:tcBorders>
            <w:noWrap/>
            <w:hideMark/>
          </w:tcPr>
          <w:p w14:paraId="065B95DC" w14:textId="30C90A6F"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Indicator</w:t>
            </w:r>
            <w:r w:rsidR="004F5836" w:rsidRPr="004F5836">
              <w:rPr>
                <w:rFonts w:ascii="Arial" w:hAnsi="Arial" w:cs="Arial"/>
                <w:bCs/>
                <w:i/>
                <w:sz w:val="18"/>
                <w:szCs w:val="18"/>
              </w:rPr>
              <w:t xml:space="preserve">      </w:t>
            </w:r>
            <w:r w:rsidRPr="004F5836">
              <w:rPr>
                <w:rFonts w:ascii="Arial" w:hAnsi="Arial" w:cs="Arial"/>
                <w:bCs/>
                <w:i/>
                <w:sz w:val="18"/>
                <w:szCs w:val="18"/>
              </w:rPr>
              <w:t>Sustainability Risk (Severity, Frequency And Ease Of Detection)</w:t>
            </w:r>
          </w:p>
        </w:tc>
      </w:tr>
      <w:tr w:rsidR="004F5836" w:rsidRPr="004F5836" w14:paraId="441B0BC0" w14:textId="77777777" w:rsidTr="006D3164">
        <w:trPr>
          <w:trHeight w:val="491"/>
        </w:trPr>
        <w:tc>
          <w:tcPr>
            <w:tcW w:w="824" w:type="dxa"/>
            <w:tcBorders>
              <w:top w:val="single" w:sz="4" w:space="0" w:color="auto"/>
            </w:tcBorders>
            <w:hideMark/>
          </w:tcPr>
          <w:p w14:paraId="09B602F1"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ENV1</w:t>
            </w:r>
          </w:p>
        </w:tc>
        <w:tc>
          <w:tcPr>
            <w:tcW w:w="4874" w:type="dxa"/>
            <w:tcBorders>
              <w:top w:val="single" w:sz="4" w:space="0" w:color="auto"/>
            </w:tcBorders>
            <w:hideMark/>
          </w:tcPr>
          <w:p w14:paraId="269BA03C"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Human-caused disaster: (oil spillage (pipeline or tanker), flaring, pollution (air, water, soil) etc.)</w:t>
            </w:r>
          </w:p>
        </w:tc>
        <w:tc>
          <w:tcPr>
            <w:tcW w:w="3862" w:type="dxa"/>
            <w:vMerge w:val="restart"/>
            <w:tcBorders>
              <w:top w:val="single" w:sz="4" w:space="0" w:color="auto"/>
            </w:tcBorders>
            <w:hideMark/>
          </w:tcPr>
          <w:p w14:paraId="3B5EEF9C"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lang w:val="en-US"/>
              </w:rPr>
              <w:t>(Abdel-Basset and Mohamed, 2020; Benabdallah et al., 2020; Elhuni, 2017; Giannakis and Papadopoulos, 2016; Rebs et al., 2018; Waligo et al., 2014;(Foroozesh et al., 2018)</w:t>
            </w:r>
            <w:r w:rsidRPr="004F5836">
              <w:rPr>
                <w:rFonts w:ascii="Arial" w:hAnsi="Arial" w:cs="Arial"/>
                <w:bCs/>
                <w:i/>
                <w:sz w:val="18"/>
                <w:szCs w:val="18"/>
                <w:vertAlign w:val="superscript"/>
                <w:lang w:val="en-US"/>
              </w:rPr>
              <w:t xml:space="preserve"> [1][2]</w:t>
            </w:r>
          </w:p>
        </w:tc>
      </w:tr>
      <w:tr w:rsidR="004F5836" w:rsidRPr="004F5836" w14:paraId="79501E5F" w14:textId="77777777" w:rsidTr="00922B94">
        <w:trPr>
          <w:trHeight w:val="397"/>
        </w:trPr>
        <w:tc>
          <w:tcPr>
            <w:tcW w:w="824" w:type="dxa"/>
            <w:hideMark/>
          </w:tcPr>
          <w:p w14:paraId="5C9E9F43"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ENV2</w:t>
            </w:r>
          </w:p>
        </w:tc>
        <w:tc>
          <w:tcPr>
            <w:tcW w:w="4874" w:type="dxa"/>
            <w:hideMark/>
          </w:tcPr>
          <w:p w14:paraId="4C50B75D"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Natural disasters (flood, drought, erosion, acid rain, earthquakes etc.)</w:t>
            </w:r>
          </w:p>
        </w:tc>
        <w:tc>
          <w:tcPr>
            <w:tcW w:w="3862" w:type="dxa"/>
            <w:vMerge/>
            <w:hideMark/>
          </w:tcPr>
          <w:p w14:paraId="4F974573"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03F0DD1B" w14:textId="77777777" w:rsidTr="00FA04B2">
        <w:trPr>
          <w:trHeight w:val="263"/>
        </w:trPr>
        <w:tc>
          <w:tcPr>
            <w:tcW w:w="824" w:type="dxa"/>
            <w:tcBorders>
              <w:bottom w:val="single" w:sz="4" w:space="0" w:color="auto"/>
            </w:tcBorders>
            <w:hideMark/>
          </w:tcPr>
          <w:p w14:paraId="11AA1B4D"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ENV3</w:t>
            </w:r>
          </w:p>
        </w:tc>
        <w:tc>
          <w:tcPr>
            <w:tcW w:w="4874" w:type="dxa"/>
            <w:tcBorders>
              <w:bottom w:val="single" w:sz="4" w:space="0" w:color="auto"/>
            </w:tcBorders>
            <w:hideMark/>
          </w:tcPr>
          <w:p w14:paraId="45E604F5"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Waste management, Energy consumption</w:t>
            </w:r>
          </w:p>
        </w:tc>
        <w:tc>
          <w:tcPr>
            <w:tcW w:w="3862" w:type="dxa"/>
            <w:vMerge/>
            <w:tcBorders>
              <w:bottom w:val="single" w:sz="4" w:space="0" w:color="auto"/>
            </w:tcBorders>
            <w:hideMark/>
          </w:tcPr>
          <w:p w14:paraId="2458F662"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39329CB0" w14:textId="77777777" w:rsidTr="0027650D">
        <w:trPr>
          <w:trHeight w:val="91"/>
        </w:trPr>
        <w:tc>
          <w:tcPr>
            <w:tcW w:w="9560" w:type="dxa"/>
            <w:gridSpan w:val="3"/>
            <w:tcBorders>
              <w:top w:val="single" w:sz="4" w:space="0" w:color="auto"/>
              <w:bottom w:val="single" w:sz="4" w:space="0" w:color="auto"/>
            </w:tcBorders>
            <w:noWrap/>
            <w:hideMark/>
          </w:tcPr>
          <w:p w14:paraId="4A5EFD92" w14:textId="23985B0D"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 xml:space="preserve"> Indicator</w:t>
            </w:r>
            <w:r w:rsidR="004F5836" w:rsidRPr="004F5836">
              <w:rPr>
                <w:rFonts w:ascii="Arial" w:hAnsi="Arial" w:cs="Arial"/>
                <w:bCs/>
                <w:i/>
                <w:sz w:val="18"/>
                <w:szCs w:val="18"/>
              </w:rPr>
              <w:t xml:space="preserve">      </w:t>
            </w:r>
            <w:r w:rsidRPr="004F5836">
              <w:rPr>
                <w:rFonts w:ascii="Arial" w:hAnsi="Arial" w:cs="Arial"/>
                <w:bCs/>
                <w:i/>
                <w:sz w:val="18"/>
                <w:szCs w:val="18"/>
              </w:rPr>
              <w:t xml:space="preserve"> Risk Mitigation Strategy</w:t>
            </w:r>
          </w:p>
        </w:tc>
      </w:tr>
      <w:tr w:rsidR="004F5836" w:rsidRPr="004F5836" w14:paraId="2F08CA64" w14:textId="77777777" w:rsidTr="00FA04B2">
        <w:trPr>
          <w:trHeight w:val="425"/>
        </w:trPr>
        <w:tc>
          <w:tcPr>
            <w:tcW w:w="824" w:type="dxa"/>
            <w:tcBorders>
              <w:top w:val="single" w:sz="4" w:space="0" w:color="auto"/>
            </w:tcBorders>
            <w:hideMark/>
          </w:tcPr>
          <w:p w14:paraId="65B1CCD3"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ENV1</w:t>
            </w:r>
          </w:p>
        </w:tc>
        <w:tc>
          <w:tcPr>
            <w:tcW w:w="4874" w:type="dxa"/>
            <w:tcBorders>
              <w:top w:val="single" w:sz="4" w:space="0" w:color="auto"/>
            </w:tcBorders>
            <w:hideMark/>
          </w:tcPr>
          <w:p w14:paraId="710BA007"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Human-caused disaster: (oil spillage (pipeline or tanker), flaring, pollution (air, water, soil) etc.)</w:t>
            </w:r>
          </w:p>
        </w:tc>
        <w:tc>
          <w:tcPr>
            <w:tcW w:w="3862" w:type="dxa"/>
            <w:vMerge w:val="restart"/>
            <w:tcBorders>
              <w:top w:val="single" w:sz="4" w:space="0" w:color="auto"/>
              <w:bottom w:val="single" w:sz="4" w:space="0" w:color="auto"/>
            </w:tcBorders>
            <w:hideMark/>
          </w:tcPr>
          <w:p w14:paraId="66072387"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(Gouda and Saranga, 2018; Hajmohammad and Shevchenko, 2020)</w:t>
            </w:r>
          </w:p>
          <w:p w14:paraId="3AEADCF7"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(Gouda and Saranga, 2018; Hajmohammad and Shevchenko, 2020)</w:t>
            </w:r>
          </w:p>
          <w:p w14:paraId="5F2BD149"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55509467" w14:textId="77777777" w:rsidTr="00FA04B2">
        <w:trPr>
          <w:trHeight w:val="389"/>
        </w:trPr>
        <w:tc>
          <w:tcPr>
            <w:tcW w:w="824" w:type="dxa"/>
            <w:hideMark/>
          </w:tcPr>
          <w:p w14:paraId="7F49353E"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ENV2</w:t>
            </w:r>
          </w:p>
        </w:tc>
        <w:tc>
          <w:tcPr>
            <w:tcW w:w="4874" w:type="dxa"/>
            <w:hideMark/>
          </w:tcPr>
          <w:p w14:paraId="368C8056"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Natural disasters (flood, drought, erosion, acid rain, earthquakes etc.)</w:t>
            </w:r>
          </w:p>
        </w:tc>
        <w:tc>
          <w:tcPr>
            <w:tcW w:w="3862" w:type="dxa"/>
            <w:vMerge/>
            <w:tcBorders>
              <w:top w:val="single" w:sz="4" w:space="0" w:color="auto"/>
            </w:tcBorders>
            <w:hideMark/>
          </w:tcPr>
          <w:p w14:paraId="472443F9" w14:textId="77777777" w:rsidR="00971EE0" w:rsidRPr="004F5836" w:rsidRDefault="00971EE0" w:rsidP="00FC6673">
            <w:pPr>
              <w:spacing w:line="360" w:lineRule="auto"/>
              <w:jc w:val="both"/>
              <w:rPr>
                <w:rFonts w:ascii="Arial" w:hAnsi="Arial" w:cs="Arial"/>
                <w:bCs/>
                <w:i/>
                <w:sz w:val="18"/>
                <w:szCs w:val="18"/>
              </w:rPr>
            </w:pPr>
          </w:p>
        </w:tc>
      </w:tr>
      <w:tr w:rsidR="004F5836" w:rsidRPr="004F5836" w14:paraId="34C9F8D7" w14:textId="77777777" w:rsidTr="00FA04B2">
        <w:trPr>
          <w:trHeight w:val="246"/>
        </w:trPr>
        <w:tc>
          <w:tcPr>
            <w:tcW w:w="824" w:type="dxa"/>
            <w:hideMark/>
          </w:tcPr>
          <w:p w14:paraId="0F5A114E"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ENV3</w:t>
            </w:r>
          </w:p>
        </w:tc>
        <w:tc>
          <w:tcPr>
            <w:tcW w:w="4874" w:type="dxa"/>
            <w:hideMark/>
          </w:tcPr>
          <w:p w14:paraId="0D56A7AB" w14:textId="77777777" w:rsidR="00971EE0" w:rsidRPr="004F5836" w:rsidRDefault="00971EE0" w:rsidP="00FC6673">
            <w:pPr>
              <w:spacing w:line="360" w:lineRule="auto"/>
              <w:jc w:val="both"/>
              <w:rPr>
                <w:rFonts w:ascii="Arial" w:hAnsi="Arial" w:cs="Arial"/>
                <w:bCs/>
                <w:i/>
                <w:sz w:val="18"/>
                <w:szCs w:val="18"/>
              </w:rPr>
            </w:pPr>
            <w:r w:rsidRPr="004F5836">
              <w:rPr>
                <w:rFonts w:ascii="Arial" w:hAnsi="Arial" w:cs="Arial"/>
                <w:bCs/>
                <w:i/>
                <w:sz w:val="18"/>
                <w:szCs w:val="18"/>
              </w:rPr>
              <w:t>Waste management, Energy consumption</w:t>
            </w:r>
          </w:p>
        </w:tc>
        <w:tc>
          <w:tcPr>
            <w:tcW w:w="3862" w:type="dxa"/>
            <w:vMerge/>
            <w:hideMark/>
          </w:tcPr>
          <w:p w14:paraId="506B05CA" w14:textId="77777777" w:rsidR="00971EE0" w:rsidRPr="004F5836" w:rsidRDefault="00971EE0" w:rsidP="00FC6673">
            <w:pPr>
              <w:spacing w:line="360" w:lineRule="auto"/>
              <w:jc w:val="both"/>
              <w:rPr>
                <w:rFonts w:ascii="Arial" w:hAnsi="Arial" w:cs="Arial"/>
                <w:bCs/>
                <w:i/>
                <w:sz w:val="18"/>
                <w:szCs w:val="18"/>
              </w:rPr>
            </w:pPr>
          </w:p>
        </w:tc>
      </w:tr>
      <w:tr w:rsidR="00971EE0" w:rsidRPr="004F5836" w14:paraId="6EB91BAA" w14:textId="77777777" w:rsidTr="0027650D">
        <w:trPr>
          <w:trHeight w:val="437"/>
        </w:trPr>
        <w:tc>
          <w:tcPr>
            <w:tcW w:w="824" w:type="dxa"/>
            <w:tcBorders>
              <w:bottom w:val="single" w:sz="4" w:space="0" w:color="auto"/>
            </w:tcBorders>
          </w:tcPr>
          <w:p w14:paraId="435C1D82" w14:textId="77777777" w:rsidR="00971EE0" w:rsidRPr="004F5836" w:rsidRDefault="00971EE0" w:rsidP="00FC6673">
            <w:pPr>
              <w:spacing w:line="360" w:lineRule="auto"/>
              <w:jc w:val="both"/>
              <w:rPr>
                <w:rFonts w:ascii="Arial" w:hAnsi="Arial" w:cs="Arial"/>
                <w:bCs/>
                <w:i/>
                <w:sz w:val="18"/>
                <w:szCs w:val="18"/>
              </w:rPr>
            </w:pPr>
          </w:p>
        </w:tc>
        <w:tc>
          <w:tcPr>
            <w:tcW w:w="4874" w:type="dxa"/>
            <w:tcBorders>
              <w:bottom w:val="single" w:sz="4" w:space="0" w:color="auto"/>
            </w:tcBorders>
          </w:tcPr>
          <w:p w14:paraId="3FE4D00E" w14:textId="77777777" w:rsidR="00971EE0" w:rsidRPr="004F5836" w:rsidRDefault="00971EE0" w:rsidP="00FC6673">
            <w:pPr>
              <w:spacing w:line="360" w:lineRule="auto"/>
              <w:jc w:val="both"/>
              <w:rPr>
                <w:rFonts w:ascii="Arial" w:hAnsi="Arial" w:cs="Arial"/>
                <w:bCs/>
                <w:i/>
                <w:sz w:val="18"/>
                <w:szCs w:val="18"/>
              </w:rPr>
            </w:pPr>
          </w:p>
        </w:tc>
        <w:tc>
          <w:tcPr>
            <w:tcW w:w="3862" w:type="dxa"/>
            <w:vMerge/>
            <w:tcBorders>
              <w:bottom w:val="single" w:sz="4" w:space="0" w:color="auto"/>
            </w:tcBorders>
            <w:hideMark/>
          </w:tcPr>
          <w:p w14:paraId="480E7C08" w14:textId="77777777" w:rsidR="00971EE0" w:rsidRPr="004F5836" w:rsidRDefault="00971EE0" w:rsidP="00FC6673">
            <w:pPr>
              <w:spacing w:line="360" w:lineRule="auto"/>
              <w:jc w:val="both"/>
              <w:rPr>
                <w:rFonts w:ascii="Arial" w:hAnsi="Arial" w:cs="Arial"/>
                <w:bCs/>
                <w:i/>
                <w:sz w:val="18"/>
                <w:szCs w:val="18"/>
              </w:rPr>
            </w:pPr>
          </w:p>
        </w:tc>
      </w:tr>
    </w:tbl>
    <w:p w14:paraId="4E674404" w14:textId="77777777" w:rsidR="00971EE0" w:rsidRPr="004F5836" w:rsidRDefault="00971EE0" w:rsidP="00293F2B">
      <w:pPr>
        <w:spacing w:after="0" w:line="360" w:lineRule="auto"/>
        <w:jc w:val="both"/>
        <w:rPr>
          <w:rFonts w:ascii="Arial" w:hAnsi="Arial" w:cs="Arial"/>
          <w:sz w:val="20"/>
          <w:szCs w:val="20"/>
        </w:rPr>
      </w:pPr>
    </w:p>
    <w:p w14:paraId="6AA91FA6" w14:textId="77777777" w:rsidR="00971EE0" w:rsidRPr="004F5836" w:rsidRDefault="00971EE0" w:rsidP="00293F2B">
      <w:pPr>
        <w:spacing w:after="0" w:line="360" w:lineRule="auto"/>
        <w:jc w:val="both"/>
        <w:rPr>
          <w:rFonts w:ascii="Arial" w:hAnsi="Arial" w:cs="Arial"/>
          <w:sz w:val="20"/>
          <w:szCs w:val="20"/>
        </w:rPr>
      </w:pPr>
    </w:p>
    <w:p w14:paraId="4E8D94EA" w14:textId="22C3B88C" w:rsidR="00971EE0" w:rsidRPr="004F5836" w:rsidRDefault="000050C9" w:rsidP="000050C9">
      <w:pPr>
        <w:pStyle w:val="Caption"/>
        <w:keepNext/>
        <w:spacing w:line="360" w:lineRule="auto"/>
        <w:jc w:val="both"/>
        <w:rPr>
          <w:color w:val="auto"/>
        </w:rPr>
      </w:pPr>
      <w:r w:rsidRPr="004F5836">
        <w:rPr>
          <w:rFonts w:ascii="Arial" w:hAnsi="Arial" w:cs="Arial"/>
          <w:i w:val="0"/>
          <w:iCs w:val="0"/>
          <w:color w:val="auto"/>
          <w:sz w:val="20"/>
          <w:szCs w:val="20"/>
        </w:rPr>
        <w:t xml:space="preserve">The study used a number of tests, such as item loadings, average variance extracted (AVE), composite reliability (CR), and Cronbach's alpha (α) values, to check the model's construct validity and reliability.A common method of bias analysis was performed using the Harmon single-factor test in SPSS to ensure the reliability of most findings. The results indicated loadings on the common method factor, and a discrimination parameter of 13.9% suggested that the item had high discrimination ability. This suggests that the item was effective in distinguishing between individuals with varying levels of the latent trait being measured. </w:t>
      </w:r>
      <w:r w:rsidR="0041525C" w:rsidRPr="004F5836">
        <w:rPr>
          <w:rFonts w:ascii="Arial" w:hAnsi="Arial" w:cs="Arial"/>
          <w:color w:val="auto"/>
          <w:sz w:val="20"/>
          <w:szCs w:val="20"/>
        </w:rPr>
        <w:t>A full collinearity test was also performed using SmartPLS 4.0.8.9, and the variance inflation factor (VIF).</w:t>
      </w:r>
      <w:r w:rsidRPr="004F5836">
        <w:rPr>
          <w:rFonts w:ascii="Arial" w:hAnsi="Arial" w:cs="Arial"/>
          <w:i w:val="0"/>
          <w:iCs w:val="0"/>
          <w:color w:val="auto"/>
          <w:sz w:val="20"/>
          <w:szCs w:val="20"/>
        </w:rPr>
        <w:t xml:space="preserve"> </w:t>
      </w:r>
      <w:r w:rsidR="0041525C" w:rsidRPr="004F5836">
        <w:rPr>
          <w:rFonts w:ascii="Arial" w:hAnsi="Arial" w:cs="Arial"/>
          <w:color w:val="auto"/>
          <w:sz w:val="20"/>
          <w:szCs w:val="20"/>
        </w:rPr>
        <w:t xml:space="preserve">The VIF values were between 1.228 and 2.063, which is lower than the </w:t>
      </w:r>
      <w:r w:rsidR="0041525C" w:rsidRPr="004F5836">
        <w:rPr>
          <w:rFonts w:ascii="Arial" w:hAnsi="Arial" w:cs="Arial"/>
          <w:color w:val="auto"/>
          <w:sz w:val="20"/>
          <w:szCs w:val="20"/>
        </w:rPr>
        <w:lastRenderedPageBreak/>
        <w:t>recommended level of 3.3 (Hair et al., 2013).The outer loadings were greater than 0.6, except for SRF2 and SRD3, which were approximately equal to 0.5, as listed in Table 2.</w:t>
      </w:r>
    </w:p>
    <w:p w14:paraId="2896A376" w14:textId="77777777" w:rsidR="00971EE0" w:rsidRPr="004F5836" w:rsidRDefault="00971EE0" w:rsidP="00293F2B">
      <w:pPr>
        <w:pStyle w:val="Caption"/>
        <w:keepNext/>
        <w:spacing w:line="360" w:lineRule="auto"/>
        <w:rPr>
          <w:color w:val="auto"/>
        </w:rPr>
      </w:pPr>
      <w:r w:rsidRPr="004F5836">
        <w:rPr>
          <w:color w:val="auto"/>
        </w:rPr>
        <w:t>Table Construct Indicators</w:t>
      </w:r>
    </w:p>
    <w:tbl>
      <w:tblPr>
        <w:tblW w:w="4511" w:type="pct"/>
        <w:tblLook w:val="04A0" w:firstRow="1" w:lastRow="0" w:firstColumn="1" w:lastColumn="0" w:noHBand="0" w:noVBand="1"/>
      </w:tblPr>
      <w:tblGrid>
        <w:gridCol w:w="882"/>
        <w:gridCol w:w="883"/>
        <w:gridCol w:w="883"/>
        <w:gridCol w:w="883"/>
        <w:gridCol w:w="1767"/>
        <w:gridCol w:w="2006"/>
        <w:gridCol w:w="839"/>
      </w:tblGrid>
      <w:tr w:rsidR="004F5836" w:rsidRPr="004F5836" w14:paraId="319E61A1" w14:textId="77777777" w:rsidTr="001D37CB">
        <w:trPr>
          <w:trHeight w:val="315"/>
        </w:trPr>
        <w:tc>
          <w:tcPr>
            <w:tcW w:w="542" w:type="pct"/>
            <w:tcBorders>
              <w:top w:val="single" w:sz="4" w:space="0" w:color="auto"/>
              <w:left w:val="nil"/>
              <w:bottom w:val="single" w:sz="4" w:space="0" w:color="auto"/>
              <w:right w:val="nil"/>
            </w:tcBorders>
            <w:shd w:val="clear" w:color="auto" w:fill="auto"/>
            <w:noWrap/>
            <w:hideMark/>
          </w:tcPr>
          <w:p w14:paraId="3609A02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 </w:t>
            </w:r>
          </w:p>
        </w:tc>
        <w:tc>
          <w:tcPr>
            <w:tcW w:w="542" w:type="pct"/>
            <w:tcBorders>
              <w:top w:val="single" w:sz="4" w:space="0" w:color="auto"/>
              <w:left w:val="nil"/>
              <w:bottom w:val="single" w:sz="4" w:space="0" w:color="auto"/>
              <w:right w:val="nil"/>
            </w:tcBorders>
            <w:shd w:val="clear" w:color="auto" w:fill="auto"/>
            <w:noWrap/>
            <w:vAlign w:val="bottom"/>
            <w:hideMark/>
          </w:tcPr>
          <w:p w14:paraId="2A522AE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 </w:t>
            </w:r>
          </w:p>
        </w:tc>
        <w:tc>
          <w:tcPr>
            <w:tcW w:w="542" w:type="pct"/>
            <w:tcBorders>
              <w:top w:val="single" w:sz="4" w:space="0" w:color="auto"/>
              <w:left w:val="nil"/>
              <w:bottom w:val="single" w:sz="4" w:space="0" w:color="auto"/>
              <w:right w:val="nil"/>
            </w:tcBorders>
          </w:tcPr>
          <w:p w14:paraId="2D438F0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single" w:sz="4" w:space="0" w:color="auto"/>
              <w:left w:val="nil"/>
              <w:bottom w:val="single" w:sz="4" w:space="0" w:color="auto"/>
              <w:right w:val="nil"/>
            </w:tcBorders>
            <w:shd w:val="clear" w:color="auto" w:fill="auto"/>
            <w:noWrap/>
            <w:vAlign w:val="bottom"/>
            <w:hideMark/>
          </w:tcPr>
          <w:p w14:paraId="13D27CC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VIF</w:t>
            </w:r>
          </w:p>
        </w:tc>
        <w:tc>
          <w:tcPr>
            <w:tcW w:w="1085" w:type="pct"/>
            <w:tcBorders>
              <w:top w:val="single" w:sz="4" w:space="0" w:color="auto"/>
              <w:left w:val="nil"/>
              <w:bottom w:val="single" w:sz="4" w:space="0" w:color="auto"/>
              <w:right w:val="nil"/>
            </w:tcBorders>
            <w:shd w:val="clear" w:color="auto" w:fill="auto"/>
            <w:noWrap/>
            <w:vAlign w:val="center"/>
            <w:hideMark/>
          </w:tcPr>
          <w:p w14:paraId="0D09762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Cronbach's alpha</w:t>
            </w:r>
          </w:p>
        </w:tc>
        <w:tc>
          <w:tcPr>
            <w:tcW w:w="1232" w:type="pct"/>
            <w:tcBorders>
              <w:top w:val="single" w:sz="4" w:space="0" w:color="auto"/>
              <w:left w:val="nil"/>
              <w:bottom w:val="single" w:sz="4" w:space="0" w:color="auto"/>
              <w:right w:val="nil"/>
            </w:tcBorders>
            <w:shd w:val="clear" w:color="auto" w:fill="auto"/>
            <w:noWrap/>
            <w:vAlign w:val="center"/>
            <w:hideMark/>
          </w:tcPr>
          <w:p w14:paraId="3F0553F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 xml:space="preserve">Composite reliability </w:t>
            </w:r>
          </w:p>
        </w:tc>
        <w:tc>
          <w:tcPr>
            <w:tcW w:w="515" w:type="pct"/>
            <w:tcBorders>
              <w:top w:val="single" w:sz="4" w:space="0" w:color="auto"/>
              <w:left w:val="nil"/>
              <w:bottom w:val="single" w:sz="4" w:space="0" w:color="auto"/>
              <w:right w:val="nil"/>
            </w:tcBorders>
            <w:shd w:val="clear" w:color="auto" w:fill="auto"/>
            <w:noWrap/>
            <w:vAlign w:val="center"/>
            <w:hideMark/>
          </w:tcPr>
          <w:p w14:paraId="4A72CFE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 xml:space="preserve"> (AVE)</w:t>
            </w:r>
          </w:p>
        </w:tc>
      </w:tr>
      <w:tr w:rsidR="004F5836" w:rsidRPr="004F5836" w14:paraId="7C2DBDBF" w14:textId="77777777" w:rsidTr="00DC3700">
        <w:trPr>
          <w:trHeight w:val="132"/>
        </w:trPr>
        <w:tc>
          <w:tcPr>
            <w:tcW w:w="542" w:type="pct"/>
            <w:vMerge w:val="restart"/>
            <w:tcBorders>
              <w:top w:val="single" w:sz="4" w:space="0" w:color="auto"/>
              <w:left w:val="nil"/>
              <w:right w:val="nil"/>
            </w:tcBorders>
            <w:shd w:val="clear" w:color="auto" w:fill="auto"/>
            <w:noWrap/>
            <w:vAlign w:val="center"/>
            <w:hideMark/>
          </w:tcPr>
          <w:p w14:paraId="2414245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w:t>
            </w:r>
          </w:p>
        </w:tc>
        <w:tc>
          <w:tcPr>
            <w:tcW w:w="542" w:type="pct"/>
            <w:tcBorders>
              <w:top w:val="single" w:sz="4" w:space="0" w:color="auto"/>
              <w:left w:val="nil"/>
              <w:right w:val="nil"/>
            </w:tcBorders>
            <w:shd w:val="clear" w:color="auto" w:fill="auto"/>
            <w:noWrap/>
            <w:vAlign w:val="bottom"/>
            <w:hideMark/>
          </w:tcPr>
          <w:p w14:paraId="33C423E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OSC1</w:t>
            </w:r>
          </w:p>
        </w:tc>
        <w:tc>
          <w:tcPr>
            <w:tcW w:w="542" w:type="pct"/>
            <w:tcBorders>
              <w:top w:val="single" w:sz="4" w:space="0" w:color="auto"/>
              <w:left w:val="nil"/>
              <w:right w:val="nil"/>
            </w:tcBorders>
          </w:tcPr>
          <w:p w14:paraId="06A25B7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0.69</w:t>
            </w:r>
          </w:p>
        </w:tc>
        <w:tc>
          <w:tcPr>
            <w:tcW w:w="542" w:type="pct"/>
            <w:tcBorders>
              <w:top w:val="single" w:sz="4" w:space="0" w:color="auto"/>
              <w:left w:val="nil"/>
              <w:right w:val="nil"/>
            </w:tcBorders>
            <w:shd w:val="clear" w:color="auto" w:fill="auto"/>
            <w:noWrap/>
            <w:vAlign w:val="bottom"/>
            <w:hideMark/>
          </w:tcPr>
          <w:p w14:paraId="1D9CACF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1.642</w:t>
            </w:r>
          </w:p>
        </w:tc>
        <w:tc>
          <w:tcPr>
            <w:tcW w:w="1085" w:type="pct"/>
            <w:vMerge w:val="restart"/>
            <w:tcBorders>
              <w:top w:val="single" w:sz="4" w:space="0" w:color="auto"/>
              <w:left w:val="nil"/>
              <w:right w:val="nil"/>
            </w:tcBorders>
            <w:shd w:val="clear" w:color="auto" w:fill="auto"/>
            <w:noWrap/>
            <w:vAlign w:val="center"/>
            <w:hideMark/>
          </w:tcPr>
          <w:p w14:paraId="1EA36DE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0.859</w:t>
            </w:r>
          </w:p>
        </w:tc>
        <w:tc>
          <w:tcPr>
            <w:tcW w:w="1232" w:type="pct"/>
            <w:vMerge w:val="restart"/>
            <w:tcBorders>
              <w:top w:val="single" w:sz="4" w:space="0" w:color="auto"/>
              <w:left w:val="nil"/>
              <w:right w:val="nil"/>
            </w:tcBorders>
            <w:shd w:val="clear" w:color="auto" w:fill="auto"/>
            <w:noWrap/>
            <w:vAlign w:val="center"/>
            <w:hideMark/>
          </w:tcPr>
          <w:p w14:paraId="7EBCBE7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0.896</w:t>
            </w:r>
          </w:p>
        </w:tc>
        <w:tc>
          <w:tcPr>
            <w:tcW w:w="515" w:type="pct"/>
            <w:vMerge w:val="restart"/>
            <w:tcBorders>
              <w:top w:val="single" w:sz="4" w:space="0" w:color="auto"/>
              <w:left w:val="nil"/>
              <w:right w:val="nil"/>
            </w:tcBorders>
            <w:shd w:val="clear" w:color="auto" w:fill="auto"/>
            <w:noWrap/>
            <w:vAlign w:val="center"/>
            <w:hideMark/>
          </w:tcPr>
          <w:p w14:paraId="29E2C85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0.504</w:t>
            </w:r>
          </w:p>
        </w:tc>
      </w:tr>
      <w:tr w:rsidR="004F5836" w:rsidRPr="004F5836" w14:paraId="35D96DB6" w14:textId="77777777" w:rsidTr="00DC3700">
        <w:trPr>
          <w:trHeight w:val="216"/>
        </w:trPr>
        <w:tc>
          <w:tcPr>
            <w:tcW w:w="542" w:type="pct"/>
            <w:vMerge/>
            <w:tcBorders>
              <w:top w:val="nil"/>
              <w:left w:val="nil"/>
              <w:right w:val="nil"/>
            </w:tcBorders>
            <w:vAlign w:val="center"/>
            <w:hideMark/>
          </w:tcPr>
          <w:p w14:paraId="01D5556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703A248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OSC2</w:t>
            </w:r>
          </w:p>
        </w:tc>
        <w:tc>
          <w:tcPr>
            <w:tcW w:w="542" w:type="pct"/>
            <w:tcBorders>
              <w:top w:val="nil"/>
              <w:left w:val="nil"/>
              <w:right w:val="nil"/>
            </w:tcBorders>
          </w:tcPr>
          <w:p w14:paraId="0199817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0.67</w:t>
            </w:r>
          </w:p>
        </w:tc>
        <w:tc>
          <w:tcPr>
            <w:tcW w:w="542" w:type="pct"/>
            <w:tcBorders>
              <w:top w:val="nil"/>
              <w:left w:val="nil"/>
              <w:right w:val="nil"/>
            </w:tcBorders>
            <w:shd w:val="clear" w:color="auto" w:fill="auto"/>
            <w:noWrap/>
            <w:vAlign w:val="bottom"/>
            <w:hideMark/>
          </w:tcPr>
          <w:p w14:paraId="79091C1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1.613</w:t>
            </w:r>
          </w:p>
        </w:tc>
        <w:tc>
          <w:tcPr>
            <w:tcW w:w="1085" w:type="pct"/>
            <w:vMerge/>
            <w:tcBorders>
              <w:top w:val="nil"/>
              <w:left w:val="nil"/>
              <w:right w:val="nil"/>
            </w:tcBorders>
            <w:vAlign w:val="center"/>
            <w:hideMark/>
          </w:tcPr>
          <w:p w14:paraId="6D8727A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7508DE6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7048D9D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0EFE7AA9" w14:textId="77777777" w:rsidTr="00DC3700">
        <w:trPr>
          <w:trHeight w:val="134"/>
        </w:trPr>
        <w:tc>
          <w:tcPr>
            <w:tcW w:w="542" w:type="pct"/>
            <w:vMerge/>
            <w:tcBorders>
              <w:top w:val="nil"/>
              <w:left w:val="nil"/>
              <w:right w:val="nil"/>
            </w:tcBorders>
            <w:vAlign w:val="center"/>
            <w:hideMark/>
          </w:tcPr>
          <w:p w14:paraId="7152B4E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0CF327A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OSC3</w:t>
            </w:r>
          </w:p>
        </w:tc>
        <w:tc>
          <w:tcPr>
            <w:tcW w:w="542" w:type="pct"/>
            <w:tcBorders>
              <w:top w:val="nil"/>
              <w:left w:val="nil"/>
              <w:right w:val="nil"/>
            </w:tcBorders>
          </w:tcPr>
          <w:p w14:paraId="6745502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0.61</w:t>
            </w:r>
          </w:p>
        </w:tc>
        <w:tc>
          <w:tcPr>
            <w:tcW w:w="542" w:type="pct"/>
            <w:tcBorders>
              <w:top w:val="nil"/>
              <w:left w:val="nil"/>
              <w:right w:val="nil"/>
            </w:tcBorders>
            <w:shd w:val="clear" w:color="auto" w:fill="auto"/>
            <w:noWrap/>
            <w:vAlign w:val="bottom"/>
            <w:hideMark/>
          </w:tcPr>
          <w:p w14:paraId="6920556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1.408</w:t>
            </w:r>
          </w:p>
        </w:tc>
        <w:tc>
          <w:tcPr>
            <w:tcW w:w="1085" w:type="pct"/>
            <w:vMerge/>
            <w:tcBorders>
              <w:top w:val="nil"/>
              <w:left w:val="nil"/>
              <w:right w:val="nil"/>
            </w:tcBorders>
            <w:vAlign w:val="center"/>
            <w:hideMark/>
          </w:tcPr>
          <w:p w14:paraId="187A73C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2CB8FEE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50169FD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771DA020" w14:textId="77777777" w:rsidTr="00DC3700">
        <w:trPr>
          <w:trHeight w:val="110"/>
        </w:trPr>
        <w:tc>
          <w:tcPr>
            <w:tcW w:w="542" w:type="pct"/>
            <w:vMerge/>
            <w:tcBorders>
              <w:top w:val="nil"/>
              <w:left w:val="nil"/>
              <w:right w:val="nil"/>
            </w:tcBorders>
            <w:vAlign w:val="center"/>
            <w:hideMark/>
          </w:tcPr>
          <w:p w14:paraId="53B4556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483DFAA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OSC4</w:t>
            </w:r>
          </w:p>
        </w:tc>
        <w:tc>
          <w:tcPr>
            <w:tcW w:w="542" w:type="pct"/>
            <w:tcBorders>
              <w:top w:val="nil"/>
              <w:left w:val="nil"/>
              <w:right w:val="nil"/>
            </w:tcBorders>
          </w:tcPr>
          <w:p w14:paraId="0CC4EFF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0.73</w:t>
            </w:r>
          </w:p>
        </w:tc>
        <w:tc>
          <w:tcPr>
            <w:tcW w:w="542" w:type="pct"/>
            <w:tcBorders>
              <w:top w:val="nil"/>
              <w:left w:val="nil"/>
              <w:right w:val="nil"/>
            </w:tcBorders>
            <w:shd w:val="clear" w:color="auto" w:fill="auto"/>
            <w:noWrap/>
            <w:vAlign w:val="bottom"/>
            <w:hideMark/>
          </w:tcPr>
          <w:p w14:paraId="7A37C6A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1.701</w:t>
            </w:r>
          </w:p>
        </w:tc>
        <w:tc>
          <w:tcPr>
            <w:tcW w:w="1085" w:type="pct"/>
            <w:vMerge/>
            <w:tcBorders>
              <w:top w:val="nil"/>
              <w:left w:val="nil"/>
              <w:right w:val="nil"/>
            </w:tcBorders>
            <w:vAlign w:val="center"/>
            <w:hideMark/>
          </w:tcPr>
          <w:p w14:paraId="48CBE2C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50C7F9D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22C83EC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33D7B3A1" w14:textId="77777777" w:rsidTr="00DC3700">
        <w:trPr>
          <w:trHeight w:val="154"/>
        </w:trPr>
        <w:tc>
          <w:tcPr>
            <w:tcW w:w="542" w:type="pct"/>
            <w:vMerge/>
            <w:tcBorders>
              <w:top w:val="nil"/>
              <w:left w:val="nil"/>
              <w:right w:val="nil"/>
            </w:tcBorders>
            <w:vAlign w:val="center"/>
            <w:hideMark/>
          </w:tcPr>
          <w:p w14:paraId="4694D62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56E93B3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OSC5</w:t>
            </w:r>
          </w:p>
        </w:tc>
        <w:tc>
          <w:tcPr>
            <w:tcW w:w="542" w:type="pct"/>
            <w:tcBorders>
              <w:top w:val="nil"/>
              <w:left w:val="nil"/>
              <w:right w:val="nil"/>
            </w:tcBorders>
          </w:tcPr>
          <w:p w14:paraId="4C916FA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0.71</w:t>
            </w:r>
          </w:p>
        </w:tc>
        <w:tc>
          <w:tcPr>
            <w:tcW w:w="542" w:type="pct"/>
            <w:tcBorders>
              <w:top w:val="nil"/>
              <w:left w:val="nil"/>
              <w:right w:val="nil"/>
            </w:tcBorders>
            <w:shd w:val="clear" w:color="auto" w:fill="auto"/>
            <w:noWrap/>
            <w:vAlign w:val="bottom"/>
            <w:hideMark/>
          </w:tcPr>
          <w:p w14:paraId="0275BFE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1.812</w:t>
            </w:r>
          </w:p>
        </w:tc>
        <w:tc>
          <w:tcPr>
            <w:tcW w:w="1085" w:type="pct"/>
            <w:vMerge/>
            <w:tcBorders>
              <w:top w:val="nil"/>
              <w:left w:val="nil"/>
              <w:right w:val="nil"/>
            </w:tcBorders>
            <w:vAlign w:val="center"/>
            <w:hideMark/>
          </w:tcPr>
          <w:p w14:paraId="7A50A18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02521F0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237E002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3E5AADED" w14:textId="77777777" w:rsidTr="00DC3700">
        <w:trPr>
          <w:trHeight w:val="228"/>
        </w:trPr>
        <w:tc>
          <w:tcPr>
            <w:tcW w:w="542" w:type="pct"/>
            <w:vMerge/>
            <w:tcBorders>
              <w:top w:val="nil"/>
              <w:left w:val="nil"/>
              <w:right w:val="nil"/>
            </w:tcBorders>
            <w:vAlign w:val="center"/>
            <w:hideMark/>
          </w:tcPr>
          <w:p w14:paraId="7512F67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7385F7F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OSC6</w:t>
            </w:r>
          </w:p>
        </w:tc>
        <w:tc>
          <w:tcPr>
            <w:tcW w:w="542" w:type="pct"/>
            <w:tcBorders>
              <w:top w:val="nil"/>
              <w:left w:val="nil"/>
              <w:right w:val="nil"/>
            </w:tcBorders>
          </w:tcPr>
          <w:p w14:paraId="7585A1C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0.72</w:t>
            </w:r>
          </w:p>
        </w:tc>
        <w:tc>
          <w:tcPr>
            <w:tcW w:w="542" w:type="pct"/>
            <w:tcBorders>
              <w:top w:val="nil"/>
              <w:left w:val="nil"/>
              <w:right w:val="nil"/>
            </w:tcBorders>
            <w:shd w:val="clear" w:color="auto" w:fill="auto"/>
            <w:noWrap/>
            <w:vAlign w:val="bottom"/>
            <w:hideMark/>
          </w:tcPr>
          <w:p w14:paraId="229B54C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1.898</w:t>
            </w:r>
          </w:p>
        </w:tc>
        <w:tc>
          <w:tcPr>
            <w:tcW w:w="1085" w:type="pct"/>
            <w:vMerge/>
            <w:tcBorders>
              <w:top w:val="nil"/>
              <w:left w:val="nil"/>
              <w:right w:val="nil"/>
            </w:tcBorders>
            <w:vAlign w:val="center"/>
            <w:hideMark/>
          </w:tcPr>
          <w:p w14:paraId="3C107D9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5FAF944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6DD9248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7D58E40E" w14:textId="77777777" w:rsidTr="00DC3700">
        <w:trPr>
          <w:trHeight w:val="146"/>
        </w:trPr>
        <w:tc>
          <w:tcPr>
            <w:tcW w:w="542" w:type="pct"/>
            <w:vMerge/>
            <w:tcBorders>
              <w:top w:val="nil"/>
              <w:left w:val="nil"/>
              <w:right w:val="nil"/>
            </w:tcBorders>
            <w:vAlign w:val="center"/>
            <w:hideMark/>
          </w:tcPr>
          <w:p w14:paraId="37CF2C2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21DD797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OSC7</w:t>
            </w:r>
          </w:p>
        </w:tc>
        <w:tc>
          <w:tcPr>
            <w:tcW w:w="542" w:type="pct"/>
            <w:tcBorders>
              <w:top w:val="nil"/>
              <w:left w:val="nil"/>
              <w:right w:val="nil"/>
            </w:tcBorders>
          </w:tcPr>
          <w:p w14:paraId="488A4F0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0.77</w:t>
            </w:r>
          </w:p>
        </w:tc>
        <w:tc>
          <w:tcPr>
            <w:tcW w:w="542" w:type="pct"/>
            <w:tcBorders>
              <w:top w:val="nil"/>
              <w:left w:val="nil"/>
              <w:right w:val="nil"/>
            </w:tcBorders>
            <w:shd w:val="clear" w:color="auto" w:fill="auto"/>
            <w:noWrap/>
            <w:vAlign w:val="bottom"/>
            <w:hideMark/>
          </w:tcPr>
          <w:p w14:paraId="7D07B11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2.063</w:t>
            </w:r>
          </w:p>
        </w:tc>
        <w:tc>
          <w:tcPr>
            <w:tcW w:w="1085" w:type="pct"/>
            <w:vMerge/>
            <w:tcBorders>
              <w:top w:val="nil"/>
              <w:left w:val="nil"/>
              <w:right w:val="nil"/>
            </w:tcBorders>
            <w:vAlign w:val="center"/>
            <w:hideMark/>
          </w:tcPr>
          <w:p w14:paraId="2B21938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42246EB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0AB92F5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2651C279" w14:textId="77777777" w:rsidTr="00DC3700">
        <w:trPr>
          <w:trHeight w:val="220"/>
        </w:trPr>
        <w:tc>
          <w:tcPr>
            <w:tcW w:w="542" w:type="pct"/>
            <w:vMerge/>
            <w:tcBorders>
              <w:top w:val="nil"/>
              <w:left w:val="nil"/>
              <w:right w:val="nil"/>
            </w:tcBorders>
            <w:vAlign w:val="center"/>
            <w:hideMark/>
          </w:tcPr>
          <w:p w14:paraId="5631DEA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52387AC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OSC8</w:t>
            </w:r>
          </w:p>
        </w:tc>
        <w:tc>
          <w:tcPr>
            <w:tcW w:w="542" w:type="pct"/>
            <w:tcBorders>
              <w:top w:val="nil"/>
              <w:left w:val="nil"/>
              <w:right w:val="nil"/>
            </w:tcBorders>
          </w:tcPr>
          <w:p w14:paraId="5BCAD54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0.78</w:t>
            </w:r>
          </w:p>
        </w:tc>
        <w:tc>
          <w:tcPr>
            <w:tcW w:w="542" w:type="pct"/>
            <w:tcBorders>
              <w:top w:val="nil"/>
              <w:left w:val="nil"/>
              <w:right w:val="nil"/>
            </w:tcBorders>
            <w:shd w:val="clear" w:color="auto" w:fill="auto"/>
            <w:noWrap/>
            <w:vAlign w:val="bottom"/>
            <w:hideMark/>
          </w:tcPr>
          <w:p w14:paraId="0F65968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1.922</w:t>
            </w:r>
          </w:p>
        </w:tc>
        <w:tc>
          <w:tcPr>
            <w:tcW w:w="1085" w:type="pct"/>
            <w:vMerge/>
            <w:tcBorders>
              <w:top w:val="nil"/>
              <w:left w:val="nil"/>
              <w:right w:val="nil"/>
            </w:tcBorders>
            <w:vAlign w:val="center"/>
            <w:hideMark/>
          </w:tcPr>
          <w:p w14:paraId="474BC12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403E03C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2622F65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05E3BCDB" w14:textId="77777777" w:rsidTr="00DC3700">
        <w:trPr>
          <w:trHeight w:val="137"/>
        </w:trPr>
        <w:tc>
          <w:tcPr>
            <w:tcW w:w="542" w:type="pct"/>
            <w:vMerge w:val="restart"/>
            <w:tcBorders>
              <w:top w:val="nil"/>
              <w:left w:val="nil"/>
              <w:right w:val="nil"/>
            </w:tcBorders>
            <w:shd w:val="clear" w:color="auto" w:fill="auto"/>
            <w:noWrap/>
            <w:vAlign w:val="center"/>
            <w:hideMark/>
          </w:tcPr>
          <w:p w14:paraId="299E656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RMS</w:t>
            </w:r>
          </w:p>
        </w:tc>
        <w:tc>
          <w:tcPr>
            <w:tcW w:w="542" w:type="pct"/>
            <w:tcBorders>
              <w:top w:val="nil"/>
              <w:left w:val="nil"/>
              <w:right w:val="nil"/>
            </w:tcBorders>
            <w:shd w:val="clear" w:color="auto" w:fill="auto"/>
            <w:noWrap/>
            <w:vAlign w:val="bottom"/>
            <w:hideMark/>
          </w:tcPr>
          <w:p w14:paraId="3CA4611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RMS1</w:t>
            </w:r>
          </w:p>
        </w:tc>
        <w:tc>
          <w:tcPr>
            <w:tcW w:w="542" w:type="pct"/>
            <w:tcBorders>
              <w:top w:val="nil"/>
              <w:left w:val="nil"/>
              <w:right w:val="nil"/>
            </w:tcBorders>
          </w:tcPr>
          <w:p w14:paraId="092E0FF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0.71</w:t>
            </w:r>
          </w:p>
        </w:tc>
        <w:tc>
          <w:tcPr>
            <w:tcW w:w="542" w:type="pct"/>
            <w:tcBorders>
              <w:top w:val="nil"/>
              <w:left w:val="nil"/>
              <w:right w:val="nil"/>
            </w:tcBorders>
            <w:shd w:val="clear" w:color="auto" w:fill="auto"/>
            <w:noWrap/>
            <w:vAlign w:val="bottom"/>
            <w:hideMark/>
          </w:tcPr>
          <w:p w14:paraId="47284C2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1.228</w:t>
            </w:r>
          </w:p>
        </w:tc>
        <w:tc>
          <w:tcPr>
            <w:tcW w:w="1085" w:type="pct"/>
            <w:vMerge w:val="restart"/>
            <w:tcBorders>
              <w:top w:val="nil"/>
              <w:left w:val="nil"/>
              <w:right w:val="nil"/>
            </w:tcBorders>
            <w:shd w:val="clear" w:color="auto" w:fill="auto"/>
            <w:noWrap/>
            <w:vAlign w:val="center"/>
            <w:hideMark/>
          </w:tcPr>
          <w:p w14:paraId="6FFF506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0.568</w:t>
            </w:r>
          </w:p>
        </w:tc>
        <w:tc>
          <w:tcPr>
            <w:tcW w:w="1232" w:type="pct"/>
            <w:vMerge w:val="restart"/>
            <w:tcBorders>
              <w:top w:val="nil"/>
              <w:left w:val="nil"/>
              <w:right w:val="nil"/>
            </w:tcBorders>
            <w:shd w:val="clear" w:color="auto" w:fill="auto"/>
            <w:noWrap/>
            <w:vAlign w:val="center"/>
            <w:hideMark/>
          </w:tcPr>
          <w:p w14:paraId="30BD965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0.776</w:t>
            </w:r>
          </w:p>
        </w:tc>
        <w:tc>
          <w:tcPr>
            <w:tcW w:w="515" w:type="pct"/>
            <w:vMerge w:val="restart"/>
            <w:tcBorders>
              <w:top w:val="nil"/>
              <w:left w:val="nil"/>
              <w:right w:val="nil"/>
            </w:tcBorders>
            <w:shd w:val="clear" w:color="auto" w:fill="auto"/>
            <w:noWrap/>
            <w:vAlign w:val="center"/>
            <w:hideMark/>
          </w:tcPr>
          <w:p w14:paraId="743DE76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0.536</w:t>
            </w:r>
          </w:p>
        </w:tc>
      </w:tr>
      <w:tr w:rsidR="004F5836" w:rsidRPr="004F5836" w14:paraId="00E67F1D" w14:textId="77777777" w:rsidTr="00DC3700">
        <w:trPr>
          <w:trHeight w:val="211"/>
        </w:trPr>
        <w:tc>
          <w:tcPr>
            <w:tcW w:w="542" w:type="pct"/>
            <w:vMerge/>
            <w:tcBorders>
              <w:top w:val="nil"/>
              <w:left w:val="nil"/>
              <w:right w:val="nil"/>
            </w:tcBorders>
            <w:vAlign w:val="center"/>
            <w:hideMark/>
          </w:tcPr>
          <w:p w14:paraId="0CD0CE0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417D1D1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RMS2</w:t>
            </w:r>
          </w:p>
        </w:tc>
        <w:tc>
          <w:tcPr>
            <w:tcW w:w="542" w:type="pct"/>
            <w:tcBorders>
              <w:top w:val="nil"/>
              <w:left w:val="nil"/>
              <w:right w:val="nil"/>
            </w:tcBorders>
          </w:tcPr>
          <w:p w14:paraId="77D2C65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0.53</w:t>
            </w:r>
          </w:p>
        </w:tc>
        <w:tc>
          <w:tcPr>
            <w:tcW w:w="542" w:type="pct"/>
            <w:tcBorders>
              <w:top w:val="nil"/>
              <w:left w:val="nil"/>
              <w:right w:val="nil"/>
            </w:tcBorders>
            <w:shd w:val="clear" w:color="auto" w:fill="auto"/>
            <w:noWrap/>
            <w:vAlign w:val="bottom"/>
            <w:hideMark/>
          </w:tcPr>
          <w:p w14:paraId="6C0ED0A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1.280</w:t>
            </w:r>
          </w:p>
        </w:tc>
        <w:tc>
          <w:tcPr>
            <w:tcW w:w="1085" w:type="pct"/>
            <w:vMerge/>
            <w:tcBorders>
              <w:top w:val="nil"/>
              <w:left w:val="nil"/>
              <w:right w:val="nil"/>
            </w:tcBorders>
            <w:vAlign w:val="center"/>
            <w:hideMark/>
          </w:tcPr>
          <w:p w14:paraId="0F67EF4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2153A22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20809BD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4F14881A" w14:textId="77777777" w:rsidTr="00DC3700">
        <w:trPr>
          <w:trHeight w:val="143"/>
        </w:trPr>
        <w:tc>
          <w:tcPr>
            <w:tcW w:w="542" w:type="pct"/>
            <w:vMerge/>
            <w:tcBorders>
              <w:top w:val="nil"/>
              <w:left w:val="nil"/>
              <w:right w:val="nil"/>
            </w:tcBorders>
            <w:vAlign w:val="center"/>
            <w:hideMark/>
          </w:tcPr>
          <w:p w14:paraId="25A73B6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1B9DA26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RMS3</w:t>
            </w:r>
          </w:p>
        </w:tc>
        <w:tc>
          <w:tcPr>
            <w:tcW w:w="542" w:type="pct"/>
            <w:tcBorders>
              <w:top w:val="nil"/>
              <w:left w:val="nil"/>
              <w:right w:val="nil"/>
            </w:tcBorders>
          </w:tcPr>
          <w:p w14:paraId="096CF8B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0.43</w:t>
            </w:r>
          </w:p>
        </w:tc>
        <w:tc>
          <w:tcPr>
            <w:tcW w:w="542" w:type="pct"/>
            <w:tcBorders>
              <w:top w:val="nil"/>
              <w:left w:val="nil"/>
              <w:right w:val="nil"/>
            </w:tcBorders>
            <w:shd w:val="clear" w:color="auto" w:fill="auto"/>
            <w:noWrap/>
            <w:vAlign w:val="bottom"/>
            <w:hideMark/>
          </w:tcPr>
          <w:p w14:paraId="348D6C4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1.181</w:t>
            </w:r>
          </w:p>
        </w:tc>
        <w:tc>
          <w:tcPr>
            <w:tcW w:w="1085" w:type="pct"/>
            <w:vMerge/>
            <w:tcBorders>
              <w:top w:val="nil"/>
              <w:left w:val="nil"/>
              <w:right w:val="nil"/>
            </w:tcBorders>
            <w:vAlign w:val="center"/>
            <w:hideMark/>
          </w:tcPr>
          <w:p w14:paraId="307F334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1ADDE579"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4DB90C2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2B03D1B5" w14:textId="77777777" w:rsidTr="00DC3700">
        <w:trPr>
          <w:trHeight w:val="217"/>
        </w:trPr>
        <w:tc>
          <w:tcPr>
            <w:tcW w:w="542" w:type="pct"/>
            <w:vMerge w:val="restart"/>
            <w:tcBorders>
              <w:top w:val="nil"/>
              <w:left w:val="nil"/>
              <w:right w:val="nil"/>
            </w:tcBorders>
            <w:shd w:val="clear" w:color="auto" w:fill="auto"/>
            <w:noWrap/>
            <w:vAlign w:val="center"/>
            <w:hideMark/>
          </w:tcPr>
          <w:p w14:paraId="61B631B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SRD</w:t>
            </w:r>
          </w:p>
        </w:tc>
        <w:tc>
          <w:tcPr>
            <w:tcW w:w="542" w:type="pct"/>
            <w:tcBorders>
              <w:top w:val="nil"/>
              <w:left w:val="nil"/>
              <w:right w:val="nil"/>
            </w:tcBorders>
            <w:shd w:val="clear" w:color="auto" w:fill="auto"/>
            <w:noWrap/>
            <w:vAlign w:val="bottom"/>
            <w:hideMark/>
          </w:tcPr>
          <w:p w14:paraId="259D7B3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SRD1</w:t>
            </w:r>
          </w:p>
        </w:tc>
        <w:tc>
          <w:tcPr>
            <w:tcW w:w="542" w:type="pct"/>
            <w:tcBorders>
              <w:top w:val="nil"/>
              <w:left w:val="nil"/>
              <w:right w:val="nil"/>
            </w:tcBorders>
          </w:tcPr>
          <w:p w14:paraId="258CC8F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0.99</w:t>
            </w:r>
          </w:p>
        </w:tc>
        <w:tc>
          <w:tcPr>
            <w:tcW w:w="542" w:type="pct"/>
            <w:tcBorders>
              <w:top w:val="nil"/>
              <w:left w:val="nil"/>
              <w:right w:val="nil"/>
            </w:tcBorders>
            <w:shd w:val="clear" w:color="auto" w:fill="auto"/>
            <w:noWrap/>
            <w:vAlign w:val="bottom"/>
            <w:hideMark/>
          </w:tcPr>
          <w:p w14:paraId="2507943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1.635</w:t>
            </w:r>
          </w:p>
        </w:tc>
        <w:tc>
          <w:tcPr>
            <w:tcW w:w="1085" w:type="pct"/>
            <w:vMerge w:val="restart"/>
            <w:tcBorders>
              <w:top w:val="nil"/>
              <w:left w:val="nil"/>
              <w:right w:val="nil"/>
            </w:tcBorders>
            <w:shd w:val="clear" w:color="auto" w:fill="auto"/>
            <w:noWrap/>
            <w:vAlign w:val="center"/>
            <w:hideMark/>
          </w:tcPr>
          <w:p w14:paraId="2ECDB09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0.678</w:t>
            </w:r>
          </w:p>
        </w:tc>
        <w:tc>
          <w:tcPr>
            <w:tcW w:w="1232" w:type="pct"/>
            <w:vMerge w:val="restart"/>
            <w:tcBorders>
              <w:top w:val="nil"/>
              <w:left w:val="nil"/>
              <w:right w:val="nil"/>
            </w:tcBorders>
            <w:shd w:val="clear" w:color="auto" w:fill="auto"/>
            <w:noWrap/>
            <w:vAlign w:val="center"/>
            <w:hideMark/>
          </w:tcPr>
          <w:p w14:paraId="23FC439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0.817</w:t>
            </w:r>
          </w:p>
        </w:tc>
        <w:tc>
          <w:tcPr>
            <w:tcW w:w="515" w:type="pct"/>
            <w:vMerge w:val="restart"/>
            <w:tcBorders>
              <w:top w:val="nil"/>
              <w:left w:val="nil"/>
              <w:right w:val="nil"/>
            </w:tcBorders>
            <w:shd w:val="clear" w:color="auto" w:fill="auto"/>
            <w:noWrap/>
            <w:vAlign w:val="center"/>
            <w:hideMark/>
          </w:tcPr>
          <w:p w14:paraId="1FB983D9"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0.603</w:t>
            </w:r>
          </w:p>
        </w:tc>
      </w:tr>
      <w:tr w:rsidR="004F5836" w:rsidRPr="004F5836" w14:paraId="61716682" w14:textId="77777777" w:rsidTr="00DC3700">
        <w:trPr>
          <w:trHeight w:val="149"/>
        </w:trPr>
        <w:tc>
          <w:tcPr>
            <w:tcW w:w="542" w:type="pct"/>
            <w:vMerge/>
            <w:tcBorders>
              <w:top w:val="nil"/>
              <w:left w:val="nil"/>
              <w:right w:val="nil"/>
            </w:tcBorders>
            <w:vAlign w:val="center"/>
            <w:hideMark/>
          </w:tcPr>
          <w:p w14:paraId="4C90D73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6B9DE16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SRD2</w:t>
            </w:r>
          </w:p>
        </w:tc>
        <w:tc>
          <w:tcPr>
            <w:tcW w:w="542" w:type="pct"/>
            <w:tcBorders>
              <w:top w:val="nil"/>
              <w:left w:val="nil"/>
              <w:right w:val="nil"/>
            </w:tcBorders>
          </w:tcPr>
          <w:p w14:paraId="22DD06A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0.65</w:t>
            </w:r>
          </w:p>
        </w:tc>
        <w:tc>
          <w:tcPr>
            <w:tcW w:w="542" w:type="pct"/>
            <w:tcBorders>
              <w:top w:val="nil"/>
              <w:left w:val="nil"/>
              <w:right w:val="nil"/>
            </w:tcBorders>
            <w:shd w:val="clear" w:color="auto" w:fill="auto"/>
            <w:noWrap/>
            <w:vAlign w:val="bottom"/>
            <w:hideMark/>
          </w:tcPr>
          <w:p w14:paraId="1454430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1.492</w:t>
            </w:r>
          </w:p>
        </w:tc>
        <w:tc>
          <w:tcPr>
            <w:tcW w:w="1085" w:type="pct"/>
            <w:vMerge/>
            <w:tcBorders>
              <w:top w:val="nil"/>
              <w:left w:val="nil"/>
              <w:right w:val="nil"/>
            </w:tcBorders>
            <w:vAlign w:val="center"/>
            <w:hideMark/>
          </w:tcPr>
          <w:p w14:paraId="7F9B422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02457BE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3EAF2D8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558FB395" w14:textId="77777777" w:rsidTr="00DC3700">
        <w:trPr>
          <w:trHeight w:val="223"/>
        </w:trPr>
        <w:tc>
          <w:tcPr>
            <w:tcW w:w="542" w:type="pct"/>
            <w:vMerge/>
            <w:tcBorders>
              <w:top w:val="nil"/>
              <w:left w:val="nil"/>
              <w:right w:val="nil"/>
            </w:tcBorders>
            <w:vAlign w:val="center"/>
            <w:hideMark/>
          </w:tcPr>
          <w:p w14:paraId="5676865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1C0D37F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SRD3</w:t>
            </w:r>
          </w:p>
        </w:tc>
        <w:tc>
          <w:tcPr>
            <w:tcW w:w="542" w:type="pct"/>
            <w:tcBorders>
              <w:top w:val="nil"/>
              <w:left w:val="nil"/>
              <w:right w:val="nil"/>
            </w:tcBorders>
          </w:tcPr>
          <w:p w14:paraId="4227B4B9"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0.43</w:t>
            </w:r>
          </w:p>
        </w:tc>
        <w:tc>
          <w:tcPr>
            <w:tcW w:w="542" w:type="pct"/>
            <w:tcBorders>
              <w:top w:val="nil"/>
              <w:left w:val="nil"/>
              <w:right w:val="nil"/>
            </w:tcBorders>
            <w:shd w:val="clear" w:color="auto" w:fill="auto"/>
            <w:noWrap/>
            <w:vAlign w:val="bottom"/>
            <w:hideMark/>
          </w:tcPr>
          <w:p w14:paraId="084D027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1.283</w:t>
            </w:r>
          </w:p>
        </w:tc>
        <w:tc>
          <w:tcPr>
            <w:tcW w:w="1085" w:type="pct"/>
            <w:vMerge/>
            <w:tcBorders>
              <w:top w:val="nil"/>
              <w:left w:val="nil"/>
              <w:right w:val="nil"/>
            </w:tcBorders>
            <w:vAlign w:val="center"/>
            <w:hideMark/>
          </w:tcPr>
          <w:p w14:paraId="0D63456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346940A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44E30DA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19F64FDA" w14:textId="77777777" w:rsidTr="00DC3700">
        <w:trPr>
          <w:trHeight w:val="127"/>
        </w:trPr>
        <w:tc>
          <w:tcPr>
            <w:tcW w:w="542" w:type="pct"/>
            <w:vMerge w:val="restart"/>
            <w:tcBorders>
              <w:top w:val="nil"/>
              <w:left w:val="nil"/>
              <w:right w:val="nil"/>
            </w:tcBorders>
            <w:shd w:val="clear" w:color="auto" w:fill="auto"/>
            <w:noWrap/>
            <w:vAlign w:val="center"/>
            <w:hideMark/>
          </w:tcPr>
          <w:p w14:paraId="04E934E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SRF</w:t>
            </w:r>
          </w:p>
        </w:tc>
        <w:tc>
          <w:tcPr>
            <w:tcW w:w="542" w:type="pct"/>
            <w:tcBorders>
              <w:top w:val="nil"/>
              <w:left w:val="nil"/>
              <w:right w:val="nil"/>
            </w:tcBorders>
            <w:shd w:val="clear" w:color="auto" w:fill="auto"/>
            <w:noWrap/>
            <w:vAlign w:val="bottom"/>
            <w:hideMark/>
          </w:tcPr>
          <w:p w14:paraId="019EFFE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SRF1</w:t>
            </w:r>
          </w:p>
        </w:tc>
        <w:tc>
          <w:tcPr>
            <w:tcW w:w="542" w:type="pct"/>
            <w:tcBorders>
              <w:top w:val="nil"/>
              <w:left w:val="nil"/>
              <w:right w:val="nil"/>
            </w:tcBorders>
          </w:tcPr>
          <w:p w14:paraId="4BCBD1B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0.68</w:t>
            </w:r>
          </w:p>
        </w:tc>
        <w:tc>
          <w:tcPr>
            <w:tcW w:w="542" w:type="pct"/>
            <w:tcBorders>
              <w:top w:val="nil"/>
              <w:left w:val="nil"/>
              <w:right w:val="nil"/>
            </w:tcBorders>
            <w:shd w:val="clear" w:color="auto" w:fill="auto"/>
            <w:noWrap/>
            <w:vAlign w:val="bottom"/>
            <w:hideMark/>
          </w:tcPr>
          <w:p w14:paraId="6538B43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1.637</w:t>
            </w:r>
          </w:p>
        </w:tc>
        <w:tc>
          <w:tcPr>
            <w:tcW w:w="1085" w:type="pct"/>
            <w:vMerge w:val="restart"/>
            <w:tcBorders>
              <w:top w:val="nil"/>
              <w:left w:val="nil"/>
              <w:right w:val="nil"/>
            </w:tcBorders>
            <w:shd w:val="clear" w:color="auto" w:fill="auto"/>
            <w:noWrap/>
            <w:vAlign w:val="center"/>
            <w:hideMark/>
          </w:tcPr>
          <w:p w14:paraId="4B67894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0.721</w:t>
            </w:r>
          </w:p>
        </w:tc>
        <w:tc>
          <w:tcPr>
            <w:tcW w:w="1232" w:type="pct"/>
            <w:vMerge w:val="restart"/>
            <w:tcBorders>
              <w:top w:val="nil"/>
              <w:left w:val="nil"/>
              <w:right w:val="nil"/>
            </w:tcBorders>
            <w:shd w:val="clear" w:color="auto" w:fill="auto"/>
            <w:noWrap/>
            <w:vAlign w:val="center"/>
            <w:hideMark/>
          </w:tcPr>
          <w:p w14:paraId="5E09A7E7"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0.815</w:t>
            </w:r>
          </w:p>
        </w:tc>
        <w:tc>
          <w:tcPr>
            <w:tcW w:w="515" w:type="pct"/>
            <w:vMerge w:val="restart"/>
            <w:tcBorders>
              <w:top w:val="nil"/>
              <w:left w:val="nil"/>
              <w:right w:val="nil"/>
            </w:tcBorders>
            <w:shd w:val="clear" w:color="auto" w:fill="auto"/>
            <w:noWrap/>
            <w:vAlign w:val="center"/>
            <w:hideMark/>
          </w:tcPr>
          <w:p w14:paraId="337B3D9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0.599</w:t>
            </w:r>
          </w:p>
        </w:tc>
      </w:tr>
      <w:tr w:rsidR="004F5836" w:rsidRPr="004F5836" w14:paraId="55176FAC" w14:textId="77777777" w:rsidTr="00A0633B">
        <w:trPr>
          <w:trHeight w:val="202"/>
        </w:trPr>
        <w:tc>
          <w:tcPr>
            <w:tcW w:w="542" w:type="pct"/>
            <w:vMerge/>
            <w:tcBorders>
              <w:top w:val="nil"/>
              <w:left w:val="nil"/>
              <w:right w:val="nil"/>
            </w:tcBorders>
            <w:vAlign w:val="center"/>
            <w:hideMark/>
          </w:tcPr>
          <w:p w14:paraId="1962260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655AA1F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SRF2</w:t>
            </w:r>
          </w:p>
        </w:tc>
        <w:tc>
          <w:tcPr>
            <w:tcW w:w="542" w:type="pct"/>
            <w:tcBorders>
              <w:top w:val="nil"/>
              <w:left w:val="nil"/>
              <w:right w:val="nil"/>
            </w:tcBorders>
          </w:tcPr>
          <w:p w14:paraId="6104EB2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0.50</w:t>
            </w:r>
          </w:p>
        </w:tc>
        <w:tc>
          <w:tcPr>
            <w:tcW w:w="542" w:type="pct"/>
            <w:tcBorders>
              <w:top w:val="nil"/>
              <w:left w:val="nil"/>
              <w:right w:val="nil"/>
            </w:tcBorders>
            <w:shd w:val="clear" w:color="auto" w:fill="auto"/>
            <w:noWrap/>
            <w:vAlign w:val="bottom"/>
            <w:hideMark/>
          </w:tcPr>
          <w:p w14:paraId="14BF2B1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1.653</w:t>
            </w:r>
          </w:p>
        </w:tc>
        <w:tc>
          <w:tcPr>
            <w:tcW w:w="1085" w:type="pct"/>
            <w:vMerge/>
            <w:tcBorders>
              <w:top w:val="nil"/>
              <w:left w:val="nil"/>
              <w:right w:val="nil"/>
            </w:tcBorders>
            <w:vAlign w:val="center"/>
            <w:hideMark/>
          </w:tcPr>
          <w:p w14:paraId="04E5C47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7DAFB7C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592AAC0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3D645CC4" w14:textId="77777777" w:rsidTr="00A0633B">
        <w:trPr>
          <w:trHeight w:val="147"/>
        </w:trPr>
        <w:tc>
          <w:tcPr>
            <w:tcW w:w="542" w:type="pct"/>
            <w:vMerge/>
            <w:tcBorders>
              <w:top w:val="nil"/>
              <w:left w:val="nil"/>
              <w:right w:val="nil"/>
            </w:tcBorders>
            <w:vAlign w:val="center"/>
            <w:hideMark/>
          </w:tcPr>
          <w:p w14:paraId="7F240A79"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right w:val="nil"/>
            </w:tcBorders>
            <w:shd w:val="clear" w:color="auto" w:fill="auto"/>
            <w:noWrap/>
            <w:vAlign w:val="bottom"/>
            <w:hideMark/>
          </w:tcPr>
          <w:p w14:paraId="24B2C0D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SRF3</w:t>
            </w:r>
          </w:p>
        </w:tc>
        <w:tc>
          <w:tcPr>
            <w:tcW w:w="542" w:type="pct"/>
            <w:tcBorders>
              <w:top w:val="nil"/>
              <w:left w:val="nil"/>
              <w:right w:val="nil"/>
            </w:tcBorders>
          </w:tcPr>
          <w:p w14:paraId="789DB05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0.96</w:t>
            </w:r>
          </w:p>
        </w:tc>
        <w:tc>
          <w:tcPr>
            <w:tcW w:w="542" w:type="pct"/>
            <w:tcBorders>
              <w:top w:val="nil"/>
              <w:left w:val="nil"/>
              <w:right w:val="nil"/>
            </w:tcBorders>
            <w:shd w:val="clear" w:color="auto" w:fill="auto"/>
            <w:noWrap/>
            <w:vAlign w:val="bottom"/>
            <w:hideMark/>
          </w:tcPr>
          <w:p w14:paraId="548282B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1.368</w:t>
            </w:r>
          </w:p>
        </w:tc>
        <w:tc>
          <w:tcPr>
            <w:tcW w:w="1085" w:type="pct"/>
            <w:vMerge/>
            <w:tcBorders>
              <w:top w:val="nil"/>
              <w:left w:val="nil"/>
              <w:right w:val="nil"/>
            </w:tcBorders>
            <w:vAlign w:val="center"/>
            <w:hideMark/>
          </w:tcPr>
          <w:p w14:paraId="2DDEB98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right w:val="nil"/>
            </w:tcBorders>
            <w:vAlign w:val="center"/>
            <w:hideMark/>
          </w:tcPr>
          <w:p w14:paraId="547FFEE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right w:val="nil"/>
            </w:tcBorders>
            <w:vAlign w:val="center"/>
            <w:hideMark/>
          </w:tcPr>
          <w:p w14:paraId="4D61D63A"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4F5836" w:rsidRPr="004F5836" w14:paraId="6FCC2E62" w14:textId="77777777" w:rsidTr="00A0633B">
        <w:trPr>
          <w:trHeight w:val="80"/>
        </w:trPr>
        <w:tc>
          <w:tcPr>
            <w:tcW w:w="542" w:type="pct"/>
            <w:vMerge w:val="restart"/>
            <w:tcBorders>
              <w:top w:val="nil"/>
              <w:left w:val="nil"/>
              <w:right w:val="nil"/>
            </w:tcBorders>
            <w:shd w:val="clear" w:color="auto" w:fill="auto"/>
            <w:noWrap/>
            <w:vAlign w:val="center"/>
            <w:hideMark/>
          </w:tcPr>
          <w:p w14:paraId="4E47A20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SRV</w:t>
            </w:r>
          </w:p>
        </w:tc>
        <w:tc>
          <w:tcPr>
            <w:tcW w:w="542" w:type="pct"/>
            <w:tcBorders>
              <w:top w:val="nil"/>
              <w:left w:val="nil"/>
              <w:right w:val="nil"/>
            </w:tcBorders>
            <w:shd w:val="clear" w:color="auto" w:fill="auto"/>
            <w:noWrap/>
            <w:vAlign w:val="bottom"/>
            <w:hideMark/>
          </w:tcPr>
          <w:p w14:paraId="2D206DD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SRV1</w:t>
            </w:r>
          </w:p>
        </w:tc>
        <w:tc>
          <w:tcPr>
            <w:tcW w:w="542" w:type="pct"/>
            <w:tcBorders>
              <w:top w:val="nil"/>
              <w:left w:val="nil"/>
              <w:right w:val="nil"/>
            </w:tcBorders>
          </w:tcPr>
          <w:p w14:paraId="5022B5E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0.88</w:t>
            </w:r>
          </w:p>
        </w:tc>
        <w:tc>
          <w:tcPr>
            <w:tcW w:w="542" w:type="pct"/>
            <w:tcBorders>
              <w:top w:val="nil"/>
              <w:left w:val="nil"/>
              <w:right w:val="nil"/>
            </w:tcBorders>
            <w:shd w:val="clear" w:color="auto" w:fill="auto"/>
            <w:noWrap/>
            <w:vAlign w:val="bottom"/>
            <w:hideMark/>
          </w:tcPr>
          <w:p w14:paraId="5EA884B4"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1.635</w:t>
            </w:r>
          </w:p>
        </w:tc>
        <w:tc>
          <w:tcPr>
            <w:tcW w:w="1085" w:type="pct"/>
            <w:vMerge w:val="restart"/>
            <w:tcBorders>
              <w:top w:val="nil"/>
              <w:left w:val="nil"/>
              <w:right w:val="nil"/>
            </w:tcBorders>
            <w:shd w:val="clear" w:color="auto" w:fill="auto"/>
            <w:noWrap/>
            <w:vAlign w:val="center"/>
            <w:hideMark/>
          </w:tcPr>
          <w:p w14:paraId="01F7D2E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0.718</w:t>
            </w:r>
          </w:p>
        </w:tc>
        <w:tc>
          <w:tcPr>
            <w:tcW w:w="1232" w:type="pct"/>
            <w:vMerge w:val="restart"/>
            <w:tcBorders>
              <w:top w:val="nil"/>
              <w:left w:val="nil"/>
              <w:right w:val="nil"/>
            </w:tcBorders>
            <w:shd w:val="clear" w:color="auto" w:fill="auto"/>
            <w:noWrap/>
            <w:vAlign w:val="center"/>
            <w:hideMark/>
          </w:tcPr>
          <w:p w14:paraId="1B635FEF"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0.836</w:t>
            </w:r>
          </w:p>
        </w:tc>
        <w:tc>
          <w:tcPr>
            <w:tcW w:w="515" w:type="pct"/>
            <w:vMerge w:val="restart"/>
            <w:tcBorders>
              <w:top w:val="nil"/>
              <w:left w:val="nil"/>
              <w:right w:val="nil"/>
            </w:tcBorders>
            <w:shd w:val="clear" w:color="auto" w:fill="auto"/>
            <w:noWrap/>
            <w:vAlign w:val="center"/>
            <w:hideMark/>
          </w:tcPr>
          <w:p w14:paraId="4E641025"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0.633</w:t>
            </w:r>
          </w:p>
        </w:tc>
      </w:tr>
      <w:tr w:rsidR="004F5836" w:rsidRPr="004F5836" w14:paraId="7D3BF19C" w14:textId="77777777" w:rsidTr="00A0633B">
        <w:trPr>
          <w:trHeight w:val="153"/>
        </w:trPr>
        <w:tc>
          <w:tcPr>
            <w:tcW w:w="542" w:type="pct"/>
            <w:vMerge/>
            <w:tcBorders>
              <w:left w:val="nil"/>
              <w:bottom w:val="single" w:sz="4" w:space="0" w:color="000000"/>
              <w:right w:val="nil"/>
            </w:tcBorders>
            <w:vAlign w:val="center"/>
            <w:hideMark/>
          </w:tcPr>
          <w:p w14:paraId="071C68BB"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left w:val="nil"/>
              <w:bottom w:val="nil"/>
              <w:right w:val="nil"/>
            </w:tcBorders>
            <w:shd w:val="clear" w:color="auto" w:fill="auto"/>
            <w:noWrap/>
            <w:vAlign w:val="bottom"/>
            <w:hideMark/>
          </w:tcPr>
          <w:p w14:paraId="67EA7C9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SRV2</w:t>
            </w:r>
          </w:p>
        </w:tc>
        <w:tc>
          <w:tcPr>
            <w:tcW w:w="542" w:type="pct"/>
            <w:tcBorders>
              <w:left w:val="nil"/>
              <w:bottom w:val="nil"/>
              <w:right w:val="nil"/>
            </w:tcBorders>
          </w:tcPr>
          <w:p w14:paraId="29BB731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0.84</w:t>
            </w:r>
          </w:p>
        </w:tc>
        <w:tc>
          <w:tcPr>
            <w:tcW w:w="542" w:type="pct"/>
            <w:tcBorders>
              <w:left w:val="nil"/>
              <w:bottom w:val="nil"/>
              <w:right w:val="nil"/>
            </w:tcBorders>
            <w:shd w:val="clear" w:color="auto" w:fill="auto"/>
            <w:noWrap/>
            <w:vAlign w:val="bottom"/>
            <w:hideMark/>
          </w:tcPr>
          <w:p w14:paraId="173B3451"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1.625</w:t>
            </w:r>
          </w:p>
        </w:tc>
        <w:tc>
          <w:tcPr>
            <w:tcW w:w="1085" w:type="pct"/>
            <w:vMerge/>
            <w:tcBorders>
              <w:left w:val="nil"/>
              <w:bottom w:val="single" w:sz="4" w:space="0" w:color="000000"/>
              <w:right w:val="nil"/>
            </w:tcBorders>
            <w:vAlign w:val="center"/>
            <w:hideMark/>
          </w:tcPr>
          <w:p w14:paraId="5552BDAC"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left w:val="nil"/>
              <w:bottom w:val="single" w:sz="4" w:space="0" w:color="000000"/>
              <w:right w:val="nil"/>
            </w:tcBorders>
            <w:vAlign w:val="center"/>
            <w:hideMark/>
          </w:tcPr>
          <w:p w14:paraId="62435CC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left w:val="nil"/>
              <w:bottom w:val="single" w:sz="4" w:space="0" w:color="000000"/>
              <w:right w:val="nil"/>
            </w:tcBorders>
            <w:vAlign w:val="center"/>
            <w:hideMark/>
          </w:tcPr>
          <w:p w14:paraId="4D4C253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r w:rsidR="00971EE0" w:rsidRPr="004F5836" w14:paraId="7FAACF61" w14:textId="77777777" w:rsidTr="001D37CB">
        <w:trPr>
          <w:trHeight w:val="300"/>
        </w:trPr>
        <w:tc>
          <w:tcPr>
            <w:tcW w:w="542" w:type="pct"/>
            <w:vMerge/>
            <w:tcBorders>
              <w:top w:val="nil"/>
              <w:left w:val="nil"/>
              <w:bottom w:val="single" w:sz="4" w:space="0" w:color="000000"/>
              <w:right w:val="nil"/>
            </w:tcBorders>
            <w:vAlign w:val="center"/>
            <w:hideMark/>
          </w:tcPr>
          <w:p w14:paraId="7FB0F6F0"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42" w:type="pct"/>
            <w:tcBorders>
              <w:top w:val="nil"/>
              <w:left w:val="nil"/>
              <w:bottom w:val="single" w:sz="4" w:space="0" w:color="auto"/>
              <w:right w:val="nil"/>
            </w:tcBorders>
            <w:shd w:val="clear" w:color="auto" w:fill="auto"/>
            <w:noWrap/>
            <w:vAlign w:val="bottom"/>
            <w:hideMark/>
          </w:tcPr>
          <w:p w14:paraId="42FE4C66"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SRV3</w:t>
            </w:r>
          </w:p>
        </w:tc>
        <w:tc>
          <w:tcPr>
            <w:tcW w:w="542" w:type="pct"/>
            <w:tcBorders>
              <w:top w:val="nil"/>
              <w:left w:val="nil"/>
              <w:bottom w:val="single" w:sz="4" w:space="0" w:color="auto"/>
              <w:right w:val="nil"/>
            </w:tcBorders>
          </w:tcPr>
          <w:p w14:paraId="30C5BE98"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0.85</w:t>
            </w:r>
          </w:p>
        </w:tc>
        <w:tc>
          <w:tcPr>
            <w:tcW w:w="542" w:type="pct"/>
            <w:tcBorders>
              <w:top w:val="nil"/>
              <w:left w:val="nil"/>
              <w:bottom w:val="single" w:sz="4" w:space="0" w:color="auto"/>
              <w:right w:val="nil"/>
            </w:tcBorders>
            <w:shd w:val="clear" w:color="auto" w:fill="auto"/>
            <w:noWrap/>
            <w:vAlign w:val="bottom"/>
            <w:hideMark/>
          </w:tcPr>
          <w:p w14:paraId="2D2DA962"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r w:rsidRPr="004F5836">
              <w:rPr>
                <w:rFonts w:ascii="Arial" w:eastAsia="Times New Roman" w:hAnsi="Arial" w:cs="Arial"/>
                <w:kern w:val="0"/>
                <w:sz w:val="18"/>
                <w:szCs w:val="18"/>
                <w:lang w:eastAsia="en-GB"/>
                <w14:ligatures w14:val="none"/>
              </w:rPr>
              <w:t>1.331</w:t>
            </w:r>
          </w:p>
        </w:tc>
        <w:tc>
          <w:tcPr>
            <w:tcW w:w="1085" w:type="pct"/>
            <w:vMerge/>
            <w:tcBorders>
              <w:top w:val="nil"/>
              <w:left w:val="nil"/>
              <w:bottom w:val="single" w:sz="4" w:space="0" w:color="000000"/>
              <w:right w:val="nil"/>
            </w:tcBorders>
            <w:vAlign w:val="center"/>
            <w:hideMark/>
          </w:tcPr>
          <w:p w14:paraId="4BC7D81D"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1232" w:type="pct"/>
            <w:vMerge/>
            <w:tcBorders>
              <w:top w:val="nil"/>
              <w:left w:val="nil"/>
              <w:bottom w:val="single" w:sz="4" w:space="0" w:color="000000"/>
              <w:right w:val="nil"/>
            </w:tcBorders>
            <w:vAlign w:val="center"/>
            <w:hideMark/>
          </w:tcPr>
          <w:p w14:paraId="4CBA9D43"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c>
          <w:tcPr>
            <w:tcW w:w="515" w:type="pct"/>
            <w:vMerge/>
            <w:tcBorders>
              <w:top w:val="nil"/>
              <w:left w:val="nil"/>
              <w:bottom w:val="single" w:sz="4" w:space="0" w:color="000000"/>
              <w:right w:val="nil"/>
            </w:tcBorders>
            <w:vAlign w:val="center"/>
            <w:hideMark/>
          </w:tcPr>
          <w:p w14:paraId="2E2FED2E" w14:textId="77777777" w:rsidR="00971EE0" w:rsidRPr="004F5836" w:rsidRDefault="00971EE0" w:rsidP="00101A61">
            <w:pPr>
              <w:spacing w:after="0" w:line="240" w:lineRule="auto"/>
              <w:jc w:val="both"/>
              <w:rPr>
                <w:rFonts w:ascii="Arial" w:eastAsia="Times New Roman" w:hAnsi="Arial" w:cs="Arial"/>
                <w:kern w:val="0"/>
                <w:sz w:val="18"/>
                <w:szCs w:val="18"/>
                <w:lang w:eastAsia="en-GB"/>
                <w14:ligatures w14:val="none"/>
              </w:rPr>
            </w:pPr>
          </w:p>
        </w:tc>
      </w:tr>
    </w:tbl>
    <w:p w14:paraId="56E2BBFD" w14:textId="77777777" w:rsidR="00971EE0" w:rsidRPr="004F5836" w:rsidRDefault="00971EE0" w:rsidP="00293F2B">
      <w:pPr>
        <w:spacing w:after="0" w:line="360" w:lineRule="auto"/>
        <w:jc w:val="both"/>
        <w:rPr>
          <w:rFonts w:ascii="Arial" w:hAnsi="Arial" w:cs="Arial"/>
          <w:sz w:val="20"/>
          <w:szCs w:val="20"/>
        </w:rPr>
      </w:pPr>
    </w:p>
    <w:p w14:paraId="5352CD93" w14:textId="77777777" w:rsidR="00971EE0" w:rsidRPr="004F5836" w:rsidRDefault="00971EE0" w:rsidP="00293F2B">
      <w:pPr>
        <w:spacing w:after="0" w:line="360" w:lineRule="auto"/>
        <w:jc w:val="both"/>
        <w:rPr>
          <w:rFonts w:ascii="Arial" w:hAnsi="Arial" w:cs="Arial"/>
          <w:sz w:val="20"/>
          <w:szCs w:val="20"/>
        </w:rPr>
      </w:pPr>
    </w:p>
    <w:p w14:paraId="2AA55320" w14:textId="77777777" w:rsidR="00971EE0" w:rsidRPr="004F5836" w:rsidRDefault="00971EE0" w:rsidP="00293F2B">
      <w:pPr>
        <w:spacing w:after="0" w:line="360" w:lineRule="auto"/>
        <w:jc w:val="both"/>
        <w:rPr>
          <w:rFonts w:ascii="Arial" w:hAnsi="Arial" w:cs="Arial"/>
          <w:sz w:val="20"/>
          <w:szCs w:val="20"/>
        </w:rPr>
      </w:pPr>
    </w:p>
    <w:p w14:paraId="7CE7344A" w14:textId="7829C5D2" w:rsidR="00971EE0" w:rsidRPr="004F5836" w:rsidRDefault="001C54F1" w:rsidP="00293F2B">
      <w:pPr>
        <w:spacing w:after="0" w:line="360" w:lineRule="auto"/>
        <w:jc w:val="both"/>
        <w:rPr>
          <w:rFonts w:ascii="Arial" w:hAnsi="Arial" w:cs="Arial"/>
          <w:sz w:val="20"/>
          <w:szCs w:val="20"/>
        </w:rPr>
      </w:pPr>
      <w:r w:rsidRPr="004F5836">
        <w:rPr>
          <w:rFonts w:ascii="Arial" w:hAnsi="Arial" w:cs="Arial"/>
          <w:sz w:val="20"/>
          <w:szCs w:val="20"/>
        </w:rPr>
        <w:t xml:space="preserve">A convergent validity test was performed at the beginning of the study. </w:t>
      </w:r>
      <w:r w:rsidR="0041525C" w:rsidRPr="004F5836">
        <w:rPr>
          <w:rFonts w:ascii="Arial" w:hAnsi="Arial" w:cs="Arial"/>
          <w:sz w:val="20"/>
          <w:szCs w:val="20"/>
        </w:rPr>
        <w:t>The loadings of the items, AVE, and composite reliability (CR) were analysed critically in this study.</w:t>
      </w:r>
      <w:r w:rsidRPr="004F5836">
        <w:rPr>
          <w:rFonts w:ascii="Arial" w:hAnsi="Arial" w:cs="Arial"/>
          <w:sz w:val="20"/>
          <w:szCs w:val="20"/>
        </w:rPr>
        <w:t xml:space="preserve"> The results are presented in Table 3. The CR values ranged between 0.896 and 0.776, which is consistent with the value provided by (Hair et al. (2013). </w:t>
      </w:r>
      <w:r w:rsidR="0041525C" w:rsidRPr="004F5836">
        <w:rPr>
          <w:rFonts w:ascii="Arial" w:hAnsi="Arial" w:cs="Arial"/>
          <w:sz w:val="20"/>
          <w:szCs w:val="20"/>
        </w:rPr>
        <w:t>The constructs examined in this study also had good convergent validity, as shown by AVE values between 0.504 and 0.633 and factor loadings higher than 0.6 for each variable (Fornell and Larcker, 1981).</w:t>
      </w:r>
      <w:r w:rsidRPr="004F5836">
        <w:rPr>
          <w:rFonts w:ascii="Arial" w:hAnsi="Arial" w:cs="Arial"/>
          <w:sz w:val="20"/>
          <w:szCs w:val="20"/>
        </w:rPr>
        <w:t xml:space="preserve">After completing the convergent validity test, the discriminant validity test was performed. As indicated in the literature, Fornell and Larcker (1981) and heterotrain-to-monotrain (HTMT) utilised this test. </w:t>
      </w:r>
      <w:r w:rsidR="0041525C" w:rsidRPr="004F5836">
        <w:rPr>
          <w:rFonts w:ascii="Arial" w:hAnsi="Arial" w:cs="Arial"/>
          <w:sz w:val="20"/>
          <w:szCs w:val="20"/>
        </w:rPr>
        <w:t>The Fornell-Larcker criterion has been criticised by some scholars, who say that it is not fair to find a lack of discriminant validity in large research studies (Henseler et al., 2015).As shown in Table 4, the root mean square AVE of all constructs was higher than the intercorrelations between the latent constructs of the model.</w:t>
      </w:r>
      <w:r w:rsidRPr="004F5836">
        <w:rPr>
          <w:rFonts w:ascii="Arial" w:hAnsi="Arial" w:cs="Arial"/>
          <w:sz w:val="20"/>
          <w:szCs w:val="20"/>
        </w:rPr>
        <w:t xml:space="preserve"> </w:t>
      </w:r>
      <w:r w:rsidR="0041525C" w:rsidRPr="004F5836">
        <w:rPr>
          <w:rFonts w:ascii="Arial" w:hAnsi="Arial" w:cs="Arial"/>
          <w:sz w:val="20"/>
          <w:szCs w:val="20"/>
        </w:rPr>
        <w:t>This means that the constructs were good at explaining the differences between things (Hair et al., 2012).The HTMT ratio was determined.</w:t>
      </w:r>
      <w:r w:rsidRPr="004F5836">
        <w:rPr>
          <w:rFonts w:ascii="Arial" w:hAnsi="Arial" w:cs="Arial"/>
          <w:sz w:val="20"/>
          <w:szCs w:val="20"/>
        </w:rPr>
        <w:t xml:space="preserve"> </w:t>
      </w:r>
      <w:r w:rsidR="00FC2307" w:rsidRPr="004F5836">
        <w:rPr>
          <w:rFonts w:ascii="Arial" w:hAnsi="Arial" w:cs="Arial"/>
          <w:sz w:val="20"/>
          <w:szCs w:val="20"/>
        </w:rPr>
        <w:t>Table 3 demonstrates that all variables were less than 0.85, validating the discriminant validity.</w:t>
      </w:r>
      <w:r w:rsidRPr="004F5836">
        <w:rPr>
          <w:rFonts w:ascii="Arial" w:hAnsi="Arial" w:cs="Arial"/>
          <w:sz w:val="20"/>
          <w:szCs w:val="20"/>
        </w:rPr>
        <w:t xml:space="preserve"> </w:t>
      </w:r>
      <w:r w:rsidR="00FC2307" w:rsidRPr="004F5836">
        <w:rPr>
          <w:rFonts w:ascii="Arial" w:hAnsi="Arial" w:cs="Arial"/>
          <w:sz w:val="20"/>
          <w:szCs w:val="20"/>
        </w:rPr>
        <w:t>In conclusion, the test results indicated that the survey had acceptable discriminant validity.</w:t>
      </w:r>
    </w:p>
    <w:p w14:paraId="4CCDE9A0" w14:textId="77777777" w:rsidR="00971EE0" w:rsidRPr="004F5836" w:rsidRDefault="00971EE0" w:rsidP="00293F2B">
      <w:pPr>
        <w:spacing w:after="0" w:line="360" w:lineRule="auto"/>
        <w:jc w:val="both"/>
        <w:rPr>
          <w:rFonts w:ascii="Arial" w:hAnsi="Arial" w:cs="Arial"/>
          <w:sz w:val="20"/>
          <w:szCs w:val="20"/>
        </w:rPr>
      </w:pPr>
    </w:p>
    <w:p w14:paraId="12888AF3" w14:textId="77777777" w:rsidR="00971EE0" w:rsidRPr="004F5836" w:rsidRDefault="00971EE0" w:rsidP="00293F2B">
      <w:pPr>
        <w:pStyle w:val="Caption"/>
        <w:keepNext/>
        <w:spacing w:line="360" w:lineRule="auto"/>
        <w:rPr>
          <w:color w:val="auto"/>
        </w:rPr>
      </w:pPr>
      <w:r w:rsidRPr="004F5836">
        <w:rPr>
          <w:color w:val="auto"/>
        </w:rPr>
        <w:t xml:space="preserve">Table </w:t>
      </w:r>
      <w:r w:rsidR="004F60F0" w:rsidRPr="004F5836">
        <w:rPr>
          <w:color w:val="auto"/>
        </w:rPr>
        <w:fldChar w:fldCharType="begin"/>
      </w:r>
      <w:r w:rsidR="004F60F0" w:rsidRPr="004F5836">
        <w:rPr>
          <w:color w:val="auto"/>
        </w:rPr>
        <w:instrText xml:space="preserve"> SEQ Table \* ARABIC </w:instrText>
      </w:r>
      <w:r w:rsidR="004F60F0" w:rsidRPr="004F5836">
        <w:rPr>
          <w:color w:val="auto"/>
        </w:rPr>
        <w:fldChar w:fldCharType="separate"/>
      </w:r>
      <w:r w:rsidRPr="004F5836">
        <w:rPr>
          <w:noProof/>
          <w:color w:val="auto"/>
        </w:rPr>
        <w:t>3</w:t>
      </w:r>
      <w:r w:rsidR="004F60F0" w:rsidRPr="004F5836">
        <w:rPr>
          <w:noProof/>
          <w:color w:val="auto"/>
        </w:rPr>
        <w:fldChar w:fldCharType="end"/>
      </w:r>
      <w:r w:rsidRPr="004F5836">
        <w:rPr>
          <w:color w:val="auto"/>
        </w:rPr>
        <w:t>: Discriminant Validity-Fornell &amp; Larker Criteria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5"/>
        <w:gridCol w:w="1505"/>
        <w:gridCol w:w="1504"/>
        <w:gridCol w:w="1504"/>
        <w:gridCol w:w="1504"/>
        <w:gridCol w:w="1504"/>
      </w:tblGrid>
      <w:tr w:rsidR="004F5836" w:rsidRPr="004F5836" w14:paraId="65A87036" w14:textId="77777777" w:rsidTr="0010657B">
        <w:trPr>
          <w:trHeight w:val="300"/>
        </w:trPr>
        <w:tc>
          <w:tcPr>
            <w:tcW w:w="834" w:type="pct"/>
            <w:tcBorders>
              <w:top w:val="single" w:sz="4" w:space="0" w:color="auto"/>
              <w:bottom w:val="single" w:sz="4" w:space="0" w:color="auto"/>
            </w:tcBorders>
            <w:noWrap/>
            <w:hideMark/>
          </w:tcPr>
          <w:p w14:paraId="1B474E5E" w14:textId="77777777" w:rsidR="00971EE0" w:rsidRPr="004F5836" w:rsidRDefault="00971EE0" w:rsidP="00293F2B">
            <w:pPr>
              <w:spacing w:line="360" w:lineRule="auto"/>
              <w:jc w:val="both"/>
              <w:rPr>
                <w:rFonts w:ascii="Arial" w:hAnsi="Arial" w:cs="Arial"/>
                <w:sz w:val="18"/>
                <w:szCs w:val="18"/>
              </w:rPr>
            </w:pPr>
          </w:p>
        </w:tc>
        <w:tc>
          <w:tcPr>
            <w:tcW w:w="834" w:type="pct"/>
            <w:tcBorders>
              <w:top w:val="single" w:sz="4" w:space="0" w:color="auto"/>
              <w:bottom w:val="single" w:sz="4" w:space="0" w:color="auto"/>
            </w:tcBorders>
            <w:noWrap/>
            <w:hideMark/>
          </w:tcPr>
          <w:p w14:paraId="19962792"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OSC</w:t>
            </w:r>
          </w:p>
        </w:tc>
        <w:tc>
          <w:tcPr>
            <w:tcW w:w="833" w:type="pct"/>
            <w:tcBorders>
              <w:top w:val="single" w:sz="4" w:space="0" w:color="auto"/>
              <w:bottom w:val="single" w:sz="4" w:space="0" w:color="auto"/>
            </w:tcBorders>
            <w:noWrap/>
            <w:hideMark/>
          </w:tcPr>
          <w:p w14:paraId="3078C117"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RMS</w:t>
            </w:r>
          </w:p>
        </w:tc>
        <w:tc>
          <w:tcPr>
            <w:tcW w:w="833" w:type="pct"/>
            <w:tcBorders>
              <w:top w:val="single" w:sz="4" w:space="0" w:color="auto"/>
              <w:bottom w:val="single" w:sz="4" w:space="0" w:color="auto"/>
            </w:tcBorders>
            <w:noWrap/>
            <w:hideMark/>
          </w:tcPr>
          <w:p w14:paraId="239459E9"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SRD</w:t>
            </w:r>
          </w:p>
        </w:tc>
        <w:tc>
          <w:tcPr>
            <w:tcW w:w="833" w:type="pct"/>
            <w:tcBorders>
              <w:top w:val="single" w:sz="4" w:space="0" w:color="auto"/>
              <w:bottom w:val="single" w:sz="4" w:space="0" w:color="auto"/>
            </w:tcBorders>
            <w:noWrap/>
            <w:hideMark/>
          </w:tcPr>
          <w:p w14:paraId="0D4A0F39"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SRF</w:t>
            </w:r>
          </w:p>
        </w:tc>
        <w:tc>
          <w:tcPr>
            <w:tcW w:w="833" w:type="pct"/>
            <w:tcBorders>
              <w:top w:val="single" w:sz="4" w:space="0" w:color="auto"/>
              <w:bottom w:val="single" w:sz="4" w:space="0" w:color="auto"/>
            </w:tcBorders>
            <w:noWrap/>
            <w:hideMark/>
          </w:tcPr>
          <w:p w14:paraId="6D36AD6F"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SRV</w:t>
            </w:r>
          </w:p>
        </w:tc>
      </w:tr>
      <w:tr w:rsidR="004F5836" w:rsidRPr="004F5836" w14:paraId="4B21F917" w14:textId="77777777" w:rsidTr="0010657B">
        <w:trPr>
          <w:trHeight w:val="300"/>
        </w:trPr>
        <w:tc>
          <w:tcPr>
            <w:tcW w:w="834" w:type="pct"/>
            <w:tcBorders>
              <w:top w:val="single" w:sz="4" w:space="0" w:color="auto"/>
            </w:tcBorders>
            <w:noWrap/>
            <w:hideMark/>
          </w:tcPr>
          <w:p w14:paraId="09E5AF3F"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OSC</w:t>
            </w:r>
          </w:p>
        </w:tc>
        <w:tc>
          <w:tcPr>
            <w:tcW w:w="834" w:type="pct"/>
            <w:tcBorders>
              <w:top w:val="single" w:sz="4" w:space="0" w:color="auto"/>
            </w:tcBorders>
            <w:noWrap/>
            <w:hideMark/>
          </w:tcPr>
          <w:p w14:paraId="4B80BF61"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0.710</w:t>
            </w:r>
          </w:p>
        </w:tc>
        <w:tc>
          <w:tcPr>
            <w:tcW w:w="833" w:type="pct"/>
            <w:tcBorders>
              <w:top w:val="single" w:sz="4" w:space="0" w:color="auto"/>
            </w:tcBorders>
            <w:noWrap/>
            <w:hideMark/>
          </w:tcPr>
          <w:p w14:paraId="253ACE9F" w14:textId="77777777" w:rsidR="00971EE0" w:rsidRPr="004F5836" w:rsidRDefault="00971EE0" w:rsidP="00293F2B">
            <w:pPr>
              <w:spacing w:line="360" w:lineRule="auto"/>
              <w:jc w:val="both"/>
              <w:rPr>
                <w:rFonts w:ascii="Arial" w:hAnsi="Arial" w:cs="Arial"/>
                <w:sz w:val="18"/>
                <w:szCs w:val="18"/>
              </w:rPr>
            </w:pPr>
          </w:p>
        </w:tc>
        <w:tc>
          <w:tcPr>
            <w:tcW w:w="833" w:type="pct"/>
            <w:tcBorders>
              <w:top w:val="single" w:sz="4" w:space="0" w:color="auto"/>
            </w:tcBorders>
            <w:noWrap/>
            <w:hideMark/>
          </w:tcPr>
          <w:p w14:paraId="5C157031" w14:textId="77777777" w:rsidR="00971EE0" w:rsidRPr="004F5836" w:rsidRDefault="00971EE0" w:rsidP="00293F2B">
            <w:pPr>
              <w:spacing w:line="360" w:lineRule="auto"/>
              <w:jc w:val="both"/>
              <w:rPr>
                <w:rFonts w:ascii="Arial" w:hAnsi="Arial" w:cs="Arial"/>
                <w:sz w:val="18"/>
                <w:szCs w:val="18"/>
              </w:rPr>
            </w:pPr>
          </w:p>
        </w:tc>
        <w:tc>
          <w:tcPr>
            <w:tcW w:w="833" w:type="pct"/>
            <w:tcBorders>
              <w:top w:val="single" w:sz="4" w:space="0" w:color="auto"/>
            </w:tcBorders>
            <w:noWrap/>
            <w:hideMark/>
          </w:tcPr>
          <w:p w14:paraId="3D7DFE1D" w14:textId="77777777" w:rsidR="00971EE0" w:rsidRPr="004F5836" w:rsidRDefault="00971EE0" w:rsidP="00293F2B">
            <w:pPr>
              <w:spacing w:line="360" w:lineRule="auto"/>
              <w:jc w:val="both"/>
              <w:rPr>
                <w:rFonts w:ascii="Arial" w:hAnsi="Arial" w:cs="Arial"/>
                <w:sz w:val="18"/>
                <w:szCs w:val="18"/>
              </w:rPr>
            </w:pPr>
          </w:p>
        </w:tc>
        <w:tc>
          <w:tcPr>
            <w:tcW w:w="833" w:type="pct"/>
            <w:tcBorders>
              <w:top w:val="single" w:sz="4" w:space="0" w:color="auto"/>
            </w:tcBorders>
            <w:noWrap/>
            <w:hideMark/>
          </w:tcPr>
          <w:p w14:paraId="258A711C" w14:textId="77777777" w:rsidR="00971EE0" w:rsidRPr="004F5836" w:rsidRDefault="00971EE0" w:rsidP="00293F2B">
            <w:pPr>
              <w:spacing w:line="360" w:lineRule="auto"/>
              <w:jc w:val="both"/>
              <w:rPr>
                <w:rFonts w:ascii="Arial" w:hAnsi="Arial" w:cs="Arial"/>
                <w:sz w:val="18"/>
                <w:szCs w:val="18"/>
              </w:rPr>
            </w:pPr>
          </w:p>
        </w:tc>
      </w:tr>
      <w:tr w:rsidR="004F5836" w:rsidRPr="004F5836" w14:paraId="247F3DC8" w14:textId="77777777" w:rsidTr="0010657B">
        <w:trPr>
          <w:trHeight w:val="300"/>
        </w:trPr>
        <w:tc>
          <w:tcPr>
            <w:tcW w:w="834" w:type="pct"/>
            <w:noWrap/>
            <w:hideMark/>
          </w:tcPr>
          <w:p w14:paraId="715DD0DA"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RMS</w:t>
            </w:r>
          </w:p>
        </w:tc>
        <w:tc>
          <w:tcPr>
            <w:tcW w:w="834" w:type="pct"/>
            <w:noWrap/>
            <w:hideMark/>
          </w:tcPr>
          <w:p w14:paraId="372231CF"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0.168</w:t>
            </w:r>
          </w:p>
        </w:tc>
        <w:tc>
          <w:tcPr>
            <w:tcW w:w="833" w:type="pct"/>
            <w:noWrap/>
            <w:hideMark/>
          </w:tcPr>
          <w:p w14:paraId="35DD9A5B"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0.732</w:t>
            </w:r>
          </w:p>
        </w:tc>
        <w:tc>
          <w:tcPr>
            <w:tcW w:w="833" w:type="pct"/>
            <w:noWrap/>
            <w:hideMark/>
          </w:tcPr>
          <w:p w14:paraId="11776BD4" w14:textId="77777777" w:rsidR="00971EE0" w:rsidRPr="004F5836" w:rsidRDefault="00971EE0" w:rsidP="00293F2B">
            <w:pPr>
              <w:spacing w:line="360" w:lineRule="auto"/>
              <w:jc w:val="both"/>
              <w:rPr>
                <w:rFonts w:ascii="Arial" w:hAnsi="Arial" w:cs="Arial"/>
                <w:sz w:val="18"/>
                <w:szCs w:val="18"/>
              </w:rPr>
            </w:pPr>
          </w:p>
        </w:tc>
        <w:tc>
          <w:tcPr>
            <w:tcW w:w="833" w:type="pct"/>
            <w:noWrap/>
            <w:hideMark/>
          </w:tcPr>
          <w:p w14:paraId="2D706488" w14:textId="77777777" w:rsidR="00971EE0" w:rsidRPr="004F5836" w:rsidRDefault="00971EE0" w:rsidP="00293F2B">
            <w:pPr>
              <w:spacing w:line="360" w:lineRule="auto"/>
              <w:jc w:val="both"/>
              <w:rPr>
                <w:rFonts w:ascii="Arial" w:hAnsi="Arial" w:cs="Arial"/>
                <w:sz w:val="18"/>
                <w:szCs w:val="18"/>
              </w:rPr>
            </w:pPr>
          </w:p>
        </w:tc>
        <w:tc>
          <w:tcPr>
            <w:tcW w:w="833" w:type="pct"/>
            <w:noWrap/>
            <w:hideMark/>
          </w:tcPr>
          <w:p w14:paraId="4BCD77F1" w14:textId="77777777" w:rsidR="00971EE0" w:rsidRPr="004F5836" w:rsidRDefault="00971EE0" w:rsidP="00293F2B">
            <w:pPr>
              <w:spacing w:line="360" w:lineRule="auto"/>
              <w:jc w:val="both"/>
              <w:rPr>
                <w:rFonts w:ascii="Arial" w:hAnsi="Arial" w:cs="Arial"/>
                <w:sz w:val="18"/>
                <w:szCs w:val="18"/>
              </w:rPr>
            </w:pPr>
          </w:p>
        </w:tc>
      </w:tr>
      <w:tr w:rsidR="004F5836" w:rsidRPr="004F5836" w14:paraId="603AD7EB" w14:textId="77777777" w:rsidTr="0010657B">
        <w:trPr>
          <w:trHeight w:val="300"/>
        </w:trPr>
        <w:tc>
          <w:tcPr>
            <w:tcW w:w="834" w:type="pct"/>
            <w:noWrap/>
            <w:hideMark/>
          </w:tcPr>
          <w:p w14:paraId="4071E458"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lastRenderedPageBreak/>
              <w:t>SRD</w:t>
            </w:r>
          </w:p>
        </w:tc>
        <w:tc>
          <w:tcPr>
            <w:tcW w:w="834" w:type="pct"/>
            <w:noWrap/>
            <w:hideMark/>
          </w:tcPr>
          <w:p w14:paraId="6C51D0C5"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-0.051</w:t>
            </w:r>
          </w:p>
        </w:tc>
        <w:tc>
          <w:tcPr>
            <w:tcW w:w="833" w:type="pct"/>
            <w:noWrap/>
            <w:hideMark/>
          </w:tcPr>
          <w:p w14:paraId="19C2F660"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0.298</w:t>
            </w:r>
          </w:p>
        </w:tc>
        <w:tc>
          <w:tcPr>
            <w:tcW w:w="833" w:type="pct"/>
            <w:noWrap/>
            <w:hideMark/>
          </w:tcPr>
          <w:p w14:paraId="67728E6C"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0.776</w:t>
            </w:r>
          </w:p>
        </w:tc>
        <w:tc>
          <w:tcPr>
            <w:tcW w:w="833" w:type="pct"/>
            <w:noWrap/>
            <w:hideMark/>
          </w:tcPr>
          <w:p w14:paraId="30CEC55D" w14:textId="77777777" w:rsidR="00971EE0" w:rsidRPr="004F5836" w:rsidRDefault="00971EE0" w:rsidP="00293F2B">
            <w:pPr>
              <w:spacing w:line="360" w:lineRule="auto"/>
              <w:jc w:val="both"/>
              <w:rPr>
                <w:rFonts w:ascii="Arial" w:hAnsi="Arial" w:cs="Arial"/>
                <w:sz w:val="18"/>
                <w:szCs w:val="18"/>
              </w:rPr>
            </w:pPr>
          </w:p>
        </w:tc>
        <w:tc>
          <w:tcPr>
            <w:tcW w:w="833" w:type="pct"/>
            <w:noWrap/>
            <w:hideMark/>
          </w:tcPr>
          <w:p w14:paraId="07764B7E" w14:textId="77777777" w:rsidR="00971EE0" w:rsidRPr="004F5836" w:rsidRDefault="00971EE0" w:rsidP="00293F2B">
            <w:pPr>
              <w:spacing w:line="360" w:lineRule="auto"/>
              <w:jc w:val="both"/>
              <w:rPr>
                <w:rFonts w:ascii="Arial" w:hAnsi="Arial" w:cs="Arial"/>
                <w:sz w:val="18"/>
                <w:szCs w:val="18"/>
              </w:rPr>
            </w:pPr>
          </w:p>
        </w:tc>
      </w:tr>
      <w:tr w:rsidR="004F5836" w:rsidRPr="004F5836" w14:paraId="24436FE4" w14:textId="77777777" w:rsidTr="0010657B">
        <w:trPr>
          <w:trHeight w:val="300"/>
        </w:trPr>
        <w:tc>
          <w:tcPr>
            <w:tcW w:w="834" w:type="pct"/>
            <w:noWrap/>
            <w:hideMark/>
          </w:tcPr>
          <w:p w14:paraId="4C7A4696"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SRF</w:t>
            </w:r>
          </w:p>
        </w:tc>
        <w:tc>
          <w:tcPr>
            <w:tcW w:w="834" w:type="pct"/>
            <w:noWrap/>
            <w:hideMark/>
          </w:tcPr>
          <w:p w14:paraId="09F2B7C5"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0.046</w:t>
            </w:r>
          </w:p>
        </w:tc>
        <w:tc>
          <w:tcPr>
            <w:tcW w:w="833" w:type="pct"/>
            <w:noWrap/>
            <w:hideMark/>
          </w:tcPr>
          <w:p w14:paraId="3F80BAC9"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0.061</w:t>
            </w:r>
          </w:p>
        </w:tc>
        <w:tc>
          <w:tcPr>
            <w:tcW w:w="833" w:type="pct"/>
            <w:noWrap/>
            <w:hideMark/>
          </w:tcPr>
          <w:p w14:paraId="488A9007"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0.235</w:t>
            </w:r>
          </w:p>
        </w:tc>
        <w:tc>
          <w:tcPr>
            <w:tcW w:w="833" w:type="pct"/>
            <w:noWrap/>
            <w:hideMark/>
          </w:tcPr>
          <w:p w14:paraId="06C442AD"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0.774</w:t>
            </w:r>
          </w:p>
        </w:tc>
        <w:tc>
          <w:tcPr>
            <w:tcW w:w="833" w:type="pct"/>
            <w:noWrap/>
            <w:hideMark/>
          </w:tcPr>
          <w:p w14:paraId="323E8A11" w14:textId="77777777" w:rsidR="00971EE0" w:rsidRPr="004F5836" w:rsidRDefault="00971EE0" w:rsidP="00293F2B">
            <w:pPr>
              <w:spacing w:line="360" w:lineRule="auto"/>
              <w:jc w:val="both"/>
              <w:rPr>
                <w:rFonts w:ascii="Arial" w:hAnsi="Arial" w:cs="Arial"/>
                <w:sz w:val="18"/>
                <w:szCs w:val="18"/>
              </w:rPr>
            </w:pPr>
          </w:p>
        </w:tc>
      </w:tr>
      <w:tr w:rsidR="00971EE0" w:rsidRPr="004F5836" w14:paraId="55055A54" w14:textId="77777777" w:rsidTr="0010657B">
        <w:trPr>
          <w:trHeight w:val="300"/>
        </w:trPr>
        <w:tc>
          <w:tcPr>
            <w:tcW w:w="834" w:type="pct"/>
            <w:noWrap/>
            <w:hideMark/>
          </w:tcPr>
          <w:p w14:paraId="4A283CC5"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SRV</w:t>
            </w:r>
          </w:p>
        </w:tc>
        <w:tc>
          <w:tcPr>
            <w:tcW w:w="834" w:type="pct"/>
            <w:noWrap/>
            <w:hideMark/>
          </w:tcPr>
          <w:p w14:paraId="04B01B3A"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0.367</w:t>
            </w:r>
          </w:p>
        </w:tc>
        <w:tc>
          <w:tcPr>
            <w:tcW w:w="833" w:type="pct"/>
            <w:noWrap/>
            <w:hideMark/>
          </w:tcPr>
          <w:p w14:paraId="73112262"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0.021</w:t>
            </w:r>
          </w:p>
        </w:tc>
        <w:tc>
          <w:tcPr>
            <w:tcW w:w="833" w:type="pct"/>
            <w:noWrap/>
            <w:hideMark/>
          </w:tcPr>
          <w:p w14:paraId="73611125"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-0.017</w:t>
            </w:r>
          </w:p>
        </w:tc>
        <w:tc>
          <w:tcPr>
            <w:tcW w:w="833" w:type="pct"/>
            <w:noWrap/>
            <w:hideMark/>
          </w:tcPr>
          <w:p w14:paraId="6DDBA8E8"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0.193</w:t>
            </w:r>
          </w:p>
        </w:tc>
        <w:tc>
          <w:tcPr>
            <w:tcW w:w="833" w:type="pct"/>
            <w:noWrap/>
            <w:hideMark/>
          </w:tcPr>
          <w:p w14:paraId="1EEBBED9"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0.796</w:t>
            </w:r>
          </w:p>
        </w:tc>
      </w:tr>
    </w:tbl>
    <w:p w14:paraId="49673E01" w14:textId="77777777" w:rsidR="00971EE0" w:rsidRPr="004F5836" w:rsidRDefault="00971EE0" w:rsidP="00293F2B">
      <w:pPr>
        <w:spacing w:after="0" w:line="360" w:lineRule="auto"/>
        <w:jc w:val="both"/>
        <w:rPr>
          <w:rFonts w:ascii="Arial" w:hAnsi="Arial" w:cs="Arial"/>
          <w:sz w:val="20"/>
          <w:szCs w:val="20"/>
        </w:rPr>
      </w:pPr>
    </w:p>
    <w:p w14:paraId="18C27F03" w14:textId="77777777" w:rsidR="00971EE0" w:rsidRPr="004F5836" w:rsidRDefault="00971EE0" w:rsidP="00293F2B">
      <w:pPr>
        <w:pStyle w:val="Caption"/>
        <w:keepNext/>
        <w:spacing w:line="360" w:lineRule="auto"/>
        <w:rPr>
          <w:color w:val="auto"/>
        </w:rPr>
      </w:pPr>
      <w:r w:rsidRPr="004F5836">
        <w:rPr>
          <w:color w:val="auto"/>
        </w:rPr>
        <w:t xml:space="preserve">Table </w:t>
      </w:r>
      <w:r w:rsidR="004F60F0" w:rsidRPr="004F5836">
        <w:rPr>
          <w:color w:val="auto"/>
        </w:rPr>
        <w:fldChar w:fldCharType="begin"/>
      </w:r>
      <w:r w:rsidR="004F60F0" w:rsidRPr="004F5836">
        <w:rPr>
          <w:color w:val="auto"/>
        </w:rPr>
        <w:instrText xml:space="preserve"> SEQ Table \* ARABIC </w:instrText>
      </w:r>
      <w:r w:rsidR="004F60F0" w:rsidRPr="004F5836">
        <w:rPr>
          <w:color w:val="auto"/>
        </w:rPr>
        <w:fldChar w:fldCharType="separate"/>
      </w:r>
      <w:r w:rsidRPr="004F5836">
        <w:rPr>
          <w:noProof/>
          <w:color w:val="auto"/>
        </w:rPr>
        <w:t>4</w:t>
      </w:r>
      <w:r w:rsidR="004F60F0" w:rsidRPr="004F5836">
        <w:rPr>
          <w:noProof/>
          <w:color w:val="auto"/>
        </w:rPr>
        <w:fldChar w:fldCharType="end"/>
      </w:r>
      <w:r w:rsidRPr="004F5836">
        <w:rPr>
          <w:color w:val="auto"/>
        </w:rPr>
        <w:t>:Heterotriat-Monoratio(HTMT)</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8"/>
        <w:gridCol w:w="1558"/>
        <w:gridCol w:w="1558"/>
        <w:gridCol w:w="1558"/>
        <w:gridCol w:w="1558"/>
        <w:gridCol w:w="1356"/>
      </w:tblGrid>
      <w:tr w:rsidR="004F5836" w:rsidRPr="004F5836" w14:paraId="380F3A6C" w14:textId="77777777" w:rsidTr="0010657B">
        <w:trPr>
          <w:trHeight w:val="300"/>
        </w:trPr>
        <w:tc>
          <w:tcPr>
            <w:tcW w:w="797" w:type="pct"/>
            <w:tcBorders>
              <w:top w:val="single" w:sz="4" w:space="0" w:color="auto"/>
              <w:bottom w:val="single" w:sz="4" w:space="0" w:color="auto"/>
            </w:tcBorders>
            <w:noWrap/>
            <w:hideMark/>
          </w:tcPr>
          <w:p w14:paraId="788F56FA" w14:textId="77777777" w:rsidR="00971EE0" w:rsidRPr="004F5836" w:rsidRDefault="00971EE0" w:rsidP="00293F2B">
            <w:pPr>
              <w:spacing w:line="360" w:lineRule="auto"/>
              <w:jc w:val="both"/>
              <w:rPr>
                <w:rFonts w:ascii="Arial" w:hAnsi="Arial" w:cs="Arial"/>
                <w:sz w:val="18"/>
                <w:szCs w:val="18"/>
              </w:rPr>
            </w:pPr>
          </w:p>
        </w:tc>
        <w:tc>
          <w:tcPr>
            <w:tcW w:w="863" w:type="pct"/>
            <w:tcBorders>
              <w:top w:val="single" w:sz="4" w:space="0" w:color="auto"/>
              <w:bottom w:val="single" w:sz="4" w:space="0" w:color="auto"/>
            </w:tcBorders>
            <w:noWrap/>
            <w:hideMark/>
          </w:tcPr>
          <w:p w14:paraId="2E089A33"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OSC</w:t>
            </w:r>
          </w:p>
        </w:tc>
        <w:tc>
          <w:tcPr>
            <w:tcW w:w="863" w:type="pct"/>
            <w:tcBorders>
              <w:top w:val="single" w:sz="4" w:space="0" w:color="auto"/>
              <w:bottom w:val="single" w:sz="4" w:space="0" w:color="auto"/>
            </w:tcBorders>
            <w:noWrap/>
            <w:hideMark/>
          </w:tcPr>
          <w:p w14:paraId="1B10673A"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RMS</w:t>
            </w:r>
          </w:p>
        </w:tc>
        <w:tc>
          <w:tcPr>
            <w:tcW w:w="863" w:type="pct"/>
            <w:tcBorders>
              <w:top w:val="single" w:sz="4" w:space="0" w:color="auto"/>
              <w:bottom w:val="single" w:sz="4" w:space="0" w:color="auto"/>
            </w:tcBorders>
            <w:noWrap/>
            <w:hideMark/>
          </w:tcPr>
          <w:p w14:paraId="5F54E799"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SRD</w:t>
            </w:r>
          </w:p>
        </w:tc>
        <w:tc>
          <w:tcPr>
            <w:tcW w:w="863" w:type="pct"/>
            <w:tcBorders>
              <w:top w:val="single" w:sz="4" w:space="0" w:color="auto"/>
              <w:bottom w:val="single" w:sz="4" w:space="0" w:color="auto"/>
            </w:tcBorders>
            <w:noWrap/>
            <w:hideMark/>
          </w:tcPr>
          <w:p w14:paraId="5745B604"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SRF</w:t>
            </w:r>
          </w:p>
        </w:tc>
        <w:tc>
          <w:tcPr>
            <w:tcW w:w="751" w:type="pct"/>
            <w:tcBorders>
              <w:top w:val="single" w:sz="4" w:space="0" w:color="auto"/>
              <w:bottom w:val="single" w:sz="4" w:space="0" w:color="auto"/>
            </w:tcBorders>
            <w:noWrap/>
            <w:hideMark/>
          </w:tcPr>
          <w:p w14:paraId="2864A4B3"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SRV</w:t>
            </w:r>
          </w:p>
        </w:tc>
      </w:tr>
      <w:tr w:rsidR="004F5836" w:rsidRPr="004F5836" w14:paraId="6DF0EA3A" w14:textId="77777777" w:rsidTr="0010657B">
        <w:trPr>
          <w:trHeight w:val="300"/>
        </w:trPr>
        <w:tc>
          <w:tcPr>
            <w:tcW w:w="797" w:type="pct"/>
            <w:tcBorders>
              <w:top w:val="single" w:sz="4" w:space="0" w:color="auto"/>
            </w:tcBorders>
            <w:noWrap/>
            <w:hideMark/>
          </w:tcPr>
          <w:p w14:paraId="3B412171"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OSC</w:t>
            </w:r>
          </w:p>
        </w:tc>
        <w:tc>
          <w:tcPr>
            <w:tcW w:w="863" w:type="pct"/>
            <w:tcBorders>
              <w:top w:val="single" w:sz="4" w:space="0" w:color="auto"/>
            </w:tcBorders>
            <w:noWrap/>
            <w:hideMark/>
          </w:tcPr>
          <w:p w14:paraId="4CACCE95" w14:textId="77777777" w:rsidR="00971EE0" w:rsidRPr="004F5836" w:rsidRDefault="00971EE0" w:rsidP="00293F2B">
            <w:pPr>
              <w:spacing w:line="360" w:lineRule="auto"/>
              <w:jc w:val="both"/>
              <w:rPr>
                <w:rFonts w:ascii="Arial" w:hAnsi="Arial" w:cs="Arial"/>
                <w:sz w:val="18"/>
                <w:szCs w:val="18"/>
              </w:rPr>
            </w:pPr>
          </w:p>
        </w:tc>
        <w:tc>
          <w:tcPr>
            <w:tcW w:w="863" w:type="pct"/>
            <w:tcBorders>
              <w:top w:val="single" w:sz="4" w:space="0" w:color="auto"/>
            </w:tcBorders>
            <w:noWrap/>
            <w:hideMark/>
          </w:tcPr>
          <w:p w14:paraId="1C7DFE80" w14:textId="77777777" w:rsidR="00971EE0" w:rsidRPr="004F5836" w:rsidRDefault="00971EE0" w:rsidP="00293F2B">
            <w:pPr>
              <w:spacing w:line="360" w:lineRule="auto"/>
              <w:jc w:val="both"/>
              <w:rPr>
                <w:rFonts w:ascii="Arial" w:hAnsi="Arial" w:cs="Arial"/>
                <w:sz w:val="18"/>
                <w:szCs w:val="18"/>
              </w:rPr>
            </w:pPr>
          </w:p>
        </w:tc>
        <w:tc>
          <w:tcPr>
            <w:tcW w:w="863" w:type="pct"/>
            <w:tcBorders>
              <w:top w:val="single" w:sz="4" w:space="0" w:color="auto"/>
            </w:tcBorders>
            <w:noWrap/>
            <w:hideMark/>
          </w:tcPr>
          <w:p w14:paraId="28993C35" w14:textId="77777777" w:rsidR="00971EE0" w:rsidRPr="004F5836" w:rsidRDefault="00971EE0" w:rsidP="00293F2B">
            <w:pPr>
              <w:spacing w:line="360" w:lineRule="auto"/>
              <w:jc w:val="both"/>
              <w:rPr>
                <w:rFonts w:ascii="Arial" w:hAnsi="Arial" w:cs="Arial"/>
                <w:sz w:val="18"/>
                <w:szCs w:val="18"/>
              </w:rPr>
            </w:pPr>
          </w:p>
        </w:tc>
        <w:tc>
          <w:tcPr>
            <w:tcW w:w="863" w:type="pct"/>
            <w:tcBorders>
              <w:top w:val="single" w:sz="4" w:space="0" w:color="auto"/>
            </w:tcBorders>
            <w:noWrap/>
            <w:hideMark/>
          </w:tcPr>
          <w:p w14:paraId="19A79094" w14:textId="77777777" w:rsidR="00971EE0" w:rsidRPr="004F5836" w:rsidRDefault="00971EE0" w:rsidP="00293F2B">
            <w:pPr>
              <w:spacing w:line="360" w:lineRule="auto"/>
              <w:jc w:val="both"/>
              <w:rPr>
                <w:rFonts w:ascii="Arial" w:hAnsi="Arial" w:cs="Arial"/>
                <w:sz w:val="18"/>
                <w:szCs w:val="18"/>
              </w:rPr>
            </w:pPr>
          </w:p>
        </w:tc>
        <w:tc>
          <w:tcPr>
            <w:tcW w:w="751" w:type="pct"/>
            <w:tcBorders>
              <w:top w:val="single" w:sz="4" w:space="0" w:color="auto"/>
            </w:tcBorders>
            <w:noWrap/>
            <w:hideMark/>
          </w:tcPr>
          <w:p w14:paraId="4C6230A4" w14:textId="77777777" w:rsidR="00971EE0" w:rsidRPr="004F5836" w:rsidRDefault="00971EE0" w:rsidP="00293F2B">
            <w:pPr>
              <w:spacing w:line="360" w:lineRule="auto"/>
              <w:jc w:val="both"/>
              <w:rPr>
                <w:rFonts w:ascii="Arial" w:hAnsi="Arial" w:cs="Arial"/>
                <w:sz w:val="18"/>
                <w:szCs w:val="18"/>
              </w:rPr>
            </w:pPr>
          </w:p>
        </w:tc>
      </w:tr>
      <w:tr w:rsidR="004F5836" w:rsidRPr="004F5836" w14:paraId="776520F0" w14:textId="77777777" w:rsidTr="0010657B">
        <w:trPr>
          <w:trHeight w:val="300"/>
        </w:trPr>
        <w:tc>
          <w:tcPr>
            <w:tcW w:w="797" w:type="pct"/>
            <w:noWrap/>
            <w:hideMark/>
          </w:tcPr>
          <w:p w14:paraId="4E56AD6D"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RMS</w:t>
            </w:r>
          </w:p>
        </w:tc>
        <w:tc>
          <w:tcPr>
            <w:tcW w:w="863" w:type="pct"/>
            <w:noWrap/>
            <w:hideMark/>
          </w:tcPr>
          <w:p w14:paraId="6E482043"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0.270</w:t>
            </w:r>
          </w:p>
        </w:tc>
        <w:tc>
          <w:tcPr>
            <w:tcW w:w="863" w:type="pct"/>
            <w:noWrap/>
            <w:hideMark/>
          </w:tcPr>
          <w:p w14:paraId="600A993B" w14:textId="77777777" w:rsidR="00971EE0" w:rsidRPr="004F5836" w:rsidRDefault="00971EE0" w:rsidP="00293F2B">
            <w:pPr>
              <w:spacing w:line="360" w:lineRule="auto"/>
              <w:jc w:val="both"/>
              <w:rPr>
                <w:rFonts w:ascii="Arial" w:hAnsi="Arial" w:cs="Arial"/>
                <w:sz w:val="18"/>
                <w:szCs w:val="18"/>
              </w:rPr>
            </w:pPr>
          </w:p>
        </w:tc>
        <w:tc>
          <w:tcPr>
            <w:tcW w:w="863" w:type="pct"/>
            <w:noWrap/>
            <w:hideMark/>
          </w:tcPr>
          <w:p w14:paraId="11A5660C" w14:textId="77777777" w:rsidR="00971EE0" w:rsidRPr="004F5836" w:rsidRDefault="00971EE0" w:rsidP="00293F2B">
            <w:pPr>
              <w:spacing w:line="360" w:lineRule="auto"/>
              <w:jc w:val="both"/>
              <w:rPr>
                <w:rFonts w:ascii="Arial" w:hAnsi="Arial" w:cs="Arial"/>
                <w:sz w:val="18"/>
                <w:szCs w:val="18"/>
              </w:rPr>
            </w:pPr>
          </w:p>
        </w:tc>
        <w:tc>
          <w:tcPr>
            <w:tcW w:w="863" w:type="pct"/>
            <w:noWrap/>
            <w:hideMark/>
          </w:tcPr>
          <w:p w14:paraId="11488645" w14:textId="77777777" w:rsidR="00971EE0" w:rsidRPr="004F5836" w:rsidRDefault="00971EE0" w:rsidP="00293F2B">
            <w:pPr>
              <w:spacing w:line="360" w:lineRule="auto"/>
              <w:jc w:val="both"/>
              <w:rPr>
                <w:rFonts w:ascii="Arial" w:hAnsi="Arial" w:cs="Arial"/>
                <w:sz w:val="18"/>
                <w:szCs w:val="18"/>
              </w:rPr>
            </w:pPr>
          </w:p>
        </w:tc>
        <w:tc>
          <w:tcPr>
            <w:tcW w:w="751" w:type="pct"/>
            <w:noWrap/>
            <w:hideMark/>
          </w:tcPr>
          <w:p w14:paraId="2653C97A" w14:textId="77777777" w:rsidR="00971EE0" w:rsidRPr="004F5836" w:rsidRDefault="00971EE0" w:rsidP="00293F2B">
            <w:pPr>
              <w:spacing w:line="360" w:lineRule="auto"/>
              <w:jc w:val="both"/>
              <w:rPr>
                <w:rFonts w:ascii="Arial" w:hAnsi="Arial" w:cs="Arial"/>
                <w:sz w:val="18"/>
                <w:szCs w:val="18"/>
              </w:rPr>
            </w:pPr>
          </w:p>
        </w:tc>
      </w:tr>
      <w:tr w:rsidR="004F5836" w:rsidRPr="004F5836" w14:paraId="7AC4146C" w14:textId="77777777" w:rsidTr="0010657B">
        <w:trPr>
          <w:trHeight w:val="300"/>
        </w:trPr>
        <w:tc>
          <w:tcPr>
            <w:tcW w:w="797" w:type="pct"/>
            <w:noWrap/>
            <w:hideMark/>
          </w:tcPr>
          <w:p w14:paraId="7DAD8C4C"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SRD</w:t>
            </w:r>
          </w:p>
        </w:tc>
        <w:tc>
          <w:tcPr>
            <w:tcW w:w="863" w:type="pct"/>
            <w:noWrap/>
            <w:hideMark/>
          </w:tcPr>
          <w:p w14:paraId="05EC3C38"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0.100</w:t>
            </w:r>
          </w:p>
        </w:tc>
        <w:tc>
          <w:tcPr>
            <w:tcW w:w="863" w:type="pct"/>
            <w:noWrap/>
            <w:hideMark/>
          </w:tcPr>
          <w:p w14:paraId="52CEE684"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0.448</w:t>
            </w:r>
          </w:p>
        </w:tc>
        <w:tc>
          <w:tcPr>
            <w:tcW w:w="863" w:type="pct"/>
            <w:noWrap/>
            <w:hideMark/>
          </w:tcPr>
          <w:p w14:paraId="666E3C4E" w14:textId="77777777" w:rsidR="00971EE0" w:rsidRPr="004F5836" w:rsidRDefault="00971EE0" w:rsidP="00293F2B">
            <w:pPr>
              <w:spacing w:line="360" w:lineRule="auto"/>
              <w:jc w:val="both"/>
              <w:rPr>
                <w:rFonts w:ascii="Arial" w:hAnsi="Arial" w:cs="Arial"/>
                <w:sz w:val="18"/>
                <w:szCs w:val="18"/>
              </w:rPr>
            </w:pPr>
          </w:p>
        </w:tc>
        <w:tc>
          <w:tcPr>
            <w:tcW w:w="863" w:type="pct"/>
            <w:noWrap/>
            <w:hideMark/>
          </w:tcPr>
          <w:p w14:paraId="2E0C5AD2" w14:textId="77777777" w:rsidR="00971EE0" w:rsidRPr="004F5836" w:rsidRDefault="00971EE0" w:rsidP="00293F2B">
            <w:pPr>
              <w:spacing w:line="360" w:lineRule="auto"/>
              <w:jc w:val="both"/>
              <w:rPr>
                <w:rFonts w:ascii="Arial" w:hAnsi="Arial" w:cs="Arial"/>
                <w:sz w:val="18"/>
                <w:szCs w:val="18"/>
              </w:rPr>
            </w:pPr>
          </w:p>
        </w:tc>
        <w:tc>
          <w:tcPr>
            <w:tcW w:w="751" w:type="pct"/>
            <w:noWrap/>
            <w:hideMark/>
          </w:tcPr>
          <w:p w14:paraId="2B050601" w14:textId="77777777" w:rsidR="00971EE0" w:rsidRPr="004F5836" w:rsidRDefault="00971EE0" w:rsidP="00293F2B">
            <w:pPr>
              <w:spacing w:line="360" w:lineRule="auto"/>
              <w:jc w:val="both"/>
              <w:rPr>
                <w:rFonts w:ascii="Arial" w:hAnsi="Arial" w:cs="Arial"/>
                <w:sz w:val="18"/>
                <w:szCs w:val="18"/>
              </w:rPr>
            </w:pPr>
          </w:p>
        </w:tc>
      </w:tr>
      <w:tr w:rsidR="004F5836" w:rsidRPr="004F5836" w14:paraId="18062C04" w14:textId="77777777" w:rsidTr="0010657B">
        <w:trPr>
          <w:trHeight w:val="300"/>
        </w:trPr>
        <w:tc>
          <w:tcPr>
            <w:tcW w:w="797" w:type="pct"/>
            <w:noWrap/>
            <w:hideMark/>
          </w:tcPr>
          <w:p w14:paraId="4F507F0D"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SRF</w:t>
            </w:r>
          </w:p>
        </w:tc>
        <w:tc>
          <w:tcPr>
            <w:tcW w:w="863" w:type="pct"/>
            <w:noWrap/>
            <w:hideMark/>
          </w:tcPr>
          <w:p w14:paraId="5E26ED76"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0.090</w:t>
            </w:r>
          </w:p>
        </w:tc>
        <w:tc>
          <w:tcPr>
            <w:tcW w:w="863" w:type="pct"/>
            <w:noWrap/>
            <w:hideMark/>
          </w:tcPr>
          <w:p w14:paraId="1670BC9C"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0.098</w:t>
            </w:r>
          </w:p>
        </w:tc>
        <w:tc>
          <w:tcPr>
            <w:tcW w:w="863" w:type="pct"/>
            <w:noWrap/>
            <w:hideMark/>
          </w:tcPr>
          <w:p w14:paraId="7E005FFF"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0.337</w:t>
            </w:r>
          </w:p>
        </w:tc>
        <w:tc>
          <w:tcPr>
            <w:tcW w:w="863" w:type="pct"/>
            <w:noWrap/>
            <w:hideMark/>
          </w:tcPr>
          <w:p w14:paraId="6F6FA3BC" w14:textId="77777777" w:rsidR="00971EE0" w:rsidRPr="004F5836" w:rsidRDefault="00971EE0" w:rsidP="00293F2B">
            <w:pPr>
              <w:spacing w:line="360" w:lineRule="auto"/>
              <w:jc w:val="both"/>
              <w:rPr>
                <w:rFonts w:ascii="Arial" w:hAnsi="Arial" w:cs="Arial"/>
                <w:sz w:val="18"/>
                <w:szCs w:val="18"/>
              </w:rPr>
            </w:pPr>
          </w:p>
        </w:tc>
        <w:tc>
          <w:tcPr>
            <w:tcW w:w="751" w:type="pct"/>
            <w:noWrap/>
            <w:hideMark/>
          </w:tcPr>
          <w:p w14:paraId="28E944EE" w14:textId="77777777" w:rsidR="00971EE0" w:rsidRPr="004F5836" w:rsidRDefault="00971EE0" w:rsidP="00293F2B">
            <w:pPr>
              <w:spacing w:line="360" w:lineRule="auto"/>
              <w:jc w:val="both"/>
              <w:rPr>
                <w:rFonts w:ascii="Arial" w:hAnsi="Arial" w:cs="Arial"/>
                <w:sz w:val="18"/>
                <w:szCs w:val="18"/>
              </w:rPr>
            </w:pPr>
          </w:p>
        </w:tc>
      </w:tr>
      <w:tr w:rsidR="00971EE0" w:rsidRPr="004F5836" w14:paraId="2347C756" w14:textId="77777777" w:rsidTr="0010657B">
        <w:trPr>
          <w:trHeight w:val="300"/>
        </w:trPr>
        <w:tc>
          <w:tcPr>
            <w:tcW w:w="797" w:type="pct"/>
            <w:noWrap/>
            <w:hideMark/>
          </w:tcPr>
          <w:p w14:paraId="3FD348DB"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SRV</w:t>
            </w:r>
          </w:p>
        </w:tc>
        <w:tc>
          <w:tcPr>
            <w:tcW w:w="863" w:type="pct"/>
            <w:noWrap/>
            <w:hideMark/>
          </w:tcPr>
          <w:p w14:paraId="279EC444"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0.433</w:t>
            </w:r>
          </w:p>
        </w:tc>
        <w:tc>
          <w:tcPr>
            <w:tcW w:w="863" w:type="pct"/>
            <w:noWrap/>
            <w:hideMark/>
          </w:tcPr>
          <w:p w14:paraId="10DC1BDB"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0.098</w:t>
            </w:r>
          </w:p>
        </w:tc>
        <w:tc>
          <w:tcPr>
            <w:tcW w:w="863" w:type="pct"/>
            <w:noWrap/>
            <w:hideMark/>
          </w:tcPr>
          <w:p w14:paraId="6725480B"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0.085</w:t>
            </w:r>
          </w:p>
        </w:tc>
        <w:tc>
          <w:tcPr>
            <w:tcW w:w="863" w:type="pct"/>
            <w:noWrap/>
            <w:hideMark/>
          </w:tcPr>
          <w:p w14:paraId="1C49C3A3" w14:textId="77777777" w:rsidR="00971EE0" w:rsidRPr="004F5836" w:rsidRDefault="00971EE0" w:rsidP="00293F2B">
            <w:pPr>
              <w:spacing w:line="360" w:lineRule="auto"/>
              <w:jc w:val="both"/>
              <w:rPr>
                <w:rFonts w:ascii="Arial" w:hAnsi="Arial" w:cs="Arial"/>
                <w:sz w:val="18"/>
                <w:szCs w:val="18"/>
              </w:rPr>
            </w:pPr>
            <w:r w:rsidRPr="004F5836">
              <w:rPr>
                <w:rFonts w:ascii="Arial" w:hAnsi="Arial" w:cs="Arial"/>
                <w:sz w:val="18"/>
                <w:szCs w:val="18"/>
              </w:rPr>
              <w:t>0.310</w:t>
            </w:r>
          </w:p>
        </w:tc>
        <w:tc>
          <w:tcPr>
            <w:tcW w:w="751" w:type="pct"/>
            <w:noWrap/>
            <w:hideMark/>
          </w:tcPr>
          <w:p w14:paraId="54E2FE6F" w14:textId="77777777" w:rsidR="00971EE0" w:rsidRPr="004F5836" w:rsidRDefault="00971EE0" w:rsidP="00293F2B">
            <w:pPr>
              <w:spacing w:line="360" w:lineRule="auto"/>
              <w:jc w:val="both"/>
              <w:rPr>
                <w:rFonts w:ascii="Arial" w:hAnsi="Arial" w:cs="Arial"/>
                <w:sz w:val="18"/>
                <w:szCs w:val="18"/>
              </w:rPr>
            </w:pPr>
          </w:p>
        </w:tc>
      </w:tr>
    </w:tbl>
    <w:p w14:paraId="13B6EE02" w14:textId="77777777" w:rsidR="00971EE0" w:rsidRPr="004F5836" w:rsidRDefault="00971EE0" w:rsidP="00293F2B">
      <w:pPr>
        <w:spacing w:after="0" w:line="360" w:lineRule="auto"/>
        <w:jc w:val="both"/>
        <w:rPr>
          <w:rFonts w:ascii="Arial" w:hAnsi="Arial" w:cs="Arial"/>
          <w:sz w:val="20"/>
          <w:szCs w:val="20"/>
        </w:rPr>
      </w:pPr>
    </w:p>
    <w:p w14:paraId="6BD58C4E" w14:textId="77777777" w:rsidR="00971EE0" w:rsidRPr="004F5836" w:rsidRDefault="00971EE0" w:rsidP="00293F2B">
      <w:pPr>
        <w:spacing w:after="0" w:line="360" w:lineRule="auto"/>
        <w:jc w:val="both"/>
        <w:rPr>
          <w:rFonts w:ascii="Arial" w:hAnsi="Arial" w:cs="Arial"/>
          <w:sz w:val="20"/>
          <w:szCs w:val="20"/>
        </w:rPr>
      </w:pPr>
    </w:p>
    <w:p w14:paraId="7A747468" w14:textId="77777777" w:rsidR="00971EE0" w:rsidRPr="004F5836" w:rsidRDefault="00971EE0" w:rsidP="00293F2B">
      <w:pPr>
        <w:spacing w:after="0" w:line="360" w:lineRule="auto"/>
        <w:jc w:val="both"/>
        <w:rPr>
          <w:rFonts w:ascii="Arial" w:hAnsi="Arial" w:cs="Arial"/>
          <w:sz w:val="20"/>
          <w:szCs w:val="20"/>
        </w:rPr>
      </w:pPr>
    </w:p>
    <w:p w14:paraId="60A2C585" w14:textId="77777777" w:rsidR="00971EE0" w:rsidRPr="004F5836" w:rsidRDefault="00971EE0" w:rsidP="00293F2B">
      <w:pPr>
        <w:spacing w:after="0" w:line="360" w:lineRule="auto"/>
        <w:jc w:val="both"/>
        <w:rPr>
          <w:rFonts w:ascii="Arial" w:hAnsi="Arial" w:cs="Arial"/>
          <w:b/>
          <w:bCs/>
          <w:sz w:val="20"/>
          <w:szCs w:val="20"/>
        </w:rPr>
      </w:pPr>
    </w:p>
    <w:p w14:paraId="5F807660" w14:textId="77777777" w:rsidR="00971EE0" w:rsidRPr="004F5836" w:rsidRDefault="00971EE0" w:rsidP="00293F2B">
      <w:pPr>
        <w:pStyle w:val="Heading3"/>
        <w:spacing w:line="360" w:lineRule="auto"/>
        <w:jc w:val="both"/>
        <w:rPr>
          <w:rFonts w:ascii="Arial" w:hAnsi="Arial" w:cs="Arial"/>
          <w:color w:val="auto"/>
        </w:rPr>
      </w:pPr>
      <w:r w:rsidRPr="004F5836">
        <w:rPr>
          <w:rFonts w:ascii="Arial" w:hAnsi="Arial" w:cs="Arial"/>
          <w:color w:val="auto"/>
        </w:rPr>
        <w:t>4.1 Structural Model Assessment</w:t>
      </w:r>
    </w:p>
    <w:p w14:paraId="15A1CC8D" w14:textId="1C66CFBF" w:rsidR="00971EE0" w:rsidRPr="004F5836" w:rsidRDefault="00FC2307" w:rsidP="00293F2B">
      <w:pPr>
        <w:spacing w:after="0" w:line="360" w:lineRule="auto"/>
        <w:jc w:val="both"/>
        <w:rPr>
          <w:rFonts w:ascii="Arial" w:hAnsi="Arial" w:cs="Arial"/>
          <w:sz w:val="20"/>
          <w:szCs w:val="20"/>
        </w:rPr>
      </w:pPr>
      <w:r w:rsidRPr="004F5836">
        <w:rPr>
          <w:rFonts w:ascii="Arial" w:hAnsi="Arial" w:cs="Arial"/>
          <w:sz w:val="20"/>
          <w:szCs w:val="20"/>
        </w:rPr>
        <w:t>Following the assessment of the step measurement model, the next step is to evaluate the structural path for the path coefficient among the study constructs and their statistical significance.</w:t>
      </w:r>
      <w:r w:rsidR="001C54F1" w:rsidRPr="004F5836">
        <w:rPr>
          <w:rFonts w:ascii="Arial" w:hAnsi="Arial" w:cs="Arial"/>
          <w:sz w:val="20"/>
          <w:szCs w:val="20"/>
        </w:rPr>
        <w:t xml:space="preserve"> </w:t>
      </w:r>
      <w:r w:rsidRPr="004F5836">
        <w:rPr>
          <w:rFonts w:ascii="Arial" w:hAnsi="Arial" w:cs="Arial"/>
          <w:sz w:val="20"/>
          <w:szCs w:val="20"/>
        </w:rPr>
        <w:t>After confirming the reliability and validity of the questionnaires, we tested the hypotheses using bootstrapping.</w:t>
      </w:r>
      <w:r w:rsidR="001C54F1" w:rsidRPr="004F5836">
        <w:rPr>
          <w:rFonts w:ascii="Arial" w:hAnsi="Arial" w:cs="Arial"/>
          <w:sz w:val="20"/>
          <w:szCs w:val="20"/>
        </w:rPr>
        <w:t xml:space="preserve"> </w:t>
      </w:r>
      <w:r w:rsidRPr="004F5836">
        <w:rPr>
          <w:rFonts w:ascii="Arial" w:hAnsi="Arial" w:cs="Arial"/>
          <w:sz w:val="20"/>
          <w:szCs w:val="20"/>
        </w:rPr>
        <w:t>Our results indicate that perceived organisational safety culture (OSC) practices positively influence employees’ risk-mitigation strategies, supporting H1 (p &lt; 0.004).</w:t>
      </w:r>
      <w:r w:rsidR="001C54F1" w:rsidRPr="004F5836">
        <w:rPr>
          <w:rFonts w:ascii="Arial" w:hAnsi="Arial" w:cs="Arial"/>
          <w:sz w:val="20"/>
          <w:szCs w:val="20"/>
        </w:rPr>
        <w:t xml:space="preserve"> </w:t>
      </w:r>
      <w:r w:rsidRPr="004F5836">
        <w:rPr>
          <w:rFonts w:ascii="Arial" w:hAnsi="Arial" w:cs="Arial"/>
          <w:sz w:val="20"/>
          <w:szCs w:val="20"/>
        </w:rPr>
        <w:t>Moreover, perceived OSC practices positively affected the severity experienced by employees, thus supporting H2 (p &gt; 0.001).</w:t>
      </w:r>
      <w:r w:rsidR="001C54F1" w:rsidRPr="004F5836">
        <w:rPr>
          <w:rFonts w:ascii="Arial" w:hAnsi="Arial" w:cs="Arial"/>
          <w:sz w:val="20"/>
          <w:szCs w:val="20"/>
        </w:rPr>
        <w:t xml:space="preserve"> However, H3 and H4 were not supported, indicating that employees' organisational safety culture does not impact the frequency and ease of detection. </w:t>
      </w:r>
      <w:r w:rsidR="0041525C" w:rsidRPr="004F5836">
        <w:rPr>
          <w:rFonts w:ascii="Arial" w:hAnsi="Arial" w:cs="Arial"/>
          <w:sz w:val="20"/>
          <w:szCs w:val="20"/>
        </w:rPr>
        <w:t>Nevertheless, H5 is supported, suggesting a significant relationship between employees' ease of detection and their risk-mitigation strategy (p &lt; 0.001).</w:t>
      </w:r>
      <w:r w:rsidR="001C54F1" w:rsidRPr="004F5836">
        <w:rPr>
          <w:rFonts w:ascii="Arial" w:hAnsi="Arial" w:cs="Arial"/>
          <w:sz w:val="20"/>
          <w:szCs w:val="20"/>
        </w:rPr>
        <w:t xml:space="preserve"> </w:t>
      </w:r>
      <w:r w:rsidR="0041525C" w:rsidRPr="004F5836">
        <w:rPr>
          <w:rFonts w:ascii="Arial" w:hAnsi="Arial" w:cs="Arial"/>
          <w:sz w:val="20"/>
          <w:szCs w:val="20"/>
        </w:rPr>
        <w:t>Conversely, H6 and H7 show that employee frequency and severity have no significant impact on the risk mitigation strategy.</w:t>
      </w:r>
    </w:p>
    <w:p w14:paraId="7B30F963" w14:textId="77777777" w:rsidR="00971EE0" w:rsidRPr="004F5836" w:rsidRDefault="00971EE0" w:rsidP="00293F2B">
      <w:pPr>
        <w:spacing w:after="0" w:line="360" w:lineRule="auto"/>
        <w:jc w:val="both"/>
        <w:rPr>
          <w:rFonts w:ascii="Arial" w:hAnsi="Arial" w:cs="Arial"/>
          <w:sz w:val="20"/>
          <w:szCs w:val="20"/>
        </w:rPr>
      </w:pPr>
    </w:p>
    <w:p w14:paraId="20DC45B3" w14:textId="77777777" w:rsidR="00971EE0" w:rsidRPr="004F5836" w:rsidRDefault="00971EE0" w:rsidP="00293F2B">
      <w:pPr>
        <w:pStyle w:val="Caption"/>
        <w:keepNext/>
        <w:spacing w:line="360" w:lineRule="auto"/>
        <w:rPr>
          <w:color w:val="auto"/>
        </w:rPr>
      </w:pPr>
      <w:r w:rsidRPr="004F5836">
        <w:rPr>
          <w:color w:val="auto"/>
        </w:rPr>
        <w:t xml:space="preserve">Table </w:t>
      </w:r>
      <w:r w:rsidR="004F60F0" w:rsidRPr="004F5836">
        <w:rPr>
          <w:color w:val="auto"/>
        </w:rPr>
        <w:fldChar w:fldCharType="begin"/>
      </w:r>
      <w:r w:rsidR="004F60F0" w:rsidRPr="004F5836">
        <w:rPr>
          <w:color w:val="auto"/>
        </w:rPr>
        <w:instrText xml:space="preserve"> SEQ Table \* ARABIC </w:instrText>
      </w:r>
      <w:r w:rsidR="004F60F0" w:rsidRPr="004F5836">
        <w:rPr>
          <w:color w:val="auto"/>
        </w:rPr>
        <w:fldChar w:fldCharType="separate"/>
      </w:r>
      <w:r w:rsidRPr="004F5836">
        <w:rPr>
          <w:noProof/>
          <w:color w:val="auto"/>
        </w:rPr>
        <w:t>5</w:t>
      </w:r>
      <w:r w:rsidR="004F60F0" w:rsidRPr="004F5836">
        <w:rPr>
          <w:noProof/>
          <w:color w:val="auto"/>
        </w:rPr>
        <w:fldChar w:fldCharType="end"/>
      </w:r>
      <w:r w:rsidRPr="004F5836">
        <w:rPr>
          <w:color w:val="auto"/>
        </w:rPr>
        <w:t>:Direct Relationship</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9"/>
        <w:gridCol w:w="1419"/>
        <w:gridCol w:w="1885"/>
        <w:gridCol w:w="1341"/>
        <w:gridCol w:w="980"/>
        <w:gridCol w:w="1762"/>
      </w:tblGrid>
      <w:tr w:rsidR="004F5836" w:rsidRPr="004F5836" w14:paraId="0E65CE02" w14:textId="77777777" w:rsidTr="00A34925">
        <w:trPr>
          <w:trHeight w:val="300"/>
        </w:trPr>
        <w:tc>
          <w:tcPr>
            <w:tcW w:w="908" w:type="pct"/>
            <w:tcBorders>
              <w:top w:val="single" w:sz="4" w:space="0" w:color="auto"/>
              <w:bottom w:val="single" w:sz="4" w:space="0" w:color="auto"/>
            </w:tcBorders>
            <w:noWrap/>
            <w:hideMark/>
          </w:tcPr>
          <w:p w14:paraId="3D6AABE2"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Hypothesis</w:t>
            </w:r>
          </w:p>
        </w:tc>
        <w:tc>
          <w:tcPr>
            <w:tcW w:w="786" w:type="pct"/>
            <w:tcBorders>
              <w:top w:val="single" w:sz="4" w:space="0" w:color="auto"/>
              <w:bottom w:val="single" w:sz="4" w:space="0" w:color="auto"/>
            </w:tcBorders>
            <w:noWrap/>
            <w:hideMark/>
          </w:tcPr>
          <w:p w14:paraId="4050DE5C"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Original (O)</w:t>
            </w:r>
          </w:p>
        </w:tc>
        <w:tc>
          <w:tcPr>
            <w:tcW w:w="1044" w:type="pct"/>
            <w:tcBorders>
              <w:top w:val="single" w:sz="4" w:space="0" w:color="auto"/>
              <w:bottom w:val="single" w:sz="4" w:space="0" w:color="auto"/>
            </w:tcBorders>
            <w:noWrap/>
            <w:hideMark/>
          </w:tcPr>
          <w:p w14:paraId="796F406B"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Standard deviation</w:t>
            </w:r>
          </w:p>
        </w:tc>
        <w:tc>
          <w:tcPr>
            <w:tcW w:w="743" w:type="pct"/>
            <w:tcBorders>
              <w:top w:val="single" w:sz="4" w:space="0" w:color="auto"/>
              <w:bottom w:val="single" w:sz="4" w:space="0" w:color="auto"/>
            </w:tcBorders>
            <w:noWrap/>
            <w:hideMark/>
          </w:tcPr>
          <w:p w14:paraId="3C073046"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 xml:space="preserve">T statistics </w:t>
            </w:r>
          </w:p>
        </w:tc>
        <w:tc>
          <w:tcPr>
            <w:tcW w:w="543" w:type="pct"/>
            <w:tcBorders>
              <w:top w:val="single" w:sz="4" w:space="0" w:color="auto"/>
              <w:bottom w:val="single" w:sz="4" w:space="0" w:color="auto"/>
            </w:tcBorders>
            <w:noWrap/>
            <w:hideMark/>
          </w:tcPr>
          <w:p w14:paraId="7AD3BA61"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P values</w:t>
            </w:r>
          </w:p>
        </w:tc>
        <w:tc>
          <w:tcPr>
            <w:tcW w:w="977" w:type="pct"/>
            <w:tcBorders>
              <w:top w:val="single" w:sz="4" w:space="0" w:color="auto"/>
              <w:bottom w:val="single" w:sz="4" w:space="0" w:color="auto"/>
            </w:tcBorders>
          </w:tcPr>
          <w:p w14:paraId="27A209FC"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result</w:t>
            </w:r>
          </w:p>
        </w:tc>
      </w:tr>
      <w:tr w:rsidR="004F5836" w:rsidRPr="004F5836" w14:paraId="4BA168D0" w14:textId="77777777" w:rsidTr="00A34925">
        <w:trPr>
          <w:trHeight w:val="300"/>
        </w:trPr>
        <w:tc>
          <w:tcPr>
            <w:tcW w:w="908" w:type="pct"/>
            <w:tcBorders>
              <w:top w:val="single" w:sz="4" w:space="0" w:color="auto"/>
            </w:tcBorders>
            <w:noWrap/>
            <w:hideMark/>
          </w:tcPr>
          <w:p w14:paraId="729CE4D0"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OSC -&gt; RMS</w:t>
            </w:r>
          </w:p>
        </w:tc>
        <w:tc>
          <w:tcPr>
            <w:tcW w:w="786" w:type="pct"/>
            <w:tcBorders>
              <w:top w:val="single" w:sz="4" w:space="0" w:color="auto"/>
            </w:tcBorders>
            <w:noWrap/>
            <w:hideMark/>
          </w:tcPr>
          <w:p w14:paraId="0802E159"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0.201</w:t>
            </w:r>
          </w:p>
        </w:tc>
        <w:tc>
          <w:tcPr>
            <w:tcW w:w="1044" w:type="pct"/>
            <w:tcBorders>
              <w:top w:val="single" w:sz="4" w:space="0" w:color="auto"/>
            </w:tcBorders>
            <w:noWrap/>
            <w:hideMark/>
          </w:tcPr>
          <w:p w14:paraId="718BC874"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0.070</w:t>
            </w:r>
          </w:p>
        </w:tc>
        <w:tc>
          <w:tcPr>
            <w:tcW w:w="743" w:type="pct"/>
            <w:tcBorders>
              <w:top w:val="single" w:sz="4" w:space="0" w:color="auto"/>
            </w:tcBorders>
            <w:noWrap/>
            <w:hideMark/>
          </w:tcPr>
          <w:p w14:paraId="1A960207"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2.875</w:t>
            </w:r>
          </w:p>
        </w:tc>
        <w:tc>
          <w:tcPr>
            <w:tcW w:w="543" w:type="pct"/>
            <w:tcBorders>
              <w:top w:val="single" w:sz="4" w:space="0" w:color="auto"/>
            </w:tcBorders>
            <w:noWrap/>
            <w:hideMark/>
          </w:tcPr>
          <w:p w14:paraId="07D89200"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0.004</w:t>
            </w:r>
          </w:p>
        </w:tc>
        <w:tc>
          <w:tcPr>
            <w:tcW w:w="977" w:type="pct"/>
            <w:tcBorders>
              <w:top w:val="single" w:sz="4" w:space="0" w:color="auto"/>
            </w:tcBorders>
          </w:tcPr>
          <w:p w14:paraId="1A65BA1B"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supported</w:t>
            </w:r>
          </w:p>
        </w:tc>
      </w:tr>
      <w:tr w:rsidR="004F5836" w:rsidRPr="004F5836" w14:paraId="3CFB7953" w14:textId="77777777" w:rsidTr="00A34925">
        <w:trPr>
          <w:trHeight w:val="300"/>
        </w:trPr>
        <w:tc>
          <w:tcPr>
            <w:tcW w:w="908" w:type="pct"/>
            <w:noWrap/>
            <w:hideMark/>
          </w:tcPr>
          <w:p w14:paraId="0A3EC696"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OSC -&gt; SRD</w:t>
            </w:r>
          </w:p>
        </w:tc>
        <w:tc>
          <w:tcPr>
            <w:tcW w:w="786" w:type="pct"/>
            <w:noWrap/>
            <w:hideMark/>
          </w:tcPr>
          <w:p w14:paraId="255525DC"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-0.051</w:t>
            </w:r>
          </w:p>
        </w:tc>
        <w:tc>
          <w:tcPr>
            <w:tcW w:w="1044" w:type="pct"/>
            <w:noWrap/>
            <w:hideMark/>
          </w:tcPr>
          <w:p w14:paraId="4E9A39B2"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0.070</w:t>
            </w:r>
          </w:p>
        </w:tc>
        <w:tc>
          <w:tcPr>
            <w:tcW w:w="743" w:type="pct"/>
            <w:noWrap/>
            <w:hideMark/>
          </w:tcPr>
          <w:p w14:paraId="0DA4342A"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0.728</w:t>
            </w:r>
          </w:p>
        </w:tc>
        <w:tc>
          <w:tcPr>
            <w:tcW w:w="543" w:type="pct"/>
            <w:noWrap/>
            <w:hideMark/>
          </w:tcPr>
          <w:p w14:paraId="6F71E235"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0.466</w:t>
            </w:r>
          </w:p>
        </w:tc>
        <w:tc>
          <w:tcPr>
            <w:tcW w:w="977" w:type="pct"/>
          </w:tcPr>
          <w:p w14:paraId="7EFFF8DF"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Not supported</w:t>
            </w:r>
          </w:p>
        </w:tc>
      </w:tr>
      <w:tr w:rsidR="004F5836" w:rsidRPr="004F5836" w14:paraId="298F8039" w14:textId="77777777" w:rsidTr="00A34925">
        <w:trPr>
          <w:trHeight w:val="300"/>
        </w:trPr>
        <w:tc>
          <w:tcPr>
            <w:tcW w:w="908" w:type="pct"/>
            <w:noWrap/>
            <w:hideMark/>
          </w:tcPr>
          <w:p w14:paraId="166A37CD"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OSC -&gt; SRF</w:t>
            </w:r>
          </w:p>
        </w:tc>
        <w:tc>
          <w:tcPr>
            <w:tcW w:w="786" w:type="pct"/>
            <w:noWrap/>
            <w:hideMark/>
          </w:tcPr>
          <w:p w14:paraId="03EB745D"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0.046</w:t>
            </w:r>
          </w:p>
        </w:tc>
        <w:tc>
          <w:tcPr>
            <w:tcW w:w="1044" w:type="pct"/>
            <w:noWrap/>
            <w:hideMark/>
          </w:tcPr>
          <w:p w14:paraId="7ADBD2CC"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0.097</w:t>
            </w:r>
          </w:p>
        </w:tc>
        <w:tc>
          <w:tcPr>
            <w:tcW w:w="743" w:type="pct"/>
            <w:noWrap/>
            <w:hideMark/>
          </w:tcPr>
          <w:p w14:paraId="5E32D318"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0.471</w:t>
            </w:r>
          </w:p>
        </w:tc>
        <w:tc>
          <w:tcPr>
            <w:tcW w:w="543" w:type="pct"/>
            <w:noWrap/>
            <w:hideMark/>
          </w:tcPr>
          <w:p w14:paraId="5ED92AA4"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0.637</w:t>
            </w:r>
          </w:p>
        </w:tc>
        <w:tc>
          <w:tcPr>
            <w:tcW w:w="977" w:type="pct"/>
          </w:tcPr>
          <w:p w14:paraId="4C45B722"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Not supported</w:t>
            </w:r>
          </w:p>
        </w:tc>
      </w:tr>
      <w:tr w:rsidR="004F5836" w:rsidRPr="004F5836" w14:paraId="61D91FF6" w14:textId="77777777" w:rsidTr="00A34925">
        <w:trPr>
          <w:trHeight w:val="300"/>
        </w:trPr>
        <w:tc>
          <w:tcPr>
            <w:tcW w:w="908" w:type="pct"/>
            <w:noWrap/>
            <w:hideMark/>
          </w:tcPr>
          <w:p w14:paraId="0136E1A1"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OSC -&gt; SRV</w:t>
            </w:r>
          </w:p>
        </w:tc>
        <w:tc>
          <w:tcPr>
            <w:tcW w:w="786" w:type="pct"/>
            <w:noWrap/>
            <w:hideMark/>
          </w:tcPr>
          <w:p w14:paraId="317A8593"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0.367</w:t>
            </w:r>
          </w:p>
        </w:tc>
        <w:tc>
          <w:tcPr>
            <w:tcW w:w="1044" w:type="pct"/>
            <w:noWrap/>
            <w:hideMark/>
          </w:tcPr>
          <w:p w14:paraId="44633910"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0.054</w:t>
            </w:r>
          </w:p>
        </w:tc>
        <w:tc>
          <w:tcPr>
            <w:tcW w:w="743" w:type="pct"/>
            <w:noWrap/>
            <w:hideMark/>
          </w:tcPr>
          <w:p w14:paraId="2D90E5EE"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6.844</w:t>
            </w:r>
          </w:p>
        </w:tc>
        <w:tc>
          <w:tcPr>
            <w:tcW w:w="543" w:type="pct"/>
            <w:noWrap/>
            <w:hideMark/>
          </w:tcPr>
          <w:p w14:paraId="2AD1A5CB"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0.000</w:t>
            </w:r>
          </w:p>
        </w:tc>
        <w:tc>
          <w:tcPr>
            <w:tcW w:w="977" w:type="pct"/>
          </w:tcPr>
          <w:p w14:paraId="47D2176A"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supported</w:t>
            </w:r>
          </w:p>
        </w:tc>
      </w:tr>
      <w:tr w:rsidR="004F5836" w:rsidRPr="004F5836" w14:paraId="047E3CDE" w14:textId="77777777" w:rsidTr="00A34925">
        <w:trPr>
          <w:trHeight w:val="300"/>
        </w:trPr>
        <w:tc>
          <w:tcPr>
            <w:tcW w:w="908" w:type="pct"/>
            <w:noWrap/>
            <w:hideMark/>
          </w:tcPr>
          <w:p w14:paraId="61AC1421"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SRD -&gt; RMS</w:t>
            </w:r>
          </w:p>
        </w:tc>
        <w:tc>
          <w:tcPr>
            <w:tcW w:w="786" w:type="pct"/>
            <w:noWrap/>
            <w:hideMark/>
          </w:tcPr>
          <w:p w14:paraId="218D282E"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0.310</w:t>
            </w:r>
          </w:p>
        </w:tc>
        <w:tc>
          <w:tcPr>
            <w:tcW w:w="1044" w:type="pct"/>
            <w:noWrap/>
            <w:hideMark/>
          </w:tcPr>
          <w:p w14:paraId="3F4B3FA8"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0.065</w:t>
            </w:r>
          </w:p>
        </w:tc>
        <w:tc>
          <w:tcPr>
            <w:tcW w:w="743" w:type="pct"/>
            <w:noWrap/>
            <w:hideMark/>
          </w:tcPr>
          <w:p w14:paraId="44D5ECCB"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4.784</w:t>
            </w:r>
          </w:p>
        </w:tc>
        <w:tc>
          <w:tcPr>
            <w:tcW w:w="543" w:type="pct"/>
            <w:noWrap/>
            <w:hideMark/>
          </w:tcPr>
          <w:p w14:paraId="5DE9FCA3"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0.000</w:t>
            </w:r>
          </w:p>
        </w:tc>
        <w:tc>
          <w:tcPr>
            <w:tcW w:w="977" w:type="pct"/>
          </w:tcPr>
          <w:p w14:paraId="748DF1B2"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supported</w:t>
            </w:r>
          </w:p>
        </w:tc>
      </w:tr>
      <w:tr w:rsidR="004F5836" w:rsidRPr="004F5836" w14:paraId="6BEFE26E" w14:textId="77777777" w:rsidTr="00A34925">
        <w:trPr>
          <w:trHeight w:val="300"/>
        </w:trPr>
        <w:tc>
          <w:tcPr>
            <w:tcW w:w="908" w:type="pct"/>
            <w:noWrap/>
            <w:hideMark/>
          </w:tcPr>
          <w:p w14:paraId="79F1C638"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SRF -&gt; RMS</w:t>
            </w:r>
          </w:p>
        </w:tc>
        <w:tc>
          <w:tcPr>
            <w:tcW w:w="786" w:type="pct"/>
            <w:noWrap/>
            <w:hideMark/>
          </w:tcPr>
          <w:p w14:paraId="4B4E4DAD"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-0.013</w:t>
            </w:r>
          </w:p>
        </w:tc>
        <w:tc>
          <w:tcPr>
            <w:tcW w:w="1044" w:type="pct"/>
            <w:noWrap/>
            <w:hideMark/>
          </w:tcPr>
          <w:p w14:paraId="1606BF17"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0.107</w:t>
            </w:r>
          </w:p>
        </w:tc>
        <w:tc>
          <w:tcPr>
            <w:tcW w:w="743" w:type="pct"/>
            <w:noWrap/>
            <w:hideMark/>
          </w:tcPr>
          <w:p w14:paraId="1BDD95A5"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0.119</w:t>
            </w:r>
          </w:p>
        </w:tc>
        <w:tc>
          <w:tcPr>
            <w:tcW w:w="543" w:type="pct"/>
            <w:noWrap/>
            <w:hideMark/>
          </w:tcPr>
          <w:p w14:paraId="1EC2AEF0"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0.905</w:t>
            </w:r>
          </w:p>
        </w:tc>
        <w:tc>
          <w:tcPr>
            <w:tcW w:w="977" w:type="pct"/>
          </w:tcPr>
          <w:p w14:paraId="2DBDF86B"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Not supported</w:t>
            </w:r>
          </w:p>
        </w:tc>
      </w:tr>
      <w:tr w:rsidR="00971EE0" w:rsidRPr="004F5836" w14:paraId="38213E5D" w14:textId="77777777" w:rsidTr="00A34925">
        <w:trPr>
          <w:trHeight w:val="300"/>
        </w:trPr>
        <w:tc>
          <w:tcPr>
            <w:tcW w:w="908" w:type="pct"/>
            <w:noWrap/>
            <w:hideMark/>
          </w:tcPr>
          <w:p w14:paraId="6CCE93B0"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SRV -&gt; RMS</w:t>
            </w:r>
          </w:p>
        </w:tc>
        <w:tc>
          <w:tcPr>
            <w:tcW w:w="786" w:type="pct"/>
            <w:noWrap/>
            <w:hideMark/>
          </w:tcPr>
          <w:p w14:paraId="4C04BF59"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-0.045</w:t>
            </w:r>
          </w:p>
        </w:tc>
        <w:tc>
          <w:tcPr>
            <w:tcW w:w="1044" w:type="pct"/>
            <w:noWrap/>
            <w:hideMark/>
          </w:tcPr>
          <w:p w14:paraId="6D2D8F46"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0.066</w:t>
            </w:r>
          </w:p>
        </w:tc>
        <w:tc>
          <w:tcPr>
            <w:tcW w:w="743" w:type="pct"/>
            <w:noWrap/>
            <w:hideMark/>
          </w:tcPr>
          <w:p w14:paraId="07DE5763"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0.688</w:t>
            </w:r>
          </w:p>
        </w:tc>
        <w:tc>
          <w:tcPr>
            <w:tcW w:w="543" w:type="pct"/>
            <w:noWrap/>
            <w:hideMark/>
          </w:tcPr>
          <w:p w14:paraId="77CB1441"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0.491</w:t>
            </w:r>
          </w:p>
        </w:tc>
        <w:tc>
          <w:tcPr>
            <w:tcW w:w="977" w:type="pct"/>
          </w:tcPr>
          <w:p w14:paraId="44D4F0A8" w14:textId="77777777" w:rsidR="00971EE0" w:rsidRPr="004F5836" w:rsidRDefault="00971EE0" w:rsidP="00101A61">
            <w:pPr>
              <w:jc w:val="both"/>
              <w:rPr>
                <w:rFonts w:ascii="Arial" w:hAnsi="Arial" w:cs="Arial"/>
                <w:sz w:val="20"/>
                <w:szCs w:val="20"/>
              </w:rPr>
            </w:pPr>
            <w:r w:rsidRPr="004F5836">
              <w:rPr>
                <w:rFonts w:ascii="Arial" w:hAnsi="Arial" w:cs="Arial"/>
                <w:sz w:val="20"/>
                <w:szCs w:val="20"/>
              </w:rPr>
              <w:t>Not supported</w:t>
            </w:r>
          </w:p>
        </w:tc>
      </w:tr>
    </w:tbl>
    <w:p w14:paraId="6E624DC0" w14:textId="77777777" w:rsidR="00971EE0" w:rsidRPr="004F5836" w:rsidRDefault="00971EE0" w:rsidP="00293F2B">
      <w:pPr>
        <w:spacing w:after="0" w:line="360" w:lineRule="auto"/>
        <w:jc w:val="both"/>
        <w:rPr>
          <w:rFonts w:ascii="Arial" w:hAnsi="Arial" w:cs="Arial"/>
          <w:sz w:val="20"/>
          <w:szCs w:val="20"/>
        </w:rPr>
      </w:pPr>
    </w:p>
    <w:p w14:paraId="1597E615" w14:textId="40DBA511" w:rsidR="001C54F1" w:rsidRPr="004F5836" w:rsidRDefault="0041525C" w:rsidP="00293F2B">
      <w:pPr>
        <w:pStyle w:val="Caption"/>
        <w:keepNext/>
        <w:spacing w:line="360" w:lineRule="auto"/>
        <w:rPr>
          <w:rFonts w:ascii="Arial" w:hAnsi="Arial" w:cs="Arial"/>
          <w:i w:val="0"/>
          <w:iCs w:val="0"/>
          <w:color w:val="auto"/>
          <w:sz w:val="20"/>
          <w:szCs w:val="20"/>
        </w:rPr>
      </w:pPr>
      <w:r w:rsidRPr="004F5836">
        <w:rPr>
          <w:rFonts w:ascii="Arial" w:hAnsi="Arial" w:cs="Arial"/>
          <w:color w:val="auto"/>
          <w:sz w:val="20"/>
          <w:szCs w:val="20"/>
        </w:rPr>
        <w:t>Table 6 shows the validity of higher-order constructs in the PLS-SEM model.</w:t>
      </w:r>
      <w:r w:rsidR="001C54F1" w:rsidRPr="004F5836">
        <w:rPr>
          <w:rFonts w:ascii="Arial" w:hAnsi="Arial" w:cs="Arial"/>
          <w:i w:val="0"/>
          <w:iCs w:val="0"/>
          <w:color w:val="auto"/>
          <w:sz w:val="20"/>
          <w:szCs w:val="20"/>
        </w:rPr>
        <w:t xml:space="preserve"> </w:t>
      </w:r>
      <w:r w:rsidRPr="004F5836">
        <w:rPr>
          <w:rFonts w:ascii="Arial" w:hAnsi="Arial" w:cs="Arial"/>
          <w:color w:val="auto"/>
          <w:sz w:val="20"/>
          <w:szCs w:val="20"/>
        </w:rPr>
        <w:t>Notably, the significantly positive outer weight (0.499) of the RMS in relation to the ERM suggests a strong association.</w:t>
      </w:r>
      <w:r w:rsidR="001C54F1" w:rsidRPr="004F5836">
        <w:rPr>
          <w:rFonts w:ascii="Arial" w:hAnsi="Arial" w:cs="Arial"/>
          <w:i w:val="0"/>
          <w:iCs w:val="0"/>
          <w:color w:val="auto"/>
          <w:sz w:val="20"/>
          <w:szCs w:val="20"/>
        </w:rPr>
        <w:t xml:space="preserve"> </w:t>
      </w:r>
      <w:r w:rsidRPr="004F5836">
        <w:rPr>
          <w:rFonts w:ascii="Arial" w:hAnsi="Arial" w:cs="Arial"/>
          <w:color w:val="auto"/>
          <w:sz w:val="20"/>
          <w:szCs w:val="20"/>
        </w:rPr>
        <w:lastRenderedPageBreak/>
        <w:t>Conversely, SRD exhibited a significantly negative association (-0.319) with ERM.</w:t>
      </w:r>
      <w:r w:rsidR="001C54F1" w:rsidRPr="004F5836">
        <w:rPr>
          <w:rFonts w:ascii="Arial" w:hAnsi="Arial" w:cs="Arial"/>
          <w:i w:val="0"/>
          <w:iCs w:val="0"/>
          <w:color w:val="auto"/>
          <w:sz w:val="20"/>
          <w:szCs w:val="20"/>
        </w:rPr>
        <w:t xml:space="preserve"> </w:t>
      </w:r>
      <w:r w:rsidRPr="004F5836">
        <w:rPr>
          <w:rFonts w:ascii="Arial" w:hAnsi="Arial" w:cs="Arial"/>
          <w:color w:val="auto"/>
          <w:sz w:val="20"/>
          <w:szCs w:val="20"/>
        </w:rPr>
        <w:t>However, SRF demonstrated a non-significant impact, while SRV displayed a highly significant positive relationship (0.827) with ERM.</w:t>
      </w:r>
      <w:r w:rsidR="001C54F1" w:rsidRPr="004F5836">
        <w:rPr>
          <w:rFonts w:ascii="Arial" w:hAnsi="Arial" w:cs="Arial"/>
          <w:i w:val="0"/>
          <w:iCs w:val="0"/>
          <w:color w:val="auto"/>
          <w:sz w:val="20"/>
          <w:szCs w:val="20"/>
        </w:rPr>
        <w:t xml:space="preserve"> </w:t>
      </w:r>
      <w:r w:rsidRPr="004F5836">
        <w:rPr>
          <w:rFonts w:ascii="Arial" w:hAnsi="Arial" w:cs="Arial"/>
          <w:color w:val="auto"/>
          <w:sz w:val="20"/>
          <w:szCs w:val="20"/>
        </w:rPr>
        <w:t>These findings underscore the nuanced relationships between lower-order constructs and their overarching concepts, which are crucial for refining theoretical frameworks within organisational research.</w:t>
      </w:r>
    </w:p>
    <w:p w14:paraId="1ABCD487" w14:textId="74FFD4E9" w:rsidR="00971EE0" w:rsidRPr="004F5836" w:rsidRDefault="00971EE0" w:rsidP="00293F2B">
      <w:pPr>
        <w:pStyle w:val="Caption"/>
        <w:keepNext/>
        <w:spacing w:line="360" w:lineRule="auto"/>
        <w:rPr>
          <w:rFonts w:ascii="Arial" w:hAnsi="Arial" w:cs="Arial"/>
          <w:color w:val="auto"/>
          <w:sz w:val="20"/>
          <w:szCs w:val="20"/>
        </w:rPr>
      </w:pPr>
      <w:r w:rsidRPr="004F5836">
        <w:rPr>
          <w:rFonts w:ascii="Arial" w:hAnsi="Arial" w:cs="Arial"/>
          <w:color w:val="auto"/>
          <w:sz w:val="20"/>
          <w:szCs w:val="20"/>
        </w:rPr>
        <w:t xml:space="preserve">Table </w:t>
      </w:r>
      <w:r w:rsidRPr="004F5836">
        <w:rPr>
          <w:rFonts w:ascii="Arial" w:hAnsi="Arial" w:cs="Arial"/>
          <w:color w:val="auto"/>
          <w:sz w:val="20"/>
          <w:szCs w:val="20"/>
        </w:rPr>
        <w:fldChar w:fldCharType="begin"/>
      </w:r>
      <w:r w:rsidRPr="004F5836">
        <w:rPr>
          <w:rFonts w:ascii="Arial" w:hAnsi="Arial" w:cs="Arial"/>
          <w:color w:val="auto"/>
          <w:sz w:val="20"/>
          <w:szCs w:val="20"/>
        </w:rPr>
        <w:instrText xml:space="preserve"> SEQ Table \* ARABIC </w:instrText>
      </w:r>
      <w:r w:rsidRPr="004F5836">
        <w:rPr>
          <w:rFonts w:ascii="Arial" w:hAnsi="Arial" w:cs="Arial"/>
          <w:color w:val="auto"/>
          <w:sz w:val="20"/>
          <w:szCs w:val="20"/>
        </w:rPr>
        <w:fldChar w:fldCharType="separate"/>
      </w:r>
      <w:r w:rsidRPr="004F5836">
        <w:rPr>
          <w:rFonts w:ascii="Arial" w:hAnsi="Arial" w:cs="Arial"/>
          <w:noProof/>
          <w:color w:val="auto"/>
          <w:sz w:val="20"/>
          <w:szCs w:val="20"/>
        </w:rPr>
        <w:t>6</w:t>
      </w:r>
      <w:r w:rsidRPr="004F5836">
        <w:rPr>
          <w:rFonts w:ascii="Arial" w:hAnsi="Arial" w:cs="Arial"/>
          <w:color w:val="auto"/>
          <w:sz w:val="20"/>
          <w:szCs w:val="20"/>
        </w:rPr>
        <w:fldChar w:fldCharType="end"/>
      </w:r>
      <w:r w:rsidRPr="004F5836">
        <w:rPr>
          <w:rFonts w:ascii="Arial" w:hAnsi="Arial" w:cs="Arial"/>
          <w:color w:val="auto"/>
          <w:sz w:val="20"/>
          <w:szCs w:val="20"/>
        </w:rPr>
        <w:t>:Higher Order construct validity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1144"/>
        <w:gridCol w:w="1587"/>
        <w:gridCol w:w="785"/>
        <w:gridCol w:w="1163"/>
        <w:gridCol w:w="1018"/>
        <w:gridCol w:w="1688"/>
        <w:gridCol w:w="785"/>
      </w:tblGrid>
      <w:tr w:rsidR="004F5836" w:rsidRPr="004F5836" w14:paraId="456A11D3" w14:textId="77777777" w:rsidTr="00A34925">
        <w:trPr>
          <w:trHeight w:val="300"/>
        </w:trPr>
        <w:tc>
          <w:tcPr>
            <w:tcW w:w="474" w:type="pct"/>
            <w:tcBorders>
              <w:top w:val="single" w:sz="4" w:space="0" w:color="auto"/>
              <w:bottom w:val="single" w:sz="4" w:space="0" w:color="auto"/>
            </w:tcBorders>
          </w:tcPr>
          <w:p w14:paraId="593211FD"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HOC</w:t>
            </w:r>
          </w:p>
        </w:tc>
        <w:tc>
          <w:tcPr>
            <w:tcW w:w="634" w:type="pct"/>
            <w:tcBorders>
              <w:top w:val="single" w:sz="4" w:space="0" w:color="auto"/>
              <w:bottom w:val="single" w:sz="4" w:space="0" w:color="auto"/>
            </w:tcBorders>
            <w:noWrap/>
            <w:hideMark/>
          </w:tcPr>
          <w:p w14:paraId="70E8F3A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 LOC</w:t>
            </w:r>
          </w:p>
        </w:tc>
        <w:tc>
          <w:tcPr>
            <w:tcW w:w="879" w:type="pct"/>
            <w:tcBorders>
              <w:top w:val="single" w:sz="4" w:space="0" w:color="auto"/>
              <w:bottom w:val="single" w:sz="4" w:space="0" w:color="auto"/>
            </w:tcBorders>
            <w:noWrap/>
            <w:hideMark/>
          </w:tcPr>
          <w:p w14:paraId="33D8E261"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 Outer Weight</w:t>
            </w:r>
          </w:p>
        </w:tc>
        <w:tc>
          <w:tcPr>
            <w:tcW w:w="435" w:type="pct"/>
            <w:tcBorders>
              <w:top w:val="single" w:sz="4" w:space="0" w:color="auto"/>
              <w:bottom w:val="single" w:sz="4" w:space="0" w:color="auto"/>
            </w:tcBorders>
            <w:noWrap/>
            <w:hideMark/>
          </w:tcPr>
          <w:p w14:paraId="22717570"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 </w:t>
            </w:r>
          </w:p>
        </w:tc>
        <w:tc>
          <w:tcPr>
            <w:tcW w:w="644" w:type="pct"/>
            <w:tcBorders>
              <w:top w:val="single" w:sz="4" w:space="0" w:color="auto"/>
              <w:bottom w:val="single" w:sz="4" w:space="0" w:color="auto"/>
            </w:tcBorders>
            <w:noWrap/>
            <w:hideMark/>
          </w:tcPr>
          <w:p w14:paraId="75B30720"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t-statistic </w:t>
            </w:r>
          </w:p>
        </w:tc>
        <w:tc>
          <w:tcPr>
            <w:tcW w:w="564" w:type="pct"/>
            <w:tcBorders>
              <w:top w:val="single" w:sz="4" w:space="0" w:color="auto"/>
              <w:bottom w:val="single" w:sz="4" w:space="0" w:color="auto"/>
            </w:tcBorders>
            <w:noWrap/>
            <w:hideMark/>
          </w:tcPr>
          <w:p w14:paraId="702554BA"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 p-value</w:t>
            </w:r>
          </w:p>
        </w:tc>
        <w:tc>
          <w:tcPr>
            <w:tcW w:w="935" w:type="pct"/>
            <w:tcBorders>
              <w:top w:val="single" w:sz="4" w:space="0" w:color="auto"/>
              <w:bottom w:val="single" w:sz="4" w:space="0" w:color="auto"/>
            </w:tcBorders>
            <w:noWrap/>
            <w:hideMark/>
          </w:tcPr>
          <w:p w14:paraId="63305862"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 Outer Loading</w:t>
            </w:r>
          </w:p>
        </w:tc>
        <w:tc>
          <w:tcPr>
            <w:tcW w:w="435" w:type="pct"/>
            <w:tcBorders>
              <w:top w:val="single" w:sz="4" w:space="0" w:color="auto"/>
              <w:bottom w:val="single" w:sz="4" w:space="0" w:color="auto"/>
            </w:tcBorders>
            <w:noWrap/>
            <w:hideMark/>
          </w:tcPr>
          <w:p w14:paraId="50BB8855"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 VIF</w:t>
            </w:r>
          </w:p>
        </w:tc>
      </w:tr>
      <w:tr w:rsidR="004F5836" w:rsidRPr="004F5836" w14:paraId="1F885BD8" w14:textId="77777777" w:rsidTr="00A34925">
        <w:trPr>
          <w:trHeight w:val="300"/>
        </w:trPr>
        <w:tc>
          <w:tcPr>
            <w:tcW w:w="474" w:type="pct"/>
            <w:vMerge w:val="restart"/>
            <w:tcBorders>
              <w:top w:val="single" w:sz="4" w:space="0" w:color="auto"/>
            </w:tcBorders>
          </w:tcPr>
          <w:p w14:paraId="113AA98A"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ERM</w:t>
            </w:r>
          </w:p>
        </w:tc>
        <w:tc>
          <w:tcPr>
            <w:tcW w:w="634" w:type="pct"/>
            <w:tcBorders>
              <w:top w:val="single" w:sz="4" w:space="0" w:color="auto"/>
            </w:tcBorders>
            <w:noWrap/>
            <w:hideMark/>
          </w:tcPr>
          <w:p w14:paraId="1286DD77"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RMS</w:t>
            </w:r>
          </w:p>
        </w:tc>
        <w:tc>
          <w:tcPr>
            <w:tcW w:w="879" w:type="pct"/>
            <w:tcBorders>
              <w:top w:val="single" w:sz="4" w:space="0" w:color="auto"/>
            </w:tcBorders>
            <w:noWrap/>
            <w:hideMark/>
          </w:tcPr>
          <w:p w14:paraId="5AEAD8E6"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0.499</w:t>
            </w:r>
          </w:p>
        </w:tc>
        <w:tc>
          <w:tcPr>
            <w:tcW w:w="435" w:type="pct"/>
            <w:tcBorders>
              <w:top w:val="single" w:sz="4" w:space="0" w:color="auto"/>
            </w:tcBorders>
            <w:noWrap/>
            <w:hideMark/>
          </w:tcPr>
          <w:p w14:paraId="7E8FD202"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0.128</w:t>
            </w:r>
          </w:p>
        </w:tc>
        <w:tc>
          <w:tcPr>
            <w:tcW w:w="644" w:type="pct"/>
            <w:tcBorders>
              <w:top w:val="single" w:sz="4" w:space="0" w:color="auto"/>
            </w:tcBorders>
            <w:noWrap/>
            <w:hideMark/>
          </w:tcPr>
          <w:p w14:paraId="6E788A7D"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3.899</w:t>
            </w:r>
          </w:p>
        </w:tc>
        <w:tc>
          <w:tcPr>
            <w:tcW w:w="564" w:type="pct"/>
            <w:tcBorders>
              <w:top w:val="single" w:sz="4" w:space="0" w:color="auto"/>
            </w:tcBorders>
            <w:noWrap/>
            <w:hideMark/>
          </w:tcPr>
          <w:p w14:paraId="2165CFAE"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0.000</w:t>
            </w:r>
          </w:p>
        </w:tc>
        <w:tc>
          <w:tcPr>
            <w:tcW w:w="935" w:type="pct"/>
            <w:tcBorders>
              <w:top w:val="single" w:sz="4" w:space="0" w:color="auto"/>
            </w:tcBorders>
            <w:noWrap/>
            <w:hideMark/>
          </w:tcPr>
          <w:p w14:paraId="59DCF9D6"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0.455</w:t>
            </w:r>
          </w:p>
        </w:tc>
        <w:tc>
          <w:tcPr>
            <w:tcW w:w="435" w:type="pct"/>
            <w:tcBorders>
              <w:top w:val="single" w:sz="4" w:space="0" w:color="auto"/>
            </w:tcBorders>
            <w:noWrap/>
            <w:hideMark/>
          </w:tcPr>
          <w:p w14:paraId="0D69665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1.052</w:t>
            </w:r>
          </w:p>
        </w:tc>
      </w:tr>
      <w:tr w:rsidR="004F5836" w:rsidRPr="004F5836" w14:paraId="02E02416" w14:textId="77777777" w:rsidTr="00A34925">
        <w:trPr>
          <w:trHeight w:val="300"/>
        </w:trPr>
        <w:tc>
          <w:tcPr>
            <w:tcW w:w="474" w:type="pct"/>
            <w:vMerge/>
          </w:tcPr>
          <w:p w14:paraId="4D383C71" w14:textId="77777777" w:rsidR="00971EE0" w:rsidRPr="004F5836" w:rsidRDefault="00971EE0" w:rsidP="00293F2B">
            <w:pPr>
              <w:spacing w:line="360" w:lineRule="auto"/>
              <w:jc w:val="both"/>
              <w:rPr>
                <w:rFonts w:ascii="Arial" w:hAnsi="Arial" w:cs="Arial"/>
                <w:sz w:val="20"/>
                <w:szCs w:val="20"/>
              </w:rPr>
            </w:pPr>
          </w:p>
        </w:tc>
        <w:tc>
          <w:tcPr>
            <w:tcW w:w="634" w:type="pct"/>
            <w:noWrap/>
            <w:hideMark/>
          </w:tcPr>
          <w:p w14:paraId="0173A621"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SRD</w:t>
            </w:r>
          </w:p>
        </w:tc>
        <w:tc>
          <w:tcPr>
            <w:tcW w:w="879" w:type="pct"/>
            <w:noWrap/>
            <w:hideMark/>
          </w:tcPr>
          <w:p w14:paraId="4CB8E2C1"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-0.319</w:t>
            </w:r>
          </w:p>
        </w:tc>
        <w:tc>
          <w:tcPr>
            <w:tcW w:w="435" w:type="pct"/>
            <w:noWrap/>
            <w:hideMark/>
          </w:tcPr>
          <w:p w14:paraId="6BDFEABE"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0.124</w:t>
            </w:r>
          </w:p>
        </w:tc>
        <w:tc>
          <w:tcPr>
            <w:tcW w:w="644" w:type="pct"/>
            <w:noWrap/>
            <w:hideMark/>
          </w:tcPr>
          <w:p w14:paraId="083D5E28"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2.566</w:t>
            </w:r>
          </w:p>
        </w:tc>
        <w:tc>
          <w:tcPr>
            <w:tcW w:w="564" w:type="pct"/>
            <w:noWrap/>
            <w:hideMark/>
          </w:tcPr>
          <w:p w14:paraId="3551E3FF"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0.010</w:t>
            </w:r>
          </w:p>
        </w:tc>
        <w:tc>
          <w:tcPr>
            <w:tcW w:w="935" w:type="pct"/>
            <w:noWrap/>
            <w:hideMark/>
          </w:tcPr>
          <w:p w14:paraId="21A481B5"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-0.192</w:t>
            </w:r>
          </w:p>
        </w:tc>
        <w:tc>
          <w:tcPr>
            <w:tcW w:w="435" w:type="pct"/>
            <w:noWrap/>
            <w:hideMark/>
          </w:tcPr>
          <w:p w14:paraId="3F10CEF3"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1.090</w:t>
            </w:r>
          </w:p>
        </w:tc>
      </w:tr>
      <w:tr w:rsidR="004F5836" w:rsidRPr="004F5836" w14:paraId="3F022FFF" w14:textId="77777777" w:rsidTr="00A34925">
        <w:trPr>
          <w:trHeight w:val="300"/>
        </w:trPr>
        <w:tc>
          <w:tcPr>
            <w:tcW w:w="474" w:type="pct"/>
            <w:vMerge/>
          </w:tcPr>
          <w:p w14:paraId="6BD5115E" w14:textId="77777777" w:rsidR="00971EE0" w:rsidRPr="004F5836" w:rsidRDefault="00971EE0" w:rsidP="00293F2B">
            <w:pPr>
              <w:spacing w:line="360" w:lineRule="auto"/>
              <w:jc w:val="both"/>
              <w:rPr>
                <w:rFonts w:ascii="Arial" w:hAnsi="Arial" w:cs="Arial"/>
                <w:sz w:val="20"/>
                <w:szCs w:val="20"/>
              </w:rPr>
            </w:pPr>
          </w:p>
        </w:tc>
        <w:tc>
          <w:tcPr>
            <w:tcW w:w="634" w:type="pct"/>
            <w:noWrap/>
            <w:hideMark/>
          </w:tcPr>
          <w:p w14:paraId="680837E3"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SRF</w:t>
            </w:r>
          </w:p>
        </w:tc>
        <w:tc>
          <w:tcPr>
            <w:tcW w:w="879" w:type="pct"/>
            <w:noWrap/>
            <w:hideMark/>
          </w:tcPr>
          <w:p w14:paraId="1E54F03C"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0.056</w:t>
            </w:r>
          </w:p>
        </w:tc>
        <w:tc>
          <w:tcPr>
            <w:tcW w:w="435" w:type="pct"/>
            <w:noWrap/>
            <w:hideMark/>
          </w:tcPr>
          <w:p w14:paraId="3B90EF6F"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0.142</w:t>
            </w:r>
          </w:p>
        </w:tc>
        <w:tc>
          <w:tcPr>
            <w:tcW w:w="644" w:type="pct"/>
            <w:noWrap/>
            <w:hideMark/>
          </w:tcPr>
          <w:p w14:paraId="423E53A9"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0.397</w:t>
            </w:r>
          </w:p>
        </w:tc>
        <w:tc>
          <w:tcPr>
            <w:tcW w:w="564" w:type="pct"/>
            <w:noWrap/>
            <w:hideMark/>
          </w:tcPr>
          <w:p w14:paraId="6C1C482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0.691</w:t>
            </w:r>
          </w:p>
        </w:tc>
        <w:tc>
          <w:tcPr>
            <w:tcW w:w="935" w:type="pct"/>
            <w:noWrap/>
            <w:hideMark/>
          </w:tcPr>
          <w:p w14:paraId="1409884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0.161</w:t>
            </w:r>
          </w:p>
        </w:tc>
        <w:tc>
          <w:tcPr>
            <w:tcW w:w="435" w:type="pct"/>
            <w:noWrap/>
            <w:hideMark/>
          </w:tcPr>
          <w:p w14:paraId="4CBE63A9"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1.083</w:t>
            </w:r>
          </w:p>
        </w:tc>
      </w:tr>
      <w:tr w:rsidR="00971EE0" w:rsidRPr="004F5836" w14:paraId="4D0E0C9D" w14:textId="77777777" w:rsidTr="00A34925">
        <w:trPr>
          <w:trHeight w:val="300"/>
        </w:trPr>
        <w:tc>
          <w:tcPr>
            <w:tcW w:w="474" w:type="pct"/>
            <w:vMerge/>
          </w:tcPr>
          <w:p w14:paraId="51F82F2A" w14:textId="77777777" w:rsidR="00971EE0" w:rsidRPr="004F5836" w:rsidRDefault="00971EE0" w:rsidP="00293F2B">
            <w:pPr>
              <w:spacing w:line="360" w:lineRule="auto"/>
              <w:jc w:val="both"/>
              <w:rPr>
                <w:rFonts w:ascii="Arial" w:hAnsi="Arial" w:cs="Arial"/>
                <w:sz w:val="20"/>
                <w:szCs w:val="20"/>
              </w:rPr>
            </w:pPr>
          </w:p>
        </w:tc>
        <w:tc>
          <w:tcPr>
            <w:tcW w:w="634" w:type="pct"/>
            <w:noWrap/>
            <w:hideMark/>
          </w:tcPr>
          <w:p w14:paraId="39363CD1"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SRV</w:t>
            </w:r>
          </w:p>
        </w:tc>
        <w:tc>
          <w:tcPr>
            <w:tcW w:w="879" w:type="pct"/>
            <w:noWrap/>
            <w:hideMark/>
          </w:tcPr>
          <w:p w14:paraId="70C8009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0.827</w:t>
            </w:r>
          </w:p>
        </w:tc>
        <w:tc>
          <w:tcPr>
            <w:tcW w:w="435" w:type="pct"/>
            <w:noWrap/>
            <w:hideMark/>
          </w:tcPr>
          <w:p w14:paraId="43CC1C9D"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0.096</w:t>
            </w:r>
          </w:p>
        </w:tc>
        <w:tc>
          <w:tcPr>
            <w:tcW w:w="644" w:type="pct"/>
            <w:noWrap/>
            <w:hideMark/>
          </w:tcPr>
          <w:p w14:paraId="087298DE"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8.581</w:t>
            </w:r>
          </w:p>
        </w:tc>
        <w:tc>
          <w:tcPr>
            <w:tcW w:w="564" w:type="pct"/>
            <w:noWrap/>
            <w:hideMark/>
          </w:tcPr>
          <w:p w14:paraId="2F5F2A5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0.000</w:t>
            </w:r>
          </w:p>
        </w:tc>
        <w:tc>
          <w:tcPr>
            <w:tcW w:w="935" w:type="pct"/>
            <w:noWrap/>
            <w:hideMark/>
          </w:tcPr>
          <w:p w14:paraId="70E8B741"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0.850</w:t>
            </w:r>
          </w:p>
        </w:tc>
        <w:tc>
          <w:tcPr>
            <w:tcW w:w="435" w:type="pct"/>
            <w:noWrap/>
            <w:hideMark/>
          </w:tcPr>
          <w:p w14:paraId="2ACB1C6B" w14:textId="77777777" w:rsidR="00971EE0" w:rsidRPr="004F5836" w:rsidRDefault="00971EE0" w:rsidP="00293F2B">
            <w:pPr>
              <w:spacing w:line="360" w:lineRule="auto"/>
              <w:jc w:val="both"/>
              <w:rPr>
                <w:rFonts w:ascii="Arial" w:hAnsi="Arial" w:cs="Arial"/>
                <w:sz w:val="20"/>
                <w:szCs w:val="20"/>
              </w:rPr>
            </w:pPr>
            <w:r w:rsidRPr="004F5836">
              <w:rPr>
                <w:rFonts w:ascii="Arial" w:hAnsi="Arial" w:cs="Arial"/>
                <w:sz w:val="20"/>
                <w:szCs w:val="20"/>
              </w:rPr>
              <w:t>1.044</w:t>
            </w:r>
          </w:p>
        </w:tc>
      </w:tr>
    </w:tbl>
    <w:p w14:paraId="2F06B169" w14:textId="77777777" w:rsidR="00971EE0" w:rsidRPr="004F5836" w:rsidRDefault="00971EE0" w:rsidP="00293F2B">
      <w:pPr>
        <w:spacing w:after="0" w:line="360" w:lineRule="auto"/>
        <w:jc w:val="both"/>
        <w:rPr>
          <w:rFonts w:ascii="Arial" w:hAnsi="Arial" w:cs="Arial"/>
          <w:sz w:val="20"/>
          <w:szCs w:val="20"/>
        </w:rPr>
      </w:pPr>
    </w:p>
    <w:p w14:paraId="2ED0E2D6" w14:textId="77777777" w:rsidR="00971EE0" w:rsidRPr="004F5836" w:rsidRDefault="00971EE0" w:rsidP="00293F2B">
      <w:pPr>
        <w:spacing w:after="0" w:line="360" w:lineRule="auto"/>
        <w:jc w:val="both"/>
        <w:rPr>
          <w:rFonts w:ascii="Arial" w:hAnsi="Arial" w:cs="Arial"/>
          <w:sz w:val="20"/>
          <w:szCs w:val="20"/>
        </w:rPr>
      </w:pPr>
    </w:p>
    <w:p w14:paraId="546F53B1" w14:textId="3951BE48" w:rsidR="00971EE0" w:rsidRPr="004F5836" w:rsidRDefault="0041525C" w:rsidP="00F33489">
      <w:pPr>
        <w:spacing w:after="0" w:line="360" w:lineRule="auto"/>
        <w:jc w:val="both"/>
        <w:rPr>
          <w:rFonts w:ascii="Arial" w:hAnsi="Arial" w:cs="Arial"/>
          <w:sz w:val="20"/>
          <w:szCs w:val="20"/>
        </w:rPr>
      </w:pPr>
      <w:r w:rsidRPr="004F5836">
        <w:rPr>
          <w:rFonts w:ascii="Arial" w:hAnsi="Arial" w:cs="Arial"/>
          <w:sz w:val="20"/>
          <w:szCs w:val="20"/>
        </w:rPr>
        <w:t>To evaluate the higher-order construct of environmental risk management, comprising RMS, SRD, SRF, and SRV, we employed a reflective-formative model.</w:t>
      </w:r>
      <w:r w:rsidR="001C54F1" w:rsidRPr="004F5836">
        <w:rPr>
          <w:rFonts w:ascii="Arial" w:hAnsi="Arial" w:cs="Arial"/>
          <w:sz w:val="20"/>
          <w:szCs w:val="20"/>
        </w:rPr>
        <w:t xml:space="preserve"> </w:t>
      </w:r>
      <w:r w:rsidRPr="004F5836">
        <w:rPr>
          <w:rFonts w:ascii="Arial" w:hAnsi="Arial" w:cs="Arial"/>
          <w:sz w:val="20"/>
          <w:szCs w:val="20"/>
        </w:rPr>
        <w:t>However, one of our outer weights was insignificant (0.691), and upon further examination, the outer loading remained insignificant at (0.161).</w:t>
      </w:r>
      <w:r w:rsidR="001C54F1" w:rsidRPr="004F5836">
        <w:rPr>
          <w:rFonts w:ascii="Arial" w:hAnsi="Arial" w:cs="Arial"/>
          <w:sz w:val="20"/>
          <w:szCs w:val="20"/>
        </w:rPr>
        <w:t xml:space="preserve"> </w:t>
      </w:r>
      <w:r w:rsidRPr="004F5836">
        <w:rPr>
          <w:rFonts w:ascii="Arial" w:hAnsi="Arial" w:cs="Arial"/>
          <w:sz w:val="20"/>
          <w:szCs w:val="20"/>
        </w:rPr>
        <w:t>Consequently, the frequency-analysis component can be omitted.</w:t>
      </w:r>
      <w:r w:rsidR="001C54F1" w:rsidRPr="004F5836">
        <w:rPr>
          <w:rFonts w:ascii="Arial" w:hAnsi="Arial" w:cs="Arial"/>
          <w:sz w:val="20"/>
          <w:szCs w:val="20"/>
        </w:rPr>
        <w:t xml:space="preserve"> </w:t>
      </w:r>
      <w:r w:rsidRPr="004F5836">
        <w:rPr>
          <w:rFonts w:ascii="Arial" w:hAnsi="Arial" w:cs="Arial"/>
          <w:sz w:val="20"/>
          <w:szCs w:val="20"/>
        </w:rPr>
        <w:t>Our findings indicate that organisational safety culture has a notable impact on environmental risk management and the relationship between various risk management factors and their impact on environmental risk management (ERM).</w:t>
      </w:r>
      <w:r w:rsidR="001C54F1" w:rsidRPr="004F5836">
        <w:rPr>
          <w:rFonts w:ascii="Arial" w:hAnsi="Arial" w:cs="Arial"/>
          <w:sz w:val="20"/>
          <w:szCs w:val="20"/>
        </w:rPr>
        <w:t xml:space="preserve"> The analysis reveals that risk management strategy (RMS) and stakeholder risk severity (SRV) have a positive influence on ERM, as indicated by their positive outer weights. </w:t>
      </w:r>
      <w:r w:rsidRPr="004F5836">
        <w:rPr>
          <w:rFonts w:ascii="Arial" w:hAnsi="Arial" w:cs="Arial"/>
          <w:sz w:val="20"/>
          <w:szCs w:val="20"/>
        </w:rPr>
        <w:t>Conversely, stakeholder risk detection (SRD) has a negative impact on ERM, as indicated by its negative outer weight.</w:t>
      </w:r>
    </w:p>
    <w:p w14:paraId="1587E6C2" w14:textId="77777777" w:rsidR="001C54F1" w:rsidRPr="004F5836" w:rsidRDefault="001C54F1" w:rsidP="00F33489">
      <w:pPr>
        <w:spacing w:after="0" w:line="360" w:lineRule="auto"/>
        <w:jc w:val="both"/>
        <w:rPr>
          <w:rFonts w:ascii="Arial" w:hAnsi="Arial" w:cs="Arial"/>
          <w:sz w:val="20"/>
          <w:szCs w:val="20"/>
        </w:rPr>
      </w:pPr>
    </w:p>
    <w:p w14:paraId="5BD05950" w14:textId="17BB2F87" w:rsidR="00971EE0" w:rsidRPr="004F5836" w:rsidRDefault="0041525C" w:rsidP="00293F2B">
      <w:pPr>
        <w:spacing w:after="0" w:line="360" w:lineRule="auto"/>
        <w:jc w:val="both"/>
        <w:rPr>
          <w:rFonts w:ascii="Arial" w:hAnsi="Arial" w:cs="Arial"/>
          <w:sz w:val="20"/>
          <w:szCs w:val="20"/>
        </w:rPr>
      </w:pPr>
      <w:r w:rsidRPr="004F5836">
        <w:rPr>
          <w:rFonts w:ascii="Arial" w:hAnsi="Arial" w:cs="Arial"/>
          <w:sz w:val="20"/>
          <w:szCs w:val="20"/>
        </w:rPr>
        <w:t>The analysis also indicated that Stakeholder Risk Frequency (SRF) has a minimal impact on ERM, as indicated by its negligible outer weight.</w:t>
      </w:r>
      <w:r w:rsidR="00971EE0" w:rsidRPr="004F5836">
        <w:rPr>
          <w:rFonts w:ascii="Arial" w:hAnsi="Arial" w:cs="Arial"/>
          <w:sz w:val="20"/>
          <w:szCs w:val="20"/>
        </w:rPr>
        <w:t xml:space="preserve"> </w:t>
      </w:r>
      <w:r w:rsidRPr="004F5836">
        <w:rPr>
          <w:rFonts w:ascii="Arial" w:hAnsi="Arial" w:cs="Arial"/>
          <w:sz w:val="20"/>
          <w:szCs w:val="20"/>
        </w:rPr>
        <w:t>All t-statistics are found to be significant (p-value &lt; 0.05), suggesting significant relationships between the lower-order and higher-order constructs.</w:t>
      </w:r>
      <w:r w:rsidR="00971EE0" w:rsidRPr="004F5836">
        <w:rPr>
          <w:rFonts w:ascii="Arial" w:hAnsi="Arial" w:cs="Arial"/>
          <w:sz w:val="20"/>
          <w:szCs w:val="20"/>
        </w:rPr>
        <w:t xml:space="preserve"> </w:t>
      </w:r>
      <w:r w:rsidRPr="004F5836">
        <w:rPr>
          <w:rFonts w:ascii="Arial" w:hAnsi="Arial" w:cs="Arial"/>
          <w:sz w:val="20"/>
          <w:szCs w:val="20"/>
        </w:rPr>
        <w:t>The outer loadings for the RMS and SRV were relatively high, indicating that they strongly contributed to the ERM.</w:t>
      </w:r>
      <w:r w:rsidR="00971EE0" w:rsidRPr="004F5836">
        <w:rPr>
          <w:rFonts w:ascii="Arial" w:hAnsi="Arial" w:cs="Arial"/>
          <w:sz w:val="20"/>
          <w:szCs w:val="20"/>
        </w:rPr>
        <w:t xml:space="preserve"> </w:t>
      </w:r>
      <w:r w:rsidRPr="004F5836">
        <w:rPr>
          <w:rFonts w:ascii="Arial" w:hAnsi="Arial" w:cs="Arial"/>
          <w:sz w:val="20"/>
          <w:szCs w:val="20"/>
        </w:rPr>
        <w:t xml:space="preserve">The VIF values were close to one, suggesting low multicollinearity among lower-order </w:t>
      </w:r>
      <w:r w:rsidR="004F5836" w:rsidRPr="004F5836">
        <w:rPr>
          <w:rFonts w:ascii="Arial" w:hAnsi="Arial" w:cs="Arial"/>
          <w:sz w:val="20"/>
          <w:szCs w:val="20"/>
        </w:rPr>
        <w:t>constructs. Based</w:t>
      </w:r>
      <w:r w:rsidRPr="004F5836">
        <w:rPr>
          <w:rFonts w:ascii="Arial" w:hAnsi="Arial" w:cs="Arial"/>
          <w:sz w:val="20"/>
          <w:szCs w:val="20"/>
        </w:rPr>
        <w:t xml:space="preserve"> on this analysis, it can be concluded that risk management strategy and stakeholder risk severity play significant roles in environmental risk management, whereas stakeholder risk detection has a negative influence on ERM.</w:t>
      </w:r>
      <w:r w:rsidR="001C54F1" w:rsidRPr="004F5836">
        <w:rPr>
          <w:rFonts w:ascii="Arial" w:hAnsi="Arial" w:cs="Arial"/>
          <w:sz w:val="20"/>
          <w:szCs w:val="20"/>
        </w:rPr>
        <w:t xml:space="preserve"> </w:t>
      </w:r>
      <w:r w:rsidRPr="004F5836">
        <w:rPr>
          <w:rFonts w:ascii="Arial" w:hAnsi="Arial" w:cs="Arial"/>
          <w:sz w:val="20"/>
          <w:szCs w:val="20"/>
        </w:rPr>
        <w:t>Stakeholder risk frequency has a minimal impact on higher-order constructs.</w:t>
      </w:r>
      <w:r w:rsidR="001C54F1" w:rsidRPr="004F5836">
        <w:rPr>
          <w:rFonts w:ascii="Arial" w:hAnsi="Arial" w:cs="Arial"/>
          <w:sz w:val="20"/>
          <w:szCs w:val="20"/>
        </w:rPr>
        <w:t xml:space="preserve"> </w:t>
      </w:r>
      <w:r w:rsidRPr="004F5836">
        <w:rPr>
          <w:rFonts w:ascii="Arial" w:hAnsi="Arial" w:cs="Arial"/>
          <w:sz w:val="20"/>
          <w:szCs w:val="20"/>
        </w:rPr>
        <w:t>NFI measures the proportion of improvement in the model fit relative to the null model.</w:t>
      </w:r>
      <w:r w:rsidR="001C54F1" w:rsidRPr="004F5836">
        <w:rPr>
          <w:rFonts w:ascii="Arial" w:hAnsi="Arial" w:cs="Arial"/>
          <w:sz w:val="20"/>
          <w:szCs w:val="20"/>
        </w:rPr>
        <w:t xml:space="preserve"> </w:t>
      </w:r>
      <w:r w:rsidRPr="004F5836">
        <w:rPr>
          <w:rFonts w:ascii="Arial" w:hAnsi="Arial" w:cs="Arial"/>
          <w:sz w:val="20"/>
          <w:szCs w:val="20"/>
        </w:rPr>
        <w:t>Both the saturated and estimated models had an NFI of 0.876, indicating good fit.</w:t>
      </w:r>
      <w:r w:rsidR="001C54F1" w:rsidRPr="004F5836">
        <w:rPr>
          <w:rFonts w:ascii="Arial" w:hAnsi="Arial" w:cs="Arial"/>
          <w:sz w:val="20"/>
          <w:szCs w:val="20"/>
        </w:rPr>
        <w:t xml:space="preserve"> </w:t>
      </w:r>
      <w:r w:rsidRPr="004F5836">
        <w:rPr>
          <w:rFonts w:ascii="Arial" w:hAnsi="Arial" w:cs="Arial"/>
          <w:sz w:val="20"/>
          <w:szCs w:val="20"/>
        </w:rPr>
        <w:t>These values pertain to the path coefficients between OSC and Environmental Risk Management (ERM).</w:t>
      </w:r>
      <w:r w:rsidR="001C54F1" w:rsidRPr="004F5836">
        <w:rPr>
          <w:rFonts w:ascii="Arial" w:hAnsi="Arial" w:cs="Arial"/>
          <w:sz w:val="20"/>
          <w:szCs w:val="20"/>
        </w:rPr>
        <w:t xml:space="preserve"> </w:t>
      </w:r>
      <w:r w:rsidRPr="004F5836">
        <w:rPr>
          <w:rFonts w:ascii="Arial" w:hAnsi="Arial" w:cs="Arial"/>
          <w:sz w:val="20"/>
          <w:szCs w:val="20"/>
        </w:rPr>
        <w:t>The path coefficient (0.451) was compared with the sample mean (0.496) to determine the statistical significance.</w:t>
      </w:r>
      <w:r w:rsidR="001C54F1" w:rsidRPr="004F5836">
        <w:rPr>
          <w:rFonts w:ascii="Arial" w:hAnsi="Arial" w:cs="Arial"/>
          <w:sz w:val="20"/>
          <w:szCs w:val="20"/>
        </w:rPr>
        <w:t xml:space="preserve"> </w:t>
      </w:r>
      <w:r w:rsidRPr="004F5836">
        <w:rPr>
          <w:rFonts w:ascii="Arial" w:hAnsi="Arial" w:cs="Arial"/>
          <w:sz w:val="20"/>
          <w:szCs w:val="20"/>
        </w:rPr>
        <w:t>The t-test was used to evaluate the significance of the path coefficient, with a high T-statistic (9.721) indicating a strong significance (p &lt;0.001).</w:t>
      </w:r>
    </w:p>
    <w:p w14:paraId="1E5A2AA6" w14:textId="77777777" w:rsidR="001C54F1" w:rsidRPr="004F5836" w:rsidRDefault="001C54F1" w:rsidP="00293F2B">
      <w:pPr>
        <w:spacing w:after="0" w:line="360" w:lineRule="auto"/>
        <w:jc w:val="both"/>
        <w:rPr>
          <w:rFonts w:ascii="Arial" w:hAnsi="Arial" w:cs="Arial"/>
          <w:sz w:val="20"/>
          <w:szCs w:val="20"/>
        </w:rPr>
      </w:pPr>
    </w:p>
    <w:p w14:paraId="7301C60D" w14:textId="7B333808" w:rsidR="00971EE0" w:rsidRPr="004F5836" w:rsidRDefault="0041525C" w:rsidP="00293F2B">
      <w:pPr>
        <w:spacing w:after="0" w:line="360" w:lineRule="auto"/>
        <w:jc w:val="both"/>
        <w:rPr>
          <w:rFonts w:ascii="Arial" w:hAnsi="Arial" w:cs="Arial"/>
          <w:sz w:val="20"/>
          <w:szCs w:val="20"/>
        </w:rPr>
      </w:pPr>
      <w:r w:rsidRPr="004F5836">
        <w:rPr>
          <w:rFonts w:ascii="Arial" w:hAnsi="Arial" w:cs="Arial"/>
          <w:sz w:val="20"/>
          <w:szCs w:val="20"/>
        </w:rPr>
        <w:lastRenderedPageBreak/>
        <w:t>Overall, the results indicate a good model that shows strong connections between environmental risk management (ERM) and organisational safety culture (OSC).</w:t>
      </w:r>
      <w:r w:rsidR="001C54F1" w:rsidRPr="004F5836">
        <w:rPr>
          <w:rFonts w:ascii="Arial" w:hAnsi="Arial" w:cs="Arial"/>
          <w:sz w:val="20"/>
          <w:szCs w:val="20"/>
        </w:rPr>
        <w:t xml:space="preserve"> </w:t>
      </w:r>
      <w:r w:rsidRPr="004F5836">
        <w:rPr>
          <w:rFonts w:ascii="Arial" w:hAnsi="Arial" w:cs="Arial"/>
          <w:sz w:val="20"/>
          <w:szCs w:val="20"/>
        </w:rPr>
        <w:t>This is demonstrated by the path coefficient's statistical significance; however, the interpretation should also consider the theoretical relevance and practical implications within the context of the study.</w:t>
      </w:r>
      <w:r w:rsidR="001C54F1" w:rsidRPr="004F5836">
        <w:rPr>
          <w:rFonts w:ascii="Arial" w:hAnsi="Arial" w:cs="Arial"/>
          <w:sz w:val="20"/>
          <w:szCs w:val="20"/>
        </w:rPr>
        <w:t xml:space="preserve"> Given the weakness attributed largely to the limitation in frequency and ease of detection perception amongst employees</w:t>
      </w:r>
    </w:p>
    <w:p w14:paraId="2617DD08" w14:textId="77777777" w:rsidR="00971EE0" w:rsidRPr="004F5836" w:rsidRDefault="00971EE0" w:rsidP="00293F2B">
      <w:pPr>
        <w:spacing w:after="0" w:line="360" w:lineRule="auto"/>
        <w:jc w:val="both"/>
        <w:rPr>
          <w:rFonts w:ascii="Arial" w:hAnsi="Arial" w:cs="Arial"/>
          <w:sz w:val="20"/>
          <w:szCs w:val="20"/>
        </w:rPr>
      </w:pPr>
    </w:p>
    <w:p w14:paraId="7C873C91" w14:textId="77777777" w:rsidR="00971EE0" w:rsidRPr="004F5836" w:rsidRDefault="00971EE0" w:rsidP="00293F2B">
      <w:pPr>
        <w:spacing w:after="0" w:line="360" w:lineRule="auto"/>
        <w:jc w:val="both"/>
        <w:rPr>
          <w:rFonts w:ascii="Arial" w:hAnsi="Arial" w:cs="Arial"/>
          <w:sz w:val="20"/>
          <w:szCs w:val="20"/>
        </w:rPr>
      </w:pPr>
    </w:p>
    <w:p w14:paraId="6B2B7D82" w14:textId="77777777" w:rsidR="00971EE0" w:rsidRPr="004F5836" w:rsidRDefault="00971EE0" w:rsidP="00293F2B">
      <w:pPr>
        <w:pStyle w:val="Heading2"/>
        <w:spacing w:line="360" w:lineRule="auto"/>
        <w:jc w:val="both"/>
        <w:rPr>
          <w:color w:val="auto"/>
        </w:rPr>
      </w:pPr>
      <w:r w:rsidRPr="004F5836">
        <w:rPr>
          <w:color w:val="auto"/>
        </w:rPr>
        <w:t>5.0 Discussion of Result</w:t>
      </w:r>
    </w:p>
    <w:p w14:paraId="0413BCCE" w14:textId="58C33A5A" w:rsidR="001C54F1" w:rsidRPr="004F5836" w:rsidRDefault="001C54F1" w:rsidP="00033E51">
      <w:pPr>
        <w:spacing w:after="0" w:line="360" w:lineRule="auto"/>
        <w:jc w:val="both"/>
        <w:rPr>
          <w:rFonts w:ascii="Arial" w:hAnsi="Arial" w:cs="Arial"/>
          <w:sz w:val="20"/>
          <w:szCs w:val="20"/>
        </w:rPr>
      </w:pPr>
      <w:r w:rsidRPr="004F5836">
        <w:rPr>
          <w:rFonts w:ascii="Arial" w:hAnsi="Arial" w:cs="Arial"/>
          <w:sz w:val="20"/>
          <w:szCs w:val="20"/>
        </w:rPr>
        <w:t xml:space="preserve">This study builds on several recent studies that empirically examine FMEA as a means of assessing environmental risk, among other risk factors (Abdel-Basset &amp; Mohamed, 2020; Benabdallah et al., 2020; Giannakis &amp; Papadopoulos, 2016; Liu et al., 2019), to explore stakeholder risk perception. This is the first effort to assess how organisational safety culture decisions are perceived within the context of an oil and gas supply chain using FMEA and risk response strategy factors to operationalise the model. </w:t>
      </w:r>
      <w:r w:rsidR="0041525C" w:rsidRPr="004F5836">
        <w:rPr>
          <w:rFonts w:ascii="Arial" w:hAnsi="Arial" w:cs="Arial"/>
          <w:sz w:val="20"/>
          <w:szCs w:val="20"/>
        </w:rPr>
        <w:t>Previous studies have acknowledged that supply chain success relies heavily on proactive approaches to risk assessment and management.</w:t>
      </w:r>
      <w:r w:rsidRPr="004F5836">
        <w:rPr>
          <w:rFonts w:ascii="Arial" w:hAnsi="Arial" w:cs="Arial"/>
          <w:sz w:val="20"/>
          <w:szCs w:val="20"/>
        </w:rPr>
        <w:t xml:space="preserve"> By identifying potential risks, evaluating their impact, and implementing robust risk management strategies, organisations can bolster the resilience of their supply chains and ensure uninterrupted operations even in challenging environments (Nihlani, Byju, &amp; Kaur Chhabda, 2023). </w:t>
      </w:r>
      <w:r w:rsidR="0041525C" w:rsidRPr="004F5836">
        <w:rPr>
          <w:rFonts w:ascii="Arial" w:hAnsi="Arial" w:cs="Arial"/>
          <w:sz w:val="20"/>
          <w:szCs w:val="20"/>
        </w:rPr>
        <w:t>Researchers have also recognised that the main drivers of environmental risk management are stakeholder pressures and incentives (Freise &amp; Seuring, 2015).</w:t>
      </w:r>
    </w:p>
    <w:p w14:paraId="6F810E0A" w14:textId="77777777" w:rsidR="001C54F1" w:rsidRPr="004F5836" w:rsidRDefault="001C54F1" w:rsidP="00033E51">
      <w:pPr>
        <w:spacing w:after="0" w:line="360" w:lineRule="auto"/>
        <w:jc w:val="both"/>
        <w:rPr>
          <w:rFonts w:ascii="Arial" w:hAnsi="Arial" w:cs="Arial"/>
          <w:sz w:val="20"/>
          <w:szCs w:val="20"/>
        </w:rPr>
      </w:pPr>
    </w:p>
    <w:p w14:paraId="5A9F0AE1" w14:textId="358D1E82" w:rsidR="001C54F1" w:rsidRPr="004F5836" w:rsidRDefault="001C54F1" w:rsidP="00033E51">
      <w:pPr>
        <w:spacing w:after="0" w:line="360" w:lineRule="auto"/>
        <w:jc w:val="both"/>
        <w:rPr>
          <w:rFonts w:ascii="Arial" w:hAnsi="Arial" w:cs="Arial"/>
          <w:sz w:val="20"/>
          <w:szCs w:val="20"/>
        </w:rPr>
      </w:pPr>
      <w:r w:rsidRPr="004F5836">
        <w:rPr>
          <w:rFonts w:ascii="Arial" w:hAnsi="Arial" w:cs="Arial"/>
          <w:sz w:val="20"/>
          <w:szCs w:val="20"/>
        </w:rPr>
        <w:t xml:space="preserve">Researchers have conducted studies to evaluate the impact of organisational safety culture on stakeholder decision-making in the oil and gas industry. </w:t>
      </w:r>
      <w:r w:rsidR="0041525C" w:rsidRPr="004F5836">
        <w:rPr>
          <w:rFonts w:ascii="Arial" w:hAnsi="Arial" w:cs="Arial"/>
          <w:sz w:val="20"/>
          <w:szCs w:val="20"/>
        </w:rPr>
        <w:t>This study used partial least squares structural equation modelling (PLS-SEM) to validate assumptions about the relationship between safety culture and stakeholder decision-making.</w:t>
      </w:r>
      <w:r w:rsidRPr="004F5836">
        <w:rPr>
          <w:rFonts w:ascii="Arial" w:hAnsi="Arial" w:cs="Arial"/>
          <w:sz w:val="20"/>
          <w:szCs w:val="20"/>
        </w:rPr>
        <w:t xml:space="preserve"> </w:t>
      </w:r>
      <w:r w:rsidR="0041525C" w:rsidRPr="004F5836">
        <w:rPr>
          <w:rFonts w:ascii="Arial" w:hAnsi="Arial" w:cs="Arial"/>
          <w:sz w:val="20"/>
          <w:szCs w:val="20"/>
        </w:rPr>
        <w:t>This study used Failure Mode and Effects Analysis (FMEA) and SmartPLS networks to incorporate environmental risk factors into the analysis.</w:t>
      </w:r>
      <w:r w:rsidRPr="004F5836">
        <w:rPr>
          <w:rFonts w:ascii="Arial" w:hAnsi="Arial" w:cs="Arial"/>
          <w:sz w:val="20"/>
          <w:szCs w:val="20"/>
        </w:rPr>
        <w:t xml:space="preserve"> </w:t>
      </w:r>
      <w:r w:rsidR="0041525C" w:rsidRPr="004F5836">
        <w:rPr>
          <w:rFonts w:ascii="Arial" w:hAnsi="Arial" w:cs="Arial"/>
          <w:sz w:val="20"/>
          <w:szCs w:val="20"/>
        </w:rPr>
        <w:t>The study found that decision-makers can improve the accuracy of their results under high uncertainty in risk data.</w:t>
      </w:r>
      <w:r w:rsidRPr="004F5836">
        <w:rPr>
          <w:rFonts w:ascii="Arial" w:hAnsi="Arial" w:cs="Arial"/>
          <w:sz w:val="20"/>
          <w:szCs w:val="20"/>
        </w:rPr>
        <w:t xml:space="preserve"> </w:t>
      </w:r>
      <w:r w:rsidR="0041525C" w:rsidRPr="004F5836">
        <w:rPr>
          <w:rFonts w:ascii="Arial" w:hAnsi="Arial" w:cs="Arial"/>
          <w:sz w:val="20"/>
          <w:szCs w:val="20"/>
        </w:rPr>
        <w:t>The findings can provide insights for accident prevention and reduction of catastrophic disasters in industry.</w:t>
      </w:r>
      <w:r w:rsidRPr="004F5836">
        <w:rPr>
          <w:rFonts w:ascii="Arial" w:hAnsi="Arial" w:cs="Arial"/>
          <w:sz w:val="20"/>
          <w:szCs w:val="20"/>
        </w:rPr>
        <w:t xml:space="preserve"> </w:t>
      </w:r>
      <w:r w:rsidR="0041525C" w:rsidRPr="004F5836">
        <w:rPr>
          <w:rFonts w:ascii="Arial" w:hAnsi="Arial" w:cs="Arial"/>
          <w:sz w:val="20"/>
          <w:szCs w:val="20"/>
        </w:rPr>
        <w:t>This study also highlights the importance of FMEA in promoting a sustainable supply chain because environmental risks are often underestimated during evaluation.</w:t>
      </w:r>
    </w:p>
    <w:p w14:paraId="4F3B4FAF" w14:textId="77777777" w:rsidR="001C54F1" w:rsidRPr="004F5836" w:rsidRDefault="001C54F1" w:rsidP="00033E51">
      <w:pPr>
        <w:spacing w:after="0" w:line="360" w:lineRule="auto"/>
        <w:jc w:val="both"/>
        <w:rPr>
          <w:rFonts w:ascii="Arial" w:hAnsi="Arial" w:cs="Arial"/>
          <w:sz w:val="20"/>
          <w:szCs w:val="20"/>
        </w:rPr>
      </w:pPr>
    </w:p>
    <w:p w14:paraId="359CFB54" w14:textId="223C764D" w:rsidR="001C54F1" w:rsidRPr="004F5836" w:rsidRDefault="001C54F1" w:rsidP="00033E51">
      <w:pPr>
        <w:spacing w:after="0" w:line="360" w:lineRule="auto"/>
        <w:jc w:val="both"/>
        <w:rPr>
          <w:rFonts w:ascii="Arial" w:hAnsi="Arial" w:cs="Arial"/>
          <w:sz w:val="20"/>
          <w:szCs w:val="20"/>
        </w:rPr>
      </w:pPr>
      <w:r w:rsidRPr="004F5836">
        <w:rPr>
          <w:rFonts w:ascii="Arial" w:hAnsi="Arial" w:cs="Arial"/>
          <w:sz w:val="20"/>
          <w:szCs w:val="20"/>
        </w:rPr>
        <w:t xml:space="preserve">Hypotheses 1 and 2 suggest that organisational safety culture has a significant and positive impact on risk-mitigation strategies and environmental risk severity, as it pertains to environmental risk management. </w:t>
      </w:r>
      <w:r w:rsidR="0041525C" w:rsidRPr="004F5836">
        <w:rPr>
          <w:rFonts w:ascii="Arial" w:hAnsi="Arial" w:cs="Arial"/>
          <w:sz w:val="20"/>
          <w:szCs w:val="20"/>
        </w:rPr>
        <w:t>Several empirical studies in the oil and gas sector have highlighted that high levels of concern regarding exploitation and environmental impacts increase health risks (Adekola et al., 2016; Simeon, n.d.).</w:t>
      </w:r>
      <w:r w:rsidRPr="004F5836">
        <w:rPr>
          <w:rFonts w:ascii="Arial" w:hAnsi="Arial" w:cs="Arial"/>
          <w:sz w:val="20"/>
          <w:szCs w:val="20"/>
        </w:rPr>
        <w:t xml:space="preserve"> Previous research has emphasised the importance of understanding the workforce's risk perceptions and attitudes towards safety when developing a safety culture. Our preliminary results show that the organisational safety culture in the sector is positively and significantly influenced by the severity and risk response strategies related to environmental risk factors. </w:t>
      </w:r>
      <w:r w:rsidR="0041525C" w:rsidRPr="004F5836">
        <w:rPr>
          <w:rFonts w:ascii="Arial" w:hAnsi="Arial" w:cs="Arial"/>
          <w:sz w:val="20"/>
          <w:szCs w:val="20"/>
        </w:rPr>
        <w:t>There also seems to be a relationship between the ease of action and risk-mitigation strategy responses.</w:t>
      </w:r>
      <w:r w:rsidRPr="004F5836">
        <w:rPr>
          <w:rFonts w:ascii="Arial" w:hAnsi="Arial" w:cs="Arial"/>
          <w:sz w:val="20"/>
          <w:szCs w:val="20"/>
        </w:rPr>
        <w:t xml:space="preserve"> However, organisational safety </w:t>
      </w:r>
      <w:r w:rsidRPr="004F5836">
        <w:rPr>
          <w:rFonts w:ascii="Arial" w:hAnsi="Arial" w:cs="Arial"/>
          <w:sz w:val="20"/>
          <w:szCs w:val="20"/>
        </w:rPr>
        <w:lastRenderedPageBreak/>
        <w:t xml:space="preserve">culture does not significantly affect the frequency and ease of detection of sustainability risk factors. </w:t>
      </w:r>
      <w:r w:rsidR="0041525C" w:rsidRPr="004F5836">
        <w:rPr>
          <w:rFonts w:ascii="Arial" w:hAnsi="Arial" w:cs="Arial"/>
          <w:sz w:val="20"/>
          <w:szCs w:val="20"/>
        </w:rPr>
        <w:t>This may suggest that insufficient attention has been paid to documenting frequent environmental risk factors, which can significantly impact decision-making.</w:t>
      </w:r>
      <w:r w:rsidRPr="004F5836">
        <w:rPr>
          <w:rFonts w:ascii="Arial" w:hAnsi="Arial" w:cs="Arial"/>
          <w:sz w:val="20"/>
          <w:szCs w:val="20"/>
        </w:rPr>
        <w:t xml:space="preserve"> </w:t>
      </w:r>
      <w:r w:rsidR="0041525C" w:rsidRPr="004F5836">
        <w:rPr>
          <w:rFonts w:ascii="Arial" w:hAnsi="Arial" w:cs="Arial"/>
          <w:sz w:val="20"/>
          <w:szCs w:val="20"/>
        </w:rPr>
        <w:t>Additionally, efforts to identify and respond to risk factors have been inadequate, potentially owing to a weak correlation.</w:t>
      </w:r>
    </w:p>
    <w:p w14:paraId="42997BA1" w14:textId="77777777" w:rsidR="001C54F1" w:rsidRPr="004F5836" w:rsidRDefault="001C54F1" w:rsidP="00033E51">
      <w:pPr>
        <w:spacing w:after="0" w:line="360" w:lineRule="auto"/>
        <w:jc w:val="both"/>
        <w:rPr>
          <w:rFonts w:ascii="Arial" w:hAnsi="Arial" w:cs="Arial"/>
          <w:sz w:val="20"/>
          <w:szCs w:val="20"/>
        </w:rPr>
      </w:pPr>
    </w:p>
    <w:p w14:paraId="692807C0" w14:textId="3D549E99" w:rsidR="001C54F1" w:rsidRPr="004F5836" w:rsidRDefault="0041525C" w:rsidP="00033E51">
      <w:pPr>
        <w:spacing w:after="0" w:line="360" w:lineRule="auto"/>
        <w:jc w:val="both"/>
        <w:rPr>
          <w:rFonts w:ascii="Arial" w:hAnsi="Arial" w:cs="Arial"/>
          <w:sz w:val="20"/>
          <w:szCs w:val="20"/>
        </w:rPr>
      </w:pPr>
      <w:r w:rsidRPr="004F5836">
        <w:rPr>
          <w:rFonts w:ascii="Arial" w:hAnsi="Arial" w:cs="Arial"/>
          <w:sz w:val="20"/>
          <w:szCs w:val="20"/>
        </w:rPr>
        <w:t>If organisational safety culture does not have a significant effect on how often and how easily sustainability risk factors can be found, this could mean that risk management strategies do not have enough oversight.</w:t>
      </w:r>
      <w:r w:rsidR="001C54F1" w:rsidRPr="004F5836">
        <w:rPr>
          <w:rFonts w:ascii="Arial" w:hAnsi="Arial" w:cs="Arial"/>
          <w:sz w:val="20"/>
          <w:szCs w:val="20"/>
        </w:rPr>
        <w:t xml:space="preserve"> This implies that organisations should prioritise identifying, documenting, and addressing sustainability-related risks. Insufficient attention may be paid to documenting environmental risk factors, emphasising the need for robust data collection and analysis procedures within organisations. Consequently, organisations should prioritise collecting and analysing data related to environmental risks to inform effective decision-making processes.</w:t>
      </w:r>
    </w:p>
    <w:p w14:paraId="0384EEB2" w14:textId="77777777" w:rsidR="001C54F1" w:rsidRPr="004F5836" w:rsidRDefault="001C54F1" w:rsidP="00033E51">
      <w:pPr>
        <w:spacing w:after="0" w:line="360" w:lineRule="auto"/>
        <w:jc w:val="both"/>
        <w:rPr>
          <w:rFonts w:ascii="Arial" w:hAnsi="Arial" w:cs="Arial"/>
          <w:sz w:val="20"/>
          <w:szCs w:val="20"/>
        </w:rPr>
      </w:pPr>
    </w:p>
    <w:p w14:paraId="2B2AD810" w14:textId="18F40AF5" w:rsidR="00971EE0" w:rsidRPr="004F5836" w:rsidRDefault="0041525C" w:rsidP="00033E51">
      <w:pPr>
        <w:spacing w:after="0" w:line="360" w:lineRule="auto"/>
        <w:jc w:val="both"/>
        <w:rPr>
          <w:rFonts w:ascii="Arial" w:hAnsi="Arial" w:cs="Arial"/>
          <w:sz w:val="20"/>
          <w:szCs w:val="20"/>
        </w:rPr>
      </w:pPr>
      <w:r w:rsidRPr="004F5836">
        <w:rPr>
          <w:rFonts w:ascii="Arial" w:hAnsi="Arial" w:cs="Arial"/>
          <w:sz w:val="20"/>
          <w:szCs w:val="20"/>
        </w:rPr>
        <w:t>The three factors rated the lowest in building a company's safety culture, as stated by stakeholders, were OSC1, OSC2, and OSC3.</w:t>
      </w:r>
      <w:r w:rsidR="004B7F90" w:rsidRPr="004F5836">
        <w:rPr>
          <w:rFonts w:ascii="Arial" w:hAnsi="Arial" w:cs="Arial"/>
          <w:sz w:val="20"/>
          <w:szCs w:val="20"/>
        </w:rPr>
        <w:t xml:space="preserve"> </w:t>
      </w:r>
      <w:r w:rsidRPr="004F5836">
        <w:rPr>
          <w:rFonts w:ascii="Arial" w:hAnsi="Arial" w:cs="Arial"/>
          <w:sz w:val="20"/>
          <w:szCs w:val="20"/>
        </w:rPr>
        <w:t>OSC1 refers to stakeholders on guard against potentially catastrophic mistakes.</w:t>
      </w:r>
      <w:r w:rsidR="004B7F90" w:rsidRPr="004F5836">
        <w:rPr>
          <w:rFonts w:ascii="Arial" w:hAnsi="Arial" w:cs="Arial"/>
          <w:sz w:val="20"/>
          <w:szCs w:val="20"/>
        </w:rPr>
        <w:t xml:space="preserve"> </w:t>
      </w:r>
      <w:r w:rsidRPr="004F5836">
        <w:rPr>
          <w:rFonts w:ascii="Arial" w:hAnsi="Arial" w:cs="Arial"/>
          <w:sz w:val="20"/>
          <w:szCs w:val="20"/>
        </w:rPr>
        <w:t>OSC2 pertains to stakeholders receiving support, and is encouraged to voice concerns about supply chain issues.</w:t>
      </w:r>
      <w:r w:rsidR="004B7F90" w:rsidRPr="004F5836">
        <w:rPr>
          <w:rFonts w:ascii="Arial" w:hAnsi="Arial" w:cs="Arial"/>
          <w:sz w:val="20"/>
          <w:szCs w:val="20"/>
        </w:rPr>
        <w:t xml:space="preserve"> </w:t>
      </w:r>
      <w:r w:rsidRPr="004F5836">
        <w:rPr>
          <w:rFonts w:ascii="Arial" w:hAnsi="Arial" w:cs="Arial"/>
          <w:sz w:val="20"/>
          <w:szCs w:val="20"/>
        </w:rPr>
        <w:t>OSC3 refers to skilled personnel who can detect anomalies and anticipate problems.</w:t>
      </w:r>
      <w:r w:rsidR="004B7F90" w:rsidRPr="004F5836">
        <w:rPr>
          <w:rFonts w:ascii="Arial" w:hAnsi="Arial" w:cs="Arial"/>
          <w:sz w:val="20"/>
          <w:szCs w:val="20"/>
        </w:rPr>
        <w:t xml:space="preserve"> </w:t>
      </w:r>
      <w:r w:rsidRPr="004F5836">
        <w:rPr>
          <w:rFonts w:ascii="Arial" w:hAnsi="Arial" w:cs="Arial"/>
          <w:sz w:val="20"/>
          <w:szCs w:val="20"/>
        </w:rPr>
        <w:t>These factors may contribute to the difficulty in detecting and analysing the frequency.</w:t>
      </w:r>
      <w:r w:rsidR="004B7F90" w:rsidRPr="004F5836">
        <w:rPr>
          <w:rFonts w:ascii="Arial" w:hAnsi="Arial" w:cs="Arial"/>
          <w:sz w:val="20"/>
          <w:szCs w:val="20"/>
        </w:rPr>
        <w:t xml:space="preserve"> </w:t>
      </w:r>
      <w:r w:rsidRPr="004F5836">
        <w:rPr>
          <w:rFonts w:ascii="Arial" w:hAnsi="Arial" w:cs="Arial"/>
          <w:sz w:val="20"/>
          <w:szCs w:val="20"/>
        </w:rPr>
        <w:t>This is evident from stakeholders' downgrading of the frequency of natural disasters (SRF2) and ease of detection in waste management (SRD3) as well as their perceived lack of response to natural disasters in the context of energy conservation.</w:t>
      </w:r>
      <w:r w:rsidR="004B7F90" w:rsidRPr="004F5836">
        <w:rPr>
          <w:rFonts w:ascii="Arial" w:hAnsi="Arial" w:cs="Arial"/>
          <w:sz w:val="20"/>
          <w:szCs w:val="20"/>
        </w:rPr>
        <w:t xml:space="preserve"> </w:t>
      </w:r>
      <w:r w:rsidRPr="004F5836">
        <w:rPr>
          <w:rFonts w:ascii="Arial" w:hAnsi="Arial" w:cs="Arial"/>
          <w:sz w:val="20"/>
          <w:szCs w:val="20"/>
        </w:rPr>
        <w:t>This highlights the challenges in applying high reliability in a given context, as safety culture indicators reflect stakeholder perceptions.</w:t>
      </w:r>
    </w:p>
    <w:p w14:paraId="0299E477" w14:textId="77777777" w:rsidR="009E6E44" w:rsidRPr="004F5836" w:rsidRDefault="009E6E44" w:rsidP="00033E51">
      <w:pPr>
        <w:spacing w:after="0" w:line="360" w:lineRule="auto"/>
        <w:jc w:val="both"/>
        <w:rPr>
          <w:rFonts w:ascii="Arial" w:hAnsi="Arial" w:cs="Arial"/>
          <w:sz w:val="20"/>
          <w:szCs w:val="20"/>
        </w:rPr>
      </w:pPr>
    </w:p>
    <w:p w14:paraId="78FB633F" w14:textId="3FEEBB21" w:rsidR="00174977" w:rsidRPr="004F5836" w:rsidRDefault="006A3B22" w:rsidP="00174977">
      <w:pPr>
        <w:spacing w:after="0" w:line="360" w:lineRule="auto"/>
        <w:jc w:val="both"/>
        <w:rPr>
          <w:rFonts w:ascii="Arial" w:hAnsi="Arial" w:cs="Arial"/>
          <w:sz w:val="20"/>
          <w:szCs w:val="20"/>
        </w:rPr>
      </w:pPr>
      <w:r w:rsidRPr="004F5836">
        <w:rPr>
          <w:rFonts w:ascii="Arial" w:hAnsi="Arial" w:cs="Arial"/>
          <w:sz w:val="20"/>
          <w:szCs w:val="20"/>
        </w:rPr>
        <w:t>This collection of papers furthers the understanding of high reliability organisation (HRO) theory within the oil and gas supply chain by examining various aspects of reliability, safety, and risk management.</w:t>
      </w:r>
      <w:r w:rsidR="00EB2BF7" w:rsidRPr="004F5836">
        <w:rPr>
          <w:rFonts w:ascii="Arial" w:hAnsi="Arial" w:cs="Arial"/>
          <w:sz w:val="20"/>
          <w:szCs w:val="20"/>
        </w:rPr>
        <w:t xml:space="preserve"> Alothman (2016) specifically investigates the application of the HRO model in the oil and gas industry, suggesting its use to enhance safety management practices. The HRO model's dual analytical paradigms provide a structured approach for evaluating and improving organizational reliability in high-risk environments (Alothman, 2016). </w:t>
      </w:r>
      <w:r w:rsidR="0041525C" w:rsidRPr="004F5836">
        <w:rPr>
          <w:rFonts w:ascii="Arial" w:hAnsi="Arial" w:cs="Arial"/>
          <w:sz w:val="20"/>
          <w:szCs w:val="20"/>
        </w:rPr>
        <w:t>The broader context of oil and gas supply chains reveals contradictions and interesting facts.</w:t>
      </w:r>
      <w:r w:rsidR="00534E60" w:rsidRPr="004F5836">
        <w:rPr>
          <w:rFonts w:ascii="Arial" w:hAnsi="Arial" w:cs="Arial"/>
          <w:sz w:val="20"/>
          <w:szCs w:val="20"/>
        </w:rPr>
        <w:t xml:space="preserve"> </w:t>
      </w:r>
      <w:r w:rsidR="0041525C" w:rsidRPr="004F5836">
        <w:rPr>
          <w:rFonts w:ascii="Arial" w:hAnsi="Arial" w:cs="Arial"/>
          <w:sz w:val="20"/>
          <w:szCs w:val="20"/>
        </w:rPr>
        <w:t>Studies by Alothman (2016) and others emphasise the significance of resilience against external threats (Urciuoli et al., 2014), sustainability risks (Egila et al., 2023), and the bullwhip effect (Zhu et al., 2019) as well as the HRO model for safety in the oil and gas supply chain.</w:t>
      </w:r>
      <w:r w:rsidR="00C01E9F" w:rsidRPr="004F5836">
        <w:rPr>
          <w:rFonts w:ascii="Arial" w:hAnsi="Arial" w:cs="Arial"/>
          <w:sz w:val="20"/>
          <w:szCs w:val="20"/>
        </w:rPr>
        <w:t xml:space="preserve"> </w:t>
      </w:r>
      <w:r w:rsidR="0041525C" w:rsidRPr="004F5836">
        <w:rPr>
          <w:rFonts w:ascii="Arial" w:hAnsi="Arial" w:cs="Arial"/>
          <w:sz w:val="20"/>
          <w:szCs w:val="20"/>
        </w:rPr>
        <w:t>These studies suggest that reliability in the industry is multifaceted, encompassing not only safety, but also sustainability, resilience, and supply chain dynamics.</w:t>
      </w:r>
      <w:r w:rsidR="00C01E9F" w:rsidRPr="004F5836">
        <w:rPr>
          <w:rFonts w:ascii="Arial" w:hAnsi="Arial" w:cs="Arial"/>
          <w:sz w:val="20"/>
          <w:szCs w:val="20"/>
        </w:rPr>
        <w:t xml:space="preserve"> </w:t>
      </w:r>
      <w:r w:rsidR="0041525C" w:rsidRPr="004F5836">
        <w:rPr>
          <w:rFonts w:ascii="Arial" w:hAnsi="Arial" w:cs="Arial"/>
          <w:sz w:val="20"/>
          <w:szCs w:val="20"/>
        </w:rPr>
        <w:t>The integration of AI technologies, as discussed by Deif and Vivek (2022), can potentially influence the dynamics of HROs by providing new tools for managing risks and enhancing their reliability.</w:t>
      </w:r>
      <w:r w:rsidR="00C01E9F" w:rsidRPr="004F5836">
        <w:rPr>
          <w:rFonts w:ascii="Arial" w:hAnsi="Arial" w:cs="Arial"/>
          <w:sz w:val="20"/>
          <w:szCs w:val="20"/>
        </w:rPr>
        <w:t xml:space="preserve"> </w:t>
      </w:r>
      <w:r w:rsidR="0041525C" w:rsidRPr="004F5836">
        <w:rPr>
          <w:rFonts w:ascii="Arial" w:hAnsi="Arial" w:cs="Arial"/>
          <w:sz w:val="20"/>
          <w:szCs w:val="20"/>
        </w:rPr>
        <w:t>This study offers a comprehensive view of the challenges and strategies to achieve high reliability in oil and gas supply chains.</w:t>
      </w:r>
      <w:r w:rsidR="00C01E9F" w:rsidRPr="004F5836">
        <w:rPr>
          <w:rFonts w:ascii="Arial" w:hAnsi="Arial" w:cs="Arial"/>
          <w:sz w:val="20"/>
          <w:szCs w:val="20"/>
        </w:rPr>
        <w:t xml:space="preserve"> Alothman's (2016) focus on the HRO model contributes to the theory by demonstrating its practical application in managing safety within the industry. </w:t>
      </w:r>
      <w:r w:rsidR="00534E60" w:rsidRPr="004F5836">
        <w:rPr>
          <w:rFonts w:ascii="Arial" w:hAnsi="Arial" w:cs="Arial"/>
          <w:sz w:val="20"/>
          <w:szCs w:val="20"/>
        </w:rPr>
        <w:t xml:space="preserve">However, other studies highlight the importance of considering factors such as AI implementation (Deif &amp; Vivek, 2022), supply chain resilience (Urciuoli et al., 2014), sustainability </w:t>
      </w:r>
      <w:r w:rsidR="00534E60" w:rsidRPr="004F5836">
        <w:rPr>
          <w:rFonts w:ascii="Arial" w:hAnsi="Arial" w:cs="Arial"/>
          <w:sz w:val="20"/>
          <w:szCs w:val="20"/>
        </w:rPr>
        <w:lastRenderedPageBreak/>
        <w:t>(Egila et al., 2023), and the bullwhip effect (Zhu et al., 2019) alongside HRO theory to fully understand and enhance reliability in this sector.</w:t>
      </w:r>
    </w:p>
    <w:p w14:paraId="1FA58C34" w14:textId="77777777" w:rsidR="000B50AD" w:rsidRPr="004F5836" w:rsidRDefault="000B50AD" w:rsidP="00174977">
      <w:pPr>
        <w:spacing w:after="0" w:line="360" w:lineRule="auto"/>
        <w:jc w:val="both"/>
        <w:rPr>
          <w:rFonts w:ascii="Arial" w:hAnsi="Arial" w:cs="Arial"/>
          <w:sz w:val="20"/>
          <w:szCs w:val="20"/>
        </w:rPr>
      </w:pPr>
    </w:p>
    <w:p w14:paraId="0534D2A9" w14:textId="4873AE04" w:rsidR="00F60AF1" w:rsidRDefault="00077C37" w:rsidP="00293F2B">
      <w:pPr>
        <w:spacing w:after="0" w:line="360" w:lineRule="auto"/>
        <w:jc w:val="both"/>
        <w:rPr>
          <w:rFonts w:ascii="Arial" w:hAnsi="Arial" w:cs="Arial"/>
          <w:sz w:val="20"/>
          <w:szCs w:val="20"/>
        </w:rPr>
      </w:pPr>
      <w:r w:rsidRPr="004F5836">
        <w:rPr>
          <w:rFonts w:ascii="Arial" w:hAnsi="Arial" w:cs="Arial"/>
          <w:sz w:val="20"/>
          <w:szCs w:val="20"/>
        </w:rPr>
        <w:t xml:space="preserve">First, it validates a scale that operationalises the ‘mindful organising’ construct in a traditional high-reliability organisation (oil and gas supply chain), which has not been done before in a developing country context. Second, it offers evidence that a mindful organising scale can be validated in a new cultural context and adds to our understanding of mindful organising by distinguishing the perceptions of different stakeholders from a quantitative measure of mindful organising. This study investigates the impact of internal stakeholders' perceptions of organisational safety culture on operational environmental risk management in the oil and gas supply chain. </w:t>
      </w:r>
      <w:r w:rsidR="0041525C" w:rsidRPr="004F5836">
        <w:rPr>
          <w:rFonts w:ascii="Arial" w:hAnsi="Arial" w:cs="Arial"/>
          <w:sz w:val="20"/>
          <w:szCs w:val="20"/>
        </w:rPr>
        <w:t>The study shows that organisational safety culture significantly affects stakeholder analysis of severity and risk-mitigation strategies, whereas ease of detection and frequency are not significant factors.</w:t>
      </w:r>
      <w:r w:rsidRPr="004F5836">
        <w:rPr>
          <w:rFonts w:ascii="Arial" w:hAnsi="Arial" w:cs="Arial"/>
          <w:sz w:val="20"/>
          <w:szCs w:val="20"/>
        </w:rPr>
        <w:t xml:space="preserve"> </w:t>
      </w:r>
      <w:r w:rsidR="0041525C" w:rsidRPr="004F5836">
        <w:rPr>
          <w:rFonts w:ascii="Arial" w:hAnsi="Arial" w:cs="Arial"/>
          <w:sz w:val="20"/>
          <w:szCs w:val="20"/>
        </w:rPr>
        <w:t>This study reveals that human-caused environmental risk is perceived as the most important factor across different employee groups, and enhanced stakeholder analysis is required to develop effective risk management strategies by improving detection and frequency analysis.</w:t>
      </w:r>
      <w:r w:rsidRPr="004F5836">
        <w:rPr>
          <w:rFonts w:ascii="Arial" w:hAnsi="Arial" w:cs="Arial"/>
          <w:sz w:val="20"/>
          <w:szCs w:val="20"/>
        </w:rPr>
        <w:t xml:space="preserve"> </w:t>
      </w:r>
      <w:r w:rsidR="0041525C" w:rsidRPr="004F5836">
        <w:rPr>
          <w:rFonts w:ascii="Arial" w:hAnsi="Arial" w:cs="Arial"/>
          <w:sz w:val="20"/>
          <w:szCs w:val="20"/>
        </w:rPr>
        <w:t>This study emphasises the need for a comprehensive approach to safety culture and environmental risk management in the oil and gas industry, focusing on stakeholder analysis, risk-mitigation strategies, and improved detection and frequency analysis.</w:t>
      </w:r>
      <w:r w:rsidRPr="004F5836">
        <w:rPr>
          <w:rFonts w:ascii="Arial" w:hAnsi="Arial" w:cs="Arial"/>
          <w:sz w:val="20"/>
          <w:szCs w:val="20"/>
        </w:rPr>
        <w:t xml:space="preserve"> </w:t>
      </w:r>
      <w:r w:rsidR="0041525C" w:rsidRPr="004F5836">
        <w:rPr>
          <w:rFonts w:ascii="Arial" w:hAnsi="Arial" w:cs="Arial"/>
          <w:sz w:val="20"/>
          <w:szCs w:val="20"/>
        </w:rPr>
        <w:t xml:space="preserve">The study also highlights the limitations of high-reliability organisation theory in certain contexts in which organisational safety culture is influenced by the prevailing national </w:t>
      </w:r>
      <w:r w:rsidR="004F5836" w:rsidRPr="004F5836">
        <w:rPr>
          <w:rFonts w:ascii="Arial" w:hAnsi="Arial" w:cs="Arial"/>
          <w:sz w:val="20"/>
          <w:szCs w:val="20"/>
        </w:rPr>
        <w:t>culture. Previous</w:t>
      </w:r>
      <w:r w:rsidR="0041525C" w:rsidRPr="004F5836">
        <w:rPr>
          <w:rFonts w:ascii="Arial" w:hAnsi="Arial" w:cs="Arial"/>
          <w:sz w:val="20"/>
          <w:szCs w:val="20"/>
        </w:rPr>
        <w:t xml:space="preserve"> researchers have identified risk behaviour, risk management processes, and risk treatment as good determinants of overall risk management practices (Ahmad, 2014).</w:t>
      </w:r>
      <w:r w:rsidRPr="004F5836">
        <w:rPr>
          <w:rFonts w:ascii="Arial" w:hAnsi="Arial" w:cs="Arial"/>
          <w:sz w:val="20"/>
          <w:szCs w:val="20"/>
        </w:rPr>
        <w:t xml:space="preserve"> </w:t>
      </w:r>
      <w:r w:rsidR="0041525C" w:rsidRPr="004F5836">
        <w:rPr>
          <w:rFonts w:ascii="Arial" w:hAnsi="Arial" w:cs="Arial"/>
          <w:sz w:val="20"/>
          <w:szCs w:val="20"/>
        </w:rPr>
        <w:t>The dimensions of organisational safety culture correlated significantly with the probability of impact and risk mitigation strategies among employees of oil platforms.</w:t>
      </w:r>
      <w:r w:rsidRPr="004F5836">
        <w:rPr>
          <w:rFonts w:ascii="Arial" w:hAnsi="Arial" w:cs="Arial"/>
          <w:sz w:val="20"/>
          <w:szCs w:val="20"/>
        </w:rPr>
        <w:t xml:space="preserve"> </w:t>
      </w:r>
      <w:r w:rsidR="0041525C" w:rsidRPr="004F5836">
        <w:rPr>
          <w:rFonts w:ascii="Arial" w:hAnsi="Arial" w:cs="Arial"/>
          <w:sz w:val="20"/>
          <w:szCs w:val="20"/>
        </w:rPr>
        <w:t>However, poor organisational safety culture is one of the major factors influencing employees’ safety behaviour at work (Ehiaguina &amp; Moda, 2020).</w:t>
      </w:r>
      <w:r w:rsidRPr="004F5836">
        <w:rPr>
          <w:rFonts w:ascii="Arial" w:hAnsi="Arial" w:cs="Arial"/>
          <w:sz w:val="20"/>
          <w:szCs w:val="20"/>
        </w:rPr>
        <w:t xml:space="preserve"> </w:t>
      </w:r>
      <w:r w:rsidR="0041525C" w:rsidRPr="004F5836">
        <w:rPr>
          <w:rFonts w:ascii="Arial" w:hAnsi="Arial" w:cs="Arial"/>
          <w:sz w:val="20"/>
          <w:szCs w:val="20"/>
        </w:rPr>
        <w:t>The results of this study show a moderate awareness among oil and gas employees.</w:t>
      </w:r>
      <w:r w:rsidRPr="004F5836">
        <w:rPr>
          <w:rFonts w:ascii="Arial" w:hAnsi="Arial" w:cs="Arial"/>
          <w:sz w:val="20"/>
          <w:szCs w:val="20"/>
        </w:rPr>
        <w:t xml:space="preserve"> </w:t>
      </w:r>
      <w:r w:rsidR="0041525C" w:rsidRPr="004F5836">
        <w:rPr>
          <w:rFonts w:ascii="Arial" w:hAnsi="Arial" w:cs="Arial"/>
          <w:sz w:val="20"/>
          <w:szCs w:val="20"/>
        </w:rPr>
        <w:t>Therefore, appropriate management policies should be implemented to improve the situation.</w:t>
      </w:r>
    </w:p>
    <w:p w14:paraId="2E21F337" w14:textId="77777777" w:rsidR="004F5836" w:rsidRPr="004F5836" w:rsidRDefault="004F5836" w:rsidP="00293F2B">
      <w:pPr>
        <w:spacing w:after="0" w:line="360" w:lineRule="auto"/>
        <w:jc w:val="both"/>
        <w:rPr>
          <w:rFonts w:ascii="Arial" w:hAnsi="Arial" w:cs="Arial"/>
          <w:sz w:val="20"/>
          <w:szCs w:val="20"/>
        </w:rPr>
      </w:pPr>
    </w:p>
    <w:p w14:paraId="162EE607" w14:textId="77777777" w:rsidR="00971EE0" w:rsidRPr="004F5836" w:rsidRDefault="00971EE0" w:rsidP="00293F2B">
      <w:pPr>
        <w:pStyle w:val="Heading2"/>
        <w:spacing w:line="360" w:lineRule="auto"/>
        <w:jc w:val="both"/>
        <w:rPr>
          <w:rFonts w:ascii="Arial" w:hAnsi="Arial" w:cs="Arial"/>
          <w:b/>
          <w:bCs/>
          <w:color w:val="auto"/>
          <w:sz w:val="24"/>
          <w:szCs w:val="24"/>
        </w:rPr>
      </w:pPr>
      <w:r w:rsidRPr="004F5836">
        <w:rPr>
          <w:rFonts w:ascii="Arial" w:hAnsi="Arial" w:cs="Arial"/>
          <w:b/>
          <w:bCs/>
          <w:color w:val="auto"/>
          <w:sz w:val="24"/>
          <w:szCs w:val="24"/>
        </w:rPr>
        <w:t>6.0 Conclusion</w:t>
      </w:r>
    </w:p>
    <w:p w14:paraId="604E1925" w14:textId="7C51163A" w:rsidR="00077C37" w:rsidRPr="004F5836" w:rsidRDefault="00077C37" w:rsidP="00293F2B">
      <w:pPr>
        <w:spacing w:line="360" w:lineRule="auto"/>
        <w:jc w:val="both"/>
        <w:rPr>
          <w:rFonts w:ascii="Arial" w:hAnsi="Arial" w:cs="Arial"/>
          <w:sz w:val="20"/>
          <w:szCs w:val="20"/>
        </w:rPr>
      </w:pPr>
      <w:r w:rsidRPr="004F5836">
        <w:rPr>
          <w:rFonts w:ascii="Arial" w:hAnsi="Arial" w:cs="Arial"/>
          <w:sz w:val="20"/>
          <w:szCs w:val="20"/>
        </w:rPr>
        <w:t xml:space="preserve">This study presents a conceptual framework for analysing the influence of organisational safety culture on environmental risk management within the oil and gas supply chain. </w:t>
      </w:r>
      <w:r w:rsidR="0041525C" w:rsidRPr="004F5836">
        <w:rPr>
          <w:rFonts w:ascii="Arial" w:hAnsi="Arial" w:cs="Arial"/>
          <w:sz w:val="20"/>
          <w:szCs w:val="20"/>
        </w:rPr>
        <w:t>Currently, there is a lack of high reliability in the oil and gas industry despite its similarity to nuclear energy, where high reliability was first applied, particularly in developing countries (Cantu et al., 2020).</w:t>
      </w:r>
      <w:r w:rsidRPr="004F5836">
        <w:rPr>
          <w:rFonts w:ascii="Arial" w:hAnsi="Arial" w:cs="Arial"/>
          <w:sz w:val="20"/>
          <w:szCs w:val="20"/>
        </w:rPr>
        <w:t xml:space="preserve"> The results presented here may broaden researchers’ and oil and gas professionals’ awareness of influential organisational safety culture, enhancing their ability to perceive, understand, assess, and mitigate risks effectively, thereby achieving higher performance in strategic environmental risk management.</w:t>
      </w:r>
    </w:p>
    <w:p w14:paraId="44DBFB30" w14:textId="66C72D38" w:rsidR="00077C37" w:rsidRPr="004F5836" w:rsidRDefault="0041525C" w:rsidP="00293F2B">
      <w:pPr>
        <w:spacing w:line="360" w:lineRule="auto"/>
        <w:jc w:val="both"/>
        <w:rPr>
          <w:rFonts w:ascii="Arial" w:hAnsi="Arial" w:cs="Arial"/>
          <w:sz w:val="20"/>
          <w:szCs w:val="20"/>
        </w:rPr>
      </w:pPr>
      <w:r w:rsidRPr="004F5836">
        <w:rPr>
          <w:rFonts w:ascii="Arial" w:hAnsi="Arial" w:cs="Arial"/>
          <w:sz w:val="20"/>
          <w:szCs w:val="20"/>
        </w:rPr>
        <w:t>Previous studies have advocated that organisational safety culture is crucial to addressing environmental risk management (Biggs et al., 2013).</w:t>
      </w:r>
      <w:r w:rsidR="00077C37" w:rsidRPr="004F5836">
        <w:rPr>
          <w:rFonts w:ascii="Arial" w:hAnsi="Arial" w:cs="Arial"/>
          <w:sz w:val="20"/>
          <w:szCs w:val="20"/>
        </w:rPr>
        <w:t xml:space="preserve"> This study examines the premise that industry-specific organisational safety culture strategies are more effective in addressing environmental risk management. Oil and gas supply chains in developing countries pose significant challenges and risks </w:t>
      </w:r>
      <w:r w:rsidR="00077C37" w:rsidRPr="004F5836">
        <w:rPr>
          <w:rFonts w:ascii="Arial" w:hAnsi="Arial" w:cs="Arial"/>
          <w:sz w:val="20"/>
          <w:szCs w:val="20"/>
        </w:rPr>
        <w:lastRenderedPageBreak/>
        <w:t xml:space="preserve">that demand comprehensive safety measures. Among the myriad risks inherent in this industry, it is one of the most hazardous, often resulting in injuries and fatalities ( de Oliveira, Leiras, &amp; Ceryno, 2019). The root cause of these disasters is the widespread existence of a low-safety work environment in industry. However, measuring safety climate faces obstacles and inconsistencies. Despite the differences between workgroups, evaluating safety culture at a broader organisational level is crucial. </w:t>
      </w:r>
      <w:r w:rsidRPr="004F5836">
        <w:rPr>
          <w:rFonts w:ascii="Arial" w:hAnsi="Arial" w:cs="Arial"/>
          <w:sz w:val="20"/>
          <w:szCs w:val="20"/>
        </w:rPr>
        <w:t>Regulators from various industries have recently adopted a safety culture as a regulatory concept.</w:t>
      </w:r>
    </w:p>
    <w:p w14:paraId="60D25EAD" w14:textId="28CA5465" w:rsidR="00077C37" w:rsidRPr="004F5836" w:rsidRDefault="0041525C" w:rsidP="00293F2B">
      <w:pPr>
        <w:spacing w:line="360" w:lineRule="auto"/>
        <w:jc w:val="both"/>
        <w:rPr>
          <w:rFonts w:ascii="Arial" w:hAnsi="Arial" w:cs="Arial"/>
          <w:sz w:val="20"/>
          <w:szCs w:val="20"/>
        </w:rPr>
      </w:pPr>
      <w:r w:rsidRPr="004F5836">
        <w:rPr>
          <w:rFonts w:ascii="Arial" w:hAnsi="Arial" w:cs="Arial"/>
          <w:sz w:val="20"/>
          <w:szCs w:val="20"/>
        </w:rPr>
        <w:t>Our study aims to investigate stakeholder perceptions of top management’s commitment to assessing safety culture in the oil and gas supply chain, particularly in developing countries, with a focus on Nigeria.</w:t>
      </w:r>
      <w:r w:rsidR="00077C37" w:rsidRPr="004F5836">
        <w:rPr>
          <w:rFonts w:ascii="Arial" w:hAnsi="Arial" w:cs="Arial"/>
          <w:sz w:val="20"/>
          <w:szCs w:val="20"/>
        </w:rPr>
        <w:t xml:space="preserve"> </w:t>
      </w:r>
      <w:r w:rsidRPr="004F5836">
        <w:rPr>
          <w:rFonts w:ascii="Arial" w:hAnsi="Arial" w:cs="Arial"/>
          <w:sz w:val="20"/>
          <w:szCs w:val="20"/>
        </w:rPr>
        <w:t>To this end, we distributed a carefully designed questionnaire to industry stakeholders.</w:t>
      </w:r>
      <w:r w:rsidR="00077C37" w:rsidRPr="004F5836">
        <w:rPr>
          <w:rFonts w:ascii="Arial" w:hAnsi="Arial" w:cs="Arial"/>
          <w:sz w:val="20"/>
          <w:szCs w:val="20"/>
        </w:rPr>
        <w:t xml:space="preserve"> Upon analysis using high reliability theory, we utilised factor relative importance analysis techniques to capture the nuances of safety culture within the sector. Our study established an assessment of safety culture in the oil and gas supply chain, specifically in Nigeria. By identifying areas of strength and weakness in safety culture, this tool empowers stakeholders to create targeted strategies to improve safety practices, behaviours, and decisions. Our findings provide a roadmap for enhancing safety processes and ensuring the well-being of workers across oil and gas supply chains in developing countries. This study helps stakeholders and companies address existing environmental challenges by adopting the principles of the high reliability theory.</w:t>
      </w:r>
    </w:p>
    <w:p w14:paraId="3D50FD0E" w14:textId="731B94C6" w:rsidR="00077C37" w:rsidRPr="004F5836" w:rsidRDefault="00077C37" w:rsidP="00293F2B">
      <w:pPr>
        <w:spacing w:line="360" w:lineRule="auto"/>
        <w:jc w:val="both"/>
        <w:rPr>
          <w:rFonts w:ascii="Arial" w:hAnsi="Arial" w:cs="Arial"/>
          <w:sz w:val="20"/>
          <w:szCs w:val="20"/>
        </w:rPr>
      </w:pPr>
      <w:r w:rsidRPr="004F5836">
        <w:rPr>
          <w:rFonts w:ascii="Arial" w:hAnsi="Arial" w:cs="Arial"/>
          <w:sz w:val="20"/>
          <w:szCs w:val="20"/>
        </w:rPr>
        <w:t xml:space="preserve">The findings of this study have practical implications for management. This can serve as a tool to motivate stakeholders to implement integrated environmental risk management in their supply chains. Managers must consider the interactions between risks, consequences, and strategies to identify the environmental risks emanating from within and outside their supply chains. The study sheds light on how internal stakeholders perceive environmental risk factors and highlights the role of the high reliability theory literature. </w:t>
      </w:r>
      <w:r w:rsidR="00FC2307" w:rsidRPr="004F5836">
        <w:rPr>
          <w:rFonts w:ascii="Arial" w:hAnsi="Arial" w:cs="Arial"/>
          <w:sz w:val="20"/>
          <w:szCs w:val="20"/>
        </w:rPr>
        <w:t>Previous research has only examined FMEA, but this study goes further by exploring how stakeholders assess risk factors in the context of the model.</w:t>
      </w:r>
      <w:r w:rsidRPr="004F5836">
        <w:rPr>
          <w:rFonts w:ascii="Arial" w:hAnsi="Arial" w:cs="Arial"/>
          <w:sz w:val="20"/>
          <w:szCs w:val="20"/>
        </w:rPr>
        <w:t xml:space="preserve"> </w:t>
      </w:r>
      <w:r w:rsidR="00FC2307" w:rsidRPr="004F5836">
        <w:rPr>
          <w:rFonts w:ascii="Arial" w:hAnsi="Arial" w:cs="Arial"/>
          <w:sz w:val="20"/>
          <w:szCs w:val="20"/>
        </w:rPr>
        <w:t>This study can help developing countries with less capacity to handle complex hazards to better understand decision-making on environmental risk and trigger behavioural responses.</w:t>
      </w:r>
      <w:r w:rsidRPr="004F5836">
        <w:rPr>
          <w:rFonts w:ascii="Arial" w:hAnsi="Arial" w:cs="Arial"/>
          <w:sz w:val="20"/>
          <w:szCs w:val="20"/>
        </w:rPr>
        <w:t xml:space="preserve"> </w:t>
      </w:r>
      <w:r w:rsidR="00FC2307" w:rsidRPr="004F5836">
        <w:rPr>
          <w:rFonts w:ascii="Arial" w:hAnsi="Arial" w:cs="Arial"/>
          <w:sz w:val="20"/>
          <w:szCs w:val="20"/>
        </w:rPr>
        <w:t>Additionally, this study contributes to the understanding of the relationship between FMEA and stakeholder risk mitigation strategies, providing a new explanation for the varying impacts of internal stakeholders.</w:t>
      </w:r>
      <w:r w:rsidRPr="004F5836">
        <w:rPr>
          <w:rFonts w:ascii="Arial" w:hAnsi="Arial" w:cs="Arial"/>
          <w:sz w:val="20"/>
          <w:szCs w:val="20"/>
        </w:rPr>
        <w:t xml:space="preserve"> These implications emphasise the importance of proactive risk management practices, such as prioritising environmental safety measures, enhancing attention to sustainability risks, streamlining response mechanisms, and improving data collection and analysis procedures within organisations. Our findings provide fresh insights into organisational safety culture and highlight several applicable strategies for practitioners, stressing the need for organisations to integrate safety culture and environmental risk management into their operational strategies to drive positive transformation for the greater good. We propose a framework that provides an overarching and comprehensive understanding to improve policymaking in the industry by providing valuable insights into the relationship between organisational safety culture, stakeholder perceptions, and environmental risk management within the oil and gas supply chain. This could lead to the implementation of new practises and procedures aimed at improving risk detection, </w:t>
      </w:r>
      <w:r w:rsidRPr="004F5836">
        <w:rPr>
          <w:rFonts w:ascii="Arial" w:hAnsi="Arial" w:cs="Arial"/>
          <w:sz w:val="20"/>
          <w:szCs w:val="20"/>
        </w:rPr>
        <w:lastRenderedPageBreak/>
        <w:t>frequency analysis, and response strategies, thereby fostering a culture of continuous improvement and resilience.</w:t>
      </w:r>
    </w:p>
    <w:p w14:paraId="41EBE512" w14:textId="5D253FC8" w:rsidR="00971EE0" w:rsidRPr="004F5836" w:rsidRDefault="00FC2307" w:rsidP="00293F2B">
      <w:pPr>
        <w:spacing w:line="360" w:lineRule="auto"/>
        <w:jc w:val="both"/>
        <w:rPr>
          <w:rFonts w:ascii="Arial" w:hAnsi="Arial" w:cs="Arial"/>
          <w:sz w:val="20"/>
          <w:szCs w:val="20"/>
        </w:rPr>
      </w:pPr>
      <w:r w:rsidRPr="004F5836">
        <w:rPr>
          <w:rFonts w:ascii="Arial" w:hAnsi="Arial" w:cs="Arial"/>
          <w:sz w:val="20"/>
          <w:szCs w:val="20"/>
        </w:rPr>
        <w:t>This study examines the oil and gas supply chain, which may limit its applicability to other industries or contexts.</w:t>
      </w:r>
      <w:r w:rsidR="00007DD3" w:rsidRPr="004F5836">
        <w:rPr>
          <w:rFonts w:ascii="Arial" w:hAnsi="Arial" w:cs="Arial"/>
          <w:sz w:val="20"/>
          <w:szCs w:val="20"/>
        </w:rPr>
        <w:t xml:space="preserve"> </w:t>
      </w:r>
      <w:r w:rsidR="002A7BF9" w:rsidRPr="004F5836">
        <w:rPr>
          <w:rFonts w:ascii="Arial" w:hAnsi="Arial" w:cs="Arial"/>
          <w:sz w:val="20"/>
          <w:szCs w:val="20"/>
        </w:rPr>
        <w:t>This study relies on stakeholders' subjective perceptions of organizational safety culture and environmental risk management.</w:t>
      </w:r>
      <w:r w:rsidR="00007DD3" w:rsidRPr="004F5836">
        <w:rPr>
          <w:rFonts w:ascii="Arial" w:hAnsi="Arial" w:cs="Arial"/>
          <w:sz w:val="20"/>
          <w:szCs w:val="20"/>
        </w:rPr>
        <w:t xml:space="preserve"> These perceptions can be influenced by bias and may vary among participants, leading to potential discrepancies in the assessment of safety culture and risk perceptions. </w:t>
      </w:r>
      <w:r w:rsidRPr="004F5836">
        <w:rPr>
          <w:rFonts w:ascii="Arial" w:hAnsi="Arial" w:cs="Arial"/>
          <w:sz w:val="20"/>
          <w:szCs w:val="20"/>
        </w:rPr>
        <w:t>To enhance the generalisability of the findings, a larger sample size and comparative analysis across different sectors and regions, such as nuclear power and Venezuela, would be beneficial.</w:t>
      </w:r>
      <w:r w:rsidR="00007DD3" w:rsidRPr="004F5836">
        <w:rPr>
          <w:rFonts w:ascii="Arial" w:hAnsi="Arial" w:cs="Arial"/>
          <w:sz w:val="20"/>
          <w:szCs w:val="20"/>
        </w:rPr>
        <w:t xml:space="preserve"> </w:t>
      </w:r>
      <w:r w:rsidR="002A7BF9" w:rsidRPr="004F5836">
        <w:rPr>
          <w:rFonts w:ascii="Arial" w:hAnsi="Arial" w:cs="Arial"/>
          <w:sz w:val="20"/>
          <w:szCs w:val="20"/>
        </w:rPr>
        <w:t>Furthermore, qualitative research methods such as interviews, focus groups, and case studies can provide a deeper understanding of the underlying factors influencing safety culture and risk management decision-making within organisations.</w:t>
      </w:r>
      <w:r w:rsidR="00007DD3" w:rsidRPr="004F5836">
        <w:rPr>
          <w:rFonts w:ascii="Arial" w:hAnsi="Arial" w:cs="Arial"/>
          <w:sz w:val="20"/>
          <w:szCs w:val="20"/>
        </w:rPr>
        <w:t xml:space="preserve"> </w:t>
      </w:r>
      <w:r w:rsidR="0041525C" w:rsidRPr="004F5836">
        <w:rPr>
          <w:rFonts w:ascii="Arial" w:hAnsi="Arial" w:cs="Arial"/>
          <w:sz w:val="20"/>
          <w:szCs w:val="20"/>
        </w:rPr>
        <w:t>These methods can uncover nuanced perspectives, organizational dynamics, and cultural influences that quantitative methods may overlook.</w:t>
      </w:r>
      <w:r w:rsidR="002A7BF9" w:rsidRPr="004F5836">
        <w:rPr>
          <w:rFonts w:ascii="Arial" w:hAnsi="Arial" w:cs="Arial"/>
          <w:sz w:val="20"/>
          <w:szCs w:val="20"/>
        </w:rPr>
        <w:t xml:space="preserve"> </w:t>
      </w:r>
      <w:r w:rsidRPr="004F5836">
        <w:rPr>
          <w:rFonts w:ascii="Arial" w:hAnsi="Arial" w:cs="Arial"/>
          <w:sz w:val="20"/>
          <w:szCs w:val="20"/>
        </w:rPr>
        <w:t>Based on the findings of this study, risk-mitigation strategies were proposed for all identified environmental risk factors.</w:t>
      </w:r>
      <w:r w:rsidR="00007DD3" w:rsidRPr="004F5836">
        <w:rPr>
          <w:rFonts w:ascii="Arial" w:hAnsi="Arial" w:cs="Arial"/>
          <w:sz w:val="20"/>
          <w:szCs w:val="20"/>
        </w:rPr>
        <w:t xml:space="preserve"> </w:t>
      </w:r>
      <w:r w:rsidR="0041525C" w:rsidRPr="004F5836">
        <w:rPr>
          <w:rFonts w:ascii="Arial" w:hAnsi="Arial" w:cs="Arial"/>
          <w:sz w:val="20"/>
          <w:szCs w:val="20"/>
        </w:rPr>
        <w:t>The results show that stakeholders perceived varying levels of performance for different environmental risks.</w:t>
      </w:r>
      <w:r w:rsidR="00007DD3" w:rsidRPr="004F5836">
        <w:rPr>
          <w:rFonts w:ascii="Arial" w:hAnsi="Arial" w:cs="Arial"/>
          <w:sz w:val="20"/>
          <w:szCs w:val="20"/>
        </w:rPr>
        <w:t xml:space="preserve"> </w:t>
      </w:r>
    </w:p>
    <w:p w14:paraId="47619FD1" w14:textId="77777777" w:rsidR="001C63A5" w:rsidRPr="004F5836" w:rsidRDefault="001C63A5" w:rsidP="00293F2B">
      <w:pPr>
        <w:spacing w:line="360" w:lineRule="auto"/>
        <w:jc w:val="both"/>
        <w:rPr>
          <w:rFonts w:ascii="Arial" w:hAnsi="Arial" w:cs="Arial"/>
          <w:sz w:val="20"/>
          <w:szCs w:val="20"/>
        </w:rPr>
      </w:pPr>
    </w:p>
    <w:p w14:paraId="11BFC3C0" w14:textId="77777777" w:rsidR="00971EE0" w:rsidRPr="004F5836" w:rsidRDefault="00971EE0" w:rsidP="00293F2B">
      <w:pPr>
        <w:spacing w:line="360" w:lineRule="auto"/>
        <w:jc w:val="both"/>
        <w:rPr>
          <w:rFonts w:ascii="Arial" w:hAnsi="Arial" w:cs="Arial"/>
          <w:sz w:val="20"/>
          <w:szCs w:val="20"/>
        </w:rPr>
      </w:pPr>
    </w:p>
    <w:p w14:paraId="04C558EC" w14:textId="77777777" w:rsidR="00971EE0" w:rsidRPr="004F5836" w:rsidRDefault="00971EE0" w:rsidP="00293F2B">
      <w:pPr>
        <w:spacing w:line="360" w:lineRule="auto"/>
        <w:jc w:val="both"/>
        <w:rPr>
          <w:rFonts w:ascii="Arial" w:hAnsi="Arial" w:cs="Arial"/>
          <w:sz w:val="20"/>
          <w:szCs w:val="20"/>
        </w:rPr>
      </w:pPr>
    </w:p>
    <w:p w14:paraId="21F103BE" w14:textId="77777777" w:rsidR="00971EE0" w:rsidRPr="004F5836" w:rsidRDefault="00971EE0" w:rsidP="00293F2B">
      <w:pPr>
        <w:spacing w:line="360" w:lineRule="auto"/>
        <w:jc w:val="both"/>
        <w:rPr>
          <w:rFonts w:ascii="Arial" w:hAnsi="Arial" w:cs="Arial"/>
          <w:sz w:val="20"/>
          <w:szCs w:val="20"/>
        </w:rPr>
      </w:pPr>
    </w:p>
    <w:p w14:paraId="362957BB" w14:textId="77777777" w:rsidR="00971EE0" w:rsidRPr="004F5836" w:rsidRDefault="00971EE0" w:rsidP="00293F2B">
      <w:pPr>
        <w:pStyle w:val="Heading2"/>
        <w:spacing w:line="360" w:lineRule="auto"/>
        <w:rPr>
          <w:rFonts w:ascii="Arial" w:hAnsi="Arial" w:cs="Arial"/>
          <w:color w:val="auto"/>
          <w:sz w:val="28"/>
          <w:szCs w:val="28"/>
        </w:rPr>
      </w:pPr>
      <w:r w:rsidRPr="004F5836">
        <w:rPr>
          <w:rFonts w:ascii="Arial" w:hAnsi="Arial" w:cs="Arial"/>
          <w:color w:val="auto"/>
          <w:sz w:val="28"/>
          <w:szCs w:val="28"/>
        </w:rPr>
        <w:t>Reference</w:t>
      </w:r>
    </w:p>
    <w:p w14:paraId="6B177440"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Abdel-Basset, M., &amp; Mohamed, R. (2020). A novel plithogenic TOPSIS- CRITIC model for sustainable supply chain risk management. Journal of Cleaner Production, 247. https://doi.org/10.1016/j.jclepro.2019.119586</w:t>
      </w:r>
    </w:p>
    <w:p w14:paraId="7DD3BAD9"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Agwu, A. E., Labib, A., Hadleigh-Dunn, S. (2019). Disaster prevention through a harmonised framework for high-reliability organisations. Safety Science, 111, 298–312. https://doi.org/10.1016/j.ssci.2018.09.005</w:t>
      </w:r>
    </w:p>
    <w:p w14:paraId="3EB423E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Ahmad, N. K. W., de Brito, M. P., Rezaei, J., &amp; Tavasszy, L. A. (2017). An integrative framework for sustainable supply chain management practices in the oil and gas industry. Journal of Environmental Planning and Management, 60(4), 577–601. https://doi.org/10.1080/09640568.2016.1178105</w:t>
      </w:r>
    </w:p>
    <w:p w14:paraId="1FD2EFC6"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Ahmad, W. N. K. W., &amp; Rezaei, J. (2015). Influence of external forces on supply chain sustainability goals and decisions in the oil and gas industry. Int. Conf. Eng., Technol. Innov., ICE, and IEEE Int. Technol. Manag. Conf. 19th International Conference on Engineering, Technology and Innovation, ICE 2013, and IEEE International Technology Management Conference, ITMC 2013. Scopus. https://doi.org/10.1109/ITMC.2013.7352598</w:t>
      </w:r>
    </w:p>
    <w:p w14:paraId="7A454D00"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Al Nahyan, M. T., Hawas, Y. E., &amp; Raza, M. (2021). An exploratory study of relationships between stakeholders’ risk perceptions and their roles and experience in construction industry. International Journal of Construction Management, 21(7), 738–754. https://doi.org/10.1080/15623599.2019.1580833</w:t>
      </w:r>
    </w:p>
    <w:p w14:paraId="4FA8038B"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lastRenderedPageBreak/>
        <w:t>Albu, M. (2018). Considerations Regarding Environmental Aspects of Risk Management in the Oil and Gas Industry. Advanced EngineeringForum, 213-218.</w:t>
      </w:r>
    </w:p>
    <w:p w14:paraId="7B9CBFCA"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Alkhaledi, K. A., Salaheddine, B., Dashti, F. (2023). Assessing safety culture in public sector organisations: A cross-national study. International Journal of Industrial Ergonomics.</w:t>
      </w:r>
    </w:p>
    <w:p w14:paraId="47768F7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Ambituuni, A., Amezaga, J., &amp; Emeseh, E. (2014). Analysis of safety and environmental regulations for downstream petroleum industry operations in Nigeria: Problems and prospects. Environmental Development, 9, 43–60. https://doi.org/10.1016/j.envdev.2013.12.002</w:t>
      </w:r>
    </w:p>
    <w:p w14:paraId="2A6B5F7D"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Aniza Abdul Aziz, N. &amp; Abdul Manab, N. (2020). Does Risk Culture Matter for Sustaining the Business? Evidence from Malaysian Environmentally Sensitive Listed Companies. International Journal of Management and Sustainability, 9(2), 91–100. https://doi.org/10.18488/journal.11.2020.92.91.100</w:t>
      </w:r>
    </w:p>
    <w:p w14:paraId="743B1746"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Arabsheybani, A., Paydar, M. M., &amp; Safaei, A. S. (2018). An integrated fuzzy MOORA method and FMEA technique for sustainable supplier selection considering quantity discounts and supplier risk. Journal of Cleaner Production, 190, 577–591. https://doi.org/10.1016/j.jclepro.2018.04.167</w:t>
      </w:r>
    </w:p>
    <w:p w14:paraId="19F8C29B"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Benabdallah, C., El-Amraoui, A., Delmotte, F., &amp; Frikha, A. (2020). An integrated rough-DEMA</w:t>
      </w:r>
      <w:r w:rsidRPr="004F5836">
        <w:rPr>
          <w:rFonts w:ascii="Cambria Math" w:hAnsi="Cambria Math" w:cs="Cambria Math"/>
          <w:sz w:val="20"/>
          <w:szCs w:val="20"/>
        </w:rPr>
        <w:t>℡</w:t>
      </w:r>
      <w:r w:rsidRPr="004F5836">
        <w:rPr>
          <w:rFonts w:ascii="Arial" w:hAnsi="Arial" w:cs="Arial"/>
          <w:sz w:val="20"/>
          <w:szCs w:val="20"/>
        </w:rPr>
        <w:t xml:space="preserve"> method for sustainability risk assessment in agro-food supply chain. In M. F.-Z. Benadada Y. (Ed.) Proceedings—2020 5th International Conference on Logistics Operations Management, GOL 2020. Institute of Electrical and Electronics Engineers Inc. https://doi.org/10.1109/GOL49479.2020.9314712</w:t>
      </w:r>
    </w:p>
    <w:p w14:paraId="774E769E"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Biedermann, M., Papatheodorou, A., Prowle, M., &amp; Bulatovic, I. (2024). High Reliability Organizations in a Changing World: The Case of Air Traffic Control. Research in Transportation Business and Management.</w:t>
      </w:r>
    </w:p>
    <w:p w14:paraId="18298216"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Biggs, S. E., Banks, T. D., Davey, J. D., &amp; Freeman, J. E. (2013). Safety leaders’ perceptions of safety culture in a large Australasian construction organisation. Safety Science, 52, 3–12. https://doi.org/10.1016/j.ssci.2012.04.012</w:t>
      </w:r>
    </w:p>
    <w:p w14:paraId="0B70550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Biggs, S. E., Banks, T. D., Davey, J. D., &amp; Freeman, J. E. (2013). Safety leaders’ perceptions of safety culture in a large Australasian construction organisation. Safety Science, 52, 3–12. https://doi.org/10.1016/j.ssci.2012.04.012</w:t>
      </w:r>
    </w:p>
    <w:p w14:paraId="6F7B52A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Boscari, S., Bortolotti, T., &amp; Netland, T. (2018). National culture and operations management: A structured literature review. International Journal of Production Research, 6314–6331.</w:t>
      </w:r>
    </w:p>
    <w:p w14:paraId="691F7BDB"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Clarke, S. (1998). Safety culture on the UK railway network. Work and Stress, 12(3), 285–292. Scopus. https://doi.org/10.1080/02678379808256867</w:t>
      </w:r>
    </w:p>
    <w:p w14:paraId="77DF65A2"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Dubey, R., Gunasekaran, A., Childe, S. J., Papadopoulos, T., Hazen, B. T., &amp; Roubaud, D. (2018). Examining top management commitment to TQM diffusion using institutional and upper echelon theories. International Journal of Production Research, 56(8), 2988–3006. https://doi.org/10.1080/00207543.2017.1394590</w:t>
      </w:r>
    </w:p>
    <w:p w14:paraId="504AF954"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Duplechan, L. (2024). How High Reliability Can Facilitate Clinical, Organizational, and Public Health Responses to Global Ecological Health Risks. AMA Journal of Ethics, 171-178.</w:t>
      </w:r>
    </w:p>
    <w:p w14:paraId="674BE08F"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Ehiaguina, , E., &amp; Moda , H. (2020). Improving the safety performance of workers by assessing the impact of safety culture on workers’ safety behaviour in Nigeria oil and gas industry: A pilot study in the Niger Delta region. International Journal of Medical and Health Sciences,, 152-156.</w:t>
      </w:r>
    </w:p>
    <w:p w14:paraId="64F2AE01"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Fleming, M., Flin, R., Mearns, K., &amp; Gordon, R. (1998). Risk perceptions of offshore workers on UK oil and gas platforms. Risk Analysis, 18(1), 103–110. https://doi.org/10.1111/j.1539-6924.1998.tb00920.x</w:t>
      </w:r>
    </w:p>
    <w:p w14:paraId="4D0A5752"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lastRenderedPageBreak/>
        <w:t>Florescu, M. S., Ceptureanu, E. G., Cruceru, A. F., &amp; Ceptureanu, S. I. (2019). Sustainable supply chain management strategy influences supply chain management functions in the oil and gas distribution industry. Energies, 12(9), 1632. https://doi.org/10.3390/en12091632</w:t>
      </w:r>
    </w:p>
    <w:p w14:paraId="20C4C167"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Freise, M., &amp; Seuring, S. (2015). Social and environmental risk management in supply chains: A survey in the clothing industry. Logistics Research, 8(1). https://doi.org/10.1007/s12159-015-0121-8</w:t>
      </w:r>
    </w:p>
    <w:p w14:paraId="373C5360"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Gardas, B. B., and Raut, R. D., &amp; Narkhede, B. (2019). Determinants of sustainable supply chain management: A case study of the oil and gas supply chain. Sustainable Production and Consumption, 17, 241–253. Scopus. https://doi.org/10.1016/j.spc.2018.11.005</w:t>
      </w:r>
    </w:p>
    <w:p w14:paraId="2057643E"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Giannakis, M., &amp; Papadopoulos, T. (2016). Supply chain sustainability: A risk management approach. International Journal of Production Economics, 171, 455–470. https://doi.org/10.1016/j.ijpe.2015.06.032</w:t>
      </w:r>
    </w:p>
    <w:p w14:paraId="53AD543F"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Hair, J. F., Ringle, C. M., &amp; Sarstedt, M. (2013). Partial Least Squares Structural Equation Modelling: Rigorous Applications, Better Results and Higher Acceptance. Long Range Planning, 46(1–2), 1–12. https://doi.org/10.1016/j.lrp.2013.01.001</w:t>
      </w:r>
    </w:p>
    <w:p w14:paraId="3B85D7CB"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Hair, J. F., Sarstedt, M., Ringle, C. M., &amp; Mena, J. A. (2012). An assessment of the use of partial least squares structural equation modelling in marketing research. Journal of the Academy of Marketing Science, 40(3), 414–433. https://doi.org/10.1007/s11747-011-0261-6</w:t>
      </w:r>
    </w:p>
    <w:p w14:paraId="18B45799"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Henseler, J., Ringle, C. M., &amp; Sarstedt, M. (2015). A new criterion for assessing discriminant validity in variance-based structural equation modelling. Journal of the Academy of Marketing Science, 43(1), 115–135. https://doi.org/10.1007/s11747-014-0403-8</w:t>
      </w:r>
    </w:p>
    <w:p w14:paraId="59913BAF"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Henseler, J., Ringle, C. M., &amp; Sarstedt, M. (2015). A new criterion for assessing discriminant validity in variance-based structural equation modelling. Journal of the Academy of Marketing Science, 43(1), 115–135. https://doi.org/10.1007/s11747-014-0403-8</w:t>
      </w:r>
    </w:p>
    <w:p w14:paraId="33AB7DC5"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Hofmann, H., Busse, C., Bode, C., &amp; Henke, M. (2014). Sustainability-Related Supply Chain Risks: Conceptualisation and Management. Business Strategy and the Environment, 23(3), 160–172. Scopus.</w:t>
      </w:r>
    </w:p>
    <w:p w14:paraId="5504B632"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Hörisch, J., Freeman, R. E., &amp; Schaltegger, S. (2014). Applying Stakeholder Theory in Sustainability Management: Links, Similarities, Dissimilarities, and a Conceptual Framework. Organization &amp; Environment, 27(4), 328–346. https://doi.org/10.1177/1086026614535786</w:t>
      </w:r>
    </w:p>
    <w:p w14:paraId="30CE8EE1"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Hudsion, P. (2007). Implementing a safety culture in a major multinational. Safety Science, 697-722. doi:https://doi.org/10.1016/J.SSCI.2007.04.005.</w:t>
      </w:r>
    </w:p>
    <w:p w14:paraId="7F4C2B18"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Jaisree, K., &amp; Palani, B. (2024). Supply Chain Management in Construction Projects: A Comprehensive Analysis of the Indian Context - Review. International Journal of Research and Review.</w:t>
      </w:r>
    </w:p>
    <w:p w14:paraId="281E445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Jia, L., Qian, Q. K., Meijer, F., &amp; Visscher, H. (2020). Stakeholders’ risk perception: A perspective for proactive risk management in residential building energy retrofits in China. Sustainability (Switzerland) 12(7). Scopus. https://doi.org/10.3390/su12072832</w:t>
      </w:r>
    </w:p>
    <w:p w14:paraId="2C315504"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Karimi, F. (2021). Stakeholders’ risk perceptions of decarbonised energy system: insights into patterns of behaviour. Energies, 14(21). Scopus. https://doi.org/10.3390/en14217205</w:t>
      </w:r>
    </w:p>
    <w:p w14:paraId="7B973AE3"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Liu, H.-C., Wang, L.-E., Li, Z., &amp; Hu, Y.-P. (2019). Improving Risk Evaluation in FMEA With Cloud Model and Hierarchical TOPSIS Method. IEEE Transactions on Fuzzy Systems, 27(1), 84–95. https://doi.org/10.1109/TFUZZ.2018.2861719</w:t>
      </w:r>
    </w:p>
    <w:p w14:paraId="73BB1EC2"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lastRenderedPageBreak/>
        <w:t>Mehul, V., Steinar, S., &amp; Flage, R. (2021). An environmental risk assessment framework for enhanced oil recovery solutions from the offshore oil and gas industry. Environmental Impact Assessment Review.</w:t>
      </w:r>
    </w:p>
    <w:p w14:paraId="6C97E1E6"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Migueles, C. &amp; Zanini, M. F. (2024). The effects of national culture on safety: insights from a multi-case study. Safety Science.</w:t>
      </w:r>
    </w:p>
    <w:p w14:paraId="19C22447"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Nihlani, A., Byju, J., &amp; Kaur Chhabda, P. (2023). Risk Evaluation and Management Involved in Supply Chain Management. Migration Letters.</w:t>
      </w:r>
    </w:p>
    <w:p w14:paraId="47F664AD"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Purang, P., Surajit , B., Gharpurea, S., &amp; Sandip , R. (2018). Role of Cultural Dimensions in Safety Performance of Global Oil and Gas Industry. Advance Petrochemical Science.</w:t>
      </w:r>
    </w:p>
    <w:p w14:paraId="5281131E"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Rajiv, k., Kumar, D., &amp; Pradeep, K. (2005). Systematic failure mode effect analysis (FMEA) using fuzzy linguistic modelling. International Journal of Quality and Reliability Management, v.</w:t>
      </w:r>
    </w:p>
    <w:p w14:paraId="3CC750A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Schulman, P. R. (2020). Organizational structure and safety culture: Conceptual and practical challenges. Safety Science.</w:t>
      </w:r>
    </w:p>
    <w:p w14:paraId="456EAA1B"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Sharma, M., Sudhanshu, J., Mukesh, P., Shalini, B. (2023). Overcoming barriers to circular economy implementation in the oil and gas industry: Environmental and social implications. Journal of Cleaner Production.</w:t>
      </w:r>
    </w:p>
    <w:p w14:paraId="41809C8F"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Testik, M. O. &amp; Unlu, T. E. (2023). Fuzzy FMEA in risk assessment for test and calibration laboratories. Quality and Reliability Engineering International, 575–589.</w:t>
      </w:r>
    </w:p>
    <w:p w14:paraId="7E02F01D"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Wang, Y., Hu, J., &amp; Zhao, Y. (2013). Progress in environmental risk management. International Conference on Energy and Environmental Protection, ICEEP 2013Advanced Materials Research, (pp. 726-731).</w:t>
      </w:r>
    </w:p>
    <w:p w14:paraId="51C28464"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waqar, A., Idrsis, O., Nasir, S., &amp; Muhammad, S. (2020). Evaluation of the critical safety factors causing accidents in downstream oil. Ain Shams Engineering Journal.</w:t>
      </w:r>
    </w:p>
    <w:p w14:paraId="2E5DD3E9"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Weick, K. &amp; Sctcliffe, K. M. (2015). Managing the Unexpected: Sustained Performance in a Complex World, Third Edition. Johns Hopkins University,</w:t>
      </w:r>
    </w:p>
    <w:p w14:paraId="6097547B"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rPr>
        <w:t>Wijethilake, C. &amp; Lama, T. (2019). Sustainability core values and sustainability risk management: Moderating effects of top management commitment and stakeholder pressure. Business Strategy and the Environment, 28(1), 143–154. Scopus. https://doi.org/10.1002/bse.2245</w:t>
      </w:r>
    </w:p>
    <w:p w14:paraId="2890CD6C" w14:textId="77777777" w:rsidR="00971EE0" w:rsidRPr="004F5836" w:rsidRDefault="00971EE0" w:rsidP="00551F39">
      <w:pPr>
        <w:ind w:left="426" w:hanging="426"/>
        <w:rPr>
          <w:rFonts w:ascii="Arial" w:hAnsi="Arial" w:cs="Arial"/>
          <w:sz w:val="20"/>
          <w:szCs w:val="20"/>
        </w:rPr>
      </w:pPr>
      <w:r w:rsidRPr="004F5836">
        <w:rPr>
          <w:rFonts w:ascii="Arial" w:hAnsi="Arial" w:cs="Arial"/>
          <w:sz w:val="20"/>
          <w:szCs w:val="20"/>
          <w:lang w:val="fi-FI"/>
        </w:rPr>
        <w:t xml:space="preserve">Zhu, Q., Golrizgashti, S., &amp; Sarkis, J. (2020). </w:t>
      </w:r>
      <w:r w:rsidRPr="004F5836">
        <w:rPr>
          <w:rFonts w:ascii="Arial" w:hAnsi="Arial" w:cs="Arial"/>
          <w:sz w:val="20"/>
          <w:szCs w:val="20"/>
        </w:rPr>
        <w:t>Product deletion and supply chain repercussions: Risk management using FMEA. Benchmarking: An International Journal, 28(2), 409–437. https://doi.org/10.1108/BIJ-01-2020-0007</w:t>
      </w:r>
    </w:p>
    <w:p w14:paraId="562580CC" w14:textId="77777777" w:rsidR="00971EE0" w:rsidRPr="004F5836" w:rsidRDefault="00971EE0" w:rsidP="00551F39">
      <w:pPr>
        <w:ind w:left="426" w:hanging="426"/>
        <w:rPr>
          <w:rFonts w:ascii="Arial" w:hAnsi="Arial" w:cs="Arial"/>
          <w:sz w:val="20"/>
          <w:szCs w:val="20"/>
        </w:rPr>
      </w:pPr>
    </w:p>
    <w:p w14:paraId="77CB06C5" w14:textId="77777777" w:rsidR="00971EE0" w:rsidRPr="004F5836" w:rsidRDefault="00971EE0" w:rsidP="00551F39">
      <w:pPr>
        <w:ind w:left="426" w:hanging="426"/>
        <w:rPr>
          <w:rFonts w:ascii="Arial" w:hAnsi="Arial" w:cs="Arial"/>
          <w:sz w:val="20"/>
          <w:szCs w:val="20"/>
        </w:rPr>
      </w:pPr>
    </w:p>
    <w:sectPr w:rsidR="00971EE0" w:rsidRPr="004F58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C4059"/>
    <w:multiLevelType w:val="multilevel"/>
    <w:tmpl w:val="ACA6FDC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E45"/>
    <w:rsid w:val="00000925"/>
    <w:rsid w:val="000022D4"/>
    <w:rsid w:val="00004A86"/>
    <w:rsid w:val="000050C9"/>
    <w:rsid w:val="000057A9"/>
    <w:rsid w:val="00005AE4"/>
    <w:rsid w:val="00005B9E"/>
    <w:rsid w:val="00006FEA"/>
    <w:rsid w:val="00007DD3"/>
    <w:rsid w:val="0001008A"/>
    <w:rsid w:val="00014DC2"/>
    <w:rsid w:val="0001634A"/>
    <w:rsid w:val="00020B0D"/>
    <w:rsid w:val="00025703"/>
    <w:rsid w:val="00027966"/>
    <w:rsid w:val="00030EC6"/>
    <w:rsid w:val="00030F5A"/>
    <w:rsid w:val="00031253"/>
    <w:rsid w:val="00032DB3"/>
    <w:rsid w:val="00033E51"/>
    <w:rsid w:val="00034897"/>
    <w:rsid w:val="00035355"/>
    <w:rsid w:val="00035617"/>
    <w:rsid w:val="00037838"/>
    <w:rsid w:val="00040800"/>
    <w:rsid w:val="00040F74"/>
    <w:rsid w:val="000410B2"/>
    <w:rsid w:val="00042BBE"/>
    <w:rsid w:val="00043908"/>
    <w:rsid w:val="00043911"/>
    <w:rsid w:val="00045D31"/>
    <w:rsid w:val="000470AB"/>
    <w:rsid w:val="000505D7"/>
    <w:rsid w:val="000518C1"/>
    <w:rsid w:val="0005290A"/>
    <w:rsid w:val="00053E5A"/>
    <w:rsid w:val="00056BB6"/>
    <w:rsid w:val="00061A02"/>
    <w:rsid w:val="000645B1"/>
    <w:rsid w:val="00064C64"/>
    <w:rsid w:val="00065ED6"/>
    <w:rsid w:val="000665FA"/>
    <w:rsid w:val="00067690"/>
    <w:rsid w:val="00070C10"/>
    <w:rsid w:val="00071A50"/>
    <w:rsid w:val="00072563"/>
    <w:rsid w:val="000759EA"/>
    <w:rsid w:val="00077C37"/>
    <w:rsid w:val="00080D66"/>
    <w:rsid w:val="00082B28"/>
    <w:rsid w:val="000850A4"/>
    <w:rsid w:val="00085C4C"/>
    <w:rsid w:val="00085C60"/>
    <w:rsid w:val="000A08AC"/>
    <w:rsid w:val="000A5D6C"/>
    <w:rsid w:val="000A6DBA"/>
    <w:rsid w:val="000B05E9"/>
    <w:rsid w:val="000B260F"/>
    <w:rsid w:val="000B2C92"/>
    <w:rsid w:val="000B50AD"/>
    <w:rsid w:val="000B5663"/>
    <w:rsid w:val="000B7F08"/>
    <w:rsid w:val="000C09EB"/>
    <w:rsid w:val="000C269D"/>
    <w:rsid w:val="000C2847"/>
    <w:rsid w:val="000C476D"/>
    <w:rsid w:val="000C58CA"/>
    <w:rsid w:val="000D2B62"/>
    <w:rsid w:val="000D5667"/>
    <w:rsid w:val="000D5C4F"/>
    <w:rsid w:val="000D5F1A"/>
    <w:rsid w:val="000E3643"/>
    <w:rsid w:val="000E5EC5"/>
    <w:rsid w:val="000F258A"/>
    <w:rsid w:val="000F36C5"/>
    <w:rsid w:val="000F4965"/>
    <w:rsid w:val="000F6592"/>
    <w:rsid w:val="000F74C0"/>
    <w:rsid w:val="000F7693"/>
    <w:rsid w:val="0010001B"/>
    <w:rsid w:val="00101A61"/>
    <w:rsid w:val="00104090"/>
    <w:rsid w:val="0010657B"/>
    <w:rsid w:val="001075EF"/>
    <w:rsid w:val="00110B12"/>
    <w:rsid w:val="001130E8"/>
    <w:rsid w:val="00113CD1"/>
    <w:rsid w:val="00113CEF"/>
    <w:rsid w:val="0011530B"/>
    <w:rsid w:val="0011576E"/>
    <w:rsid w:val="0011582E"/>
    <w:rsid w:val="0011687F"/>
    <w:rsid w:val="0011793D"/>
    <w:rsid w:val="00117ED2"/>
    <w:rsid w:val="00121DE2"/>
    <w:rsid w:val="00121E1B"/>
    <w:rsid w:val="00122DD7"/>
    <w:rsid w:val="00125177"/>
    <w:rsid w:val="00126C1E"/>
    <w:rsid w:val="00133A8F"/>
    <w:rsid w:val="00133E65"/>
    <w:rsid w:val="0013457C"/>
    <w:rsid w:val="00135DEA"/>
    <w:rsid w:val="00136A77"/>
    <w:rsid w:val="00141697"/>
    <w:rsid w:val="0014228F"/>
    <w:rsid w:val="0014263C"/>
    <w:rsid w:val="001444CC"/>
    <w:rsid w:val="001506AD"/>
    <w:rsid w:val="001525C3"/>
    <w:rsid w:val="00156293"/>
    <w:rsid w:val="001562B5"/>
    <w:rsid w:val="00160422"/>
    <w:rsid w:val="0016103A"/>
    <w:rsid w:val="00163655"/>
    <w:rsid w:val="00163F30"/>
    <w:rsid w:val="00165B76"/>
    <w:rsid w:val="00170E70"/>
    <w:rsid w:val="00174977"/>
    <w:rsid w:val="00176155"/>
    <w:rsid w:val="00177A9D"/>
    <w:rsid w:val="00185264"/>
    <w:rsid w:val="001869F1"/>
    <w:rsid w:val="00191846"/>
    <w:rsid w:val="00191C9E"/>
    <w:rsid w:val="00192A81"/>
    <w:rsid w:val="00192E98"/>
    <w:rsid w:val="0019766B"/>
    <w:rsid w:val="001A0CA4"/>
    <w:rsid w:val="001A156A"/>
    <w:rsid w:val="001A29FE"/>
    <w:rsid w:val="001A377A"/>
    <w:rsid w:val="001A396A"/>
    <w:rsid w:val="001B126E"/>
    <w:rsid w:val="001B32C5"/>
    <w:rsid w:val="001B345F"/>
    <w:rsid w:val="001B3FF6"/>
    <w:rsid w:val="001C28A4"/>
    <w:rsid w:val="001C2B87"/>
    <w:rsid w:val="001C54F1"/>
    <w:rsid w:val="001C5A56"/>
    <w:rsid w:val="001C5FC4"/>
    <w:rsid w:val="001C63A5"/>
    <w:rsid w:val="001D0CF0"/>
    <w:rsid w:val="001D22F1"/>
    <w:rsid w:val="001D37CB"/>
    <w:rsid w:val="001E2AEC"/>
    <w:rsid w:val="001E4F98"/>
    <w:rsid w:val="001E5671"/>
    <w:rsid w:val="001E57A6"/>
    <w:rsid w:val="001E6746"/>
    <w:rsid w:val="001E6BD1"/>
    <w:rsid w:val="001E70DF"/>
    <w:rsid w:val="001F0AF1"/>
    <w:rsid w:val="001F1B2D"/>
    <w:rsid w:val="001F4BFB"/>
    <w:rsid w:val="001F51CC"/>
    <w:rsid w:val="001F5569"/>
    <w:rsid w:val="001F66DD"/>
    <w:rsid w:val="001F781B"/>
    <w:rsid w:val="002023D9"/>
    <w:rsid w:val="002025F7"/>
    <w:rsid w:val="00204228"/>
    <w:rsid w:val="00204251"/>
    <w:rsid w:val="002058AE"/>
    <w:rsid w:val="00206244"/>
    <w:rsid w:val="00207164"/>
    <w:rsid w:val="00211575"/>
    <w:rsid w:val="0021221A"/>
    <w:rsid w:val="00212948"/>
    <w:rsid w:val="00215FD2"/>
    <w:rsid w:val="00216D05"/>
    <w:rsid w:val="002177BD"/>
    <w:rsid w:val="00221FD4"/>
    <w:rsid w:val="002240F1"/>
    <w:rsid w:val="00226B2F"/>
    <w:rsid w:val="00226C8C"/>
    <w:rsid w:val="00227A22"/>
    <w:rsid w:val="00227B1A"/>
    <w:rsid w:val="00231FAD"/>
    <w:rsid w:val="00232F72"/>
    <w:rsid w:val="00234B84"/>
    <w:rsid w:val="00235F7F"/>
    <w:rsid w:val="00242418"/>
    <w:rsid w:val="00243691"/>
    <w:rsid w:val="00245BDC"/>
    <w:rsid w:val="002531C7"/>
    <w:rsid w:val="002564A2"/>
    <w:rsid w:val="00256AAA"/>
    <w:rsid w:val="00262682"/>
    <w:rsid w:val="00265110"/>
    <w:rsid w:val="00265E46"/>
    <w:rsid w:val="002667C9"/>
    <w:rsid w:val="002701F3"/>
    <w:rsid w:val="0027079C"/>
    <w:rsid w:val="002722A0"/>
    <w:rsid w:val="00272AFC"/>
    <w:rsid w:val="002731D3"/>
    <w:rsid w:val="00274C76"/>
    <w:rsid w:val="00275B74"/>
    <w:rsid w:val="002762F4"/>
    <w:rsid w:val="0027650D"/>
    <w:rsid w:val="00280870"/>
    <w:rsid w:val="00283DB3"/>
    <w:rsid w:val="00287842"/>
    <w:rsid w:val="00291EA6"/>
    <w:rsid w:val="002938C6"/>
    <w:rsid w:val="00293F2B"/>
    <w:rsid w:val="00297B4C"/>
    <w:rsid w:val="002A0C2C"/>
    <w:rsid w:val="002A2535"/>
    <w:rsid w:val="002A6E99"/>
    <w:rsid w:val="002A7BF9"/>
    <w:rsid w:val="002B0918"/>
    <w:rsid w:val="002B0C47"/>
    <w:rsid w:val="002B1B75"/>
    <w:rsid w:val="002B3D28"/>
    <w:rsid w:val="002B5B9A"/>
    <w:rsid w:val="002B6E94"/>
    <w:rsid w:val="002B7B52"/>
    <w:rsid w:val="002C01DA"/>
    <w:rsid w:val="002C11EF"/>
    <w:rsid w:val="002D1B29"/>
    <w:rsid w:val="002D2926"/>
    <w:rsid w:val="002D2E15"/>
    <w:rsid w:val="002D38ED"/>
    <w:rsid w:val="002D3C46"/>
    <w:rsid w:val="002D5249"/>
    <w:rsid w:val="002D60B3"/>
    <w:rsid w:val="002E3E67"/>
    <w:rsid w:val="002E589E"/>
    <w:rsid w:val="002E6ECF"/>
    <w:rsid w:val="002E7427"/>
    <w:rsid w:val="002F10AC"/>
    <w:rsid w:val="002F1EBF"/>
    <w:rsid w:val="002F2B31"/>
    <w:rsid w:val="002F6F0E"/>
    <w:rsid w:val="002F7574"/>
    <w:rsid w:val="00301518"/>
    <w:rsid w:val="003016CF"/>
    <w:rsid w:val="0030187A"/>
    <w:rsid w:val="00302614"/>
    <w:rsid w:val="00302BFA"/>
    <w:rsid w:val="00305D56"/>
    <w:rsid w:val="003111FC"/>
    <w:rsid w:val="00311A85"/>
    <w:rsid w:val="00311C6D"/>
    <w:rsid w:val="00312D52"/>
    <w:rsid w:val="00315B3D"/>
    <w:rsid w:val="00324235"/>
    <w:rsid w:val="003273B6"/>
    <w:rsid w:val="00331EBE"/>
    <w:rsid w:val="0033274B"/>
    <w:rsid w:val="00332DE4"/>
    <w:rsid w:val="00334E6D"/>
    <w:rsid w:val="00336345"/>
    <w:rsid w:val="003406FB"/>
    <w:rsid w:val="00342222"/>
    <w:rsid w:val="00343D6F"/>
    <w:rsid w:val="003479F8"/>
    <w:rsid w:val="0035142B"/>
    <w:rsid w:val="00353339"/>
    <w:rsid w:val="00353C1A"/>
    <w:rsid w:val="00354455"/>
    <w:rsid w:val="00355F5D"/>
    <w:rsid w:val="003566AF"/>
    <w:rsid w:val="003652A7"/>
    <w:rsid w:val="003667B5"/>
    <w:rsid w:val="00366EAC"/>
    <w:rsid w:val="0037058E"/>
    <w:rsid w:val="0037163A"/>
    <w:rsid w:val="0037465C"/>
    <w:rsid w:val="003810E7"/>
    <w:rsid w:val="00387BDD"/>
    <w:rsid w:val="00393189"/>
    <w:rsid w:val="00393DC2"/>
    <w:rsid w:val="00395A50"/>
    <w:rsid w:val="00395D29"/>
    <w:rsid w:val="003A221E"/>
    <w:rsid w:val="003A4FFB"/>
    <w:rsid w:val="003A58B7"/>
    <w:rsid w:val="003B27CE"/>
    <w:rsid w:val="003C30B7"/>
    <w:rsid w:val="003C790A"/>
    <w:rsid w:val="003D1BC5"/>
    <w:rsid w:val="003D39B3"/>
    <w:rsid w:val="003D6E30"/>
    <w:rsid w:val="003D712C"/>
    <w:rsid w:val="003D7A09"/>
    <w:rsid w:val="003E1970"/>
    <w:rsid w:val="003E402E"/>
    <w:rsid w:val="003E5606"/>
    <w:rsid w:val="003F1759"/>
    <w:rsid w:val="003F2711"/>
    <w:rsid w:val="003F4295"/>
    <w:rsid w:val="003F4882"/>
    <w:rsid w:val="003F6DBE"/>
    <w:rsid w:val="003F71D5"/>
    <w:rsid w:val="003F7521"/>
    <w:rsid w:val="00401FB8"/>
    <w:rsid w:val="00401FBE"/>
    <w:rsid w:val="004045E2"/>
    <w:rsid w:val="00410FCC"/>
    <w:rsid w:val="00412EB8"/>
    <w:rsid w:val="0041525C"/>
    <w:rsid w:val="00425E45"/>
    <w:rsid w:val="00426029"/>
    <w:rsid w:val="00427043"/>
    <w:rsid w:val="004338C6"/>
    <w:rsid w:val="004342DE"/>
    <w:rsid w:val="00435AC2"/>
    <w:rsid w:val="00435FD9"/>
    <w:rsid w:val="004377D6"/>
    <w:rsid w:val="00437BCF"/>
    <w:rsid w:val="00442FD1"/>
    <w:rsid w:val="00446A78"/>
    <w:rsid w:val="00452F82"/>
    <w:rsid w:val="0045329A"/>
    <w:rsid w:val="00454D4A"/>
    <w:rsid w:val="0045784C"/>
    <w:rsid w:val="00461817"/>
    <w:rsid w:val="00461FD5"/>
    <w:rsid w:val="00462303"/>
    <w:rsid w:val="004649FC"/>
    <w:rsid w:val="00464B59"/>
    <w:rsid w:val="00466387"/>
    <w:rsid w:val="00470773"/>
    <w:rsid w:val="00473E58"/>
    <w:rsid w:val="00483628"/>
    <w:rsid w:val="0048442E"/>
    <w:rsid w:val="00484ED1"/>
    <w:rsid w:val="00486951"/>
    <w:rsid w:val="00486CDB"/>
    <w:rsid w:val="004879A3"/>
    <w:rsid w:val="00493247"/>
    <w:rsid w:val="00495EE9"/>
    <w:rsid w:val="00497314"/>
    <w:rsid w:val="004A084F"/>
    <w:rsid w:val="004A1359"/>
    <w:rsid w:val="004A3313"/>
    <w:rsid w:val="004A667E"/>
    <w:rsid w:val="004A7344"/>
    <w:rsid w:val="004B251D"/>
    <w:rsid w:val="004B3D4E"/>
    <w:rsid w:val="004B4600"/>
    <w:rsid w:val="004B66EC"/>
    <w:rsid w:val="004B6BDA"/>
    <w:rsid w:val="004B6EE4"/>
    <w:rsid w:val="004B7F90"/>
    <w:rsid w:val="004D0AE0"/>
    <w:rsid w:val="004D0D21"/>
    <w:rsid w:val="004D3167"/>
    <w:rsid w:val="004D34D0"/>
    <w:rsid w:val="004D41CB"/>
    <w:rsid w:val="004D5C50"/>
    <w:rsid w:val="004D79BB"/>
    <w:rsid w:val="004E1A5D"/>
    <w:rsid w:val="004E1E96"/>
    <w:rsid w:val="004E2261"/>
    <w:rsid w:val="004E2D81"/>
    <w:rsid w:val="004E32AC"/>
    <w:rsid w:val="004E72BB"/>
    <w:rsid w:val="004E781F"/>
    <w:rsid w:val="004F0DF3"/>
    <w:rsid w:val="004F2F94"/>
    <w:rsid w:val="004F42FC"/>
    <w:rsid w:val="004F4B2E"/>
    <w:rsid w:val="004F5836"/>
    <w:rsid w:val="004F60F0"/>
    <w:rsid w:val="004F647B"/>
    <w:rsid w:val="004F7D3A"/>
    <w:rsid w:val="00506F17"/>
    <w:rsid w:val="005108FC"/>
    <w:rsid w:val="00515EBA"/>
    <w:rsid w:val="00521360"/>
    <w:rsid w:val="0052194A"/>
    <w:rsid w:val="00524513"/>
    <w:rsid w:val="0052600C"/>
    <w:rsid w:val="00526D3D"/>
    <w:rsid w:val="005270EF"/>
    <w:rsid w:val="00527939"/>
    <w:rsid w:val="00530CCC"/>
    <w:rsid w:val="005317CD"/>
    <w:rsid w:val="00531C7C"/>
    <w:rsid w:val="00531D57"/>
    <w:rsid w:val="00532A21"/>
    <w:rsid w:val="00532A2C"/>
    <w:rsid w:val="0053442A"/>
    <w:rsid w:val="00534E60"/>
    <w:rsid w:val="00535E28"/>
    <w:rsid w:val="00542B1D"/>
    <w:rsid w:val="00544049"/>
    <w:rsid w:val="00544441"/>
    <w:rsid w:val="00544F3D"/>
    <w:rsid w:val="00551F39"/>
    <w:rsid w:val="005527C4"/>
    <w:rsid w:val="0055432B"/>
    <w:rsid w:val="00561799"/>
    <w:rsid w:val="00565090"/>
    <w:rsid w:val="00566DA4"/>
    <w:rsid w:val="005678D7"/>
    <w:rsid w:val="00570577"/>
    <w:rsid w:val="00570A37"/>
    <w:rsid w:val="00572B6A"/>
    <w:rsid w:val="00577AFA"/>
    <w:rsid w:val="00582B36"/>
    <w:rsid w:val="00583782"/>
    <w:rsid w:val="00583D0D"/>
    <w:rsid w:val="00583F2E"/>
    <w:rsid w:val="0058534F"/>
    <w:rsid w:val="00585394"/>
    <w:rsid w:val="00586076"/>
    <w:rsid w:val="00590E0B"/>
    <w:rsid w:val="00591399"/>
    <w:rsid w:val="00595C59"/>
    <w:rsid w:val="00596A0D"/>
    <w:rsid w:val="005A309F"/>
    <w:rsid w:val="005A4AFC"/>
    <w:rsid w:val="005A6E38"/>
    <w:rsid w:val="005B0C9B"/>
    <w:rsid w:val="005B136B"/>
    <w:rsid w:val="005B5AE6"/>
    <w:rsid w:val="005B6ABC"/>
    <w:rsid w:val="005C03E5"/>
    <w:rsid w:val="005C2050"/>
    <w:rsid w:val="005C2F87"/>
    <w:rsid w:val="005C68CA"/>
    <w:rsid w:val="005D3707"/>
    <w:rsid w:val="005D3943"/>
    <w:rsid w:val="005D4FCA"/>
    <w:rsid w:val="005D5D17"/>
    <w:rsid w:val="005D71C0"/>
    <w:rsid w:val="005E0360"/>
    <w:rsid w:val="005E13F1"/>
    <w:rsid w:val="005E558C"/>
    <w:rsid w:val="005E6417"/>
    <w:rsid w:val="005E6676"/>
    <w:rsid w:val="005E7612"/>
    <w:rsid w:val="005E7E0F"/>
    <w:rsid w:val="005E7EF5"/>
    <w:rsid w:val="005F1D8C"/>
    <w:rsid w:val="005F574D"/>
    <w:rsid w:val="005F6753"/>
    <w:rsid w:val="006007DE"/>
    <w:rsid w:val="00602A54"/>
    <w:rsid w:val="00602B37"/>
    <w:rsid w:val="00607252"/>
    <w:rsid w:val="006137C2"/>
    <w:rsid w:val="00615F66"/>
    <w:rsid w:val="006175DB"/>
    <w:rsid w:val="006200EB"/>
    <w:rsid w:val="0062299F"/>
    <w:rsid w:val="00622DE2"/>
    <w:rsid w:val="0062320B"/>
    <w:rsid w:val="00624119"/>
    <w:rsid w:val="00626768"/>
    <w:rsid w:val="006314A5"/>
    <w:rsid w:val="00634591"/>
    <w:rsid w:val="00636EA2"/>
    <w:rsid w:val="00641AF3"/>
    <w:rsid w:val="006421CA"/>
    <w:rsid w:val="00643820"/>
    <w:rsid w:val="0064654E"/>
    <w:rsid w:val="00646825"/>
    <w:rsid w:val="00647599"/>
    <w:rsid w:val="0065032B"/>
    <w:rsid w:val="00650B9B"/>
    <w:rsid w:val="00651249"/>
    <w:rsid w:val="00652E47"/>
    <w:rsid w:val="006539DF"/>
    <w:rsid w:val="00654995"/>
    <w:rsid w:val="00654F2F"/>
    <w:rsid w:val="00655FA0"/>
    <w:rsid w:val="00656460"/>
    <w:rsid w:val="00656755"/>
    <w:rsid w:val="0066059F"/>
    <w:rsid w:val="00663746"/>
    <w:rsid w:val="00664A3F"/>
    <w:rsid w:val="0066552C"/>
    <w:rsid w:val="00671E43"/>
    <w:rsid w:val="0067354C"/>
    <w:rsid w:val="00673B88"/>
    <w:rsid w:val="00674AA3"/>
    <w:rsid w:val="0067598D"/>
    <w:rsid w:val="00677A73"/>
    <w:rsid w:val="00681863"/>
    <w:rsid w:val="00681DA3"/>
    <w:rsid w:val="00683ADD"/>
    <w:rsid w:val="00686CC7"/>
    <w:rsid w:val="00687757"/>
    <w:rsid w:val="00687845"/>
    <w:rsid w:val="0069018B"/>
    <w:rsid w:val="00692305"/>
    <w:rsid w:val="006932C5"/>
    <w:rsid w:val="006943B1"/>
    <w:rsid w:val="00694826"/>
    <w:rsid w:val="0069725E"/>
    <w:rsid w:val="006A2AEC"/>
    <w:rsid w:val="006A3B22"/>
    <w:rsid w:val="006A4970"/>
    <w:rsid w:val="006A4DA5"/>
    <w:rsid w:val="006A53D1"/>
    <w:rsid w:val="006B23B4"/>
    <w:rsid w:val="006B4392"/>
    <w:rsid w:val="006B4E76"/>
    <w:rsid w:val="006B757E"/>
    <w:rsid w:val="006C272F"/>
    <w:rsid w:val="006C74F3"/>
    <w:rsid w:val="006D026B"/>
    <w:rsid w:val="006D1A82"/>
    <w:rsid w:val="006D2F95"/>
    <w:rsid w:val="006D3164"/>
    <w:rsid w:val="006D7569"/>
    <w:rsid w:val="006E7112"/>
    <w:rsid w:val="006E731C"/>
    <w:rsid w:val="006F010C"/>
    <w:rsid w:val="006F54AB"/>
    <w:rsid w:val="006F606C"/>
    <w:rsid w:val="006F63A2"/>
    <w:rsid w:val="006F6785"/>
    <w:rsid w:val="00701960"/>
    <w:rsid w:val="007028B8"/>
    <w:rsid w:val="007042F0"/>
    <w:rsid w:val="0070559A"/>
    <w:rsid w:val="007065BB"/>
    <w:rsid w:val="00706F46"/>
    <w:rsid w:val="00707F72"/>
    <w:rsid w:val="00714D83"/>
    <w:rsid w:val="00716F79"/>
    <w:rsid w:val="0072044A"/>
    <w:rsid w:val="00720619"/>
    <w:rsid w:val="00720897"/>
    <w:rsid w:val="00721CC8"/>
    <w:rsid w:val="0072226A"/>
    <w:rsid w:val="00722C32"/>
    <w:rsid w:val="007244C3"/>
    <w:rsid w:val="007264C5"/>
    <w:rsid w:val="00733FF5"/>
    <w:rsid w:val="00735873"/>
    <w:rsid w:val="0073747C"/>
    <w:rsid w:val="00741CED"/>
    <w:rsid w:val="00743610"/>
    <w:rsid w:val="00747297"/>
    <w:rsid w:val="00747A78"/>
    <w:rsid w:val="007516AC"/>
    <w:rsid w:val="00752C68"/>
    <w:rsid w:val="00754250"/>
    <w:rsid w:val="0075430B"/>
    <w:rsid w:val="00756781"/>
    <w:rsid w:val="0076004C"/>
    <w:rsid w:val="00760738"/>
    <w:rsid w:val="0076176C"/>
    <w:rsid w:val="0076301F"/>
    <w:rsid w:val="0076313E"/>
    <w:rsid w:val="007639C3"/>
    <w:rsid w:val="00766B1B"/>
    <w:rsid w:val="00766FFD"/>
    <w:rsid w:val="00770854"/>
    <w:rsid w:val="0077273D"/>
    <w:rsid w:val="00772CE9"/>
    <w:rsid w:val="00780EA1"/>
    <w:rsid w:val="00783DB2"/>
    <w:rsid w:val="007911BB"/>
    <w:rsid w:val="0079401D"/>
    <w:rsid w:val="007944C4"/>
    <w:rsid w:val="007A5A68"/>
    <w:rsid w:val="007A7218"/>
    <w:rsid w:val="007A7278"/>
    <w:rsid w:val="007B6834"/>
    <w:rsid w:val="007B7828"/>
    <w:rsid w:val="007C2262"/>
    <w:rsid w:val="007C4800"/>
    <w:rsid w:val="007C4822"/>
    <w:rsid w:val="007C589F"/>
    <w:rsid w:val="007C7B0E"/>
    <w:rsid w:val="007C7DEA"/>
    <w:rsid w:val="007D0A43"/>
    <w:rsid w:val="007D2629"/>
    <w:rsid w:val="007D3BA2"/>
    <w:rsid w:val="007D456C"/>
    <w:rsid w:val="007D6C95"/>
    <w:rsid w:val="007E489B"/>
    <w:rsid w:val="007E4B1D"/>
    <w:rsid w:val="007F0D97"/>
    <w:rsid w:val="007F23CE"/>
    <w:rsid w:val="007F2AB2"/>
    <w:rsid w:val="007F309C"/>
    <w:rsid w:val="007F3C17"/>
    <w:rsid w:val="007F4EBC"/>
    <w:rsid w:val="007F5C1E"/>
    <w:rsid w:val="007F63B1"/>
    <w:rsid w:val="008003CD"/>
    <w:rsid w:val="008028E3"/>
    <w:rsid w:val="00802B95"/>
    <w:rsid w:val="00802C7D"/>
    <w:rsid w:val="00802F94"/>
    <w:rsid w:val="00805952"/>
    <w:rsid w:val="00811840"/>
    <w:rsid w:val="00814098"/>
    <w:rsid w:val="0081462B"/>
    <w:rsid w:val="00814CA3"/>
    <w:rsid w:val="00817047"/>
    <w:rsid w:val="008176DD"/>
    <w:rsid w:val="0082015C"/>
    <w:rsid w:val="00820CC9"/>
    <w:rsid w:val="00821BDE"/>
    <w:rsid w:val="00822C72"/>
    <w:rsid w:val="0082405F"/>
    <w:rsid w:val="00824472"/>
    <w:rsid w:val="00830B52"/>
    <w:rsid w:val="00837ADF"/>
    <w:rsid w:val="00837BAF"/>
    <w:rsid w:val="008406D3"/>
    <w:rsid w:val="00844DB7"/>
    <w:rsid w:val="00846124"/>
    <w:rsid w:val="00850B2D"/>
    <w:rsid w:val="008529C9"/>
    <w:rsid w:val="00853BAD"/>
    <w:rsid w:val="00855562"/>
    <w:rsid w:val="0085711C"/>
    <w:rsid w:val="00857549"/>
    <w:rsid w:val="00864F93"/>
    <w:rsid w:val="008650BF"/>
    <w:rsid w:val="0086530B"/>
    <w:rsid w:val="0086654A"/>
    <w:rsid w:val="00871294"/>
    <w:rsid w:val="00871807"/>
    <w:rsid w:val="008736DD"/>
    <w:rsid w:val="008750AB"/>
    <w:rsid w:val="00875E0A"/>
    <w:rsid w:val="0088256E"/>
    <w:rsid w:val="008862CD"/>
    <w:rsid w:val="00886492"/>
    <w:rsid w:val="008875C7"/>
    <w:rsid w:val="00890503"/>
    <w:rsid w:val="00891644"/>
    <w:rsid w:val="008927CC"/>
    <w:rsid w:val="00893A22"/>
    <w:rsid w:val="00893A7A"/>
    <w:rsid w:val="00895178"/>
    <w:rsid w:val="00896F69"/>
    <w:rsid w:val="008A0155"/>
    <w:rsid w:val="008A13AC"/>
    <w:rsid w:val="008A64B7"/>
    <w:rsid w:val="008A76CE"/>
    <w:rsid w:val="008A78D4"/>
    <w:rsid w:val="008B2A5C"/>
    <w:rsid w:val="008B314A"/>
    <w:rsid w:val="008C1E07"/>
    <w:rsid w:val="008C3B55"/>
    <w:rsid w:val="008C57D5"/>
    <w:rsid w:val="008C6ECB"/>
    <w:rsid w:val="008C7BE7"/>
    <w:rsid w:val="008D7016"/>
    <w:rsid w:val="008E1D70"/>
    <w:rsid w:val="008E2FFA"/>
    <w:rsid w:val="008E43CB"/>
    <w:rsid w:val="008E4F8A"/>
    <w:rsid w:val="008E6A92"/>
    <w:rsid w:val="008F300D"/>
    <w:rsid w:val="008F73A3"/>
    <w:rsid w:val="008F7B4D"/>
    <w:rsid w:val="008F7D1D"/>
    <w:rsid w:val="0090054B"/>
    <w:rsid w:val="00900B76"/>
    <w:rsid w:val="00907200"/>
    <w:rsid w:val="00911F46"/>
    <w:rsid w:val="00913483"/>
    <w:rsid w:val="00913819"/>
    <w:rsid w:val="00915319"/>
    <w:rsid w:val="009153DE"/>
    <w:rsid w:val="0091641C"/>
    <w:rsid w:val="00922B94"/>
    <w:rsid w:val="00922BC7"/>
    <w:rsid w:val="0092363B"/>
    <w:rsid w:val="00923C49"/>
    <w:rsid w:val="0092593D"/>
    <w:rsid w:val="00927BDF"/>
    <w:rsid w:val="00930055"/>
    <w:rsid w:val="00930A92"/>
    <w:rsid w:val="00930E28"/>
    <w:rsid w:val="00931B4F"/>
    <w:rsid w:val="009332E7"/>
    <w:rsid w:val="00935694"/>
    <w:rsid w:val="00935BE8"/>
    <w:rsid w:val="00940E66"/>
    <w:rsid w:val="00942ABA"/>
    <w:rsid w:val="00944967"/>
    <w:rsid w:val="00946576"/>
    <w:rsid w:val="0095021B"/>
    <w:rsid w:val="0095033F"/>
    <w:rsid w:val="00950970"/>
    <w:rsid w:val="00954843"/>
    <w:rsid w:val="009570DF"/>
    <w:rsid w:val="00957EC2"/>
    <w:rsid w:val="009615EC"/>
    <w:rsid w:val="00962438"/>
    <w:rsid w:val="00964462"/>
    <w:rsid w:val="00966335"/>
    <w:rsid w:val="00970C44"/>
    <w:rsid w:val="00971EE0"/>
    <w:rsid w:val="00974899"/>
    <w:rsid w:val="0097687F"/>
    <w:rsid w:val="00982B6B"/>
    <w:rsid w:val="009848E0"/>
    <w:rsid w:val="009870D2"/>
    <w:rsid w:val="00987203"/>
    <w:rsid w:val="009877ED"/>
    <w:rsid w:val="0099191A"/>
    <w:rsid w:val="00992F79"/>
    <w:rsid w:val="00993E70"/>
    <w:rsid w:val="00995DCF"/>
    <w:rsid w:val="009967F6"/>
    <w:rsid w:val="00996C28"/>
    <w:rsid w:val="009A0B37"/>
    <w:rsid w:val="009A1F71"/>
    <w:rsid w:val="009A4C0E"/>
    <w:rsid w:val="009A6373"/>
    <w:rsid w:val="009A6605"/>
    <w:rsid w:val="009A6F6E"/>
    <w:rsid w:val="009A70C2"/>
    <w:rsid w:val="009B0CB7"/>
    <w:rsid w:val="009B0F0F"/>
    <w:rsid w:val="009B2B63"/>
    <w:rsid w:val="009B5C83"/>
    <w:rsid w:val="009B5FB2"/>
    <w:rsid w:val="009B646E"/>
    <w:rsid w:val="009B7978"/>
    <w:rsid w:val="009C0EC3"/>
    <w:rsid w:val="009C125E"/>
    <w:rsid w:val="009C39C3"/>
    <w:rsid w:val="009C7E32"/>
    <w:rsid w:val="009D448E"/>
    <w:rsid w:val="009D70DA"/>
    <w:rsid w:val="009E1213"/>
    <w:rsid w:val="009E131D"/>
    <w:rsid w:val="009E510B"/>
    <w:rsid w:val="009E6A8C"/>
    <w:rsid w:val="009E6E44"/>
    <w:rsid w:val="009E7963"/>
    <w:rsid w:val="009F201B"/>
    <w:rsid w:val="009F5FEC"/>
    <w:rsid w:val="00A00177"/>
    <w:rsid w:val="00A008BF"/>
    <w:rsid w:val="00A00DD1"/>
    <w:rsid w:val="00A025EF"/>
    <w:rsid w:val="00A05050"/>
    <w:rsid w:val="00A05558"/>
    <w:rsid w:val="00A05679"/>
    <w:rsid w:val="00A05E1E"/>
    <w:rsid w:val="00A0633B"/>
    <w:rsid w:val="00A06AB3"/>
    <w:rsid w:val="00A11D9D"/>
    <w:rsid w:val="00A14B21"/>
    <w:rsid w:val="00A14FBD"/>
    <w:rsid w:val="00A16E15"/>
    <w:rsid w:val="00A21195"/>
    <w:rsid w:val="00A2297C"/>
    <w:rsid w:val="00A24C4A"/>
    <w:rsid w:val="00A27799"/>
    <w:rsid w:val="00A309E8"/>
    <w:rsid w:val="00A336AF"/>
    <w:rsid w:val="00A3488B"/>
    <w:rsid w:val="00A348A5"/>
    <w:rsid w:val="00A34925"/>
    <w:rsid w:val="00A34F0A"/>
    <w:rsid w:val="00A35A2D"/>
    <w:rsid w:val="00A41D23"/>
    <w:rsid w:val="00A436F6"/>
    <w:rsid w:val="00A43EE3"/>
    <w:rsid w:val="00A44D27"/>
    <w:rsid w:val="00A45357"/>
    <w:rsid w:val="00A463CD"/>
    <w:rsid w:val="00A508CE"/>
    <w:rsid w:val="00A52BB6"/>
    <w:rsid w:val="00A70F20"/>
    <w:rsid w:val="00A721CC"/>
    <w:rsid w:val="00A77E8C"/>
    <w:rsid w:val="00A82CDF"/>
    <w:rsid w:val="00A8326C"/>
    <w:rsid w:val="00A926A9"/>
    <w:rsid w:val="00A93595"/>
    <w:rsid w:val="00A93E7F"/>
    <w:rsid w:val="00A94DEE"/>
    <w:rsid w:val="00AA1240"/>
    <w:rsid w:val="00AA1964"/>
    <w:rsid w:val="00AA343E"/>
    <w:rsid w:val="00AB0805"/>
    <w:rsid w:val="00AB5739"/>
    <w:rsid w:val="00AC265C"/>
    <w:rsid w:val="00AD025B"/>
    <w:rsid w:val="00AD43DE"/>
    <w:rsid w:val="00AD4550"/>
    <w:rsid w:val="00AD557F"/>
    <w:rsid w:val="00AD626E"/>
    <w:rsid w:val="00AD76F1"/>
    <w:rsid w:val="00AE004F"/>
    <w:rsid w:val="00AE197F"/>
    <w:rsid w:val="00AE2302"/>
    <w:rsid w:val="00AE2611"/>
    <w:rsid w:val="00AE275A"/>
    <w:rsid w:val="00AE7BA7"/>
    <w:rsid w:val="00AF1918"/>
    <w:rsid w:val="00AF1E44"/>
    <w:rsid w:val="00AF38F3"/>
    <w:rsid w:val="00AF3FFA"/>
    <w:rsid w:val="00AF5B92"/>
    <w:rsid w:val="00AF5EC6"/>
    <w:rsid w:val="00AF6E8B"/>
    <w:rsid w:val="00AF7B91"/>
    <w:rsid w:val="00B01B17"/>
    <w:rsid w:val="00B10998"/>
    <w:rsid w:val="00B113BC"/>
    <w:rsid w:val="00B114B6"/>
    <w:rsid w:val="00B144F7"/>
    <w:rsid w:val="00B14A3A"/>
    <w:rsid w:val="00B157E0"/>
    <w:rsid w:val="00B163B8"/>
    <w:rsid w:val="00B175ED"/>
    <w:rsid w:val="00B206C5"/>
    <w:rsid w:val="00B20A51"/>
    <w:rsid w:val="00B2135C"/>
    <w:rsid w:val="00B27250"/>
    <w:rsid w:val="00B2738C"/>
    <w:rsid w:val="00B279ED"/>
    <w:rsid w:val="00B27AC5"/>
    <w:rsid w:val="00B27DA7"/>
    <w:rsid w:val="00B34D86"/>
    <w:rsid w:val="00B360A9"/>
    <w:rsid w:val="00B3661A"/>
    <w:rsid w:val="00B406F8"/>
    <w:rsid w:val="00B43139"/>
    <w:rsid w:val="00B4524C"/>
    <w:rsid w:val="00B45F39"/>
    <w:rsid w:val="00B51376"/>
    <w:rsid w:val="00B52640"/>
    <w:rsid w:val="00B53DE5"/>
    <w:rsid w:val="00B54207"/>
    <w:rsid w:val="00B56C91"/>
    <w:rsid w:val="00B5741F"/>
    <w:rsid w:val="00B57726"/>
    <w:rsid w:val="00B61799"/>
    <w:rsid w:val="00B653D5"/>
    <w:rsid w:val="00B665F5"/>
    <w:rsid w:val="00B66C2B"/>
    <w:rsid w:val="00B7328B"/>
    <w:rsid w:val="00B81A64"/>
    <w:rsid w:val="00B81BA1"/>
    <w:rsid w:val="00B82FA6"/>
    <w:rsid w:val="00B858A9"/>
    <w:rsid w:val="00B86080"/>
    <w:rsid w:val="00B866BE"/>
    <w:rsid w:val="00B92C50"/>
    <w:rsid w:val="00BA0CE2"/>
    <w:rsid w:val="00BA3212"/>
    <w:rsid w:val="00BA515F"/>
    <w:rsid w:val="00BB02B9"/>
    <w:rsid w:val="00BC50B6"/>
    <w:rsid w:val="00BC61EC"/>
    <w:rsid w:val="00BC6599"/>
    <w:rsid w:val="00BD1251"/>
    <w:rsid w:val="00BD285F"/>
    <w:rsid w:val="00BD28C6"/>
    <w:rsid w:val="00BD307E"/>
    <w:rsid w:val="00BE083A"/>
    <w:rsid w:val="00BE58CB"/>
    <w:rsid w:val="00BF0B31"/>
    <w:rsid w:val="00BF1506"/>
    <w:rsid w:val="00BF1787"/>
    <w:rsid w:val="00BF2F56"/>
    <w:rsid w:val="00BF3FC0"/>
    <w:rsid w:val="00BF7E31"/>
    <w:rsid w:val="00C00B2A"/>
    <w:rsid w:val="00C01460"/>
    <w:rsid w:val="00C01E9F"/>
    <w:rsid w:val="00C04ABF"/>
    <w:rsid w:val="00C139E4"/>
    <w:rsid w:val="00C13A36"/>
    <w:rsid w:val="00C14663"/>
    <w:rsid w:val="00C170AD"/>
    <w:rsid w:val="00C25224"/>
    <w:rsid w:val="00C25A57"/>
    <w:rsid w:val="00C30490"/>
    <w:rsid w:val="00C34C81"/>
    <w:rsid w:val="00C379BD"/>
    <w:rsid w:val="00C45AF4"/>
    <w:rsid w:val="00C47A74"/>
    <w:rsid w:val="00C51412"/>
    <w:rsid w:val="00C526E9"/>
    <w:rsid w:val="00C530AA"/>
    <w:rsid w:val="00C55FED"/>
    <w:rsid w:val="00C5725B"/>
    <w:rsid w:val="00C6059F"/>
    <w:rsid w:val="00C61D8D"/>
    <w:rsid w:val="00C62793"/>
    <w:rsid w:val="00C63A1F"/>
    <w:rsid w:val="00C652B2"/>
    <w:rsid w:val="00C66044"/>
    <w:rsid w:val="00C71F87"/>
    <w:rsid w:val="00C73259"/>
    <w:rsid w:val="00C775A9"/>
    <w:rsid w:val="00C8029E"/>
    <w:rsid w:val="00C84514"/>
    <w:rsid w:val="00C85DC0"/>
    <w:rsid w:val="00C8649D"/>
    <w:rsid w:val="00C86EC8"/>
    <w:rsid w:val="00C86EE1"/>
    <w:rsid w:val="00C87B0F"/>
    <w:rsid w:val="00C9174E"/>
    <w:rsid w:val="00C93474"/>
    <w:rsid w:val="00C93A95"/>
    <w:rsid w:val="00C94911"/>
    <w:rsid w:val="00C94A18"/>
    <w:rsid w:val="00C9589D"/>
    <w:rsid w:val="00CA0F20"/>
    <w:rsid w:val="00CA16DD"/>
    <w:rsid w:val="00CA22E8"/>
    <w:rsid w:val="00CA4F8C"/>
    <w:rsid w:val="00CA4F8D"/>
    <w:rsid w:val="00CA62AE"/>
    <w:rsid w:val="00CB08B2"/>
    <w:rsid w:val="00CB39D7"/>
    <w:rsid w:val="00CB4D9F"/>
    <w:rsid w:val="00CB52C4"/>
    <w:rsid w:val="00CB6088"/>
    <w:rsid w:val="00CB7383"/>
    <w:rsid w:val="00CB7C4F"/>
    <w:rsid w:val="00CC35F1"/>
    <w:rsid w:val="00CC5D2B"/>
    <w:rsid w:val="00CC7110"/>
    <w:rsid w:val="00CC7C19"/>
    <w:rsid w:val="00CD163D"/>
    <w:rsid w:val="00CD26DC"/>
    <w:rsid w:val="00CD327A"/>
    <w:rsid w:val="00CD3C24"/>
    <w:rsid w:val="00CD54A5"/>
    <w:rsid w:val="00CD629A"/>
    <w:rsid w:val="00CD7991"/>
    <w:rsid w:val="00CE0860"/>
    <w:rsid w:val="00CE2FED"/>
    <w:rsid w:val="00CE3838"/>
    <w:rsid w:val="00CE4D5C"/>
    <w:rsid w:val="00CE5512"/>
    <w:rsid w:val="00CF3051"/>
    <w:rsid w:val="00CF4896"/>
    <w:rsid w:val="00D01AE9"/>
    <w:rsid w:val="00D06E62"/>
    <w:rsid w:val="00D076B3"/>
    <w:rsid w:val="00D10C69"/>
    <w:rsid w:val="00D20022"/>
    <w:rsid w:val="00D2213E"/>
    <w:rsid w:val="00D248BE"/>
    <w:rsid w:val="00D25DFA"/>
    <w:rsid w:val="00D36717"/>
    <w:rsid w:val="00D37246"/>
    <w:rsid w:val="00D422F9"/>
    <w:rsid w:val="00D50DC8"/>
    <w:rsid w:val="00D512E0"/>
    <w:rsid w:val="00D572BA"/>
    <w:rsid w:val="00D60C3B"/>
    <w:rsid w:val="00D620BF"/>
    <w:rsid w:val="00D64473"/>
    <w:rsid w:val="00D6520D"/>
    <w:rsid w:val="00D65827"/>
    <w:rsid w:val="00D6655C"/>
    <w:rsid w:val="00D6759F"/>
    <w:rsid w:val="00D71CEE"/>
    <w:rsid w:val="00D72630"/>
    <w:rsid w:val="00D72DE4"/>
    <w:rsid w:val="00D74996"/>
    <w:rsid w:val="00D75EFC"/>
    <w:rsid w:val="00D7668F"/>
    <w:rsid w:val="00D773B8"/>
    <w:rsid w:val="00D80A38"/>
    <w:rsid w:val="00D80BAC"/>
    <w:rsid w:val="00D81F26"/>
    <w:rsid w:val="00D8222B"/>
    <w:rsid w:val="00D82B85"/>
    <w:rsid w:val="00D836E8"/>
    <w:rsid w:val="00D8527F"/>
    <w:rsid w:val="00D8744A"/>
    <w:rsid w:val="00D91D10"/>
    <w:rsid w:val="00D93A05"/>
    <w:rsid w:val="00D95368"/>
    <w:rsid w:val="00D95D3F"/>
    <w:rsid w:val="00D976D7"/>
    <w:rsid w:val="00DA0F25"/>
    <w:rsid w:val="00DA10F0"/>
    <w:rsid w:val="00DA2284"/>
    <w:rsid w:val="00DA3831"/>
    <w:rsid w:val="00DA6EB1"/>
    <w:rsid w:val="00DA796D"/>
    <w:rsid w:val="00DA7BFB"/>
    <w:rsid w:val="00DB15A0"/>
    <w:rsid w:val="00DB1A79"/>
    <w:rsid w:val="00DB40C8"/>
    <w:rsid w:val="00DB781E"/>
    <w:rsid w:val="00DC007C"/>
    <w:rsid w:val="00DC3292"/>
    <w:rsid w:val="00DC3700"/>
    <w:rsid w:val="00DC3C6E"/>
    <w:rsid w:val="00DC6531"/>
    <w:rsid w:val="00DC7108"/>
    <w:rsid w:val="00DD06A0"/>
    <w:rsid w:val="00DD362D"/>
    <w:rsid w:val="00DD3BD8"/>
    <w:rsid w:val="00DD556F"/>
    <w:rsid w:val="00DD5662"/>
    <w:rsid w:val="00DD71FB"/>
    <w:rsid w:val="00DE27F8"/>
    <w:rsid w:val="00DE2F56"/>
    <w:rsid w:val="00DE4957"/>
    <w:rsid w:val="00DE4992"/>
    <w:rsid w:val="00DE6D66"/>
    <w:rsid w:val="00DE7194"/>
    <w:rsid w:val="00DE77C3"/>
    <w:rsid w:val="00DE7F46"/>
    <w:rsid w:val="00DF1C43"/>
    <w:rsid w:val="00DF1D86"/>
    <w:rsid w:val="00DF2766"/>
    <w:rsid w:val="00DF4156"/>
    <w:rsid w:val="00DF4E4D"/>
    <w:rsid w:val="00DF726D"/>
    <w:rsid w:val="00E01189"/>
    <w:rsid w:val="00E012D4"/>
    <w:rsid w:val="00E01655"/>
    <w:rsid w:val="00E03A86"/>
    <w:rsid w:val="00E118B1"/>
    <w:rsid w:val="00E122E7"/>
    <w:rsid w:val="00E12BDE"/>
    <w:rsid w:val="00E2384D"/>
    <w:rsid w:val="00E23F47"/>
    <w:rsid w:val="00E26218"/>
    <w:rsid w:val="00E27831"/>
    <w:rsid w:val="00E30CB6"/>
    <w:rsid w:val="00E30FF4"/>
    <w:rsid w:val="00E341FD"/>
    <w:rsid w:val="00E35DC6"/>
    <w:rsid w:val="00E40E34"/>
    <w:rsid w:val="00E52FCE"/>
    <w:rsid w:val="00E536E8"/>
    <w:rsid w:val="00E53822"/>
    <w:rsid w:val="00E552EF"/>
    <w:rsid w:val="00E55545"/>
    <w:rsid w:val="00E62324"/>
    <w:rsid w:val="00E63173"/>
    <w:rsid w:val="00E72497"/>
    <w:rsid w:val="00E73A5C"/>
    <w:rsid w:val="00E74CB9"/>
    <w:rsid w:val="00E76184"/>
    <w:rsid w:val="00E804C8"/>
    <w:rsid w:val="00E8184C"/>
    <w:rsid w:val="00E84F71"/>
    <w:rsid w:val="00E85F20"/>
    <w:rsid w:val="00E913A0"/>
    <w:rsid w:val="00E919B5"/>
    <w:rsid w:val="00E91E6D"/>
    <w:rsid w:val="00E92A31"/>
    <w:rsid w:val="00E92F15"/>
    <w:rsid w:val="00E956B1"/>
    <w:rsid w:val="00E96695"/>
    <w:rsid w:val="00E973C8"/>
    <w:rsid w:val="00EA0340"/>
    <w:rsid w:val="00EA1CC9"/>
    <w:rsid w:val="00EA299C"/>
    <w:rsid w:val="00EA38E6"/>
    <w:rsid w:val="00EA77B8"/>
    <w:rsid w:val="00EA7A73"/>
    <w:rsid w:val="00EB2BF7"/>
    <w:rsid w:val="00EB6F5B"/>
    <w:rsid w:val="00EC0E24"/>
    <w:rsid w:val="00EC13E2"/>
    <w:rsid w:val="00EC5F59"/>
    <w:rsid w:val="00ED11A3"/>
    <w:rsid w:val="00ED1838"/>
    <w:rsid w:val="00ED3AFA"/>
    <w:rsid w:val="00ED5869"/>
    <w:rsid w:val="00ED5B86"/>
    <w:rsid w:val="00ED6B57"/>
    <w:rsid w:val="00ED7A4C"/>
    <w:rsid w:val="00EE60FC"/>
    <w:rsid w:val="00EE620B"/>
    <w:rsid w:val="00EE786B"/>
    <w:rsid w:val="00EF43F5"/>
    <w:rsid w:val="00F031D4"/>
    <w:rsid w:val="00F04B08"/>
    <w:rsid w:val="00F10DEF"/>
    <w:rsid w:val="00F12D18"/>
    <w:rsid w:val="00F1411A"/>
    <w:rsid w:val="00F14924"/>
    <w:rsid w:val="00F210C7"/>
    <w:rsid w:val="00F255FB"/>
    <w:rsid w:val="00F257EA"/>
    <w:rsid w:val="00F25CA7"/>
    <w:rsid w:val="00F309F4"/>
    <w:rsid w:val="00F3178B"/>
    <w:rsid w:val="00F33489"/>
    <w:rsid w:val="00F33A55"/>
    <w:rsid w:val="00F404BE"/>
    <w:rsid w:val="00F43075"/>
    <w:rsid w:val="00F44152"/>
    <w:rsid w:val="00F452AC"/>
    <w:rsid w:val="00F466DF"/>
    <w:rsid w:val="00F567BB"/>
    <w:rsid w:val="00F60AF1"/>
    <w:rsid w:val="00F611E8"/>
    <w:rsid w:val="00F644ED"/>
    <w:rsid w:val="00F64740"/>
    <w:rsid w:val="00F673F1"/>
    <w:rsid w:val="00F71070"/>
    <w:rsid w:val="00F74493"/>
    <w:rsid w:val="00F80AEE"/>
    <w:rsid w:val="00F847E7"/>
    <w:rsid w:val="00F854E8"/>
    <w:rsid w:val="00F86BE0"/>
    <w:rsid w:val="00F9114C"/>
    <w:rsid w:val="00F913AD"/>
    <w:rsid w:val="00F95AA6"/>
    <w:rsid w:val="00FA04B2"/>
    <w:rsid w:val="00FA1D0D"/>
    <w:rsid w:val="00FA1F5B"/>
    <w:rsid w:val="00FA2D46"/>
    <w:rsid w:val="00FB3770"/>
    <w:rsid w:val="00FB4100"/>
    <w:rsid w:val="00FB61E1"/>
    <w:rsid w:val="00FB6D63"/>
    <w:rsid w:val="00FC2307"/>
    <w:rsid w:val="00FC2365"/>
    <w:rsid w:val="00FC5D1A"/>
    <w:rsid w:val="00FC6673"/>
    <w:rsid w:val="00FD26D9"/>
    <w:rsid w:val="00FD2E97"/>
    <w:rsid w:val="00FD55B3"/>
    <w:rsid w:val="00FD59E8"/>
    <w:rsid w:val="00FE3C4E"/>
    <w:rsid w:val="00FE7302"/>
    <w:rsid w:val="00FE75C6"/>
    <w:rsid w:val="00FF4C6B"/>
    <w:rsid w:val="00FF55FB"/>
    <w:rsid w:val="00FF5FCB"/>
    <w:rsid w:val="00FF75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2F248"/>
  <w15:chartTrackingRefBased/>
  <w15:docId w15:val="{70096600-E5BC-49D1-9D20-9BC091F9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5E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25E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25E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E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E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E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25E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25E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E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E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E45"/>
    <w:rPr>
      <w:rFonts w:eastAsiaTheme="majorEastAsia" w:cstheme="majorBidi"/>
      <w:color w:val="272727" w:themeColor="text1" w:themeTint="D8"/>
    </w:rPr>
  </w:style>
  <w:style w:type="paragraph" w:styleId="Title">
    <w:name w:val="Title"/>
    <w:basedOn w:val="Normal"/>
    <w:next w:val="Normal"/>
    <w:link w:val="TitleChar"/>
    <w:uiPriority w:val="10"/>
    <w:qFormat/>
    <w:rsid w:val="00425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E45"/>
    <w:pPr>
      <w:spacing w:before="160"/>
      <w:jc w:val="center"/>
    </w:pPr>
    <w:rPr>
      <w:i/>
      <w:iCs/>
      <w:color w:val="404040" w:themeColor="text1" w:themeTint="BF"/>
    </w:rPr>
  </w:style>
  <w:style w:type="character" w:customStyle="1" w:styleId="QuoteChar">
    <w:name w:val="Quote Char"/>
    <w:basedOn w:val="DefaultParagraphFont"/>
    <w:link w:val="Quote"/>
    <w:uiPriority w:val="29"/>
    <w:rsid w:val="00425E45"/>
    <w:rPr>
      <w:i/>
      <w:iCs/>
      <w:color w:val="404040" w:themeColor="text1" w:themeTint="BF"/>
    </w:rPr>
  </w:style>
  <w:style w:type="paragraph" w:styleId="ListParagraph">
    <w:name w:val="List Paragraph"/>
    <w:basedOn w:val="Normal"/>
    <w:uiPriority w:val="34"/>
    <w:qFormat/>
    <w:rsid w:val="00425E45"/>
    <w:pPr>
      <w:ind w:left="720"/>
      <w:contextualSpacing/>
    </w:pPr>
  </w:style>
  <w:style w:type="character" w:styleId="IntenseEmphasis">
    <w:name w:val="Intense Emphasis"/>
    <w:basedOn w:val="DefaultParagraphFont"/>
    <w:uiPriority w:val="21"/>
    <w:qFormat/>
    <w:rsid w:val="00425E45"/>
    <w:rPr>
      <w:i/>
      <w:iCs/>
      <w:color w:val="0F4761" w:themeColor="accent1" w:themeShade="BF"/>
    </w:rPr>
  </w:style>
  <w:style w:type="paragraph" w:styleId="IntenseQuote">
    <w:name w:val="Intense Quote"/>
    <w:basedOn w:val="Normal"/>
    <w:next w:val="Normal"/>
    <w:link w:val="IntenseQuoteChar"/>
    <w:uiPriority w:val="30"/>
    <w:qFormat/>
    <w:rsid w:val="00425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E45"/>
    <w:rPr>
      <w:i/>
      <w:iCs/>
      <w:color w:val="0F4761" w:themeColor="accent1" w:themeShade="BF"/>
    </w:rPr>
  </w:style>
  <w:style w:type="character" w:styleId="IntenseReference">
    <w:name w:val="Intense Reference"/>
    <w:basedOn w:val="DefaultParagraphFont"/>
    <w:uiPriority w:val="32"/>
    <w:qFormat/>
    <w:rsid w:val="00425E45"/>
    <w:rPr>
      <w:b/>
      <w:bCs/>
      <w:smallCaps/>
      <w:color w:val="0F4761" w:themeColor="accent1" w:themeShade="BF"/>
      <w:spacing w:val="5"/>
    </w:rPr>
  </w:style>
  <w:style w:type="character" w:styleId="Strong">
    <w:name w:val="Strong"/>
    <w:basedOn w:val="DefaultParagraphFont"/>
    <w:uiPriority w:val="22"/>
    <w:qFormat/>
    <w:rsid w:val="00425E45"/>
    <w:rPr>
      <w:b/>
      <w:bCs/>
    </w:rPr>
  </w:style>
  <w:style w:type="character" w:customStyle="1" w:styleId="highlight-moduleako5d">
    <w:name w:val="highlight-module__ako5d"/>
    <w:basedOn w:val="DefaultParagraphFont"/>
    <w:rsid w:val="00B27AC5"/>
  </w:style>
  <w:style w:type="table" w:styleId="TableGrid">
    <w:name w:val="Table Grid"/>
    <w:basedOn w:val="TableNormal"/>
    <w:uiPriority w:val="39"/>
    <w:rsid w:val="00F10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7328B"/>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A348A5"/>
    <w:pPr>
      <w:spacing w:after="0" w:line="480" w:lineRule="auto"/>
      <w:ind w:left="720" w:hanging="720"/>
    </w:pPr>
  </w:style>
  <w:style w:type="character" w:styleId="Hyperlink">
    <w:name w:val="Hyperlink"/>
    <w:basedOn w:val="DefaultParagraphFont"/>
    <w:uiPriority w:val="99"/>
    <w:unhideWhenUsed/>
    <w:rsid w:val="00EA1CC9"/>
    <w:rPr>
      <w:color w:val="467886" w:themeColor="hyperlink"/>
      <w:u w:val="single"/>
    </w:rPr>
  </w:style>
  <w:style w:type="character" w:customStyle="1" w:styleId="UnresolvedMention1">
    <w:name w:val="Unresolved Mention1"/>
    <w:basedOn w:val="DefaultParagraphFont"/>
    <w:uiPriority w:val="99"/>
    <w:semiHidden/>
    <w:unhideWhenUsed/>
    <w:rsid w:val="00EA1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063">
      <w:bodyDiv w:val="1"/>
      <w:marLeft w:val="0"/>
      <w:marRight w:val="0"/>
      <w:marTop w:val="0"/>
      <w:marBottom w:val="0"/>
      <w:divBdr>
        <w:top w:val="none" w:sz="0" w:space="0" w:color="auto"/>
        <w:left w:val="none" w:sz="0" w:space="0" w:color="auto"/>
        <w:bottom w:val="none" w:sz="0" w:space="0" w:color="auto"/>
        <w:right w:val="none" w:sz="0" w:space="0" w:color="auto"/>
      </w:divBdr>
    </w:div>
    <w:div w:id="65034365">
      <w:bodyDiv w:val="1"/>
      <w:marLeft w:val="0"/>
      <w:marRight w:val="0"/>
      <w:marTop w:val="0"/>
      <w:marBottom w:val="0"/>
      <w:divBdr>
        <w:top w:val="none" w:sz="0" w:space="0" w:color="auto"/>
        <w:left w:val="none" w:sz="0" w:space="0" w:color="auto"/>
        <w:bottom w:val="none" w:sz="0" w:space="0" w:color="auto"/>
        <w:right w:val="none" w:sz="0" w:space="0" w:color="auto"/>
      </w:divBdr>
    </w:div>
    <w:div w:id="90010524">
      <w:bodyDiv w:val="1"/>
      <w:marLeft w:val="0"/>
      <w:marRight w:val="0"/>
      <w:marTop w:val="0"/>
      <w:marBottom w:val="0"/>
      <w:divBdr>
        <w:top w:val="none" w:sz="0" w:space="0" w:color="auto"/>
        <w:left w:val="none" w:sz="0" w:space="0" w:color="auto"/>
        <w:bottom w:val="none" w:sz="0" w:space="0" w:color="auto"/>
        <w:right w:val="none" w:sz="0" w:space="0" w:color="auto"/>
      </w:divBdr>
    </w:div>
    <w:div w:id="98910381">
      <w:bodyDiv w:val="1"/>
      <w:marLeft w:val="0"/>
      <w:marRight w:val="0"/>
      <w:marTop w:val="0"/>
      <w:marBottom w:val="0"/>
      <w:divBdr>
        <w:top w:val="none" w:sz="0" w:space="0" w:color="auto"/>
        <w:left w:val="none" w:sz="0" w:space="0" w:color="auto"/>
        <w:bottom w:val="none" w:sz="0" w:space="0" w:color="auto"/>
        <w:right w:val="none" w:sz="0" w:space="0" w:color="auto"/>
      </w:divBdr>
    </w:div>
    <w:div w:id="131606976">
      <w:bodyDiv w:val="1"/>
      <w:marLeft w:val="0"/>
      <w:marRight w:val="0"/>
      <w:marTop w:val="0"/>
      <w:marBottom w:val="0"/>
      <w:divBdr>
        <w:top w:val="none" w:sz="0" w:space="0" w:color="auto"/>
        <w:left w:val="none" w:sz="0" w:space="0" w:color="auto"/>
        <w:bottom w:val="none" w:sz="0" w:space="0" w:color="auto"/>
        <w:right w:val="none" w:sz="0" w:space="0" w:color="auto"/>
      </w:divBdr>
    </w:div>
    <w:div w:id="176964030">
      <w:bodyDiv w:val="1"/>
      <w:marLeft w:val="0"/>
      <w:marRight w:val="0"/>
      <w:marTop w:val="0"/>
      <w:marBottom w:val="0"/>
      <w:divBdr>
        <w:top w:val="none" w:sz="0" w:space="0" w:color="auto"/>
        <w:left w:val="none" w:sz="0" w:space="0" w:color="auto"/>
        <w:bottom w:val="none" w:sz="0" w:space="0" w:color="auto"/>
        <w:right w:val="none" w:sz="0" w:space="0" w:color="auto"/>
      </w:divBdr>
    </w:div>
    <w:div w:id="224728370">
      <w:bodyDiv w:val="1"/>
      <w:marLeft w:val="0"/>
      <w:marRight w:val="0"/>
      <w:marTop w:val="0"/>
      <w:marBottom w:val="0"/>
      <w:divBdr>
        <w:top w:val="none" w:sz="0" w:space="0" w:color="auto"/>
        <w:left w:val="none" w:sz="0" w:space="0" w:color="auto"/>
        <w:bottom w:val="none" w:sz="0" w:space="0" w:color="auto"/>
        <w:right w:val="none" w:sz="0" w:space="0" w:color="auto"/>
      </w:divBdr>
      <w:divsChild>
        <w:div w:id="2048332068">
          <w:marLeft w:val="0"/>
          <w:marRight w:val="0"/>
          <w:marTop w:val="0"/>
          <w:marBottom w:val="0"/>
          <w:divBdr>
            <w:top w:val="single" w:sz="2" w:space="0" w:color="E3E3E3"/>
            <w:left w:val="single" w:sz="2" w:space="0" w:color="E3E3E3"/>
            <w:bottom w:val="single" w:sz="2" w:space="0" w:color="E3E3E3"/>
            <w:right w:val="single" w:sz="2" w:space="0" w:color="E3E3E3"/>
          </w:divBdr>
          <w:divsChild>
            <w:div w:id="2038501060">
              <w:marLeft w:val="0"/>
              <w:marRight w:val="0"/>
              <w:marTop w:val="0"/>
              <w:marBottom w:val="0"/>
              <w:divBdr>
                <w:top w:val="single" w:sz="2" w:space="0" w:color="E3E3E3"/>
                <w:left w:val="single" w:sz="2" w:space="0" w:color="E3E3E3"/>
                <w:bottom w:val="single" w:sz="2" w:space="0" w:color="E3E3E3"/>
                <w:right w:val="single" w:sz="2" w:space="0" w:color="E3E3E3"/>
              </w:divBdr>
              <w:divsChild>
                <w:div w:id="1229029198">
                  <w:marLeft w:val="0"/>
                  <w:marRight w:val="0"/>
                  <w:marTop w:val="0"/>
                  <w:marBottom w:val="0"/>
                  <w:divBdr>
                    <w:top w:val="single" w:sz="2" w:space="2" w:color="E3E3E3"/>
                    <w:left w:val="single" w:sz="2" w:space="0" w:color="E3E3E3"/>
                    <w:bottom w:val="single" w:sz="2" w:space="0" w:color="E3E3E3"/>
                    <w:right w:val="single" w:sz="2" w:space="0" w:color="E3E3E3"/>
                  </w:divBdr>
                  <w:divsChild>
                    <w:div w:id="7711226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27109436">
      <w:bodyDiv w:val="1"/>
      <w:marLeft w:val="0"/>
      <w:marRight w:val="0"/>
      <w:marTop w:val="0"/>
      <w:marBottom w:val="0"/>
      <w:divBdr>
        <w:top w:val="none" w:sz="0" w:space="0" w:color="auto"/>
        <w:left w:val="none" w:sz="0" w:space="0" w:color="auto"/>
        <w:bottom w:val="none" w:sz="0" w:space="0" w:color="auto"/>
        <w:right w:val="none" w:sz="0" w:space="0" w:color="auto"/>
      </w:divBdr>
    </w:div>
    <w:div w:id="240339901">
      <w:bodyDiv w:val="1"/>
      <w:marLeft w:val="0"/>
      <w:marRight w:val="0"/>
      <w:marTop w:val="0"/>
      <w:marBottom w:val="0"/>
      <w:divBdr>
        <w:top w:val="none" w:sz="0" w:space="0" w:color="auto"/>
        <w:left w:val="none" w:sz="0" w:space="0" w:color="auto"/>
        <w:bottom w:val="none" w:sz="0" w:space="0" w:color="auto"/>
        <w:right w:val="none" w:sz="0" w:space="0" w:color="auto"/>
      </w:divBdr>
    </w:div>
    <w:div w:id="257176870">
      <w:bodyDiv w:val="1"/>
      <w:marLeft w:val="0"/>
      <w:marRight w:val="0"/>
      <w:marTop w:val="0"/>
      <w:marBottom w:val="0"/>
      <w:divBdr>
        <w:top w:val="none" w:sz="0" w:space="0" w:color="auto"/>
        <w:left w:val="none" w:sz="0" w:space="0" w:color="auto"/>
        <w:bottom w:val="none" w:sz="0" w:space="0" w:color="auto"/>
        <w:right w:val="none" w:sz="0" w:space="0" w:color="auto"/>
      </w:divBdr>
    </w:div>
    <w:div w:id="305935856">
      <w:bodyDiv w:val="1"/>
      <w:marLeft w:val="0"/>
      <w:marRight w:val="0"/>
      <w:marTop w:val="0"/>
      <w:marBottom w:val="0"/>
      <w:divBdr>
        <w:top w:val="none" w:sz="0" w:space="0" w:color="auto"/>
        <w:left w:val="none" w:sz="0" w:space="0" w:color="auto"/>
        <w:bottom w:val="none" w:sz="0" w:space="0" w:color="auto"/>
        <w:right w:val="none" w:sz="0" w:space="0" w:color="auto"/>
      </w:divBdr>
    </w:div>
    <w:div w:id="306784156">
      <w:bodyDiv w:val="1"/>
      <w:marLeft w:val="0"/>
      <w:marRight w:val="0"/>
      <w:marTop w:val="0"/>
      <w:marBottom w:val="0"/>
      <w:divBdr>
        <w:top w:val="none" w:sz="0" w:space="0" w:color="auto"/>
        <w:left w:val="none" w:sz="0" w:space="0" w:color="auto"/>
        <w:bottom w:val="none" w:sz="0" w:space="0" w:color="auto"/>
        <w:right w:val="none" w:sz="0" w:space="0" w:color="auto"/>
      </w:divBdr>
    </w:div>
    <w:div w:id="361522078">
      <w:bodyDiv w:val="1"/>
      <w:marLeft w:val="0"/>
      <w:marRight w:val="0"/>
      <w:marTop w:val="0"/>
      <w:marBottom w:val="0"/>
      <w:divBdr>
        <w:top w:val="none" w:sz="0" w:space="0" w:color="auto"/>
        <w:left w:val="none" w:sz="0" w:space="0" w:color="auto"/>
        <w:bottom w:val="none" w:sz="0" w:space="0" w:color="auto"/>
        <w:right w:val="none" w:sz="0" w:space="0" w:color="auto"/>
      </w:divBdr>
    </w:div>
    <w:div w:id="368384213">
      <w:bodyDiv w:val="1"/>
      <w:marLeft w:val="0"/>
      <w:marRight w:val="0"/>
      <w:marTop w:val="0"/>
      <w:marBottom w:val="0"/>
      <w:divBdr>
        <w:top w:val="none" w:sz="0" w:space="0" w:color="auto"/>
        <w:left w:val="none" w:sz="0" w:space="0" w:color="auto"/>
        <w:bottom w:val="none" w:sz="0" w:space="0" w:color="auto"/>
        <w:right w:val="none" w:sz="0" w:space="0" w:color="auto"/>
      </w:divBdr>
    </w:div>
    <w:div w:id="403143706">
      <w:bodyDiv w:val="1"/>
      <w:marLeft w:val="0"/>
      <w:marRight w:val="0"/>
      <w:marTop w:val="0"/>
      <w:marBottom w:val="0"/>
      <w:divBdr>
        <w:top w:val="none" w:sz="0" w:space="0" w:color="auto"/>
        <w:left w:val="none" w:sz="0" w:space="0" w:color="auto"/>
        <w:bottom w:val="none" w:sz="0" w:space="0" w:color="auto"/>
        <w:right w:val="none" w:sz="0" w:space="0" w:color="auto"/>
      </w:divBdr>
    </w:div>
    <w:div w:id="409427464">
      <w:bodyDiv w:val="1"/>
      <w:marLeft w:val="0"/>
      <w:marRight w:val="0"/>
      <w:marTop w:val="0"/>
      <w:marBottom w:val="0"/>
      <w:divBdr>
        <w:top w:val="none" w:sz="0" w:space="0" w:color="auto"/>
        <w:left w:val="none" w:sz="0" w:space="0" w:color="auto"/>
        <w:bottom w:val="none" w:sz="0" w:space="0" w:color="auto"/>
        <w:right w:val="none" w:sz="0" w:space="0" w:color="auto"/>
      </w:divBdr>
    </w:div>
    <w:div w:id="416563623">
      <w:bodyDiv w:val="1"/>
      <w:marLeft w:val="0"/>
      <w:marRight w:val="0"/>
      <w:marTop w:val="0"/>
      <w:marBottom w:val="0"/>
      <w:divBdr>
        <w:top w:val="none" w:sz="0" w:space="0" w:color="auto"/>
        <w:left w:val="none" w:sz="0" w:space="0" w:color="auto"/>
        <w:bottom w:val="none" w:sz="0" w:space="0" w:color="auto"/>
        <w:right w:val="none" w:sz="0" w:space="0" w:color="auto"/>
      </w:divBdr>
    </w:div>
    <w:div w:id="445008206">
      <w:bodyDiv w:val="1"/>
      <w:marLeft w:val="0"/>
      <w:marRight w:val="0"/>
      <w:marTop w:val="0"/>
      <w:marBottom w:val="0"/>
      <w:divBdr>
        <w:top w:val="none" w:sz="0" w:space="0" w:color="auto"/>
        <w:left w:val="none" w:sz="0" w:space="0" w:color="auto"/>
        <w:bottom w:val="none" w:sz="0" w:space="0" w:color="auto"/>
        <w:right w:val="none" w:sz="0" w:space="0" w:color="auto"/>
      </w:divBdr>
    </w:div>
    <w:div w:id="465899773">
      <w:bodyDiv w:val="1"/>
      <w:marLeft w:val="0"/>
      <w:marRight w:val="0"/>
      <w:marTop w:val="0"/>
      <w:marBottom w:val="0"/>
      <w:divBdr>
        <w:top w:val="none" w:sz="0" w:space="0" w:color="auto"/>
        <w:left w:val="none" w:sz="0" w:space="0" w:color="auto"/>
        <w:bottom w:val="none" w:sz="0" w:space="0" w:color="auto"/>
        <w:right w:val="none" w:sz="0" w:space="0" w:color="auto"/>
      </w:divBdr>
    </w:div>
    <w:div w:id="476844655">
      <w:bodyDiv w:val="1"/>
      <w:marLeft w:val="0"/>
      <w:marRight w:val="0"/>
      <w:marTop w:val="0"/>
      <w:marBottom w:val="0"/>
      <w:divBdr>
        <w:top w:val="none" w:sz="0" w:space="0" w:color="auto"/>
        <w:left w:val="none" w:sz="0" w:space="0" w:color="auto"/>
        <w:bottom w:val="none" w:sz="0" w:space="0" w:color="auto"/>
        <w:right w:val="none" w:sz="0" w:space="0" w:color="auto"/>
      </w:divBdr>
    </w:div>
    <w:div w:id="483274646">
      <w:bodyDiv w:val="1"/>
      <w:marLeft w:val="0"/>
      <w:marRight w:val="0"/>
      <w:marTop w:val="0"/>
      <w:marBottom w:val="0"/>
      <w:divBdr>
        <w:top w:val="none" w:sz="0" w:space="0" w:color="auto"/>
        <w:left w:val="none" w:sz="0" w:space="0" w:color="auto"/>
        <w:bottom w:val="none" w:sz="0" w:space="0" w:color="auto"/>
        <w:right w:val="none" w:sz="0" w:space="0" w:color="auto"/>
      </w:divBdr>
    </w:div>
    <w:div w:id="497774968">
      <w:bodyDiv w:val="1"/>
      <w:marLeft w:val="0"/>
      <w:marRight w:val="0"/>
      <w:marTop w:val="0"/>
      <w:marBottom w:val="0"/>
      <w:divBdr>
        <w:top w:val="none" w:sz="0" w:space="0" w:color="auto"/>
        <w:left w:val="none" w:sz="0" w:space="0" w:color="auto"/>
        <w:bottom w:val="none" w:sz="0" w:space="0" w:color="auto"/>
        <w:right w:val="none" w:sz="0" w:space="0" w:color="auto"/>
      </w:divBdr>
    </w:div>
    <w:div w:id="558368265">
      <w:bodyDiv w:val="1"/>
      <w:marLeft w:val="0"/>
      <w:marRight w:val="0"/>
      <w:marTop w:val="0"/>
      <w:marBottom w:val="0"/>
      <w:divBdr>
        <w:top w:val="none" w:sz="0" w:space="0" w:color="auto"/>
        <w:left w:val="none" w:sz="0" w:space="0" w:color="auto"/>
        <w:bottom w:val="none" w:sz="0" w:space="0" w:color="auto"/>
        <w:right w:val="none" w:sz="0" w:space="0" w:color="auto"/>
      </w:divBdr>
    </w:div>
    <w:div w:id="574433892">
      <w:bodyDiv w:val="1"/>
      <w:marLeft w:val="0"/>
      <w:marRight w:val="0"/>
      <w:marTop w:val="0"/>
      <w:marBottom w:val="0"/>
      <w:divBdr>
        <w:top w:val="none" w:sz="0" w:space="0" w:color="auto"/>
        <w:left w:val="none" w:sz="0" w:space="0" w:color="auto"/>
        <w:bottom w:val="none" w:sz="0" w:space="0" w:color="auto"/>
        <w:right w:val="none" w:sz="0" w:space="0" w:color="auto"/>
      </w:divBdr>
    </w:div>
    <w:div w:id="581379209">
      <w:bodyDiv w:val="1"/>
      <w:marLeft w:val="0"/>
      <w:marRight w:val="0"/>
      <w:marTop w:val="0"/>
      <w:marBottom w:val="0"/>
      <w:divBdr>
        <w:top w:val="none" w:sz="0" w:space="0" w:color="auto"/>
        <w:left w:val="none" w:sz="0" w:space="0" w:color="auto"/>
        <w:bottom w:val="none" w:sz="0" w:space="0" w:color="auto"/>
        <w:right w:val="none" w:sz="0" w:space="0" w:color="auto"/>
      </w:divBdr>
    </w:div>
    <w:div w:id="600837663">
      <w:bodyDiv w:val="1"/>
      <w:marLeft w:val="0"/>
      <w:marRight w:val="0"/>
      <w:marTop w:val="0"/>
      <w:marBottom w:val="0"/>
      <w:divBdr>
        <w:top w:val="none" w:sz="0" w:space="0" w:color="auto"/>
        <w:left w:val="none" w:sz="0" w:space="0" w:color="auto"/>
        <w:bottom w:val="none" w:sz="0" w:space="0" w:color="auto"/>
        <w:right w:val="none" w:sz="0" w:space="0" w:color="auto"/>
      </w:divBdr>
    </w:div>
    <w:div w:id="624582554">
      <w:bodyDiv w:val="1"/>
      <w:marLeft w:val="0"/>
      <w:marRight w:val="0"/>
      <w:marTop w:val="0"/>
      <w:marBottom w:val="0"/>
      <w:divBdr>
        <w:top w:val="none" w:sz="0" w:space="0" w:color="auto"/>
        <w:left w:val="none" w:sz="0" w:space="0" w:color="auto"/>
        <w:bottom w:val="none" w:sz="0" w:space="0" w:color="auto"/>
        <w:right w:val="none" w:sz="0" w:space="0" w:color="auto"/>
      </w:divBdr>
    </w:div>
    <w:div w:id="630089510">
      <w:bodyDiv w:val="1"/>
      <w:marLeft w:val="0"/>
      <w:marRight w:val="0"/>
      <w:marTop w:val="0"/>
      <w:marBottom w:val="0"/>
      <w:divBdr>
        <w:top w:val="none" w:sz="0" w:space="0" w:color="auto"/>
        <w:left w:val="none" w:sz="0" w:space="0" w:color="auto"/>
        <w:bottom w:val="none" w:sz="0" w:space="0" w:color="auto"/>
        <w:right w:val="none" w:sz="0" w:space="0" w:color="auto"/>
      </w:divBdr>
    </w:div>
    <w:div w:id="634413076">
      <w:bodyDiv w:val="1"/>
      <w:marLeft w:val="0"/>
      <w:marRight w:val="0"/>
      <w:marTop w:val="0"/>
      <w:marBottom w:val="0"/>
      <w:divBdr>
        <w:top w:val="none" w:sz="0" w:space="0" w:color="auto"/>
        <w:left w:val="none" w:sz="0" w:space="0" w:color="auto"/>
        <w:bottom w:val="none" w:sz="0" w:space="0" w:color="auto"/>
        <w:right w:val="none" w:sz="0" w:space="0" w:color="auto"/>
      </w:divBdr>
    </w:div>
    <w:div w:id="644047453">
      <w:bodyDiv w:val="1"/>
      <w:marLeft w:val="0"/>
      <w:marRight w:val="0"/>
      <w:marTop w:val="0"/>
      <w:marBottom w:val="0"/>
      <w:divBdr>
        <w:top w:val="none" w:sz="0" w:space="0" w:color="auto"/>
        <w:left w:val="none" w:sz="0" w:space="0" w:color="auto"/>
        <w:bottom w:val="none" w:sz="0" w:space="0" w:color="auto"/>
        <w:right w:val="none" w:sz="0" w:space="0" w:color="auto"/>
      </w:divBdr>
    </w:div>
    <w:div w:id="661398105">
      <w:bodyDiv w:val="1"/>
      <w:marLeft w:val="0"/>
      <w:marRight w:val="0"/>
      <w:marTop w:val="0"/>
      <w:marBottom w:val="0"/>
      <w:divBdr>
        <w:top w:val="none" w:sz="0" w:space="0" w:color="auto"/>
        <w:left w:val="none" w:sz="0" w:space="0" w:color="auto"/>
        <w:bottom w:val="none" w:sz="0" w:space="0" w:color="auto"/>
        <w:right w:val="none" w:sz="0" w:space="0" w:color="auto"/>
      </w:divBdr>
    </w:div>
    <w:div w:id="680201135">
      <w:bodyDiv w:val="1"/>
      <w:marLeft w:val="0"/>
      <w:marRight w:val="0"/>
      <w:marTop w:val="0"/>
      <w:marBottom w:val="0"/>
      <w:divBdr>
        <w:top w:val="none" w:sz="0" w:space="0" w:color="auto"/>
        <w:left w:val="none" w:sz="0" w:space="0" w:color="auto"/>
        <w:bottom w:val="none" w:sz="0" w:space="0" w:color="auto"/>
        <w:right w:val="none" w:sz="0" w:space="0" w:color="auto"/>
      </w:divBdr>
    </w:div>
    <w:div w:id="696809262">
      <w:bodyDiv w:val="1"/>
      <w:marLeft w:val="0"/>
      <w:marRight w:val="0"/>
      <w:marTop w:val="0"/>
      <w:marBottom w:val="0"/>
      <w:divBdr>
        <w:top w:val="none" w:sz="0" w:space="0" w:color="auto"/>
        <w:left w:val="none" w:sz="0" w:space="0" w:color="auto"/>
        <w:bottom w:val="none" w:sz="0" w:space="0" w:color="auto"/>
        <w:right w:val="none" w:sz="0" w:space="0" w:color="auto"/>
      </w:divBdr>
    </w:div>
    <w:div w:id="703747210">
      <w:bodyDiv w:val="1"/>
      <w:marLeft w:val="0"/>
      <w:marRight w:val="0"/>
      <w:marTop w:val="0"/>
      <w:marBottom w:val="0"/>
      <w:divBdr>
        <w:top w:val="none" w:sz="0" w:space="0" w:color="auto"/>
        <w:left w:val="none" w:sz="0" w:space="0" w:color="auto"/>
        <w:bottom w:val="none" w:sz="0" w:space="0" w:color="auto"/>
        <w:right w:val="none" w:sz="0" w:space="0" w:color="auto"/>
      </w:divBdr>
    </w:div>
    <w:div w:id="740253842">
      <w:bodyDiv w:val="1"/>
      <w:marLeft w:val="0"/>
      <w:marRight w:val="0"/>
      <w:marTop w:val="0"/>
      <w:marBottom w:val="0"/>
      <w:divBdr>
        <w:top w:val="none" w:sz="0" w:space="0" w:color="auto"/>
        <w:left w:val="none" w:sz="0" w:space="0" w:color="auto"/>
        <w:bottom w:val="none" w:sz="0" w:space="0" w:color="auto"/>
        <w:right w:val="none" w:sz="0" w:space="0" w:color="auto"/>
      </w:divBdr>
    </w:div>
    <w:div w:id="801652810">
      <w:bodyDiv w:val="1"/>
      <w:marLeft w:val="0"/>
      <w:marRight w:val="0"/>
      <w:marTop w:val="0"/>
      <w:marBottom w:val="0"/>
      <w:divBdr>
        <w:top w:val="none" w:sz="0" w:space="0" w:color="auto"/>
        <w:left w:val="none" w:sz="0" w:space="0" w:color="auto"/>
        <w:bottom w:val="none" w:sz="0" w:space="0" w:color="auto"/>
        <w:right w:val="none" w:sz="0" w:space="0" w:color="auto"/>
      </w:divBdr>
    </w:div>
    <w:div w:id="880022832">
      <w:bodyDiv w:val="1"/>
      <w:marLeft w:val="0"/>
      <w:marRight w:val="0"/>
      <w:marTop w:val="0"/>
      <w:marBottom w:val="0"/>
      <w:divBdr>
        <w:top w:val="none" w:sz="0" w:space="0" w:color="auto"/>
        <w:left w:val="none" w:sz="0" w:space="0" w:color="auto"/>
        <w:bottom w:val="none" w:sz="0" w:space="0" w:color="auto"/>
        <w:right w:val="none" w:sz="0" w:space="0" w:color="auto"/>
      </w:divBdr>
    </w:div>
    <w:div w:id="943421659">
      <w:bodyDiv w:val="1"/>
      <w:marLeft w:val="0"/>
      <w:marRight w:val="0"/>
      <w:marTop w:val="0"/>
      <w:marBottom w:val="0"/>
      <w:divBdr>
        <w:top w:val="none" w:sz="0" w:space="0" w:color="auto"/>
        <w:left w:val="none" w:sz="0" w:space="0" w:color="auto"/>
        <w:bottom w:val="none" w:sz="0" w:space="0" w:color="auto"/>
        <w:right w:val="none" w:sz="0" w:space="0" w:color="auto"/>
      </w:divBdr>
    </w:div>
    <w:div w:id="946697065">
      <w:bodyDiv w:val="1"/>
      <w:marLeft w:val="0"/>
      <w:marRight w:val="0"/>
      <w:marTop w:val="0"/>
      <w:marBottom w:val="0"/>
      <w:divBdr>
        <w:top w:val="none" w:sz="0" w:space="0" w:color="auto"/>
        <w:left w:val="none" w:sz="0" w:space="0" w:color="auto"/>
        <w:bottom w:val="none" w:sz="0" w:space="0" w:color="auto"/>
        <w:right w:val="none" w:sz="0" w:space="0" w:color="auto"/>
      </w:divBdr>
    </w:div>
    <w:div w:id="1038817013">
      <w:bodyDiv w:val="1"/>
      <w:marLeft w:val="0"/>
      <w:marRight w:val="0"/>
      <w:marTop w:val="0"/>
      <w:marBottom w:val="0"/>
      <w:divBdr>
        <w:top w:val="none" w:sz="0" w:space="0" w:color="auto"/>
        <w:left w:val="none" w:sz="0" w:space="0" w:color="auto"/>
        <w:bottom w:val="none" w:sz="0" w:space="0" w:color="auto"/>
        <w:right w:val="none" w:sz="0" w:space="0" w:color="auto"/>
      </w:divBdr>
    </w:div>
    <w:div w:id="1061900522">
      <w:bodyDiv w:val="1"/>
      <w:marLeft w:val="0"/>
      <w:marRight w:val="0"/>
      <w:marTop w:val="0"/>
      <w:marBottom w:val="0"/>
      <w:divBdr>
        <w:top w:val="none" w:sz="0" w:space="0" w:color="auto"/>
        <w:left w:val="none" w:sz="0" w:space="0" w:color="auto"/>
        <w:bottom w:val="none" w:sz="0" w:space="0" w:color="auto"/>
        <w:right w:val="none" w:sz="0" w:space="0" w:color="auto"/>
      </w:divBdr>
    </w:div>
    <w:div w:id="1088422058">
      <w:bodyDiv w:val="1"/>
      <w:marLeft w:val="0"/>
      <w:marRight w:val="0"/>
      <w:marTop w:val="0"/>
      <w:marBottom w:val="0"/>
      <w:divBdr>
        <w:top w:val="none" w:sz="0" w:space="0" w:color="auto"/>
        <w:left w:val="none" w:sz="0" w:space="0" w:color="auto"/>
        <w:bottom w:val="none" w:sz="0" w:space="0" w:color="auto"/>
        <w:right w:val="none" w:sz="0" w:space="0" w:color="auto"/>
      </w:divBdr>
    </w:div>
    <w:div w:id="1118914298">
      <w:bodyDiv w:val="1"/>
      <w:marLeft w:val="0"/>
      <w:marRight w:val="0"/>
      <w:marTop w:val="0"/>
      <w:marBottom w:val="0"/>
      <w:divBdr>
        <w:top w:val="none" w:sz="0" w:space="0" w:color="auto"/>
        <w:left w:val="none" w:sz="0" w:space="0" w:color="auto"/>
        <w:bottom w:val="none" w:sz="0" w:space="0" w:color="auto"/>
        <w:right w:val="none" w:sz="0" w:space="0" w:color="auto"/>
      </w:divBdr>
    </w:div>
    <w:div w:id="1163930784">
      <w:bodyDiv w:val="1"/>
      <w:marLeft w:val="0"/>
      <w:marRight w:val="0"/>
      <w:marTop w:val="0"/>
      <w:marBottom w:val="0"/>
      <w:divBdr>
        <w:top w:val="none" w:sz="0" w:space="0" w:color="auto"/>
        <w:left w:val="none" w:sz="0" w:space="0" w:color="auto"/>
        <w:bottom w:val="none" w:sz="0" w:space="0" w:color="auto"/>
        <w:right w:val="none" w:sz="0" w:space="0" w:color="auto"/>
      </w:divBdr>
    </w:div>
    <w:div w:id="1175531856">
      <w:bodyDiv w:val="1"/>
      <w:marLeft w:val="0"/>
      <w:marRight w:val="0"/>
      <w:marTop w:val="0"/>
      <w:marBottom w:val="0"/>
      <w:divBdr>
        <w:top w:val="none" w:sz="0" w:space="0" w:color="auto"/>
        <w:left w:val="none" w:sz="0" w:space="0" w:color="auto"/>
        <w:bottom w:val="none" w:sz="0" w:space="0" w:color="auto"/>
        <w:right w:val="none" w:sz="0" w:space="0" w:color="auto"/>
      </w:divBdr>
    </w:div>
    <w:div w:id="1175850281">
      <w:bodyDiv w:val="1"/>
      <w:marLeft w:val="0"/>
      <w:marRight w:val="0"/>
      <w:marTop w:val="0"/>
      <w:marBottom w:val="0"/>
      <w:divBdr>
        <w:top w:val="none" w:sz="0" w:space="0" w:color="auto"/>
        <w:left w:val="none" w:sz="0" w:space="0" w:color="auto"/>
        <w:bottom w:val="none" w:sz="0" w:space="0" w:color="auto"/>
        <w:right w:val="none" w:sz="0" w:space="0" w:color="auto"/>
      </w:divBdr>
    </w:div>
    <w:div w:id="1221206846">
      <w:bodyDiv w:val="1"/>
      <w:marLeft w:val="0"/>
      <w:marRight w:val="0"/>
      <w:marTop w:val="0"/>
      <w:marBottom w:val="0"/>
      <w:divBdr>
        <w:top w:val="none" w:sz="0" w:space="0" w:color="auto"/>
        <w:left w:val="none" w:sz="0" w:space="0" w:color="auto"/>
        <w:bottom w:val="none" w:sz="0" w:space="0" w:color="auto"/>
        <w:right w:val="none" w:sz="0" w:space="0" w:color="auto"/>
      </w:divBdr>
    </w:div>
    <w:div w:id="1281952732">
      <w:bodyDiv w:val="1"/>
      <w:marLeft w:val="0"/>
      <w:marRight w:val="0"/>
      <w:marTop w:val="0"/>
      <w:marBottom w:val="0"/>
      <w:divBdr>
        <w:top w:val="none" w:sz="0" w:space="0" w:color="auto"/>
        <w:left w:val="none" w:sz="0" w:space="0" w:color="auto"/>
        <w:bottom w:val="none" w:sz="0" w:space="0" w:color="auto"/>
        <w:right w:val="none" w:sz="0" w:space="0" w:color="auto"/>
      </w:divBdr>
      <w:divsChild>
        <w:div w:id="1840388713">
          <w:marLeft w:val="0"/>
          <w:marRight w:val="0"/>
          <w:marTop w:val="0"/>
          <w:marBottom w:val="0"/>
          <w:divBdr>
            <w:top w:val="single" w:sz="2" w:space="0" w:color="DEE0E3"/>
            <w:left w:val="single" w:sz="2" w:space="0" w:color="DEE0E3"/>
            <w:bottom w:val="single" w:sz="2" w:space="0" w:color="DEE0E3"/>
            <w:right w:val="single" w:sz="2" w:space="0" w:color="DEE0E3"/>
          </w:divBdr>
        </w:div>
      </w:divsChild>
    </w:div>
    <w:div w:id="1354964455">
      <w:bodyDiv w:val="1"/>
      <w:marLeft w:val="0"/>
      <w:marRight w:val="0"/>
      <w:marTop w:val="0"/>
      <w:marBottom w:val="0"/>
      <w:divBdr>
        <w:top w:val="none" w:sz="0" w:space="0" w:color="auto"/>
        <w:left w:val="none" w:sz="0" w:space="0" w:color="auto"/>
        <w:bottom w:val="none" w:sz="0" w:space="0" w:color="auto"/>
        <w:right w:val="none" w:sz="0" w:space="0" w:color="auto"/>
      </w:divBdr>
    </w:div>
    <w:div w:id="1381202263">
      <w:bodyDiv w:val="1"/>
      <w:marLeft w:val="0"/>
      <w:marRight w:val="0"/>
      <w:marTop w:val="0"/>
      <w:marBottom w:val="0"/>
      <w:divBdr>
        <w:top w:val="none" w:sz="0" w:space="0" w:color="auto"/>
        <w:left w:val="none" w:sz="0" w:space="0" w:color="auto"/>
        <w:bottom w:val="none" w:sz="0" w:space="0" w:color="auto"/>
        <w:right w:val="none" w:sz="0" w:space="0" w:color="auto"/>
      </w:divBdr>
    </w:div>
    <w:div w:id="1386563774">
      <w:bodyDiv w:val="1"/>
      <w:marLeft w:val="0"/>
      <w:marRight w:val="0"/>
      <w:marTop w:val="0"/>
      <w:marBottom w:val="0"/>
      <w:divBdr>
        <w:top w:val="none" w:sz="0" w:space="0" w:color="auto"/>
        <w:left w:val="none" w:sz="0" w:space="0" w:color="auto"/>
        <w:bottom w:val="none" w:sz="0" w:space="0" w:color="auto"/>
        <w:right w:val="none" w:sz="0" w:space="0" w:color="auto"/>
      </w:divBdr>
    </w:div>
    <w:div w:id="1392078045">
      <w:bodyDiv w:val="1"/>
      <w:marLeft w:val="0"/>
      <w:marRight w:val="0"/>
      <w:marTop w:val="0"/>
      <w:marBottom w:val="0"/>
      <w:divBdr>
        <w:top w:val="none" w:sz="0" w:space="0" w:color="auto"/>
        <w:left w:val="none" w:sz="0" w:space="0" w:color="auto"/>
        <w:bottom w:val="none" w:sz="0" w:space="0" w:color="auto"/>
        <w:right w:val="none" w:sz="0" w:space="0" w:color="auto"/>
      </w:divBdr>
    </w:div>
    <w:div w:id="1413897082">
      <w:bodyDiv w:val="1"/>
      <w:marLeft w:val="0"/>
      <w:marRight w:val="0"/>
      <w:marTop w:val="0"/>
      <w:marBottom w:val="0"/>
      <w:divBdr>
        <w:top w:val="none" w:sz="0" w:space="0" w:color="auto"/>
        <w:left w:val="none" w:sz="0" w:space="0" w:color="auto"/>
        <w:bottom w:val="none" w:sz="0" w:space="0" w:color="auto"/>
        <w:right w:val="none" w:sz="0" w:space="0" w:color="auto"/>
      </w:divBdr>
    </w:div>
    <w:div w:id="1414626190">
      <w:bodyDiv w:val="1"/>
      <w:marLeft w:val="0"/>
      <w:marRight w:val="0"/>
      <w:marTop w:val="0"/>
      <w:marBottom w:val="0"/>
      <w:divBdr>
        <w:top w:val="none" w:sz="0" w:space="0" w:color="auto"/>
        <w:left w:val="none" w:sz="0" w:space="0" w:color="auto"/>
        <w:bottom w:val="none" w:sz="0" w:space="0" w:color="auto"/>
        <w:right w:val="none" w:sz="0" w:space="0" w:color="auto"/>
      </w:divBdr>
    </w:div>
    <w:div w:id="1427194152">
      <w:bodyDiv w:val="1"/>
      <w:marLeft w:val="0"/>
      <w:marRight w:val="0"/>
      <w:marTop w:val="0"/>
      <w:marBottom w:val="0"/>
      <w:divBdr>
        <w:top w:val="none" w:sz="0" w:space="0" w:color="auto"/>
        <w:left w:val="none" w:sz="0" w:space="0" w:color="auto"/>
        <w:bottom w:val="none" w:sz="0" w:space="0" w:color="auto"/>
        <w:right w:val="none" w:sz="0" w:space="0" w:color="auto"/>
      </w:divBdr>
    </w:div>
    <w:div w:id="1431047345">
      <w:bodyDiv w:val="1"/>
      <w:marLeft w:val="0"/>
      <w:marRight w:val="0"/>
      <w:marTop w:val="0"/>
      <w:marBottom w:val="0"/>
      <w:divBdr>
        <w:top w:val="none" w:sz="0" w:space="0" w:color="auto"/>
        <w:left w:val="none" w:sz="0" w:space="0" w:color="auto"/>
        <w:bottom w:val="none" w:sz="0" w:space="0" w:color="auto"/>
        <w:right w:val="none" w:sz="0" w:space="0" w:color="auto"/>
      </w:divBdr>
    </w:div>
    <w:div w:id="1473643520">
      <w:bodyDiv w:val="1"/>
      <w:marLeft w:val="0"/>
      <w:marRight w:val="0"/>
      <w:marTop w:val="0"/>
      <w:marBottom w:val="0"/>
      <w:divBdr>
        <w:top w:val="none" w:sz="0" w:space="0" w:color="auto"/>
        <w:left w:val="none" w:sz="0" w:space="0" w:color="auto"/>
        <w:bottom w:val="none" w:sz="0" w:space="0" w:color="auto"/>
        <w:right w:val="none" w:sz="0" w:space="0" w:color="auto"/>
      </w:divBdr>
    </w:div>
    <w:div w:id="1510874592">
      <w:bodyDiv w:val="1"/>
      <w:marLeft w:val="0"/>
      <w:marRight w:val="0"/>
      <w:marTop w:val="0"/>
      <w:marBottom w:val="0"/>
      <w:divBdr>
        <w:top w:val="none" w:sz="0" w:space="0" w:color="auto"/>
        <w:left w:val="none" w:sz="0" w:space="0" w:color="auto"/>
        <w:bottom w:val="none" w:sz="0" w:space="0" w:color="auto"/>
        <w:right w:val="none" w:sz="0" w:space="0" w:color="auto"/>
      </w:divBdr>
    </w:div>
    <w:div w:id="1519387408">
      <w:bodyDiv w:val="1"/>
      <w:marLeft w:val="0"/>
      <w:marRight w:val="0"/>
      <w:marTop w:val="0"/>
      <w:marBottom w:val="0"/>
      <w:divBdr>
        <w:top w:val="none" w:sz="0" w:space="0" w:color="auto"/>
        <w:left w:val="none" w:sz="0" w:space="0" w:color="auto"/>
        <w:bottom w:val="none" w:sz="0" w:space="0" w:color="auto"/>
        <w:right w:val="none" w:sz="0" w:space="0" w:color="auto"/>
      </w:divBdr>
    </w:div>
    <w:div w:id="1527401752">
      <w:bodyDiv w:val="1"/>
      <w:marLeft w:val="0"/>
      <w:marRight w:val="0"/>
      <w:marTop w:val="0"/>
      <w:marBottom w:val="0"/>
      <w:divBdr>
        <w:top w:val="none" w:sz="0" w:space="0" w:color="auto"/>
        <w:left w:val="none" w:sz="0" w:space="0" w:color="auto"/>
        <w:bottom w:val="none" w:sz="0" w:space="0" w:color="auto"/>
        <w:right w:val="none" w:sz="0" w:space="0" w:color="auto"/>
      </w:divBdr>
    </w:div>
    <w:div w:id="1529759768">
      <w:bodyDiv w:val="1"/>
      <w:marLeft w:val="0"/>
      <w:marRight w:val="0"/>
      <w:marTop w:val="0"/>
      <w:marBottom w:val="0"/>
      <w:divBdr>
        <w:top w:val="none" w:sz="0" w:space="0" w:color="auto"/>
        <w:left w:val="none" w:sz="0" w:space="0" w:color="auto"/>
        <w:bottom w:val="none" w:sz="0" w:space="0" w:color="auto"/>
        <w:right w:val="none" w:sz="0" w:space="0" w:color="auto"/>
      </w:divBdr>
    </w:div>
    <w:div w:id="1551578388">
      <w:bodyDiv w:val="1"/>
      <w:marLeft w:val="0"/>
      <w:marRight w:val="0"/>
      <w:marTop w:val="0"/>
      <w:marBottom w:val="0"/>
      <w:divBdr>
        <w:top w:val="none" w:sz="0" w:space="0" w:color="auto"/>
        <w:left w:val="none" w:sz="0" w:space="0" w:color="auto"/>
        <w:bottom w:val="none" w:sz="0" w:space="0" w:color="auto"/>
        <w:right w:val="none" w:sz="0" w:space="0" w:color="auto"/>
      </w:divBdr>
    </w:div>
    <w:div w:id="1564410971">
      <w:bodyDiv w:val="1"/>
      <w:marLeft w:val="0"/>
      <w:marRight w:val="0"/>
      <w:marTop w:val="0"/>
      <w:marBottom w:val="0"/>
      <w:divBdr>
        <w:top w:val="none" w:sz="0" w:space="0" w:color="auto"/>
        <w:left w:val="none" w:sz="0" w:space="0" w:color="auto"/>
        <w:bottom w:val="none" w:sz="0" w:space="0" w:color="auto"/>
        <w:right w:val="none" w:sz="0" w:space="0" w:color="auto"/>
      </w:divBdr>
    </w:div>
    <w:div w:id="1566258873">
      <w:bodyDiv w:val="1"/>
      <w:marLeft w:val="0"/>
      <w:marRight w:val="0"/>
      <w:marTop w:val="0"/>
      <w:marBottom w:val="0"/>
      <w:divBdr>
        <w:top w:val="none" w:sz="0" w:space="0" w:color="auto"/>
        <w:left w:val="none" w:sz="0" w:space="0" w:color="auto"/>
        <w:bottom w:val="none" w:sz="0" w:space="0" w:color="auto"/>
        <w:right w:val="none" w:sz="0" w:space="0" w:color="auto"/>
      </w:divBdr>
    </w:div>
    <w:div w:id="1577324726">
      <w:bodyDiv w:val="1"/>
      <w:marLeft w:val="0"/>
      <w:marRight w:val="0"/>
      <w:marTop w:val="0"/>
      <w:marBottom w:val="0"/>
      <w:divBdr>
        <w:top w:val="none" w:sz="0" w:space="0" w:color="auto"/>
        <w:left w:val="none" w:sz="0" w:space="0" w:color="auto"/>
        <w:bottom w:val="none" w:sz="0" w:space="0" w:color="auto"/>
        <w:right w:val="none" w:sz="0" w:space="0" w:color="auto"/>
      </w:divBdr>
      <w:divsChild>
        <w:div w:id="768231425">
          <w:marLeft w:val="0"/>
          <w:marRight w:val="0"/>
          <w:marTop w:val="0"/>
          <w:marBottom w:val="0"/>
          <w:divBdr>
            <w:top w:val="single" w:sz="2" w:space="0" w:color="DEE0E3"/>
            <w:left w:val="single" w:sz="2" w:space="0" w:color="DEE0E3"/>
            <w:bottom w:val="single" w:sz="2" w:space="0" w:color="DEE0E3"/>
            <w:right w:val="single" w:sz="2" w:space="0" w:color="DEE0E3"/>
          </w:divBdr>
        </w:div>
      </w:divsChild>
    </w:div>
    <w:div w:id="1622111690">
      <w:bodyDiv w:val="1"/>
      <w:marLeft w:val="0"/>
      <w:marRight w:val="0"/>
      <w:marTop w:val="0"/>
      <w:marBottom w:val="0"/>
      <w:divBdr>
        <w:top w:val="none" w:sz="0" w:space="0" w:color="auto"/>
        <w:left w:val="none" w:sz="0" w:space="0" w:color="auto"/>
        <w:bottom w:val="none" w:sz="0" w:space="0" w:color="auto"/>
        <w:right w:val="none" w:sz="0" w:space="0" w:color="auto"/>
      </w:divBdr>
    </w:div>
    <w:div w:id="1631399528">
      <w:bodyDiv w:val="1"/>
      <w:marLeft w:val="0"/>
      <w:marRight w:val="0"/>
      <w:marTop w:val="0"/>
      <w:marBottom w:val="0"/>
      <w:divBdr>
        <w:top w:val="none" w:sz="0" w:space="0" w:color="auto"/>
        <w:left w:val="none" w:sz="0" w:space="0" w:color="auto"/>
        <w:bottom w:val="none" w:sz="0" w:space="0" w:color="auto"/>
        <w:right w:val="none" w:sz="0" w:space="0" w:color="auto"/>
      </w:divBdr>
    </w:div>
    <w:div w:id="1636643075">
      <w:bodyDiv w:val="1"/>
      <w:marLeft w:val="0"/>
      <w:marRight w:val="0"/>
      <w:marTop w:val="0"/>
      <w:marBottom w:val="0"/>
      <w:divBdr>
        <w:top w:val="none" w:sz="0" w:space="0" w:color="auto"/>
        <w:left w:val="none" w:sz="0" w:space="0" w:color="auto"/>
        <w:bottom w:val="none" w:sz="0" w:space="0" w:color="auto"/>
        <w:right w:val="none" w:sz="0" w:space="0" w:color="auto"/>
      </w:divBdr>
    </w:div>
    <w:div w:id="1673609832">
      <w:bodyDiv w:val="1"/>
      <w:marLeft w:val="0"/>
      <w:marRight w:val="0"/>
      <w:marTop w:val="0"/>
      <w:marBottom w:val="0"/>
      <w:divBdr>
        <w:top w:val="none" w:sz="0" w:space="0" w:color="auto"/>
        <w:left w:val="none" w:sz="0" w:space="0" w:color="auto"/>
        <w:bottom w:val="none" w:sz="0" w:space="0" w:color="auto"/>
        <w:right w:val="none" w:sz="0" w:space="0" w:color="auto"/>
      </w:divBdr>
    </w:div>
    <w:div w:id="1686009802">
      <w:bodyDiv w:val="1"/>
      <w:marLeft w:val="0"/>
      <w:marRight w:val="0"/>
      <w:marTop w:val="0"/>
      <w:marBottom w:val="0"/>
      <w:divBdr>
        <w:top w:val="none" w:sz="0" w:space="0" w:color="auto"/>
        <w:left w:val="none" w:sz="0" w:space="0" w:color="auto"/>
        <w:bottom w:val="none" w:sz="0" w:space="0" w:color="auto"/>
        <w:right w:val="none" w:sz="0" w:space="0" w:color="auto"/>
      </w:divBdr>
    </w:div>
    <w:div w:id="1696032344">
      <w:bodyDiv w:val="1"/>
      <w:marLeft w:val="0"/>
      <w:marRight w:val="0"/>
      <w:marTop w:val="0"/>
      <w:marBottom w:val="0"/>
      <w:divBdr>
        <w:top w:val="none" w:sz="0" w:space="0" w:color="auto"/>
        <w:left w:val="none" w:sz="0" w:space="0" w:color="auto"/>
        <w:bottom w:val="none" w:sz="0" w:space="0" w:color="auto"/>
        <w:right w:val="none" w:sz="0" w:space="0" w:color="auto"/>
      </w:divBdr>
    </w:div>
    <w:div w:id="1696619005">
      <w:bodyDiv w:val="1"/>
      <w:marLeft w:val="0"/>
      <w:marRight w:val="0"/>
      <w:marTop w:val="0"/>
      <w:marBottom w:val="0"/>
      <w:divBdr>
        <w:top w:val="none" w:sz="0" w:space="0" w:color="auto"/>
        <w:left w:val="none" w:sz="0" w:space="0" w:color="auto"/>
        <w:bottom w:val="none" w:sz="0" w:space="0" w:color="auto"/>
        <w:right w:val="none" w:sz="0" w:space="0" w:color="auto"/>
      </w:divBdr>
    </w:div>
    <w:div w:id="1718048771">
      <w:bodyDiv w:val="1"/>
      <w:marLeft w:val="0"/>
      <w:marRight w:val="0"/>
      <w:marTop w:val="0"/>
      <w:marBottom w:val="0"/>
      <w:divBdr>
        <w:top w:val="none" w:sz="0" w:space="0" w:color="auto"/>
        <w:left w:val="none" w:sz="0" w:space="0" w:color="auto"/>
        <w:bottom w:val="none" w:sz="0" w:space="0" w:color="auto"/>
        <w:right w:val="none" w:sz="0" w:space="0" w:color="auto"/>
      </w:divBdr>
    </w:div>
    <w:div w:id="1721859574">
      <w:bodyDiv w:val="1"/>
      <w:marLeft w:val="0"/>
      <w:marRight w:val="0"/>
      <w:marTop w:val="0"/>
      <w:marBottom w:val="0"/>
      <w:divBdr>
        <w:top w:val="none" w:sz="0" w:space="0" w:color="auto"/>
        <w:left w:val="none" w:sz="0" w:space="0" w:color="auto"/>
        <w:bottom w:val="none" w:sz="0" w:space="0" w:color="auto"/>
        <w:right w:val="none" w:sz="0" w:space="0" w:color="auto"/>
      </w:divBdr>
    </w:div>
    <w:div w:id="1741059944">
      <w:bodyDiv w:val="1"/>
      <w:marLeft w:val="0"/>
      <w:marRight w:val="0"/>
      <w:marTop w:val="0"/>
      <w:marBottom w:val="0"/>
      <w:divBdr>
        <w:top w:val="none" w:sz="0" w:space="0" w:color="auto"/>
        <w:left w:val="none" w:sz="0" w:space="0" w:color="auto"/>
        <w:bottom w:val="none" w:sz="0" w:space="0" w:color="auto"/>
        <w:right w:val="none" w:sz="0" w:space="0" w:color="auto"/>
      </w:divBdr>
    </w:div>
    <w:div w:id="1776167421">
      <w:bodyDiv w:val="1"/>
      <w:marLeft w:val="0"/>
      <w:marRight w:val="0"/>
      <w:marTop w:val="0"/>
      <w:marBottom w:val="0"/>
      <w:divBdr>
        <w:top w:val="none" w:sz="0" w:space="0" w:color="auto"/>
        <w:left w:val="none" w:sz="0" w:space="0" w:color="auto"/>
        <w:bottom w:val="none" w:sz="0" w:space="0" w:color="auto"/>
        <w:right w:val="none" w:sz="0" w:space="0" w:color="auto"/>
      </w:divBdr>
    </w:div>
    <w:div w:id="1790195331">
      <w:bodyDiv w:val="1"/>
      <w:marLeft w:val="0"/>
      <w:marRight w:val="0"/>
      <w:marTop w:val="0"/>
      <w:marBottom w:val="0"/>
      <w:divBdr>
        <w:top w:val="none" w:sz="0" w:space="0" w:color="auto"/>
        <w:left w:val="none" w:sz="0" w:space="0" w:color="auto"/>
        <w:bottom w:val="none" w:sz="0" w:space="0" w:color="auto"/>
        <w:right w:val="none" w:sz="0" w:space="0" w:color="auto"/>
      </w:divBdr>
    </w:div>
    <w:div w:id="1822383923">
      <w:bodyDiv w:val="1"/>
      <w:marLeft w:val="0"/>
      <w:marRight w:val="0"/>
      <w:marTop w:val="0"/>
      <w:marBottom w:val="0"/>
      <w:divBdr>
        <w:top w:val="none" w:sz="0" w:space="0" w:color="auto"/>
        <w:left w:val="none" w:sz="0" w:space="0" w:color="auto"/>
        <w:bottom w:val="none" w:sz="0" w:space="0" w:color="auto"/>
        <w:right w:val="none" w:sz="0" w:space="0" w:color="auto"/>
      </w:divBdr>
    </w:div>
    <w:div w:id="1825050987">
      <w:bodyDiv w:val="1"/>
      <w:marLeft w:val="0"/>
      <w:marRight w:val="0"/>
      <w:marTop w:val="0"/>
      <w:marBottom w:val="0"/>
      <w:divBdr>
        <w:top w:val="none" w:sz="0" w:space="0" w:color="auto"/>
        <w:left w:val="none" w:sz="0" w:space="0" w:color="auto"/>
        <w:bottom w:val="none" w:sz="0" w:space="0" w:color="auto"/>
        <w:right w:val="none" w:sz="0" w:space="0" w:color="auto"/>
      </w:divBdr>
    </w:div>
    <w:div w:id="1851872357">
      <w:bodyDiv w:val="1"/>
      <w:marLeft w:val="0"/>
      <w:marRight w:val="0"/>
      <w:marTop w:val="0"/>
      <w:marBottom w:val="0"/>
      <w:divBdr>
        <w:top w:val="none" w:sz="0" w:space="0" w:color="auto"/>
        <w:left w:val="none" w:sz="0" w:space="0" w:color="auto"/>
        <w:bottom w:val="none" w:sz="0" w:space="0" w:color="auto"/>
        <w:right w:val="none" w:sz="0" w:space="0" w:color="auto"/>
      </w:divBdr>
    </w:div>
    <w:div w:id="1861313602">
      <w:bodyDiv w:val="1"/>
      <w:marLeft w:val="0"/>
      <w:marRight w:val="0"/>
      <w:marTop w:val="0"/>
      <w:marBottom w:val="0"/>
      <w:divBdr>
        <w:top w:val="none" w:sz="0" w:space="0" w:color="auto"/>
        <w:left w:val="none" w:sz="0" w:space="0" w:color="auto"/>
        <w:bottom w:val="none" w:sz="0" w:space="0" w:color="auto"/>
        <w:right w:val="none" w:sz="0" w:space="0" w:color="auto"/>
      </w:divBdr>
    </w:div>
    <w:div w:id="1871454353">
      <w:bodyDiv w:val="1"/>
      <w:marLeft w:val="0"/>
      <w:marRight w:val="0"/>
      <w:marTop w:val="0"/>
      <w:marBottom w:val="0"/>
      <w:divBdr>
        <w:top w:val="none" w:sz="0" w:space="0" w:color="auto"/>
        <w:left w:val="none" w:sz="0" w:space="0" w:color="auto"/>
        <w:bottom w:val="none" w:sz="0" w:space="0" w:color="auto"/>
        <w:right w:val="none" w:sz="0" w:space="0" w:color="auto"/>
      </w:divBdr>
    </w:div>
    <w:div w:id="1920870399">
      <w:bodyDiv w:val="1"/>
      <w:marLeft w:val="0"/>
      <w:marRight w:val="0"/>
      <w:marTop w:val="0"/>
      <w:marBottom w:val="0"/>
      <w:divBdr>
        <w:top w:val="none" w:sz="0" w:space="0" w:color="auto"/>
        <w:left w:val="none" w:sz="0" w:space="0" w:color="auto"/>
        <w:bottom w:val="none" w:sz="0" w:space="0" w:color="auto"/>
        <w:right w:val="none" w:sz="0" w:space="0" w:color="auto"/>
      </w:divBdr>
    </w:div>
    <w:div w:id="1922789788">
      <w:bodyDiv w:val="1"/>
      <w:marLeft w:val="0"/>
      <w:marRight w:val="0"/>
      <w:marTop w:val="0"/>
      <w:marBottom w:val="0"/>
      <w:divBdr>
        <w:top w:val="none" w:sz="0" w:space="0" w:color="auto"/>
        <w:left w:val="none" w:sz="0" w:space="0" w:color="auto"/>
        <w:bottom w:val="none" w:sz="0" w:space="0" w:color="auto"/>
        <w:right w:val="none" w:sz="0" w:space="0" w:color="auto"/>
      </w:divBdr>
    </w:div>
    <w:div w:id="1974406691">
      <w:bodyDiv w:val="1"/>
      <w:marLeft w:val="0"/>
      <w:marRight w:val="0"/>
      <w:marTop w:val="0"/>
      <w:marBottom w:val="0"/>
      <w:divBdr>
        <w:top w:val="none" w:sz="0" w:space="0" w:color="auto"/>
        <w:left w:val="none" w:sz="0" w:space="0" w:color="auto"/>
        <w:bottom w:val="none" w:sz="0" w:space="0" w:color="auto"/>
        <w:right w:val="none" w:sz="0" w:space="0" w:color="auto"/>
      </w:divBdr>
      <w:divsChild>
        <w:div w:id="1566644669">
          <w:marLeft w:val="0"/>
          <w:marRight w:val="0"/>
          <w:marTop w:val="0"/>
          <w:marBottom w:val="0"/>
          <w:divBdr>
            <w:top w:val="single" w:sz="2" w:space="0" w:color="DEE0E3"/>
            <w:left w:val="single" w:sz="2" w:space="0" w:color="DEE0E3"/>
            <w:bottom w:val="single" w:sz="2" w:space="0" w:color="DEE0E3"/>
            <w:right w:val="single" w:sz="2" w:space="0" w:color="DEE0E3"/>
          </w:divBdr>
        </w:div>
      </w:divsChild>
    </w:div>
    <w:div w:id="1975327542">
      <w:bodyDiv w:val="1"/>
      <w:marLeft w:val="0"/>
      <w:marRight w:val="0"/>
      <w:marTop w:val="0"/>
      <w:marBottom w:val="0"/>
      <w:divBdr>
        <w:top w:val="none" w:sz="0" w:space="0" w:color="auto"/>
        <w:left w:val="none" w:sz="0" w:space="0" w:color="auto"/>
        <w:bottom w:val="none" w:sz="0" w:space="0" w:color="auto"/>
        <w:right w:val="none" w:sz="0" w:space="0" w:color="auto"/>
      </w:divBdr>
    </w:div>
    <w:div w:id="2010719284">
      <w:bodyDiv w:val="1"/>
      <w:marLeft w:val="0"/>
      <w:marRight w:val="0"/>
      <w:marTop w:val="0"/>
      <w:marBottom w:val="0"/>
      <w:divBdr>
        <w:top w:val="none" w:sz="0" w:space="0" w:color="auto"/>
        <w:left w:val="none" w:sz="0" w:space="0" w:color="auto"/>
        <w:bottom w:val="none" w:sz="0" w:space="0" w:color="auto"/>
        <w:right w:val="none" w:sz="0" w:space="0" w:color="auto"/>
      </w:divBdr>
    </w:div>
    <w:div w:id="2035885510">
      <w:bodyDiv w:val="1"/>
      <w:marLeft w:val="0"/>
      <w:marRight w:val="0"/>
      <w:marTop w:val="0"/>
      <w:marBottom w:val="0"/>
      <w:divBdr>
        <w:top w:val="none" w:sz="0" w:space="0" w:color="auto"/>
        <w:left w:val="none" w:sz="0" w:space="0" w:color="auto"/>
        <w:bottom w:val="none" w:sz="0" w:space="0" w:color="auto"/>
        <w:right w:val="none" w:sz="0" w:space="0" w:color="auto"/>
      </w:divBdr>
    </w:div>
    <w:div w:id="2047371681">
      <w:bodyDiv w:val="1"/>
      <w:marLeft w:val="0"/>
      <w:marRight w:val="0"/>
      <w:marTop w:val="0"/>
      <w:marBottom w:val="0"/>
      <w:divBdr>
        <w:top w:val="none" w:sz="0" w:space="0" w:color="auto"/>
        <w:left w:val="none" w:sz="0" w:space="0" w:color="auto"/>
        <w:bottom w:val="none" w:sz="0" w:space="0" w:color="auto"/>
        <w:right w:val="none" w:sz="0" w:space="0" w:color="auto"/>
      </w:divBdr>
    </w:div>
    <w:div w:id="2078015792">
      <w:bodyDiv w:val="1"/>
      <w:marLeft w:val="0"/>
      <w:marRight w:val="0"/>
      <w:marTop w:val="0"/>
      <w:marBottom w:val="0"/>
      <w:divBdr>
        <w:top w:val="none" w:sz="0" w:space="0" w:color="auto"/>
        <w:left w:val="none" w:sz="0" w:space="0" w:color="auto"/>
        <w:bottom w:val="none" w:sz="0" w:space="0" w:color="auto"/>
        <w:right w:val="none" w:sz="0" w:space="0" w:color="auto"/>
      </w:divBdr>
    </w:div>
    <w:div w:id="2106686559">
      <w:bodyDiv w:val="1"/>
      <w:marLeft w:val="0"/>
      <w:marRight w:val="0"/>
      <w:marTop w:val="0"/>
      <w:marBottom w:val="0"/>
      <w:divBdr>
        <w:top w:val="none" w:sz="0" w:space="0" w:color="auto"/>
        <w:left w:val="none" w:sz="0" w:space="0" w:color="auto"/>
        <w:bottom w:val="none" w:sz="0" w:space="0" w:color="auto"/>
        <w:right w:val="none" w:sz="0" w:space="0" w:color="auto"/>
      </w:divBdr>
      <w:divsChild>
        <w:div w:id="482508659">
          <w:marLeft w:val="0"/>
          <w:marRight w:val="0"/>
          <w:marTop w:val="0"/>
          <w:marBottom w:val="0"/>
          <w:divBdr>
            <w:top w:val="single" w:sz="2" w:space="0" w:color="DEE0E3"/>
            <w:left w:val="single" w:sz="2" w:space="0" w:color="DEE0E3"/>
            <w:bottom w:val="single" w:sz="2" w:space="0" w:color="DEE0E3"/>
            <w:right w:val="single" w:sz="2" w:space="0" w:color="DEE0E3"/>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437" row="1">
    <wetp:webextensionref xmlns:r="http://schemas.openxmlformats.org/officeDocument/2006/relationships" r:id="rId2"/>
  </wetp:taskpane>
  <wetp:taskpane dockstate="right" visibility="0" width="350" row="13">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955179DD-D72C-4929-8A90-79A290CAB970}">
  <we:reference id="wa200001361" version="2.2.1.0" store="en-US" storeType="OMEX"/>
  <we:alternateReferences>
    <we:reference id="WA200001361" version="2.2.1.0" store="" storeType="OMEX"/>
  </we:alternateReferences>
  <we:properties>
    <we:property name="paperpal-document-id" value="&quot;054b851d-1ba3-4a72-82cb-2b7a07b48c89&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4E3F6367-C01D-47F3-83DD-756EA9EDEA5C}">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F427E929-B170-458A-AE83-225CF84B5D02}">
  <we:reference id="wa200002125" version="1.2.0.0" store="en-001" storeType="OMEX"/>
  <we:alternateReferences>
    <we:reference id="WA200002125"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Wan13</b:Tag>
    <b:SourceType>ConferenceProceedings</b:SourceType>
    <b:Guid>{D269BFA0-E2D7-4310-8FAC-370A097D0AD2}</b:Guid>
    <b:Title>The progress of environmental risk management</b:Title>
    <b:Year>2013</b:Year>
    <b:JournalName>Advanced Materials Research</b:JournalName>
    <b:Pages> 726-731</b:Pages>
    <b:ConferenceName> International Conference on Energy and Environmental Protection, ICEEP 2013Advanced Materials Research</b:ConferenceName>
    <b:Author>
      <b:Author>
        <b:NameList>
          <b:Person>
            <b:Last>Wang</b:Last>
            <b:First>Ying</b:First>
          </b:Person>
          <b:Person>
            <b:Last>Hu</b:Last>
            <b:First>Jun Sheng</b:First>
          </b:Person>
          <b:Person>
            <b:Last>Zhao</b:Last>
            <b:First>Yin Ping</b:First>
          </b:Person>
        </b:NameList>
      </b:Author>
    </b:Author>
    <b:RefOrder>15</b:RefOrder>
  </b:Source>
  <b:Source>
    <b:Tag>Wei15</b:Tag>
    <b:SourceType>Book</b:SourceType>
    <b:Guid>{F9750293-3972-4096-9258-786A86E82C67}</b:Guid>
    <b:Title>Managing the Unexpected: Sustained Performance in a Complex World, Third Edition</b:Title>
    <b:Year>2015</b:Year>
    <b:Publisher>Johns Hopkins University</b:Publisher>
    <b:Author>
      <b:Author>
        <b:NameList>
          <b:Person>
            <b:Last>Weick</b:Last>
            <b:First>Karl</b:First>
          </b:Person>
          <b:Person>
            <b:Last>Sctcliffe</b:Last>
            <b:Middle>M.</b:Middle>
            <b:First>Kathleen</b:First>
          </b:Person>
        </b:NameList>
      </b:Author>
    </b:Author>
    <b:RefOrder>16</b:RefOrder>
  </b:Source>
  <b:Source>
    <b:Tag>Dup24</b:Tag>
    <b:SourceType>JournalArticle</b:SourceType>
    <b:Guid>{09E46B95-3092-49BD-9BAB-17D184F5C833}</b:Guid>
    <b:Title>How High Reliability Can Facilitate Clinical, Organizational, and Public Health Responses to Global Ecological Health Risks</b:Title>
    <b:Year>2024</b:Year>
    <b:JournalName>AMA Journal of Ethics</b:JournalName>
    <b:Pages>171-178</b:Pages>
    <b:Author>
      <b:Author>
        <b:NameList>
          <b:Person>
            <b:Last>Duplechan</b:Last>
            <b:First>Lloyd</b:First>
          </b:Person>
        </b:NameList>
      </b:Author>
    </b:Author>
    <b:RefOrder>17</b:RefOrder>
  </b:Source>
  <b:Source>
    <b:Tag>Bie24</b:Tag>
    <b:SourceType>JournalArticle</b:SourceType>
    <b:Guid>{08D120D2-91CC-462A-B203-25071CFFFF93}</b:Guid>
    <b:Title>High Reliability Organisations in a Changing World: The Case of Air Traffic Control</b:Title>
    <b:JournalName>Research in Transportation Business and Management</b:JournalName>
    <b:Year>2024</b:Year>
    <b:Author>
      <b:Author>
        <b:NameList>
          <b:Person>
            <b:Last>Biedermann</b:Last>
            <b:First>Markus</b:First>
          </b:Person>
          <b:Person>
            <b:Last>Papatheodorou</b:Last>
            <b:First>Andreas</b:First>
          </b:Person>
          <b:Person>
            <b:Last>Prowle</b:Last>
            <b:First>Malcolm</b:First>
          </b:Person>
          <b:Person>
            <b:Last>Bulatovic</b:Last>
            <b:First>Iva</b:First>
          </b:Person>
        </b:NameList>
      </b:Author>
    </b:Author>
    <b:RefOrder>18</b:RefOrder>
  </b:Source>
  <b:Source>
    <b:Tag>waq20</b:Tag>
    <b:SourceType>JournalArticle</b:SourceType>
    <b:Guid>{6438372F-6318-466D-B9C5-481CC027CEEC}</b:Guid>
    <b:Title>Evaluating the critical safety factors causing accidents in downstream oil</b:Title>
    <b:JournalName>Ain Shams Engineering Journal</b:JournalName>
    <b:Year>2020</b:Year>
    <b:Author>
      <b:Author>
        <b:NameList>
          <b:Person>
            <b:Last>waqar</b:Last>
            <b:First>Ahsan</b:First>
          </b:Person>
          <b:Person>
            <b:Last>Idrsis</b:Last>
            <b:First>Othman</b:First>
          </b:Person>
          <b:Person>
            <b:Last>Nasir</b:Last>
            <b:First>Shafiq</b:First>
          </b:Person>
          <b:Person>
            <b:Last>Muhammad</b:Last>
            <b:First>Shoaib Mansoor</b:First>
          </b:Person>
        </b:NameList>
      </b:Author>
    </b:Author>
    <b:RefOrder>19</b:RefOrder>
  </b:Source>
  <b:Source>
    <b:Tag>Hud07</b:Tag>
    <b:SourceType>JournalArticle</b:SourceType>
    <b:Guid>{DEACEEC1-3A26-42B7-BBA2-217BE0080294}</b:Guid>
    <b:Title>Implementing a safety culture in a major multi-national</b:Title>
    <b:JournalName>Safety Science</b:JournalName>
    <b:Year>2007</b:Year>
    <b:Pages>697-722</b:Pages>
    <b:Author>
      <b:Author>
        <b:NameList>
          <b:Person>
            <b:Last>Hudsion</b:Last>
            <b:First>P.</b:First>
          </b:Person>
        </b:NameList>
      </b:Author>
    </b:Author>
    <b:DOI>https://doi.org/10.1016/J.SSCI.2007.04.005.</b:DOI>
    <b:RefOrder>20</b:RefOrder>
  </b:Source>
  <b:Source>
    <b:Tag>Alb18</b:Tag>
    <b:SourceType>JournalArticle</b:SourceType>
    <b:Guid>{0CB46D48-045C-4CD4-9C57-62EEA7CDDD97}</b:Guid>
    <b:Title>Considerations Regarding Environmental Aspects of Risk Management in the Oil and Gas Industry</b:Title>
    <b:JournalName>Advanced EngineeringForum</b:JournalName>
    <b:Year>2018</b:Year>
    <b:Pages>213-218</b:Pages>
    <b:Author>
      <b:Author>
        <b:NameList>
          <b:Person>
            <b:Last>Albu</b:Last>
            <b:First>M.</b:First>
          </b:Person>
        </b:NameList>
      </b:Author>
    </b:Author>
    <b:RefOrder>21</b:RefOrder>
  </b:Source>
  <b:Source>
    <b:Tag>Pur18</b:Tag>
    <b:SourceType>JournalArticle</b:SourceType>
    <b:Guid>{3AD4E7B5-486A-4A4A-93B7-17333CF98B6C}</b:Guid>
    <b:Title>Role of Cultural Dimensions in Safety Performance of Global Oil and Gas Industry.</b:Title>
    <b:JournalName>Advance Petrochemical Science</b:JournalName>
    <b:Year>2018</b:Year>
    <b:Author>
      <b:Author>
        <b:NameList>
          <b:Person>
            <b:Last>Purang</b:Last>
            <b:First>P.</b:First>
          </b:Person>
          <b:Person>
            <b:Last>Surajit </b:Last>
            <b:First>Bhattacharyya</b:First>
          </b:Person>
          <b:Person>
            <b:Last> Gharpurea</b:Last>
            <b:First>Suparna </b:First>
          </b:Person>
          <b:Person>
            <b:Last>Sandip </b:Last>
            <b:First>Roya</b:First>
          </b:Person>
        </b:NameList>
      </b:Author>
    </b:Author>
    <b:RefOrder>22</b:RefOrder>
  </b:Source>
  <b:Source>
    <b:Tag>Ehi20</b:Tag>
    <b:SourceType>JournalArticle</b:SourceType>
    <b:Guid>{C9A8D656-C504-4E62-BB03-538C41611A4D}</b:Guid>
    <b:Title>Improving the Safety Performance of Workers by Assessing the Impact of Safety Culture on Workers’ Safety Behaviour in Nigeria Oil and Gas Industry: A Pilot Study in the Niger Delta Region</b:Title>
    <b:JournalName>International Journal of Medical and Health Sciences,</b:JournalName>
    <b:Year>2020</b:Year>
    <b:Pages>152-156</b:Pages>
    <b:Author>
      <b:Author>
        <b:NameList>
          <b:Person>
            <b:Last>Ehiaguina, </b:Last>
            <b:First>E. </b:First>
          </b:Person>
          <b:Person>
            <b:Last> Moda </b:Last>
            <b:First>H</b:First>
          </b:Person>
        </b:NameList>
      </b:Author>
    </b:Author>
    <b:RefOrder>23</b:RefOrder>
  </b:Source>
  <b:Source>
    <b:Tag>Sha23</b:Tag>
    <b:SourceType>JournalArticle</b:SourceType>
    <b:Guid>{7162ACE9-B146-4F7B-8B9A-C1E65366E325}</b:Guid>
    <b:Title>Overcoming barriers to circular economy implementation in the oil &amp; gas industry: Environmental and social implications</b:Title>
    <b:JournalName>Journal of Cleaner Production</b:JournalName>
    <b:Year>2023</b:Year>
    <b:Author>
      <b:Author>
        <b:NameList>
          <b:Person>
            <b:Last>Sharma</b:Last>
            <b:First>Manu</b:First>
          </b:Person>
          <b:Person>
            <b:Last>Sudhanshu</b:Last>
            <b:First>Joshi</b:First>
          </b:Person>
          <b:Person>
            <b:Last>Mukesh</b:Last>
            <b:First>Prasad</b:First>
          </b:Person>
          <b:Person>
            <b:Last>Shalini</b:Last>
            <b:First>Bartwal</b:First>
          </b:Person>
        </b:NameList>
      </b:Author>
    </b:Author>
    <b:RefOrder>24</b:RefOrder>
  </b:Source>
  <b:Source>
    <b:Tag>Meh21</b:Tag>
    <b:SourceType>JournalArticle</b:SourceType>
    <b:Guid>{3BBBEE4E-8501-4C57-981F-84123C4D0C75}</b:Guid>
    <b:Title>An environmental risk assessment framework for enhanced oil recovery solutions from offshore oil and gas industry</b:Title>
    <b:JournalName>Environmental Impact Assessment Review</b:JournalName>
    <b:Year>2021</b:Year>
    <b:Author>
      <b:Author>
        <b:NameList>
          <b:Person>
            <b:Last>Mehul</b:Last>
            <b:First>Vora</b:First>
          </b:Person>
          <b:Person>
            <b:Last>Steinar</b:Last>
            <b:First>Sanni</b:First>
          </b:Person>
          <b:Person>
            <b:Last>Flage</b:Last>
            <b:First>Roger</b:First>
          </b:Person>
        </b:NameList>
      </b:Author>
    </b:Author>
    <b:RefOrder>25</b:RefOrder>
  </b:Source>
  <b:Source>
    <b:Tag>Alk23</b:Tag>
    <b:SourceType>JournalArticle</b:SourceType>
    <b:Guid>{A818574E-3C24-4B81-A1DB-41C23D17CF84}</b:Guid>
    <b:Title>Assessing safety culture in public sector organisations: A cross-national study</b:Title>
    <b:JournalName>International Journal of Industrial Ergonomics</b:JournalName>
    <b:Year>2023</b:Year>
    <b:Author>
      <b:Author>
        <b:NameList>
          <b:Person>
            <b:Last>Alkhaledi</b:Last>
            <b:Middle>A.</b:Middle>
            <b:First>Khaled</b:First>
          </b:Person>
          <b:Person>
            <b:Last>Salaheddine</b:Last>
            <b:First>Bendak</b:First>
          </b:Person>
          <b:Person>
            <b:Last>Dashti</b:Last>
            <b:First>Fatima</b:First>
          </b:Person>
        </b:NameList>
      </b:Author>
    </b:Author>
    <b:RefOrder>26</b:RefOrder>
  </b:Source>
  <b:Source>
    <b:Tag>Pau20</b:Tag>
    <b:SourceType>JournalArticle</b:SourceType>
    <b:Guid>{F04A606F-3278-44F5-940E-751B0EE12DB9}</b:Guid>
    <b:Author>
      <b:Author>
        <b:NameList>
          <b:Person>
            <b:Last>Schulman</b:Last>
            <b:First>Paul</b:First>
            <b:Middle>R.</b:Middle>
          </b:Person>
        </b:NameList>
      </b:Author>
    </b:Author>
    <b:Title>Organizational structure and safety culture: Conceptual and practical challenges</b:Title>
    <b:JournalName>Safety Science</b:JournalName>
    <b:Year>2020</b:Year>
    <b:RefOrder>27</b:RefOrder>
  </b:Source>
  <b:Source>
    <b:Tag>Tes23</b:Tag>
    <b:SourceType>JournalArticle</b:SourceType>
    <b:Guid>{84D1500D-E5CE-4C1E-A70A-C096F9E120A8}</b:Guid>
    <b:Title>Fuzzy FMEA in risk assessment for test and calibration laboratories</b:Title>
    <b:Pages>575 - 589</b:Pages>
    <b:Year>2023</b:Year>
    <b:Author>
      <b:Author>
        <b:NameList>
          <b:Person>
            <b:Last>Testik</b:Last>
            <b:Middle>Ozlem</b:Middle>
            <b:First>Muge</b:First>
          </b:Person>
          <b:Person>
            <b:Last>Unlu</b:Last>
            <b:Middle>Ezgi</b:Middle>
            <b:First>Tok</b:First>
          </b:Person>
        </b:NameList>
      </b:Author>
    </b:Author>
    <b:JournalName>Quality and Reliability Engineering International</b:JournalName>
    <b:RefOrder>28</b:RefOrder>
  </b:Source>
  <b:Source>
    <b:Tag>Raj05</b:Tag>
    <b:SourceType>JournalArticle</b:SourceType>
    <b:Guid>{E399A032-50DE-4809-95BC-B2FE756A4EB2}</b:Guid>
    <b:Title>Systematic failure mode effect analysis (FMEA) using fuzzy linguistic modelling</b:Title>
    <b:JournalName>International Journal of Quality &amp; Reliability Management</b:JournalName>
    <b:Year>2005</b:Year>
    <b:Pages>v</b:Pages>
    <b:Author>
      <b:Author>
        <b:NameList>
          <b:Person>
            <b:Last>Rajiv</b:Last>
            <b:First>kumar Sharma</b:First>
          </b:Person>
          <b:Person>
            <b:Last>Kumar</b:Last>
            <b:First>Dinesh</b:First>
          </b:Person>
          <b:Person>
            <b:Last>Pradeep</b:Last>
            <b:First>Kumar</b:First>
          </b:Person>
        </b:NameList>
      </b:Author>
    </b:Author>
    <b:RefOrder>29</b:RefOrder>
  </b:Source>
  <b:Source>
    <b:Tag>Jai24</b:Tag>
    <b:SourceType>JournalArticle</b:SourceType>
    <b:Guid>{39FF283A-6D7E-4B58-A07A-6535D84D2670}</b:Guid>
    <b:Title>Supply Chain Management in Construction Projects: A Comprehensive Analysis of the Indian Context - Review</b:Title>
    <b:JournalName>International Journal of Research and Review</b:JournalName>
    <b:Year>2024</b:Year>
    <b:Author>
      <b:Author>
        <b:NameList>
          <b:Person>
            <b:Last>Jaisree</b:Last>
            <b:First>K.B.</b:First>
          </b:Person>
          <b:Person>
            <b:Last>Palani</b:Last>
            <b:First>B</b:First>
          </b:Person>
        </b:NameList>
      </b:Author>
    </b:Author>
    <b:RefOrder>30</b:RefOrder>
  </b:Source>
  <b:Source>
    <b:Tag>Nih23</b:Tag>
    <b:SourceType>JournalArticle</b:SourceType>
    <b:Guid>{AB58BA6F-CC1C-4563-97D0-5E0394943DFF}</b:Guid>
    <b:Title>Risk Evaluation and Management Involved in Supply Chain Management</b:Title>
    <b:JournalName>Migration Letters</b:JournalName>
    <b:Year>2023</b:Year>
    <b:Author>
      <b:Author>
        <b:NameList>
          <b:Person>
            <b:Last>Nihlani</b:Last>
            <b:First>Ankita</b:First>
          </b:Person>
          <b:Person>
            <b:Last>Byju</b:Last>
            <b:First>John</b:First>
          </b:Person>
          <b:Person>
            <b:Last>Kaur Chhabda</b:Last>
            <b:First>Parvindar</b:First>
          </b:Person>
        </b:NameList>
      </b:Author>
    </b:Author>
    <b:RefOrder>31</b:RefOrder>
  </b:Source>
  <b:Source>
    <b:Tag>Fre15</b:Tag>
    <b:SourceType>JournalArticle</b:SourceType>
    <b:Guid>{ED2A8DAB-DB1B-425D-9119-275F9E79C5DB}</b:Guid>
    <b:Title>Social and environmental risk management in supply chains: a survey in the clothing industry</b:Title>
    <b:JournalName>Logistics Research</b:JournalName>
    <b:Year>2015</b:Year>
    <b:Author>
      <b:Author>
        <b:NameList>
          <b:Person>
            <b:Last>Freise</b:Last>
            <b:First>Matthias</b:First>
          </b:Person>
          <b:Person>
            <b:Last>Seuring</b:Last>
            <b:First>Stefan</b:First>
          </b:Person>
        </b:NameList>
      </b:Author>
    </b:Author>
    <b:RefOrder>32</b:RefOrder>
  </b:Source>
  <b:Source>
    <b:Tag>Mig24</b:Tag>
    <b:SourceType>JournalArticle</b:SourceType>
    <b:Guid>{A4B98BF6-7905-4147-A379-19F1A6750A19}</b:Guid>
    <b:Title>The effects of national culture on safety: Insights from a multi-case study</b:Title>
    <b:Year>2024</b:Year>
    <b:JournalName>Safety Science</b:JournalName>
    <b:Author>
      <b:Author>
        <b:NameList>
          <b:Person>
            <b:Last>Migueles</b:Last>
            <b:First>Carmen Pires</b:First>
          </b:Person>
          <b:Person>
            <b:Last>Zanini</b:Last>
            <b:Middle>Fundao</b:Middle>
            <b:First>Marco Tulio</b:First>
          </b:Person>
        </b:NameList>
      </b:Author>
    </b:Author>
    <b:RefOrder>33</b:RefOrder>
  </b:Source>
  <b:Source>
    <b:Tag>Bos18</b:Tag>
    <b:SourceType>JournalArticle</b:SourceType>
    <b:Guid>{92B14619-9518-437E-96F8-92E87704BFD1}</b:Guid>
    <b:Title>National culture and operations management: a structured literature review</b:Title>
    <b:JournalName>International Journal of Production Research</b:JournalName>
    <b:Year>2018</b:Year>
    <b:Pages>6314 - 6331</b:Pages>
    <b:Author>
      <b:Author>
        <b:NameList>
          <b:Person>
            <b:Last>Boscari</b:Last>
            <b:First>Stefania</b:First>
          </b:Person>
          <b:Person>
            <b:Last>Bortolotti</b:Last>
            <b:First>Thomas</b:First>
          </b:Person>
          <b:Person>
            <b:Last>Netland</b:Last>
            <b:First>Torbjorn</b:First>
          </b:Person>
        </b:NameList>
      </b:Author>
    </b:Author>
    <b:RefOrder>34</b:RefOrder>
  </b:Source>
  <b:Source>
    <b:Tag>Gla22</b:Tag>
    <b:SourceType>JournalArticle</b:SourceType>
    <b:Guid>{13F14CE1-5A69-4015-88AD-A9EBBC9FB3E7}</b:Guid>
    <b:Title>Toward a theory of high reliability for natural gas distribution utilities</b:Title>
    <b:JournalName>Utilities Policy</b:JournalName>
    <b:Year>2022</b:Year>
    <b:Author>
      <b:Author>
        <b:NameList>
          <b:Person>
            <b:Last>Glasmeier</b:Last>
            <b:First>Amy k.</b:First>
          </b:Person>
          <b:Person>
            <b:Last>Willaim</b:Last>
            <b:First>Darlen Alexander</b:First>
          </b:Person>
        </b:NameList>
      </b:Author>
    </b:Author>
    <b:RefOrder>35</b:RefOrder>
  </b:Source>
  <b:Source>
    <b:Tag>Gha17</b:Tag>
    <b:SourceType>Book</b:SourceType>
    <b:Guid>{B9DB8147-3729-4A9D-8DAD-F2A10A747DA3}</b:Guid>
    <b:Title>Environment, health and safety governance and leadership: The making of high reliability organizations</b:Title>
    <b:Year>2017</b:Year>
    <b:Author>
      <b:Author>
        <b:NameList>
          <b:Person>
            <b:Last>Ghanem</b:Last>
            <b:First>Al Hashmi</b:First>
          </b:Person>
          <b:Person>
            <b:Last>Waddah</b:Last>
            <b:First>S</b:First>
          </b:Person>
        </b:NameList>
      </b:Author>
    </b:Author>
    <b:Publisher>Taylor and Francis</b:Publisher>
    <b:RefOrder>36</b:RefOrder>
  </b:Source>
  <b:Source>
    <b:Tag>Let20</b:Tag>
    <b:SourceType>ConferenceProceedings</b:SourceType>
    <b:Guid>{4CE4F5D7-364B-4877-97B1-198D492EC275}</b:Guid>
    <b:Title>High reliability organizations – Application of us nuclear navy extreme operational excellence principles in the oil and gas industry</b:Title>
    <b:Year>2020</b:Year>
    <b:ConferenceName>2020 AIChE Virtual Spring Meeting and 16th Global Congress on Process Safety</b:ConferenceName>
    <b:Author>
      <b:Author>
        <b:NameList>
          <b:Person>
            <b:Last>Lethcoe</b:Last>
            <b:First>Bryan</b:First>
          </b:Person>
          <b:Person>
            <b:Last>Nbelski</b:Last>
            <b:First>Richard</b:First>
          </b:Person>
        </b:NameList>
      </b:Author>
    </b:Author>
    <b:RefOrder>37</b:RefOrder>
  </b:Source>
  <b:Source>
    <b:Tag>Coh20</b:Tag>
    <b:SourceType>InternetSite</b:SourceType>
    <b:Guid>{253C0441-69C0-4386-A17C-85FB41C791FE}</b:Guid>
    <b:Title>Economic Growth and Environmental Sustainability</b:Title>
    <b:Year>2020</b:Year>
    <b:Author>
      <b:Author>
        <b:NameList>
          <b:Person>
            <b:Last>Cohen</b:Last>
            <b:First>Steve</b:First>
          </b:Person>
        </b:NameList>
      </b:Author>
    </b:Author>
    <b:Month>January</b:Month>
    <b:Day>27</b:Day>
    <b:InternetSiteTitle>https://news.climate.columbia.edu/</b:InternetSiteTitle>
    <b:RefOrder>1</b:RefOrder>
  </b:Source>
  <b:Source>
    <b:Tag>Jab21</b:Tag>
    <b:SourceType>JournalArticle</b:SourceType>
    <b:Guid>{A21899E3-EC30-4B52-A556-ABD54A41860C}</b:Guid>
    <b:Title>Shaping the Safety Culture of High Reliability Organizations through Digital Transformation</b:Title>
    <b:JournalName>Eneries</b:JournalName>
    <b:Year>2021</b:Year>
    <b:Author>
      <b:Author>
        <b:NameList>
          <b:Person>
            <b:Last>Jablonski</b:Last>
            <b:First>M.</b:First>
          </b:Person>
          <b:Person>
            <b:Last>Jablonski</b:Last>
            <b:First>A.</b:First>
          </b:Person>
        </b:NameList>
      </b:Author>
    </b:Author>
    <b:RefOrder>38</b:RefOrder>
  </b:Source>
  <b:Source>
    <b:Tag>Pid10</b:Tag>
    <b:SourceType>JournalArticle</b:SourceType>
    <b:Guid>{AC63FFAB-683F-46DB-BA25-07798E1075CA}</b:Guid>
    <b:Title>System thinking, Culture of reliability and safety</b:Title>
    <b:Year>2010</b:Year>
    <b:Author>
      <b:Author>
        <b:NameList>
          <b:Person>
            <b:Last>Pidgeon</b:Last>
            <b:First>N.</b:First>
          </b:Person>
        </b:NameList>
      </b:Author>
    </b:Author>
    <b:JournalName>Engineering, Environmental Science</b:JournalName>
    <b:RefOrder>7</b:RefOrder>
  </b:Source>
  <b:Source>
    <b:Tag>Dek10</b:Tag>
    <b:SourceType>JournalArticle</b:SourceType>
    <b:Guid>{EBB54CEB-B032-40F7-988E-CAF078BDE074}</b:Guid>
    <b:Title>The High Reliability Organization Perspective</b:Title>
    <b:JournalName>Engineering</b:JournalName>
    <b:Year>2010</b:Year>
    <b:Author>
      <b:Author>
        <b:NameList>
          <b:Person>
            <b:Last>Dekker</b:Last>
            <b:First>S.</b:First>
          </b:Person>
          <b:Person>
            <b:Last>Wood</b:Last>
            <b:First>D.</b:First>
          </b:Person>
        </b:NameList>
      </b:Author>
    </b:Author>
    <b:RefOrder>6</b:RefOrder>
  </b:Source>
  <b:Source>
    <b:Tag>Kho14</b:Tag>
    <b:SourceType>JournalArticle</b:SourceType>
    <b:Guid>{D42DE612-F161-4E44-A054-62D914AE6FEB}</b:Guid>
    <b:Title>A risk perspective supporting organizational efforts for achieving high reliability</b:Title>
    <b:JournalName>Journal of Risk Research</b:JournalName>
    <b:Year>2014</b:Year>
    <b:Author>
      <b:Author>
        <b:NameList>
          <b:Person>
            <b:Last>Khorsandi</b:Last>
            <b:First>J.</b:First>
          </b:Person>
          <b:Person>
            <b:Last>Aven</b:Last>
            <b:First>T.</b:First>
          </b:Person>
        </b:NameList>
      </b:Author>
    </b:Author>
    <b:RefOrder>8</b:RefOrder>
  </b:Source>
  <b:Source>
    <b:Tag>Jar14</b:Tag>
    <b:SourceType>JournalArticle</b:SourceType>
    <b:Guid>{8FA2043D-1C92-4527-9D42-58E0265A81E5}</b:Guid>
    <b:Title>Managers Perception of Organsiation Safety:Implication for the development of Safety Culture</b:Title>
    <b:JournalName>Business safety of Technogenic Environment</b:JournalName>
    <b:Year>2014</b:Year>
    <b:Author>
      <b:Author>
        <b:NameList>
          <b:Person>
            <b:Last>Jarvis</b:Last>
            <b:First>M.</b:First>
          </b:Person>
          <b:Person>
            <b:Last>Virovere</b:Last>
            <b:First>Anu</b:First>
          </b:Person>
          <b:Person>
            <b:Last>Tint</b:Last>
            <b:First>P.</b:First>
          </b:Person>
        </b:NameList>
      </b:Author>
    </b:Author>
    <b:RefOrder>4</b:RefOrder>
  </b:Source>
  <b:Source>
    <b:Tag>Bad20</b:Tag>
    <b:SourceType>JournalArticle</b:SourceType>
    <b:Guid>{ED7B1038-8440-400E-B04D-92C3F813781F}</b:Guid>
    <b:Title>Safety Culture in the Spanish Nuclear Power Plants through the Prism of High Reliability Organization, Resilience and Conflicting Objectives Theories</b:Title>
    <b:JournalName>Applied Sciences</b:JournalName>
    <b:Year>2020</b:Year>
    <b:Author>
      <b:Author>
        <b:NameList>
          <b:Person>
            <b:Last>Badia </b:Last>
            <b:First>Eulàlia</b:First>
          </b:Person>
          <b:Person>
            <b:Last>Navajas</b:Last>
            <b:First>Joaquín</b:First>
          </b:Person>
          <b:Person>
            <b:Last>Losilla </b:Last>
            <b:First>Josep-Maria </b:First>
          </b:Person>
        </b:NameList>
      </b:Author>
    </b:Author>
    <b:RefOrder>9</b:RefOrder>
  </b:Source>
  <b:Source>
    <b:Tag>Kol17</b:Tag>
    <b:SourceType>JournalArticle</b:SourceType>
    <b:Guid>{31F7DBF3-32AE-4979-A951-DAA206812C95}</b:Guid>
    <b:Title>Failure mode and effects analysis using a fuzzy-TOPSIS method: a case study of subsea control module</b:Title>
    <b:JournalName>International journal of multicriteria decision making</b:JournalName>
    <b:Year>2017</b:Year>
    <b:Author>
      <b:Author>
        <b:NameList>
          <b:Person>
            <b:Last>Kolios</b:Last>
            <b:First>A</b:First>
          </b:Person>
          <b:Person>
            <b:Last>Umofia</b:Last>
            <b:First>A</b:First>
          </b:Person>
          <b:Person>
            <b:Last>Shafiee</b:Last>
            <b:First>M</b:First>
          </b:Person>
        </b:NameList>
      </b:Author>
    </b:Author>
    <b:RefOrder>5</b:RefOrder>
  </b:Source>
  <b:Source>
    <b:Tag>Abd16</b:Tag>
    <b:SourceType>JournalArticle</b:SourceType>
    <b:Guid>{4EAE89D0-8315-4900-A727-722168FDFAF8}</b:Guid>
    <b:Author>
      <b:Author>
        <b:NameList>
          <b:Person>
            <b:Last>Alothman</b:Last>
            <b:First>Abdulaziz</b:First>
          </b:Person>
        </b:NameList>
      </b:Author>
    </b:Author>
    <b:Title>A Detailed View of High Reliability Organization Models in the Oil Industry</b:Title>
    <b:JournalName>EngineeringEnvironemental Science</b:JournalName>
    <b:Year>2016</b:Year>
    <b:RefOrder>3</b:RefOrder>
  </b:Source>
  <b:Source>
    <b:Tag>Ali18</b:Tag>
    <b:SourceType>JournalArticle</b:SourceType>
    <b:Guid>{B2CCEF48-43D0-4F53-94F1-A7E6B2B41AE4}</b:Guid>
    <b:Title>Exploratory participatory modeling with FCM to overcome uncertainty: Improving safety culture in oil and gas operations</b:Title>
    <b:JournalName>Engineering Environmental Science</b:JournalName>
    <b:Year>2018</b:Year>
    <b:Author>
      <b:Author>
        <b:NameList>
          <b:Person>
            <b:Last>Alibage</b:Last>
            <b:First>Ahmed </b:First>
          </b:Person>
          <b:Person>
            <b:Last>Jetter</b:Last>
            <b:First>A</b:First>
          </b:Person>
          <b:Person>
            <b:Last>Aminpour</b:Last>
            <b:First>Payam</b:First>
          </b:Person>
          <b:Person>
            <b:Last>Gray</b:Last>
            <b:Middle>A</b:Middle>
            <b:First>Steven</b:First>
          </b:Person>
          <b:Person>
            <b:Last> Scyphers</b:Last>
            <b:First>S</b:First>
          </b:Person>
        </b:NameList>
      </b:Author>
    </b:Author>
    <b:RefOrder>10</b:RefOrder>
  </b:Source>
  <b:Source>
    <b:Tag>Ahm14</b:Tag>
    <b:SourceType>JournalArticle</b:SourceType>
    <b:Guid>{CCA9B1F5-EFF8-4EF7-94F3-AE3F36E6EC28}</b:Guid>
    <b:Title>Examining risk behavior and risk management practices in oil and gas construction industry</b:Title>
    <b:JournalName>Engineering Business</b:JournalName>
    <b:Year>2014</b:Year>
    <b:Author>
      <b:Author>
        <b:NameList>
          <b:Person>
            <b:Last>Ahmad</b:Last>
            <b:First>A</b:First>
          </b:Person>
        </b:NameList>
      </b:Author>
    </b:Author>
    <b:RefOrder>12</b:RefOrder>
  </b:Source>
  <b:Source>
    <b:Tag>Ehi201</b:Tag>
    <b:SourceType>JournalArticle</b:SourceType>
    <b:Guid>{A2878F71-3BDA-4C29-B384-5E82918384EF}</b:Guid>
    <b:Title>Improving the Safety Performance of Workers by Assessing the Impact of Safety Culture on Workers’ Safety Behaviour in Nigeria Oil and Gas Industry: A Pilot Study in the Niger Delta Region</b:Title>
    <b:JournalName>International Journal of Medical and Health Sciences;Environmental Science, Business, Engineering</b:JournalName>
    <b:Year>2020</b:Year>
    <b:Author>
      <b:Author>
        <b:NameList>
          <b:Person>
            <b:Last>Ehiaguina</b:Last>
            <b:First>Efua</b:First>
          </b:Person>
          <b:Person>
            <b:Last>Moda</b:Last>
            <b:First>H</b:First>
          </b:Person>
        </b:NameList>
      </b:Author>
    </b:Author>
    <b:RefOrder>13</b:RefOrder>
  </b:Source>
  <b:Source>
    <b:Tag>deO19</b:Tag>
    <b:SourceType>JournalArticle</b:SourceType>
    <b:Guid>{168BCE27-BFA4-4404-A9CC-36AC9865838E}</b:Guid>
    <b:Title>Environmental risk management in supply chains: A taxonomy, a framework and future research avenues</b:Title>
    <b:JournalName>Journal of Cleaner Production</b:JournalName>
    <b:Year>2019</b:Year>
    <b:Pages>1257-1271</b:Pages>
    <b:Author>
      <b:Author>
        <b:NameList>
          <b:Person>
            <b:Last> de Oliveira</b:Last>
            <b:First>Fabíola Negreiros </b:First>
          </b:Person>
          <b:Person>
            <b:Last>Leiras</b:Last>
            <b:First> Adriana</b:First>
          </b:Person>
          <b:Person>
            <b:Last> Ceryno</b:Last>
            <b:First> Paula </b:First>
          </b:Person>
        </b:NameList>
      </b:Author>
    </b:Author>
    <b:RefOrder>14</b:RefOrder>
  </b:Source>
  <b:Source>
    <b:Tag>Ari22</b:Tag>
    <b:SourceType>JournalArticle</b:SourceType>
    <b:Guid>{CE89BDAE-BAAA-4DB2-9ED9-D217FB4C59E5}</b:Guid>
    <b:Title>Organisation support as an effective risk mitigation approach</b:Title>
    <b:Year>2022</b:Year>
    <b:Author>
      <b:Author>
        <b:NameList>
          <b:Person>
            <b:Last>Sadeh</b:Last>
            <b:First>Arik</b:First>
          </b:Person>
        </b:NameList>
      </b:Author>
    </b:Author>
    <b:JournalName>International Journal of Manageing Project In Business</b:JournalName>
    <b:RefOrder>2</b:RefOrder>
  </b:Source>
  <b:Source>
    <b:Tag>Abd161</b:Tag>
    <b:SourceType>JournalArticle</b:SourceType>
    <b:Guid>{9345914A-1A73-4839-A3E9-D1556A15C768}</b:Guid>
    <b:Author>
      <b:Author>
        <b:NameList>
          <b:Person>
            <b:Last>Alothman</b:Last>
            <b:First>Abdulaziz</b:First>
          </b:Person>
        </b:NameList>
      </b:Author>
    </b:Author>
    <b:Title>A detailed view High Reliability Organisation model in the oil industry</b:Title>
    <b:JournalName>Oil an Gas Research</b:JournalName>
    <b:Year>2016</b:Year>
    <b:RefOrder>11</b:RefOrder>
  </b:Source>
</b:Sources>
</file>

<file path=customXml/itemProps1.xml><?xml version="1.0" encoding="utf-8"?>
<ds:datastoreItem xmlns:ds="http://schemas.openxmlformats.org/officeDocument/2006/customXml" ds:itemID="{F917C58A-B495-4CEE-A6C8-29AA4DCB2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8932</Words>
  <Characters>50914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Ashem Egila</dc:creator>
  <cp:keywords/>
  <dc:description/>
  <cp:lastModifiedBy>Ashem Egila</cp:lastModifiedBy>
  <cp:revision>3</cp:revision>
  <dcterms:created xsi:type="dcterms:W3CDTF">2024-06-12T09:54:00Z</dcterms:created>
  <dcterms:modified xsi:type="dcterms:W3CDTF">2024-06-12T10:10:00Z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id="TBq6hHC1"/&gt;&lt;style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