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F0E50E" w14:textId="77777777" w:rsidR="009F641C" w:rsidRDefault="009F641C" w:rsidP="005D40B5">
      <w:pPr>
        <w:tabs>
          <w:tab w:val="num" w:pos="360"/>
        </w:tabs>
        <w:ind w:left="720" w:hanging="720"/>
      </w:pPr>
      <w:bookmarkStart w:id="0" w:name="_Toc6039941"/>
      <w:bookmarkStart w:id="1" w:name="_Toc24097040"/>
      <w:bookmarkStart w:id="2" w:name="_Hlk3217867"/>
    </w:p>
    <w:p w14:paraId="7060E3BB" w14:textId="291EB543" w:rsidR="009F641C" w:rsidRDefault="009F641C" w:rsidP="005D40B5">
      <w:pPr>
        <w:pStyle w:val="Heading3"/>
        <w:numPr>
          <w:ilvl w:val="0"/>
          <w:numId w:val="0"/>
        </w:numPr>
        <w:spacing w:after="0"/>
        <w:ind w:left="720" w:hanging="720"/>
      </w:pPr>
      <w:r>
        <w:t>Introduction</w:t>
      </w:r>
    </w:p>
    <w:p w14:paraId="365AF2DC" w14:textId="77777777" w:rsidR="005C7107" w:rsidRDefault="005C7107" w:rsidP="005D40B5">
      <w:r>
        <w:t xml:space="preserve">Social risks are factors that can exacerbate inequality of outcomes, exclusions, poverty, and/or reduce quality of life (Asenova et al., 2015; McKendrick et al., 2016). These potential negative outcomes or social risks can be (re) produced during public service transformation, with potential adverse effects on school children and communities. However, there is little information available on this. This paper which is based on findings from a monograph (Enang, 2023), aims to enhance understanding of social risks of inequality and its management by focusing on the transformation of Scottish School Education Services (SSES). Utilising primary data obtained from two Scottish councils, the paper analyses emerging social risks of inequalities associated with public service transformation (PST) and makes recommendations for professional practice. It contributes to risk management theory by exploring the nature of the social risk of inequality, demonstrating how they may be (re)produced, mitigated, and/or managed during SSES transformation. </w:t>
      </w:r>
    </w:p>
    <w:p w14:paraId="00A953DE" w14:textId="77777777" w:rsidR="00DB6863" w:rsidRDefault="00DB6863" w:rsidP="005D40B5"/>
    <w:p w14:paraId="5A23B654" w14:textId="77777777" w:rsidR="005C7107" w:rsidRDefault="005C7107" w:rsidP="005D40B5">
      <w:r>
        <w:t xml:space="preserve">This paper offers valuable insights into risk management theory primarily from the perspective of structuration theory, supported by the resource-based view (RBV) of strategic management. Structuration theory appeals to researchers focused on the strategy-as-practice paradigm (Whittington, 2015). The notion of 'practice' has become a vital tool for understanding the duality of structure, that is, the relationship between agency and structure, and the interactions between individual actions and institutions within social systems, cultures, and organizations (Bourdieu, 1980; Foucault, 1977; Giddens, 1984; de </w:t>
      </w:r>
      <w:proofErr w:type="spellStart"/>
      <w:r>
        <w:t>Certeau</w:t>
      </w:r>
      <w:proofErr w:type="spellEnd"/>
      <w:r>
        <w:t xml:space="preserve">, 1984; </w:t>
      </w:r>
      <w:proofErr w:type="spellStart"/>
      <w:r>
        <w:t>Sztompka</w:t>
      </w:r>
      <w:proofErr w:type="spellEnd"/>
      <w:r>
        <w:t>, 1991; Schatzki, 2002).</w:t>
      </w:r>
    </w:p>
    <w:p w14:paraId="46107991" w14:textId="77777777" w:rsidR="00725F9D" w:rsidRDefault="005C7107" w:rsidP="005D40B5">
      <w:r>
        <w:t xml:space="preserve">Structuration theory captures the dynamic interplay between structure and agency. It transforms the static concept of 'structure' into one that involves ongoing action and historical process. Structuration takes place as agents (for example, risk managers and council staff) utilise the rules and resources available within their systems to (mis) manage social risks. This  leads to the (re)production of the structural principles that originally guided their activities. This theory supports the idea of structural continuity while permitting intentional innovation and change. Structures operate similarly to language. Primarily, they provide adequate stability for effective knowledge retention over time. They also enable the creation of new vocabulary and how they can be effectively applied to address rapidly changing requirements and </w:t>
      </w:r>
      <w:r>
        <w:lastRenderedPageBreak/>
        <w:t>circumstances. Managers continuously draw on previous arrangements. They adapt, challenge, or innovate based on past experiences.</w:t>
      </w:r>
    </w:p>
    <w:p w14:paraId="271692ED" w14:textId="436CF56F" w:rsidR="005C7107" w:rsidRDefault="005C7107" w:rsidP="005D40B5">
      <w:r>
        <w:t xml:space="preserve"> </w:t>
      </w:r>
    </w:p>
    <w:p w14:paraId="280F62D8" w14:textId="77777777" w:rsidR="005C7107" w:rsidRDefault="005C7107" w:rsidP="005D40B5">
      <w:r>
        <w:t xml:space="preserve">To a lesser degree, the Resource-Based View (RBV) of strategic management complements our understanding of  social risks in public service transformation by emphasizing the role of internal organizational resources and capabilities in achieving strategic objectives and managing risks (Barney, 1991). According to the RBV, organizations can achieve sustainable competitive advantage by leveraging their unique bundle of resources and capabilities that are valuable, rare, inimitable, and non-substitutable (VRIN) (Barney, 1991; </w:t>
      </w:r>
      <w:proofErr w:type="spellStart"/>
      <w:r>
        <w:t>Peteraf</w:t>
      </w:r>
      <w:proofErr w:type="spellEnd"/>
      <w:r>
        <w:t>, 1993). In the context of public services, the RBV suggests that public organizations can effectively manage risks and improve performance by identifying and deploying their distinctive resources and capabilities (Bryson et al., 2007; Pablo et al., 2007).</w:t>
      </w:r>
    </w:p>
    <w:p w14:paraId="0C50FA1A" w14:textId="77777777" w:rsidR="00725F9D" w:rsidRDefault="00725F9D" w:rsidP="005D40B5"/>
    <w:p w14:paraId="714FBCA7" w14:textId="77777777" w:rsidR="005C7107" w:rsidRDefault="005C7107" w:rsidP="005D40B5">
      <w:r>
        <w:t>This blended theoretical framework enhances the interpretation of primary research findings. Throughout the analysis, the agent-structure discourse has progressed beyond the foundational concepts of Structuration Theory. Nevertheless, some primary research findings are most effectively explained using key concepts from Structuration Theory. These include the use of signification structures and interpretive schemes to examine social risk awareness, management, and mitigation in the context of inequality. This approach clarifies how social risks and inequalities can present themselves during the transformation of school education services in Councils A and B.</w:t>
      </w:r>
    </w:p>
    <w:p w14:paraId="623E0DC6" w14:textId="77777777" w:rsidR="00725F9D" w:rsidRDefault="00725F9D" w:rsidP="005D40B5"/>
    <w:p w14:paraId="1B0537C0" w14:textId="77777777" w:rsidR="005C7107" w:rsidRDefault="005C7107" w:rsidP="005D40B5">
      <w:r>
        <w:t xml:space="preserve">Though social risks of inequalities were not explicitly discussed in corporate documents, respondents were keenly aware of them. Additionally, poor signification structures and weak interpretive schemes suggest that though unintentional, both Councils may not necessarily be complying with the people-focused legislation during the transformation of school education. The findings imply that governments at macro, meso, and micro institutional levels have not deliberately considered eradicating discrimination and inequality of outcomes, promoting equal opportunity, and nurturing good relations during PST and SSES transformation. </w:t>
      </w:r>
    </w:p>
    <w:p w14:paraId="32387593" w14:textId="77777777" w:rsidR="005C7107" w:rsidRDefault="005C7107" w:rsidP="005D40B5"/>
    <w:p w14:paraId="36ADE743" w14:textId="4B3DC0D4" w:rsidR="00926A62" w:rsidRDefault="005C7107" w:rsidP="005D40B5">
      <w:r>
        <w:t xml:space="preserve">This concept was primarily used to understand social mechanisms associated with the production/manufacture and management of social risks related to school education </w:t>
      </w:r>
      <w:r>
        <w:lastRenderedPageBreak/>
        <w:t xml:space="preserve">transformation in Councils A and B. Thus, this paper aims to create new knowledge on how structuration theory may be empirically applied in a specific transformation context as in the case of transforming school education services in Councils A and B. It advances this knowledge by using structuration theory concepts to understand the implications of the findings in the wider SSES transformation and PST contexts. This new knowledge also extends risk management theory by evidencing the relationship between PST and social risk and the need for social risk awareness and management during PST.  Most importantly, the new knowledge created in this paper has the potential to create positive impact in the lives of key beneficiaries, if the findings from the recommendations are applied. </w:t>
      </w:r>
    </w:p>
    <w:p w14:paraId="1547B10D" w14:textId="0C6A5037" w:rsidR="00926A62" w:rsidRDefault="00926A62" w:rsidP="005D40B5">
      <w:pPr>
        <w:pStyle w:val="Heading3"/>
        <w:numPr>
          <w:ilvl w:val="0"/>
          <w:numId w:val="0"/>
        </w:numPr>
        <w:spacing w:after="0"/>
        <w:ind w:left="720" w:hanging="720"/>
      </w:pPr>
      <w:r>
        <w:t>Literature Review</w:t>
      </w:r>
    </w:p>
    <w:p w14:paraId="2D57435B" w14:textId="16158965" w:rsidR="00067565" w:rsidRPr="00E00D50" w:rsidRDefault="00067565" w:rsidP="005D40B5">
      <w:pPr>
        <w:rPr>
          <w:b/>
          <w:bCs/>
          <w:i/>
          <w:iCs/>
        </w:rPr>
      </w:pPr>
      <w:r w:rsidRPr="00E00D50">
        <w:rPr>
          <w:b/>
          <w:bCs/>
          <w:i/>
          <w:iCs/>
        </w:rPr>
        <w:t>Establishing Need for PST in Scotland</w:t>
      </w:r>
      <w:r w:rsidR="00DB5ABB">
        <w:rPr>
          <w:b/>
          <w:bCs/>
          <w:i/>
          <w:iCs/>
        </w:rPr>
        <w:t xml:space="preserve"> via A Scoping Review</w:t>
      </w:r>
    </w:p>
    <w:p w14:paraId="04AAA71D" w14:textId="5D8FA211" w:rsidR="008463ED" w:rsidRPr="00E32486" w:rsidRDefault="008463ED" w:rsidP="005D40B5">
      <w:bookmarkStart w:id="3" w:name="_Hlk170501609"/>
      <w:r w:rsidRPr="00E32486">
        <w:t>Establishing the Need for Public Service Transformation (PST) in Scotland via a Scoping Review</w:t>
      </w:r>
      <w:r w:rsidRPr="00E32486">
        <w:rPr>
          <w:lang w:val="en-US"/>
        </w:rPr>
        <w:t xml:space="preserve">. </w:t>
      </w:r>
      <w:r w:rsidRPr="00E32486">
        <w:t>A scoping review is an essential initial step in a Systematic Literature Review (SLR) (</w:t>
      </w:r>
      <w:proofErr w:type="spellStart"/>
      <w:r w:rsidRPr="00E32486">
        <w:t>Tranfield</w:t>
      </w:r>
      <w:proofErr w:type="spellEnd"/>
      <w:r w:rsidRPr="00E32486">
        <w:t xml:space="preserve"> et al., 2003; Arksey &amp; O’Malley, 2005) used to explore the nature and extent of available literature, establish the potential scope, and estimate the cost implications of conducting a comprehensive SLR. This approach helps identify research gaps, summarize, and communicate research findings (Arksey &amp; O’Malley, 2005; Levac et al., 2010). The scoping review conducted for this study examined the context of public service provision in Scotland to determine the need for PST. This was achieved by </w:t>
      </w:r>
      <w:r w:rsidR="0025588B" w:rsidRPr="00E32486">
        <w:t>analysing</w:t>
      </w:r>
      <w:r w:rsidRPr="00E32486">
        <w:t xml:space="preserve"> documentation from the Scottish Government and Audit Scotland, supplemented by topical public debates (</w:t>
      </w:r>
      <w:proofErr w:type="spellStart"/>
      <w:r w:rsidRPr="00E32486">
        <w:t>Tranfield</w:t>
      </w:r>
      <w:proofErr w:type="spellEnd"/>
      <w:r w:rsidRPr="00E32486">
        <w:t xml:space="preserve"> et al., 2003; Arksey &amp; O’Malley, 2005; Brien et al., 2010).</w:t>
      </w:r>
    </w:p>
    <w:p w14:paraId="21D9AE2C" w14:textId="77777777" w:rsidR="008463ED" w:rsidRPr="00E32486" w:rsidRDefault="008463ED" w:rsidP="005D40B5"/>
    <w:p w14:paraId="36FB8F06" w14:textId="77777777" w:rsidR="008463ED" w:rsidRPr="00E32486" w:rsidRDefault="008463ED" w:rsidP="005D40B5">
      <w:r w:rsidRPr="00E32486">
        <w:t>Ten relevant online reports, primarily from the Scottish Government, were extracted using various search strings (See Appendix E). These sources reflect the perspectives of the Scottish Government and independent analyses from Audit Scotland, confirming that PST is an ongoing process (Scottish Government, 2013a; 2013b; 2013g; 2013i; 2015c; 2015d; 2016q; 2017a; 2017b; 2018h; Audit Scotland, 2018a; 2018e). The scoping study highlighted that PST in Scotland, as in the wider UK context, is driven by interconnected political, socio-economic, environmental, and institutional factors.</w:t>
      </w:r>
    </w:p>
    <w:bookmarkEnd w:id="3"/>
    <w:p w14:paraId="7723F97B" w14:textId="77777777" w:rsidR="008463ED" w:rsidRDefault="008463ED" w:rsidP="005D40B5">
      <w:pPr>
        <w:rPr>
          <w:b/>
          <w:bCs/>
          <w:i/>
          <w:iCs/>
        </w:rPr>
      </w:pPr>
    </w:p>
    <w:p w14:paraId="3C5528F7" w14:textId="77777777" w:rsidR="005D40B5" w:rsidRDefault="005D40B5" w:rsidP="005D40B5">
      <w:pPr>
        <w:rPr>
          <w:b/>
          <w:bCs/>
          <w:i/>
          <w:iCs/>
        </w:rPr>
      </w:pPr>
    </w:p>
    <w:p w14:paraId="458AAF65" w14:textId="77777777" w:rsidR="005D40B5" w:rsidRDefault="005D40B5" w:rsidP="005D40B5">
      <w:pPr>
        <w:rPr>
          <w:b/>
          <w:bCs/>
          <w:i/>
          <w:iCs/>
        </w:rPr>
      </w:pPr>
    </w:p>
    <w:p w14:paraId="074A84FB" w14:textId="02399C0B" w:rsidR="00067565" w:rsidRPr="00DB5ABB" w:rsidRDefault="00067565" w:rsidP="005D40B5">
      <w:pPr>
        <w:rPr>
          <w:b/>
          <w:bCs/>
          <w:i/>
          <w:iCs/>
        </w:rPr>
      </w:pPr>
      <w:r w:rsidRPr="00DB5ABB">
        <w:rPr>
          <w:b/>
          <w:bCs/>
          <w:i/>
          <w:iCs/>
        </w:rPr>
        <w:lastRenderedPageBreak/>
        <w:t>Outcome of Scoping Study</w:t>
      </w:r>
    </w:p>
    <w:p w14:paraId="1D52E19F" w14:textId="77777777" w:rsidR="00121786" w:rsidRPr="00E32486" w:rsidRDefault="00121786" w:rsidP="005D40B5">
      <w:r w:rsidRPr="00E32486">
        <w:t>The findings from these ten documents indicate that the political imperatives of PST relate to the Scottish Government's strategic objectives to address socio-economic changes such as efficiency savings and the growing demand for public services (Audit Scotland, 2010; 2011; 2014b; Public Services Commission, 2011; Scottish Government, 2015a). PST aims to tackle demographic issues associated with increased longevity and its impact on health and social care provision (Audit Scotland, 2011; 2014b; Scottish Government, 2011b; 2015a). The environmental imperatives involve finding effective ways to handle rising energy prices and reduce carbon footprints in response to Scottish Parliament and EU legislation (Audit Scotland, 2011a).</w:t>
      </w:r>
    </w:p>
    <w:p w14:paraId="0FA6437E" w14:textId="77777777" w:rsidR="00121786" w:rsidRPr="00E32486" w:rsidRDefault="00121786" w:rsidP="005D40B5"/>
    <w:p w14:paraId="7877EB1F" w14:textId="77777777" w:rsidR="00121786" w:rsidRPr="00E32486" w:rsidRDefault="00121786" w:rsidP="005D40B5">
      <w:r w:rsidRPr="00E32486">
        <w:t>These imperatives exist in an environment of fiscal consolidation, as noted in all ten government reports. Six of the reports discussed the Scottish Government’s four-pillar approach (4Ps) to PST, recommended by the Christie Commission, highlighting the distinctive features of this approach in Scotland (Public Services Commission, 2011; Scottish Government, 2011b; 2012k; 2013g; Scottish Parliament, 2013; Audit Scotland, 2014b). The Christie Commission Report (2011) addressed medium- to long-term financial problems and the growing public demand. The 4Ps approach to PST emphasizes focusing on people, partnership, prevention, and performance (Public Services Commission, 2011; Scottish Parliament, 2013), considering stakeholders' actions, interactions, and reactions (Pettigrew, 1987).</w:t>
      </w:r>
    </w:p>
    <w:p w14:paraId="030816D8" w14:textId="77777777" w:rsidR="00121786" w:rsidRPr="00E32486" w:rsidRDefault="00121786" w:rsidP="005D40B5">
      <w:pPr>
        <w:rPr>
          <w:rFonts w:eastAsia="Times New Roman"/>
          <w:lang w:eastAsia="en-GB"/>
        </w:rPr>
      </w:pPr>
    </w:p>
    <w:p w14:paraId="686105AD" w14:textId="47C1CF05" w:rsidR="00121786" w:rsidRPr="00E32486" w:rsidRDefault="00121786" w:rsidP="005D40B5">
      <w:pPr>
        <w:rPr>
          <w:rFonts w:eastAsia="Times New Roman"/>
          <w:lang w:eastAsia="en-GB"/>
        </w:rPr>
      </w:pPr>
      <w:r w:rsidRPr="00E32486">
        <w:rPr>
          <w:rFonts w:eastAsia="Times New Roman"/>
          <w:lang w:eastAsia="en-GB"/>
        </w:rPr>
        <w:t xml:space="preserve">The proliferation of initiatives, while intended to ensure the pursuit of outcomes and equality objectives, has led to considerable overlap in powers, duties, operations, and procedures, making the transformation of SSES overly bureaucratic and complex. This initiative overload needs addressing with a comprehensive approach to social risk management. Social risks, such as increased inequalities, exclusion, and poverty, can arise from fragmented and uncoordinated initiatives. The significant financial investments in these initiatives question whether the 3Es of public management (economy, efficiency, and effectiveness) are satisfied. Effective social risk management requires a holistic policy approach rather than a fragmented string of initiatives formulated and introduced at different times. This holistic approach is necessary to avoid counterproductive outcomes and ensure that the measures taken genuinely close the </w:t>
      </w:r>
      <w:r w:rsidRPr="00E32486">
        <w:rPr>
          <w:rFonts w:eastAsia="Times New Roman"/>
          <w:lang w:eastAsia="en-GB"/>
        </w:rPr>
        <w:lastRenderedPageBreak/>
        <w:t>attainment gap and improve overall educational outcomes. Nonetheless, the measures demonstrate the Scottish Government's intent to close the socio-economic attainment gap holistically, acknowledging the necessity of a wide-ranging and ambitious approach</w:t>
      </w:r>
      <w:r w:rsidR="007C40DB">
        <w:rPr>
          <w:rFonts w:eastAsia="Times New Roman"/>
          <w:lang w:eastAsia="en-GB"/>
        </w:rPr>
        <w:t>.</w:t>
      </w:r>
    </w:p>
    <w:p w14:paraId="01224AD2" w14:textId="77777777" w:rsidR="00001515" w:rsidRPr="00067565" w:rsidRDefault="00001515" w:rsidP="005D40B5"/>
    <w:p w14:paraId="7DCA8DE9" w14:textId="55BD9A34" w:rsidR="00990431" w:rsidRPr="00990431" w:rsidRDefault="00121786" w:rsidP="005D40B5">
      <w:pPr>
        <w:rPr>
          <w:b/>
          <w:bCs/>
          <w:i/>
          <w:iCs/>
        </w:rPr>
      </w:pPr>
      <w:r>
        <w:rPr>
          <w:b/>
          <w:bCs/>
          <w:i/>
          <w:iCs/>
        </w:rPr>
        <w:t>Contextual Imperatives for PST in the UK and Scotland</w:t>
      </w:r>
    </w:p>
    <w:p w14:paraId="144AC024" w14:textId="77777777" w:rsidR="00E7354C" w:rsidRPr="00E32486" w:rsidRDefault="00E7354C" w:rsidP="005D40B5">
      <w:pPr>
        <w:rPr>
          <w:strike/>
        </w:rPr>
      </w:pPr>
      <w:bookmarkStart w:id="4" w:name="_Toc24096955"/>
      <w:r w:rsidRPr="00E32486">
        <w:t xml:space="preserve">Discussions around the contextual imperatives for PST in the UK, particularly in Scotland, enhance understanding of the transformation in SSES. </w:t>
      </w:r>
    </w:p>
    <w:p w14:paraId="12B9D842" w14:textId="77777777" w:rsidR="00E7354C" w:rsidRPr="00E32486" w:rsidRDefault="00E7354C" w:rsidP="005D40B5">
      <w:pPr>
        <w:rPr>
          <w:strike/>
        </w:rPr>
      </w:pPr>
    </w:p>
    <w:p w14:paraId="7EAA11C6" w14:textId="77777777" w:rsidR="00E7354C" w:rsidRPr="00E32486" w:rsidRDefault="00E7354C" w:rsidP="005D40B5">
      <w:r w:rsidRPr="00E32486">
        <w:t>The introduction of academy schools in England by the Labour administration (1997-2010) was considered one of the most innovative educational transformation programs among developed countries (Blair, 2010; Eyles &amp; Machin, 2015). This evolution continued under subsequent governments with the Academies Act 2010 (UK Parliament, 2010). The Scottish Pupil Equity Fund (PEF) similarly devolves administrative and financial autonomy from the Scottish Government directly to schools via Head Teachers, aimed at closing the persistent poverty-related educational attainment gap (Shields &amp; Gunson, 2017; Scottish Government, 2017c).</w:t>
      </w:r>
    </w:p>
    <w:p w14:paraId="5D78C2CD" w14:textId="77777777" w:rsidR="00E7354C" w:rsidRPr="00E32486" w:rsidRDefault="00E7354C" w:rsidP="005D40B5"/>
    <w:p w14:paraId="7CD625A2" w14:textId="77777777" w:rsidR="00E7354C" w:rsidRDefault="00E7354C" w:rsidP="005D40B5">
      <w:r w:rsidRPr="00E32486">
        <w:t xml:space="preserve">However, both the implementation of PEF and academy schools are associated with social risks, including distractions from critical issues like pupil safety and learning, growing shortages of school places and teachers, increasing inequality in educational attainment, reduced public accountability, and fractured collaborative structures (Asthana &amp; Heather, 2016). These </w:t>
      </w:r>
      <w:r w:rsidRPr="00E32486">
        <w:rPr>
          <w:lang w:val="en-US"/>
        </w:rPr>
        <w:t xml:space="preserve">social </w:t>
      </w:r>
      <w:r w:rsidRPr="00E32486">
        <w:t>risks may negatively impact learning outcomes and exacerbate inequalities, thus widening the socio-economic attainment gap.</w:t>
      </w:r>
    </w:p>
    <w:p w14:paraId="119FA69D" w14:textId="77777777" w:rsidR="0025588B" w:rsidRPr="00E32486" w:rsidRDefault="0025588B" w:rsidP="005D40B5"/>
    <w:p w14:paraId="103E6D0C" w14:textId="77777777" w:rsidR="0025588B" w:rsidRDefault="006A790C" w:rsidP="0025588B">
      <w:pPr>
        <w:pStyle w:val="Heading2"/>
        <w:numPr>
          <w:ilvl w:val="0"/>
          <w:numId w:val="0"/>
        </w:numPr>
        <w:spacing w:before="0" w:after="0"/>
        <w:ind w:left="576" w:hanging="576"/>
        <w:rPr>
          <w:sz w:val="24"/>
          <w:szCs w:val="24"/>
        </w:rPr>
      </w:pPr>
      <w:r w:rsidRPr="00274074">
        <w:rPr>
          <w:sz w:val="24"/>
          <w:szCs w:val="24"/>
        </w:rPr>
        <w:t>Theor</w:t>
      </w:r>
      <w:bookmarkEnd w:id="4"/>
      <w:r w:rsidRPr="00274074">
        <w:rPr>
          <w:sz w:val="24"/>
          <w:szCs w:val="24"/>
        </w:rPr>
        <w:t>etical Framework</w:t>
      </w:r>
      <w:bookmarkStart w:id="5" w:name="_Toc534945583"/>
      <w:bookmarkStart w:id="6" w:name="_Toc24096956"/>
    </w:p>
    <w:p w14:paraId="624BEE33" w14:textId="6291D8FE" w:rsidR="00274074" w:rsidRPr="0025588B" w:rsidRDefault="00274074" w:rsidP="0025588B">
      <w:pPr>
        <w:pStyle w:val="Heading2"/>
        <w:numPr>
          <w:ilvl w:val="0"/>
          <w:numId w:val="0"/>
        </w:numPr>
        <w:spacing w:before="0" w:after="0"/>
        <w:ind w:left="576" w:hanging="576"/>
        <w:rPr>
          <w:sz w:val="24"/>
          <w:szCs w:val="24"/>
        </w:rPr>
      </w:pPr>
      <w:r w:rsidRPr="00274074">
        <w:rPr>
          <w:i/>
          <w:iCs/>
          <w:sz w:val="24"/>
        </w:rPr>
        <w:t xml:space="preserve">Risk Management </w:t>
      </w:r>
      <w:r w:rsidR="00496133">
        <w:rPr>
          <w:i/>
          <w:iCs/>
          <w:sz w:val="24"/>
        </w:rPr>
        <w:t>in Public Sector Transformation</w:t>
      </w:r>
    </w:p>
    <w:p w14:paraId="162BC3EC" w14:textId="77777777" w:rsidR="004F4E83" w:rsidRPr="00E32486" w:rsidRDefault="004F4E83" w:rsidP="005D40B5">
      <w:pPr>
        <w:pStyle w:val="NormalWeb"/>
        <w:spacing w:line="360" w:lineRule="auto"/>
        <w:jc w:val="both"/>
      </w:pPr>
      <w:r w:rsidRPr="00E32486">
        <w:t>A structured and sustainable approach to managing risks, including social risks, is essential in the public sector. Public sector risk management has been defined as a systematic approach to identifying, evaluating, and economically controlling risks (Ene &amp; Dobrea, 2006). Effective risk management during PST is influenced by political and societal factors (Power, 2004), driven by the need to prevent, mitigate, and manage transformation-related risks (IFG, 2012), and required to overcome PST barriers (Scottish Parliament, 2013).</w:t>
      </w:r>
    </w:p>
    <w:p w14:paraId="322220AA" w14:textId="255ED440" w:rsidR="00274074" w:rsidRPr="004F4E83" w:rsidRDefault="004F4E83" w:rsidP="005D40B5">
      <w:pPr>
        <w:pStyle w:val="NormalWeb"/>
        <w:spacing w:line="360" w:lineRule="auto"/>
        <w:jc w:val="both"/>
        <w:rPr>
          <w:lang w:val="en-GB"/>
        </w:rPr>
      </w:pPr>
      <w:r w:rsidRPr="00E32486">
        <w:lastRenderedPageBreak/>
        <w:t>The adoption of enterprise risk management, which integrates various types of risks (quantifiable and non-quantifiable), promotes organizational innovation and development (Wallig et al., 2012). Effective risk governance ensures that the content and focus of transformation are reali</w:t>
      </w:r>
      <w:r w:rsidRPr="00E32486">
        <w:rPr>
          <w:lang w:val="en-GB"/>
        </w:rPr>
        <w:t>se</w:t>
      </w:r>
      <w:r w:rsidRPr="00E32486">
        <w:t xml:space="preserve">d (Asenova et al., 2013). </w:t>
      </w:r>
      <w:r>
        <w:t>Considering the overarching aim of this paper, risk management theory is used to</w:t>
      </w:r>
      <w:r>
        <w:rPr>
          <w:lang w:val="en-GB"/>
        </w:rPr>
        <w:t xml:space="preserve"> </w:t>
      </w:r>
      <w:r w:rsidRPr="00E32486">
        <w:t>identify and describe various types of SSES transformation-related risks, particularly social risks, and articulate how they are currently managed in line with IRM/AIRMIC/ALARM (2010) and ISO 31000 (2018) guidelines.</w:t>
      </w:r>
    </w:p>
    <w:p w14:paraId="3860C5B8" w14:textId="5AB2E9C9" w:rsidR="006A790C" w:rsidRPr="00D5609C" w:rsidRDefault="006A790C" w:rsidP="005D40B5">
      <w:pPr>
        <w:pStyle w:val="Heading3"/>
        <w:numPr>
          <w:ilvl w:val="0"/>
          <w:numId w:val="0"/>
        </w:numPr>
        <w:spacing w:after="0"/>
        <w:ind w:left="720" w:hanging="720"/>
        <w:rPr>
          <w:i/>
          <w:iCs/>
          <w:sz w:val="24"/>
        </w:rPr>
      </w:pPr>
      <w:r w:rsidRPr="00D5609C">
        <w:rPr>
          <w:i/>
          <w:iCs/>
          <w:sz w:val="24"/>
        </w:rPr>
        <w:t>Theoretical Perspectives</w:t>
      </w:r>
      <w:r w:rsidR="004F4E83">
        <w:rPr>
          <w:i/>
          <w:iCs/>
          <w:sz w:val="24"/>
        </w:rPr>
        <w:t xml:space="preserve">: </w:t>
      </w:r>
      <w:r w:rsidR="004F4E83" w:rsidRPr="00D5609C">
        <w:rPr>
          <w:i/>
          <w:iCs/>
          <w:sz w:val="24"/>
        </w:rPr>
        <w:t>Structuration Theory</w:t>
      </w:r>
      <w:r w:rsidRPr="00D5609C">
        <w:rPr>
          <w:i/>
          <w:iCs/>
          <w:sz w:val="24"/>
        </w:rPr>
        <w:t xml:space="preserve"> and </w:t>
      </w:r>
      <w:bookmarkEnd w:id="5"/>
      <w:bookmarkEnd w:id="6"/>
      <w:r w:rsidR="004F4E83">
        <w:rPr>
          <w:i/>
          <w:iCs/>
          <w:sz w:val="24"/>
        </w:rPr>
        <w:t>Resource-Based View (RBV)</w:t>
      </w:r>
    </w:p>
    <w:p w14:paraId="68AA4713" w14:textId="77777777" w:rsidR="00FA5A11" w:rsidRDefault="00FA5A11" w:rsidP="005D40B5">
      <w:pPr>
        <w:pStyle w:val="NormalWeb"/>
        <w:spacing w:line="360" w:lineRule="auto"/>
        <w:jc w:val="both"/>
        <w:rPr>
          <w:lang w:val="en-GB"/>
        </w:rPr>
      </w:pPr>
      <w:r w:rsidRPr="00E32486">
        <w:t>Structuration theory, developed by Giddens (1984), asserts that institutional patterns arise from interactions over time and space, with agents producing and reproducing these routines through their agency (Archer, 1995; Tembo-Silungwe &amp; Khatleli, 2018). This theory facilitates understanding the duality between institutional structures and agents during SSES transformation, focusing on signification structures, interpretive schemes, and actors' reflexivity and knowledgeability.</w:t>
      </w:r>
      <w:r>
        <w:rPr>
          <w:lang w:val="en-GB"/>
        </w:rPr>
        <w:t xml:space="preserve"> </w:t>
      </w:r>
      <w:r w:rsidRPr="00C3243B">
        <w:rPr>
          <w:lang w:val="en-GB"/>
        </w:rPr>
        <w:t>Figure 1 captures the first two analytical elements of structuration theory.</w:t>
      </w:r>
    </w:p>
    <w:p w14:paraId="67758BAD" w14:textId="77777777" w:rsidR="00FA5A11" w:rsidRPr="00C3243B" w:rsidRDefault="00FA5A11" w:rsidP="005D40B5">
      <w:pPr>
        <w:pStyle w:val="NormalWeb"/>
        <w:spacing w:line="360" w:lineRule="auto"/>
        <w:jc w:val="center"/>
        <w:rPr>
          <w:lang w:val="en-GB"/>
        </w:rPr>
      </w:pPr>
      <w:r w:rsidRPr="00C3243B">
        <w:rPr>
          <w:lang w:val="en-GB"/>
        </w:rPr>
        <w:t>Figure 1: The dimensions, modality, and interaction of social structure.</w:t>
      </w:r>
    </w:p>
    <w:p w14:paraId="237C5BA5" w14:textId="77777777" w:rsidR="00FA5A11" w:rsidRPr="00C3243B" w:rsidRDefault="00FA5A11" w:rsidP="005D40B5">
      <w:pPr>
        <w:pStyle w:val="NormalWeb"/>
        <w:spacing w:line="360" w:lineRule="auto"/>
        <w:jc w:val="both"/>
        <w:rPr>
          <w:lang w:val="en-GB"/>
        </w:rPr>
      </w:pPr>
      <w:r w:rsidRPr="00C3243B">
        <w:rPr>
          <w:lang w:val="en-GB"/>
        </w:rPr>
        <w:t xml:space="preserve"> </w:t>
      </w:r>
      <w:r w:rsidRPr="00ED5CAF">
        <w:rPr>
          <w:noProof/>
        </w:rPr>
        <w:drawing>
          <wp:inline distT="0" distB="0" distL="0" distR="0" wp14:anchorId="273F638C" wp14:editId="3C765B29">
            <wp:extent cx="5557961" cy="3097334"/>
            <wp:effectExtent l="0" t="0" r="5080" b="8255"/>
            <wp:docPr id="1516458575" name="Picture 1516458575" descr="A diagram of a complex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diagram of a complex structure&#10;&#10;Description automatically generated"/>
                    <pic:cNvPicPr/>
                  </pic:nvPicPr>
                  <pic:blipFill>
                    <a:blip r:embed="rId7"/>
                    <a:stretch>
                      <a:fillRect/>
                    </a:stretch>
                  </pic:blipFill>
                  <pic:spPr>
                    <a:xfrm>
                      <a:off x="0" y="0"/>
                      <a:ext cx="5572179" cy="3105257"/>
                    </a:xfrm>
                    <a:prstGeom prst="rect">
                      <a:avLst/>
                    </a:prstGeom>
                  </pic:spPr>
                </pic:pic>
              </a:graphicData>
            </a:graphic>
          </wp:inline>
        </w:drawing>
      </w:r>
    </w:p>
    <w:p w14:paraId="16C16607" w14:textId="55F3BBA2" w:rsidR="00FA5A11" w:rsidRPr="00C3243B" w:rsidRDefault="00FA5A11" w:rsidP="0025588B">
      <w:pPr>
        <w:pStyle w:val="NormalWeb"/>
        <w:spacing w:line="360" w:lineRule="auto"/>
        <w:jc w:val="center"/>
        <w:rPr>
          <w:lang w:val="en-GB"/>
        </w:rPr>
      </w:pPr>
      <w:r w:rsidRPr="00C3243B">
        <w:rPr>
          <w:lang w:val="en-GB"/>
        </w:rPr>
        <w:t>Source: Adapted from Giddens (1984, p.29)</w:t>
      </w:r>
    </w:p>
    <w:p w14:paraId="1473E39A" w14:textId="77777777" w:rsidR="00FA5A11" w:rsidRPr="00C3243B" w:rsidRDefault="00FA5A11" w:rsidP="005D40B5">
      <w:pPr>
        <w:pStyle w:val="NormalWeb"/>
        <w:spacing w:line="360" w:lineRule="auto"/>
        <w:jc w:val="both"/>
        <w:rPr>
          <w:lang w:val="en-GB"/>
        </w:rPr>
      </w:pPr>
      <w:r w:rsidRPr="00C3243B">
        <w:rPr>
          <w:lang w:val="en-GB"/>
        </w:rPr>
        <w:lastRenderedPageBreak/>
        <w:t>As illustrated in Figure 1, structuration theory can be condensed into three layers of structure (Giddens, 1984; Schwandt and Szabla, 2013; and Englund and Gerdin, 2014). Interaction between the top (structure) and bottom (agency) layers through the middle (modalities) layer depicts the agent-structure duality. Signification structures refer to the production, reproduction, interpretation, and /or conveyance of meaning through language, symbols or other acceptable array of collective schemata and procedures. Domination structures convey the degree of power conferred at macro, meso or micro-institutional levels, delineating the acceptable use of influence at these levels. Legitimation structures define what is acceptable and appropriate in certain contexts by establishing norms or legislation which in turn can constrain and/or enable action.</w:t>
      </w:r>
    </w:p>
    <w:p w14:paraId="3CEF423E" w14:textId="77777777" w:rsidR="00FA5A11" w:rsidRPr="00C3243B" w:rsidRDefault="00FA5A11" w:rsidP="005D40B5">
      <w:pPr>
        <w:pStyle w:val="NormalWeb"/>
        <w:spacing w:line="360" w:lineRule="auto"/>
        <w:jc w:val="both"/>
        <w:rPr>
          <w:lang w:val="en-GB"/>
        </w:rPr>
      </w:pPr>
    </w:p>
    <w:p w14:paraId="41CD2050" w14:textId="77777777" w:rsidR="00FA5A11" w:rsidRPr="00C3243B" w:rsidRDefault="00FA5A11" w:rsidP="005D40B5">
      <w:pPr>
        <w:pStyle w:val="NormalWeb"/>
        <w:spacing w:line="360" w:lineRule="auto"/>
        <w:jc w:val="both"/>
        <w:rPr>
          <w:lang w:val="en-GB"/>
        </w:rPr>
      </w:pPr>
      <w:r w:rsidRPr="00C3243B">
        <w:rPr>
          <w:lang w:val="en-GB"/>
        </w:rPr>
        <w:t>The middle layer shows that structures can be converted into (inter) action/agency through modalities or generative mechanisms. Considering modalities, an interpretive scheme signifies a framework for interaction and communication. Facilities are used to allocate resources (allocative resources) and power (authoritative resources). Depending on the context, norms define what is appropriate and acceptable. Thus, modalities can explain the behaviour of individuals/agents in specific situations. Equally, agents can influence structures through their knowledge and reflexivity. Therefore, structures cannot exist independent of agency, nor does it necessarily determine action. Giddens (1984) refers to this inherent relationship between structures and agents as duality of structure because they are mutually constitutive.</w:t>
      </w:r>
    </w:p>
    <w:p w14:paraId="755D6417" w14:textId="77777777" w:rsidR="00FA5A11" w:rsidRPr="00C3243B" w:rsidRDefault="00FA5A11" w:rsidP="005D40B5">
      <w:pPr>
        <w:pStyle w:val="NormalWeb"/>
        <w:spacing w:line="360" w:lineRule="auto"/>
        <w:jc w:val="both"/>
        <w:rPr>
          <w:lang w:val="en-GB"/>
        </w:rPr>
      </w:pPr>
      <w:r w:rsidRPr="00C3243B">
        <w:rPr>
          <w:lang w:val="en-GB"/>
        </w:rPr>
        <w:t xml:space="preserve">The bottom layer contains variables like communication, power and sanctions which characterise agentic action. For instance, communication encapsulates speech, symbols, and gestures; power represents resources that can be allocated or authority that can be exercised; while sanctions signify displeasure of inappropriate behaviour or action in certain contexts, and non-compliance to rules and norms. </w:t>
      </w:r>
    </w:p>
    <w:p w14:paraId="1AD5CE0E" w14:textId="77777777" w:rsidR="00FA5A11" w:rsidRPr="00C3243B" w:rsidRDefault="00FA5A11" w:rsidP="005D40B5">
      <w:pPr>
        <w:pStyle w:val="NormalWeb"/>
        <w:spacing w:line="360" w:lineRule="auto"/>
        <w:jc w:val="both"/>
        <w:rPr>
          <w:lang w:val="en-GB"/>
        </w:rPr>
      </w:pPr>
      <w:r w:rsidRPr="00C3243B">
        <w:rPr>
          <w:lang w:val="en-GB"/>
        </w:rPr>
        <w:t xml:space="preserve">The third analytical element utilised to demonstrate the agent-structure duality in this paper is actors’ reflexivity and knowledgeability. Structuration theory acknowledges that agents are knowledgeable and reflexive, able to transform their environments through their agency (den </w:t>
      </w:r>
      <w:proofErr w:type="spellStart"/>
      <w:r w:rsidRPr="00C3243B">
        <w:rPr>
          <w:lang w:val="en-GB"/>
        </w:rPr>
        <w:t>Hond</w:t>
      </w:r>
      <w:proofErr w:type="spellEnd"/>
      <w:r w:rsidRPr="00C3243B">
        <w:rPr>
          <w:lang w:val="en-GB"/>
        </w:rPr>
        <w:t xml:space="preserve"> et al., 2012). Accordingly, there is a recursive relationship between the reflexive conduct </w:t>
      </w:r>
      <w:r w:rsidRPr="00C3243B">
        <w:rPr>
          <w:lang w:val="en-GB"/>
        </w:rPr>
        <w:lastRenderedPageBreak/>
        <w:t xml:space="preserve">of agents and structures leading to a reorganisation (or transformation) of social systems (Boland, 1996). </w:t>
      </w:r>
    </w:p>
    <w:p w14:paraId="174EA0C4" w14:textId="77777777" w:rsidR="00FA5A11" w:rsidRPr="00C3243B" w:rsidRDefault="00FA5A11" w:rsidP="005D40B5">
      <w:pPr>
        <w:pStyle w:val="NormalWeb"/>
        <w:spacing w:line="360" w:lineRule="auto"/>
        <w:jc w:val="both"/>
        <w:rPr>
          <w:lang w:val="en-GB"/>
        </w:rPr>
      </w:pPr>
      <w:r w:rsidRPr="00C3243B">
        <w:rPr>
          <w:lang w:val="en-GB"/>
        </w:rPr>
        <w:t>Critiques of structuration theory argue that its ontological concepts make it philosophical and overly abstract (Coad et al., 2016; Jack, 2017). However, these reasons partly justify the adoption of structuration theory as one of two dominant theories in this paper. For instance, it promotes ontological understanding of social risks by integrating macro (structures), meso and micro levels of analysis. The main reason for using structuration theory as a theoretical framework is that it permits critical analysis into ontological issues relating to social risks and SSES transformation.</w:t>
      </w:r>
    </w:p>
    <w:p w14:paraId="3E7A4317" w14:textId="77777777" w:rsidR="00FA5A11" w:rsidRPr="00C3243B" w:rsidRDefault="00FA5A11" w:rsidP="005D40B5">
      <w:pPr>
        <w:pStyle w:val="NormalWeb"/>
        <w:spacing w:line="360" w:lineRule="auto"/>
        <w:jc w:val="both"/>
        <w:rPr>
          <w:lang w:val="en-GB"/>
        </w:rPr>
      </w:pPr>
      <w:r w:rsidRPr="00C3243B">
        <w:rPr>
          <w:lang w:val="en-GB"/>
        </w:rPr>
        <w:t xml:space="preserve">In summary, this paper uses structuration theory’s analytical elements discussed in the preceding section to explain primary research findings from two anonymised Scottish Councils. It illustrates the role of the </w:t>
      </w:r>
      <w:r>
        <w:rPr>
          <w:lang w:val="en-GB"/>
        </w:rPr>
        <w:t>signification structures and interpretive schemes</w:t>
      </w:r>
      <w:r w:rsidRPr="00C3243B">
        <w:rPr>
          <w:lang w:val="en-GB"/>
        </w:rPr>
        <w:t xml:space="preserve"> in the production, reproduction, and management of social risks.</w:t>
      </w:r>
    </w:p>
    <w:p w14:paraId="736C928F" w14:textId="77777777" w:rsidR="00FA5A11" w:rsidRPr="002C1AC2" w:rsidRDefault="00FA5A11" w:rsidP="005D40B5">
      <w:pPr>
        <w:pStyle w:val="NormalWeb"/>
        <w:spacing w:line="360" w:lineRule="auto"/>
        <w:jc w:val="both"/>
        <w:rPr>
          <w:lang w:val="en-GB"/>
        </w:rPr>
      </w:pPr>
      <w:r w:rsidRPr="00E32486">
        <w:t>The Resource-Based View (RBV) complements structuration theory by emphasi</w:t>
      </w:r>
      <w:r w:rsidRPr="00E32486">
        <w:rPr>
          <w:lang w:val="en-GB"/>
        </w:rPr>
        <w:t>s</w:t>
      </w:r>
      <w:r w:rsidRPr="00E32486">
        <w:t>ing the role of internal organizational resources and capabilities in managing risks (Barney, 1991). In the context of public services, the RBV suggests that effective management of social risks depends on identifying and leveraging unique resources and capabilities, such as human capital, organizational capital, and social capital (Bryson et al., 2007; Pablo et al., 2007).</w:t>
      </w:r>
      <w:r>
        <w:rPr>
          <w:lang w:val="en-GB"/>
        </w:rPr>
        <w:t xml:space="preserve">  </w:t>
      </w:r>
      <w:r w:rsidRPr="002C1AC2">
        <w:rPr>
          <w:lang w:val="en-GB"/>
        </w:rPr>
        <w:t>Applying the RBV to the management of social risks in Scottish school education transformation, this study proposes that the effectiveness of social risk management strategies depends on the education system's ability to identify, develop, and leverage its unique resources and capabilities. These resources and capabilities may include human capital (e.g., skilled teachers and administrators), organizational capital (e.g., effective programs and processes), and social capital (e.g., strong community partnerships) (Barney, 1991; Grant, 1991). The RBV perspective suggests that the lack of explicit attention to social risks in formal strategic documents may indicate that education leaders have not fully recognized the strategic value of social risk management capabilities (Bryson et al., 2007)</w:t>
      </w:r>
    </w:p>
    <w:p w14:paraId="303F58E9" w14:textId="77777777" w:rsidR="001E75DD" w:rsidRDefault="001E75DD" w:rsidP="005D40B5"/>
    <w:p w14:paraId="6D522527" w14:textId="77777777" w:rsidR="0025588B" w:rsidRDefault="0025588B" w:rsidP="005D40B5"/>
    <w:p w14:paraId="4DF70242" w14:textId="77777777" w:rsidR="0025588B" w:rsidRDefault="0025588B" w:rsidP="005D40B5"/>
    <w:p w14:paraId="343307B0" w14:textId="77777777" w:rsidR="005D40B5" w:rsidRDefault="005C367A" w:rsidP="005D40B5">
      <w:pPr>
        <w:rPr>
          <w:i/>
          <w:iCs/>
        </w:rPr>
      </w:pPr>
      <w:r>
        <w:rPr>
          <w:i/>
          <w:iCs/>
        </w:rPr>
        <w:lastRenderedPageBreak/>
        <w:t>Addressing Gaps in Knowledge</w:t>
      </w:r>
    </w:p>
    <w:p w14:paraId="59C70D26" w14:textId="09524523" w:rsidR="005D40B5" w:rsidRPr="00E32486" w:rsidRDefault="005D40B5" w:rsidP="005D40B5">
      <w:r w:rsidRPr="00E32486">
        <w:rPr>
          <w:rStyle w:val="Strong"/>
          <w:b w:val="0"/>
          <w:bCs w:val="0"/>
        </w:rPr>
        <w:t>Recent studies highlight the importance of integrating technology in education to enhance learning outcomes and bridge socio-economic attainment gaps (Selwyn, 2019; Williamson, 2020). Additionally, contemporary studies advocate for inclusive educational policies that address the diverse needs of students (Gorard et al., 2021; Reay, 2022).</w:t>
      </w:r>
      <w:r w:rsidRPr="00E32486">
        <w:t xml:space="preserve"> So, whilst existing literature provides a robust foundation for understanding PST, recent studies specifically addressing social risks in educational transformation in Scotland are lacking. </w:t>
      </w:r>
      <w:r w:rsidRPr="00E32486">
        <w:rPr>
          <w:rStyle w:val="Strong"/>
          <w:b w:val="0"/>
          <w:bCs w:val="0"/>
        </w:rPr>
        <w:t xml:space="preserve">This paper fills this gap by integrating contemporary perspectives on risk management and educational policy, offering a more relevant and applicable analysis for current and future PST initiatives. </w:t>
      </w:r>
    </w:p>
    <w:p w14:paraId="5729B6D1" w14:textId="6321A5EE" w:rsidR="005D40B5" w:rsidRPr="0025588B" w:rsidRDefault="005D40B5" w:rsidP="0025588B">
      <w:pPr>
        <w:pStyle w:val="NormalWeb"/>
        <w:spacing w:line="360" w:lineRule="auto"/>
        <w:jc w:val="both"/>
        <w:rPr>
          <w:lang w:val="en-GB"/>
        </w:rPr>
      </w:pPr>
      <w:r w:rsidRPr="00E32486">
        <w:t xml:space="preserve">The literature review </w:t>
      </w:r>
      <w:r>
        <w:rPr>
          <w:lang w:val="en-GB"/>
        </w:rPr>
        <w:t>draws attention to</w:t>
      </w:r>
      <w:r w:rsidRPr="00E32486">
        <w:t xml:space="preserve"> the necessity of PST in Scotland, driven by socio-economic, political, and environmental imperatives. It highlights the importance of contemporary developments in educational technology and inclusive policies in shaping effective PST strategies. The integration of structuration theory and RBV provides a comprehensive framework for understanding and managing social risks during SSES transformation. </w:t>
      </w:r>
      <w:r w:rsidRPr="00E32486">
        <w:rPr>
          <w:lang w:val="en-GB"/>
        </w:rPr>
        <w:t>By a</w:t>
      </w:r>
      <w:r w:rsidRPr="00E32486">
        <w:t>ddressing the identified gaps in recent literature, this study contributes to a more nuanced understanding of the challenges and opportunities in managing social risks within the evolving landscape of school education transformation.</w:t>
      </w:r>
    </w:p>
    <w:p w14:paraId="6E863D65" w14:textId="1BB36315" w:rsidR="009F641C" w:rsidRDefault="009F641C" w:rsidP="005D40B5">
      <w:pPr>
        <w:pStyle w:val="Heading3"/>
        <w:numPr>
          <w:ilvl w:val="0"/>
          <w:numId w:val="0"/>
        </w:numPr>
        <w:spacing w:after="0"/>
        <w:ind w:left="720" w:hanging="720"/>
      </w:pPr>
      <w:r>
        <w:t>Methods</w:t>
      </w:r>
    </w:p>
    <w:p w14:paraId="3DE7FFFB" w14:textId="5BFAB747" w:rsidR="009F641C" w:rsidRPr="009F641C" w:rsidRDefault="00BE1858" w:rsidP="005D40B5">
      <w:r>
        <w:t xml:space="preserve">This exploratory research adopted qualitative research methods using interviews and documentary analysis. </w:t>
      </w:r>
      <w:r w:rsidR="009F641C" w:rsidRPr="009F641C">
        <w:t>Interviews permit the collation of contrasting opinions (Eisenhardt and Graebner, 2007). The key to mitigating the risk of retrospective sensemaking</w:t>
      </w:r>
      <w:r w:rsidR="009F641C" w:rsidRPr="009F641C">
        <w:rPr>
          <w:vertAlign w:val="superscript"/>
        </w:rPr>
        <w:footnoteReference w:id="2"/>
      </w:r>
      <w:r w:rsidR="009F641C" w:rsidRPr="009F641C">
        <w:t xml:space="preserve"> and impression management</w:t>
      </w:r>
      <w:r w:rsidR="009F641C" w:rsidRPr="009F641C">
        <w:rPr>
          <w:vertAlign w:val="superscript"/>
        </w:rPr>
        <w:footnoteReference w:id="3"/>
      </w:r>
      <w:r w:rsidR="009F641C" w:rsidRPr="009F641C">
        <w:t xml:space="preserve"> bias often associated with interviews is the approach to data collection. It is therefore good practice to include in the interviews, organisational actors across hierarchies, functional areas, and geographies (ibid). This approach </w:t>
      </w:r>
      <w:r w:rsidR="00AE128C" w:rsidRPr="009F641C">
        <w:t xml:space="preserve">was </w:t>
      </w:r>
      <w:r w:rsidR="009F641C" w:rsidRPr="009F641C">
        <w:t>adopted in this research. Respondents’ perspectives facilitated understanding around the following:</w:t>
      </w:r>
    </w:p>
    <w:p w14:paraId="42A5F9E5" w14:textId="2683F176" w:rsidR="009F641C" w:rsidRPr="009F641C" w:rsidRDefault="009F641C" w:rsidP="005D40B5">
      <w:pPr>
        <w:numPr>
          <w:ilvl w:val="0"/>
          <w:numId w:val="5"/>
        </w:numPr>
        <w:spacing w:after="160"/>
        <w:contextualSpacing/>
        <w:jc w:val="left"/>
        <w:rPr>
          <w:lang w:val="en-US"/>
        </w:rPr>
      </w:pPr>
      <w:r w:rsidRPr="009F641C">
        <w:rPr>
          <w:lang w:val="en-US"/>
        </w:rPr>
        <w:lastRenderedPageBreak/>
        <w:t>What are the various ways in which social risks</w:t>
      </w:r>
      <w:r w:rsidR="00426E76">
        <w:rPr>
          <w:lang w:val="en-US"/>
        </w:rPr>
        <w:t xml:space="preserve"> of inequalities</w:t>
      </w:r>
      <w:r w:rsidRPr="009F641C">
        <w:rPr>
          <w:lang w:val="en-US"/>
        </w:rPr>
        <w:t xml:space="preserve"> can emerge and/or be exacerbated while adopting the </w:t>
      </w:r>
      <w:r w:rsidR="003418EF">
        <w:rPr>
          <w:lang w:val="en-US"/>
        </w:rPr>
        <w:t xml:space="preserve">Scottish Government </w:t>
      </w:r>
      <w:r w:rsidRPr="009F641C">
        <w:rPr>
          <w:lang w:val="en-US"/>
        </w:rPr>
        <w:t xml:space="preserve">4Ps </w:t>
      </w:r>
      <w:r w:rsidR="003418EF">
        <w:rPr>
          <w:lang w:val="en-US"/>
        </w:rPr>
        <w:t xml:space="preserve">(People, </w:t>
      </w:r>
      <w:r w:rsidR="002003A8">
        <w:rPr>
          <w:lang w:val="en-US"/>
        </w:rPr>
        <w:t xml:space="preserve">Performance, Prevention, Partnership) </w:t>
      </w:r>
      <w:r w:rsidRPr="009F641C">
        <w:rPr>
          <w:lang w:val="en-US"/>
        </w:rPr>
        <w:t>approach to SSES transformation?</w:t>
      </w:r>
    </w:p>
    <w:p w14:paraId="74709E4E" w14:textId="7358CAA2" w:rsidR="009F641C" w:rsidRPr="009F641C" w:rsidRDefault="009F641C" w:rsidP="005D40B5">
      <w:pPr>
        <w:numPr>
          <w:ilvl w:val="0"/>
          <w:numId w:val="5"/>
        </w:numPr>
        <w:spacing w:after="160"/>
        <w:contextualSpacing/>
        <w:jc w:val="left"/>
        <w:rPr>
          <w:lang w:val="en-US"/>
        </w:rPr>
      </w:pPr>
      <w:r w:rsidRPr="009F641C">
        <w:rPr>
          <w:lang w:val="en-US"/>
        </w:rPr>
        <w:t>What is the potential impact of these social risks</w:t>
      </w:r>
      <w:r w:rsidR="00F6690C">
        <w:rPr>
          <w:lang w:val="en-US"/>
        </w:rPr>
        <w:t xml:space="preserve"> of inequalities</w:t>
      </w:r>
      <w:r w:rsidRPr="009F641C">
        <w:rPr>
          <w:lang w:val="en-US"/>
        </w:rPr>
        <w:t xml:space="preserve"> on key stakeholders including children, young people, families, and local communities?</w:t>
      </w:r>
    </w:p>
    <w:p w14:paraId="1F76078E" w14:textId="3BCDC191" w:rsidR="009F641C" w:rsidRDefault="009F641C" w:rsidP="005D40B5">
      <w:pPr>
        <w:numPr>
          <w:ilvl w:val="0"/>
          <w:numId w:val="5"/>
        </w:numPr>
        <w:spacing w:after="160"/>
        <w:contextualSpacing/>
        <w:jc w:val="left"/>
        <w:rPr>
          <w:lang w:val="en-US"/>
        </w:rPr>
      </w:pPr>
      <w:r w:rsidRPr="009F641C">
        <w:rPr>
          <w:lang w:val="en-US"/>
        </w:rPr>
        <w:t>How are the social risks</w:t>
      </w:r>
      <w:r w:rsidR="00F6690C">
        <w:rPr>
          <w:lang w:val="en-US"/>
        </w:rPr>
        <w:t xml:space="preserve"> of inequalities</w:t>
      </w:r>
      <w:r w:rsidRPr="009F641C">
        <w:rPr>
          <w:lang w:val="en-US"/>
        </w:rPr>
        <w:t xml:space="preserve"> managed?</w:t>
      </w:r>
    </w:p>
    <w:p w14:paraId="2481ADD7" w14:textId="77777777" w:rsidR="00576867" w:rsidRPr="009F641C" w:rsidRDefault="00576867" w:rsidP="005D40B5">
      <w:pPr>
        <w:spacing w:after="160"/>
        <w:ind w:left="1080"/>
        <w:contextualSpacing/>
        <w:jc w:val="left"/>
        <w:rPr>
          <w:lang w:val="en-US"/>
        </w:rPr>
      </w:pPr>
    </w:p>
    <w:p w14:paraId="5EAFA5DF" w14:textId="39D31905" w:rsidR="000B738A" w:rsidRDefault="009F641C" w:rsidP="005D40B5">
      <w:pPr>
        <w:rPr>
          <w:bCs/>
          <w:lang w:eastAsia="en-GB"/>
        </w:rPr>
      </w:pPr>
      <w:r w:rsidRPr="009F641C">
        <w:t xml:space="preserve">Research with limited theoretical underpinning usually require larger samples, compared to those that use established theories to plan and analyse. Theoretical frameworks can be used to articulate associations between different components of primary data. </w:t>
      </w:r>
      <w:r w:rsidRPr="009F641C">
        <w:rPr>
          <w:bCs/>
          <w:lang w:eastAsia="en-GB"/>
        </w:rPr>
        <w:t xml:space="preserve">Therefore, the sampling strategy was purposive and guided by </w:t>
      </w:r>
      <w:r w:rsidRPr="009F641C">
        <w:rPr>
          <w:rFonts w:eastAsia="Times New Roman"/>
          <w:bCs/>
          <w:lang w:eastAsia="en-GB"/>
        </w:rPr>
        <w:t xml:space="preserve">the Street Level Bureaucracy Theory. This sociological theory argues that </w:t>
      </w:r>
      <w:r w:rsidRPr="009F641C">
        <w:t xml:space="preserve">public policy is not best understood as made in legislatures or by high-ranking administrators (Hupe and Hill, 2007). This is because ‘it is shaped during daily encounters of street-level workers’ (Lipsky 1980, p. XII). Thus, implementation may re-shape policy and strategic intent (Shim et al., 2017). </w:t>
      </w:r>
      <w:r w:rsidRPr="009F641C">
        <w:rPr>
          <w:bCs/>
          <w:lang w:eastAsia="en-GB"/>
        </w:rPr>
        <w:t xml:space="preserve">In the SSES context, this means that though senior managers develop organisational polices and strategic direction, implementation is shaped by middle and frontline managers. </w:t>
      </w:r>
    </w:p>
    <w:p w14:paraId="5B1CF369" w14:textId="77777777" w:rsidR="00B814F4" w:rsidRDefault="00B814F4" w:rsidP="005D40B5">
      <w:pPr>
        <w:rPr>
          <w:bCs/>
          <w:lang w:eastAsia="en-GB"/>
        </w:rPr>
      </w:pPr>
    </w:p>
    <w:p w14:paraId="043D10EC" w14:textId="12D1629F" w:rsidR="00B814F4" w:rsidRDefault="000B738A" w:rsidP="005D40B5">
      <w:pPr>
        <w:rPr>
          <w:bCs/>
          <w:lang w:eastAsia="en-GB"/>
        </w:rPr>
      </w:pPr>
      <w:r w:rsidRPr="000B738A">
        <w:rPr>
          <w:bCs/>
          <w:lang w:eastAsia="en-GB"/>
        </w:rPr>
        <w:t>The R</w:t>
      </w:r>
      <w:r>
        <w:rPr>
          <w:bCs/>
          <w:lang w:eastAsia="en-GB"/>
        </w:rPr>
        <w:t xml:space="preserve">esource </w:t>
      </w:r>
      <w:r w:rsidRPr="000B738A">
        <w:rPr>
          <w:bCs/>
          <w:lang w:eastAsia="en-GB"/>
        </w:rPr>
        <w:t>B</w:t>
      </w:r>
      <w:r>
        <w:rPr>
          <w:bCs/>
          <w:lang w:eastAsia="en-GB"/>
        </w:rPr>
        <w:t xml:space="preserve">ased </w:t>
      </w:r>
      <w:r w:rsidRPr="000B738A">
        <w:rPr>
          <w:bCs/>
          <w:lang w:eastAsia="en-GB"/>
        </w:rPr>
        <w:t>V</w:t>
      </w:r>
      <w:r>
        <w:rPr>
          <w:bCs/>
          <w:lang w:eastAsia="en-GB"/>
        </w:rPr>
        <w:t>iew</w:t>
      </w:r>
      <w:r w:rsidRPr="000B738A">
        <w:rPr>
          <w:bCs/>
          <w:lang w:eastAsia="en-GB"/>
        </w:rPr>
        <w:t xml:space="preserve"> informed the selection of </w:t>
      </w:r>
      <w:r w:rsidR="00214E70">
        <w:rPr>
          <w:bCs/>
          <w:lang w:eastAsia="en-GB"/>
        </w:rPr>
        <w:t xml:space="preserve">case study </w:t>
      </w:r>
      <w:r w:rsidRPr="000B738A">
        <w:rPr>
          <w:bCs/>
          <w:lang w:eastAsia="en-GB"/>
        </w:rPr>
        <w:t xml:space="preserve">participants and the design of interview questions in this study. Participants were purposively sampled to include individuals with knowledge of the education system's internal resources and capabilities related to social risk management (Barney, 1991; Grant, 1991). </w:t>
      </w:r>
      <w:r w:rsidR="00B814F4">
        <w:rPr>
          <w:bCs/>
          <w:lang w:eastAsia="en-GB"/>
        </w:rPr>
        <w:t>Their selection enabled</w:t>
      </w:r>
      <w:r w:rsidR="00B814F4" w:rsidRPr="009F641C">
        <w:t xml:space="preserve"> diversity in terms of the outer institutional structures</w:t>
      </w:r>
      <w:r w:rsidR="00B814F4" w:rsidRPr="009F641C">
        <w:rPr>
          <w:vertAlign w:val="superscript"/>
        </w:rPr>
        <w:footnoteReference w:id="4"/>
      </w:r>
      <w:r w:rsidR="00B814F4" w:rsidRPr="009F641C">
        <w:t xml:space="preserve"> driving SSES transformation, and inner institutional factors that may influence the process. </w:t>
      </w:r>
      <w:r w:rsidR="00B814F4" w:rsidRPr="009F641C">
        <w:rPr>
          <w:bCs/>
          <w:lang w:eastAsia="en-GB"/>
        </w:rPr>
        <w:t xml:space="preserve">For reasons of anonymity, these case studies are called Council A and Council B. </w:t>
      </w:r>
      <w:r w:rsidR="00B814F4" w:rsidRPr="000B738A">
        <w:rPr>
          <w:bCs/>
          <w:lang w:eastAsia="en-GB"/>
        </w:rPr>
        <w:t xml:space="preserve">     </w:t>
      </w:r>
    </w:p>
    <w:p w14:paraId="5CFCB4A4" w14:textId="77777777" w:rsidR="00214E70" w:rsidRPr="000B738A" w:rsidRDefault="00214E70" w:rsidP="005D40B5">
      <w:pPr>
        <w:rPr>
          <w:bCs/>
          <w:lang w:eastAsia="en-GB"/>
        </w:rPr>
      </w:pPr>
    </w:p>
    <w:p w14:paraId="7FFA59CB" w14:textId="35BEF37D" w:rsidR="000B738A" w:rsidRDefault="000B738A" w:rsidP="005D40B5">
      <w:pPr>
        <w:rPr>
          <w:bCs/>
          <w:lang w:eastAsia="en-GB"/>
        </w:rPr>
      </w:pPr>
      <w:r w:rsidRPr="000B738A">
        <w:rPr>
          <w:bCs/>
          <w:lang w:eastAsia="en-GB"/>
        </w:rPr>
        <w:t xml:space="preserve">Interview questions were designed to elicit information about the presence, development, and deployment of these resources and capabilities in the context of </w:t>
      </w:r>
      <w:r w:rsidR="00943E20">
        <w:rPr>
          <w:bCs/>
          <w:lang w:eastAsia="en-GB"/>
        </w:rPr>
        <w:t xml:space="preserve">risk management and </w:t>
      </w:r>
      <w:r w:rsidRPr="000B738A">
        <w:rPr>
          <w:bCs/>
          <w:lang w:eastAsia="en-GB"/>
        </w:rPr>
        <w:t>Scottish school education transformation</w:t>
      </w:r>
      <w:r>
        <w:rPr>
          <w:bCs/>
          <w:lang w:eastAsia="en-GB"/>
        </w:rPr>
        <w:t>.</w:t>
      </w:r>
    </w:p>
    <w:p w14:paraId="755F8784" w14:textId="042E5187" w:rsidR="001A4F45" w:rsidRDefault="001A4F45" w:rsidP="005D40B5">
      <w:pPr>
        <w:rPr>
          <w:bCs/>
          <w:lang w:eastAsia="en-GB"/>
        </w:rPr>
      </w:pPr>
      <w:r w:rsidRPr="001A4F45">
        <w:rPr>
          <w:bCs/>
          <w:lang w:eastAsia="en-GB"/>
        </w:rPr>
        <w:lastRenderedPageBreak/>
        <w:t xml:space="preserve">Eight managers from Council A and nine from Council B were interviewed. Sample sizes in both councils were influenced by the need to achieve data saturation (Coulton et al., 2017). All the relevant stakeholders involved in school education provision and transformation in both anonymous local councils were interviewed. It became evident that data saturation had been achieved when the interviewer kept being referred to the people that had been interviewed. </w:t>
      </w:r>
    </w:p>
    <w:p w14:paraId="3AD33D3A" w14:textId="77777777" w:rsidR="001A4F45" w:rsidRDefault="001A4F45" w:rsidP="005D40B5">
      <w:pPr>
        <w:rPr>
          <w:bCs/>
          <w:lang w:eastAsia="en-GB"/>
        </w:rPr>
      </w:pPr>
    </w:p>
    <w:p w14:paraId="28C986A6" w14:textId="6CDECFB5" w:rsidR="009F641C" w:rsidRPr="009F641C" w:rsidRDefault="009F641C" w:rsidP="005D40B5">
      <w:pPr>
        <w:rPr>
          <w:bCs/>
          <w:lang w:eastAsia="en-GB"/>
        </w:rPr>
      </w:pPr>
      <w:r w:rsidRPr="009F641C">
        <w:rPr>
          <w:bCs/>
          <w:lang w:eastAsia="en-GB"/>
        </w:rPr>
        <w:t>Information about the roles of respondents from both councils is provided below.</w:t>
      </w:r>
    </w:p>
    <w:p w14:paraId="563F4CA5" w14:textId="4DB1F71E" w:rsidR="009F641C" w:rsidRPr="009F641C" w:rsidRDefault="009F641C" w:rsidP="005D40B5">
      <w:pPr>
        <w:keepNext/>
        <w:spacing w:after="200"/>
        <w:jc w:val="center"/>
        <w:rPr>
          <w:color w:val="44546A" w:themeColor="text2"/>
        </w:rPr>
      </w:pPr>
      <w:r w:rsidRPr="009F641C">
        <w:rPr>
          <w:color w:val="44546A" w:themeColor="text2"/>
        </w:rPr>
        <w:t xml:space="preserve">Table </w:t>
      </w:r>
      <w:r w:rsidRPr="009F641C">
        <w:rPr>
          <w:color w:val="44546A" w:themeColor="text2"/>
        </w:rPr>
        <w:fldChar w:fldCharType="begin"/>
      </w:r>
      <w:r w:rsidRPr="009F641C">
        <w:rPr>
          <w:color w:val="44546A" w:themeColor="text2"/>
        </w:rPr>
        <w:instrText xml:space="preserve"> SEQ Table \* ARABIC </w:instrText>
      </w:r>
      <w:r w:rsidRPr="009F641C">
        <w:rPr>
          <w:color w:val="44546A" w:themeColor="text2"/>
        </w:rPr>
        <w:fldChar w:fldCharType="separate"/>
      </w:r>
      <w:r w:rsidR="00B63FE0">
        <w:rPr>
          <w:noProof/>
          <w:color w:val="44546A" w:themeColor="text2"/>
        </w:rPr>
        <w:t>1</w:t>
      </w:r>
      <w:r w:rsidRPr="009F641C">
        <w:rPr>
          <w:color w:val="44546A" w:themeColor="text2"/>
        </w:rPr>
        <w:fldChar w:fldCharType="end"/>
      </w:r>
      <w:r w:rsidRPr="009F641C">
        <w:rPr>
          <w:color w:val="44546A" w:themeColor="text2"/>
        </w:rPr>
        <w:t>: Job and Managerial Roles of Respondents from Councils A and B.</w:t>
      </w:r>
    </w:p>
    <w:tbl>
      <w:tblPr>
        <w:tblStyle w:val="PlainTable2111"/>
        <w:tblW w:w="8931" w:type="dxa"/>
        <w:jc w:val="center"/>
        <w:tblBorders>
          <w:top w:val="single" w:sz="4" w:space="0" w:color="auto"/>
          <w:bottom w:val="none" w:sz="0" w:space="0" w:color="auto"/>
        </w:tblBorders>
        <w:tblLayout w:type="fixed"/>
        <w:tblLook w:val="04A0" w:firstRow="1" w:lastRow="0" w:firstColumn="1" w:lastColumn="0" w:noHBand="0" w:noVBand="1"/>
      </w:tblPr>
      <w:tblGrid>
        <w:gridCol w:w="497"/>
        <w:gridCol w:w="1365"/>
        <w:gridCol w:w="2604"/>
        <w:gridCol w:w="1630"/>
        <w:gridCol w:w="2835"/>
      </w:tblGrid>
      <w:tr w:rsidR="009F641C" w:rsidRPr="009F641C" w14:paraId="411BCB2C" w14:textId="77777777" w:rsidTr="000D270E">
        <w:trPr>
          <w:cnfStyle w:val="100000000000" w:firstRow="1" w:lastRow="0" w:firstColumn="0" w:lastColumn="0" w:oddVBand="0" w:evenVBand="0" w:oddHBand="0" w:evenHBand="0" w:firstRowFirstColumn="0" w:firstRowLastColumn="0" w:lastRowFirstColumn="0" w:lastRowLastColumn="0"/>
          <w:trHeight w:val="745"/>
          <w:jc w:val="center"/>
        </w:trPr>
        <w:tc>
          <w:tcPr>
            <w:cnfStyle w:val="001000000000" w:firstRow="0" w:lastRow="0" w:firstColumn="1" w:lastColumn="0" w:oddVBand="0" w:evenVBand="0" w:oddHBand="0" w:evenHBand="0" w:firstRowFirstColumn="0" w:firstRowLastColumn="0" w:lastRowFirstColumn="0" w:lastRowLastColumn="0"/>
            <w:tcW w:w="497" w:type="dxa"/>
          </w:tcPr>
          <w:p w14:paraId="556C3493"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eastAsia="Arial"/>
              </w:rPr>
            </w:pPr>
            <w:r w:rsidRPr="009F641C">
              <w:rPr>
                <w:rFonts w:eastAsia="Arial"/>
              </w:rPr>
              <w:t>#</w:t>
            </w:r>
          </w:p>
        </w:tc>
        <w:tc>
          <w:tcPr>
            <w:tcW w:w="1365" w:type="dxa"/>
          </w:tcPr>
          <w:p w14:paraId="3329D50D"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left"/>
              <w:cnfStyle w:val="100000000000" w:firstRow="1" w:lastRow="0" w:firstColumn="0" w:lastColumn="0" w:oddVBand="0" w:evenVBand="0" w:oddHBand="0" w:evenHBand="0" w:firstRowFirstColumn="0" w:firstRowLastColumn="0" w:lastRowFirstColumn="0" w:lastRowLastColumn="0"/>
              <w:rPr>
                <w:rFonts w:eastAsia="Arial"/>
              </w:rPr>
            </w:pPr>
            <w:r w:rsidRPr="009F641C">
              <w:rPr>
                <w:rFonts w:eastAsia="Arial"/>
              </w:rPr>
              <w:t>Job Role</w:t>
            </w:r>
          </w:p>
        </w:tc>
        <w:tc>
          <w:tcPr>
            <w:tcW w:w="2604" w:type="dxa"/>
          </w:tcPr>
          <w:p w14:paraId="66DF31E8"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left"/>
              <w:cnfStyle w:val="100000000000" w:firstRow="1" w:lastRow="0" w:firstColumn="0" w:lastColumn="0" w:oddVBand="0" w:evenVBand="0" w:oddHBand="0" w:evenHBand="0" w:firstRowFirstColumn="0" w:firstRowLastColumn="0" w:lastRowFirstColumn="0" w:lastRowLastColumn="0"/>
              <w:rPr>
                <w:rFonts w:eastAsia="Arial"/>
              </w:rPr>
            </w:pPr>
            <w:r w:rsidRPr="009F641C">
              <w:rPr>
                <w:rFonts w:eastAsia="Arial"/>
              </w:rPr>
              <w:t xml:space="preserve">Managerial Role </w:t>
            </w:r>
          </w:p>
        </w:tc>
        <w:tc>
          <w:tcPr>
            <w:tcW w:w="1630" w:type="dxa"/>
          </w:tcPr>
          <w:p w14:paraId="1B8A777C"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left"/>
              <w:cnfStyle w:val="100000000000" w:firstRow="1" w:lastRow="0" w:firstColumn="0" w:lastColumn="0" w:oddVBand="0" w:evenVBand="0" w:oddHBand="0" w:evenHBand="0" w:firstRowFirstColumn="0" w:firstRowLastColumn="0" w:lastRowFirstColumn="0" w:lastRowLastColumn="0"/>
              <w:rPr>
                <w:rFonts w:eastAsia="Arial"/>
              </w:rPr>
            </w:pPr>
            <w:r w:rsidRPr="009F641C">
              <w:rPr>
                <w:rFonts w:eastAsia="Arial"/>
              </w:rPr>
              <w:t>Job Role</w:t>
            </w:r>
          </w:p>
        </w:tc>
        <w:tc>
          <w:tcPr>
            <w:tcW w:w="2835" w:type="dxa"/>
          </w:tcPr>
          <w:p w14:paraId="2A16A099"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left"/>
              <w:cnfStyle w:val="100000000000" w:firstRow="1" w:lastRow="0" w:firstColumn="0" w:lastColumn="0" w:oddVBand="0" w:evenVBand="0" w:oddHBand="0" w:evenHBand="0" w:firstRowFirstColumn="0" w:firstRowLastColumn="0" w:lastRowFirstColumn="0" w:lastRowLastColumn="0"/>
              <w:rPr>
                <w:rFonts w:eastAsia="Arial"/>
              </w:rPr>
            </w:pPr>
            <w:r w:rsidRPr="009F641C">
              <w:rPr>
                <w:rFonts w:eastAsia="Arial"/>
              </w:rPr>
              <w:t>Managerial Role</w:t>
            </w:r>
          </w:p>
        </w:tc>
      </w:tr>
      <w:tr w:rsidR="009F641C" w:rsidRPr="009F641C" w14:paraId="2B67D175" w14:textId="77777777" w:rsidTr="001A4F45">
        <w:trPr>
          <w:cnfStyle w:val="000000100000" w:firstRow="0" w:lastRow="0" w:firstColumn="0" w:lastColumn="0" w:oddVBand="0" w:evenVBand="0" w:oddHBand="1" w:evenHBand="0" w:firstRowFirstColumn="0" w:firstRowLastColumn="0" w:lastRowFirstColumn="0" w:lastRowLastColumn="0"/>
          <w:trHeight w:val="791"/>
          <w:jc w:val="center"/>
        </w:trPr>
        <w:tc>
          <w:tcPr>
            <w:cnfStyle w:val="001000000000" w:firstRow="0" w:lastRow="0" w:firstColumn="1" w:lastColumn="0" w:oddVBand="0" w:evenVBand="0" w:oddHBand="0" w:evenHBand="0" w:firstRowFirstColumn="0" w:firstRowLastColumn="0" w:lastRowFirstColumn="0" w:lastRowLastColumn="0"/>
            <w:tcW w:w="497" w:type="dxa"/>
          </w:tcPr>
          <w:p w14:paraId="624E3CA9"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eastAsia="Arial"/>
              </w:rPr>
            </w:pPr>
            <w:r w:rsidRPr="009F641C">
              <w:rPr>
                <w:rFonts w:eastAsia="Arial"/>
              </w:rPr>
              <w:t>1</w:t>
            </w:r>
          </w:p>
        </w:tc>
        <w:tc>
          <w:tcPr>
            <w:tcW w:w="1365" w:type="dxa"/>
          </w:tcPr>
          <w:p w14:paraId="6E7A0BE3"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left"/>
              <w:cnfStyle w:val="000000100000" w:firstRow="0" w:lastRow="0" w:firstColumn="0" w:lastColumn="0" w:oddVBand="0" w:evenVBand="0" w:oddHBand="1" w:evenHBand="0" w:firstRowFirstColumn="0" w:firstRowLastColumn="0" w:lastRowFirstColumn="0" w:lastRowLastColumn="0"/>
              <w:rPr>
                <w:rFonts w:eastAsia="Arial"/>
              </w:rPr>
            </w:pPr>
            <w:r w:rsidRPr="009F641C">
              <w:rPr>
                <w:rFonts w:eastAsia="Arial"/>
              </w:rPr>
              <w:t>Chief Executive</w:t>
            </w:r>
          </w:p>
        </w:tc>
        <w:tc>
          <w:tcPr>
            <w:tcW w:w="2604" w:type="dxa"/>
          </w:tcPr>
          <w:p w14:paraId="5B270444"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left"/>
              <w:cnfStyle w:val="000000100000" w:firstRow="0" w:lastRow="0" w:firstColumn="0" w:lastColumn="0" w:oddVBand="0" w:evenVBand="0" w:oddHBand="1" w:evenHBand="0" w:firstRowFirstColumn="0" w:firstRowLastColumn="0" w:lastRowFirstColumn="0" w:lastRowLastColumn="0"/>
              <w:rPr>
                <w:rFonts w:eastAsia="Arial"/>
              </w:rPr>
            </w:pPr>
            <w:r w:rsidRPr="009F641C">
              <w:rPr>
                <w:rFonts w:eastAsia="Arial"/>
              </w:rPr>
              <w:t>Senior Manager with strategic role (SMS-1A)</w:t>
            </w:r>
          </w:p>
        </w:tc>
        <w:tc>
          <w:tcPr>
            <w:tcW w:w="1630" w:type="dxa"/>
          </w:tcPr>
          <w:p w14:paraId="02DB87D6"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left"/>
              <w:cnfStyle w:val="000000100000" w:firstRow="0" w:lastRow="0" w:firstColumn="0" w:lastColumn="0" w:oddVBand="0" w:evenVBand="0" w:oddHBand="1" w:evenHBand="0" w:firstRowFirstColumn="0" w:firstRowLastColumn="0" w:lastRowFirstColumn="0" w:lastRowLastColumn="0"/>
              <w:rPr>
                <w:rFonts w:eastAsia="Arial"/>
              </w:rPr>
            </w:pPr>
            <w:r w:rsidRPr="009F641C">
              <w:rPr>
                <w:rFonts w:eastAsia="Arial"/>
              </w:rPr>
              <w:t>Chief Executive</w:t>
            </w:r>
          </w:p>
        </w:tc>
        <w:tc>
          <w:tcPr>
            <w:tcW w:w="2835" w:type="dxa"/>
          </w:tcPr>
          <w:p w14:paraId="3AF6DC22"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left"/>
              <w:cnfStyle w:val="000000100000" w:firstRow="0" w:lastRow="0" w:firstColumn="0" w:lastColumn="0" w:oddVBand="0" w:evenVBand="0" w:oddHBand="1" w:evenHBand="0" w:firstRowFirstColumn="0" w:firstRowLastColumn="0" w:lastRowFirstColumn="0" w:lastRowLastColumn="0"/>
              <w:rPr>
                <w:rFonts w:eastAsia="Arial"/>
              </w:rPr>
            </w:pPr>
            <w:r w:rsidRPr="009F641C">
              <w:rPr>
                <w:rFonts w:eastAsia="Arial"/>
              </w:rPr>
              <w:t>Senior Manager with strategic role (SMS-1B)</w:t>
            </w:r>
          </w:p>
        </w:tc>
      </w:tr>
      <w:tr w:rsidR="009F641C" w:rsidRPr="009F641C" w14:paraId="5FCF2D0C" w14:textId="77777777" w:rsidTr="000D270E">
        <w:trPr>
          <w:trHeight w:val="1089"/>
          <w:jc w:val="center"/>
        </w:trPr>
        <w:tc>
          <w:tcPr>
            <w:cnfStyle w:val="001000000000" w:firstRow="0" w:lastRow="0" w:firstColumn="1" w:lastColumn="0" w:oddVBand="0" w:evenVBand="0" w:oddHBand="0" w:evenHBand="0" w:firstRowFirstColumn="0" w:firstRowLastColumn="0" w:lastRowFirstColumn="0" w:lastRowLastColumn="0"/>
            <w:tcW w:w="497" w:type="dxa"/>
          </w:tcPr>
          <w:p w14:paraId="48DB3C76"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eastAsia="Arial"/>
              </w:rPr>
            </w:pPr>
            <w:r w:rsidRPr="009F641C">
              <w:rPr>
                <w:rFonts w:eastAsia="Arial"/>
              </w:rPr>
              <w:t>2</w:t>
            </w:r>
          </w:p>
        </w:tc>
        <w:tc>
          <w:tcPr>
            <w:tcW w:w="1365" w:type="dxa"/>
          </w:tcPr>
          <w:p w14:paraId="1DAB553C"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left"/>
              <w:cnfStyle w:val="000000000000" w:firstRow="0" w:lastRow="0" w:firstColumn="0" w:lastColumn="0" w:oddVBand="0" w:evenVBand="0" w:oddHBand="0" w:evenHBand="0" w:firstRowFirstColumn="0" w:firstRowLastColumn="0" w:lastRowFirstColumn="0" w:lastRowLastColumn="0"/>
              <w:rPr>
                <w:rFonts w:eastAsia="Arial"/>
              </w:rPr>
            </w:pPr>
            <w:r w:rsidRPr="009F641C">
              <w:rPr>
                <w:rFonts w:eastAsia="Arial"/>
              </w:rPr>
              <w:t>Education Director</w:t>
            </w:r>
          </w:p>
        </w:tc>
        <w:tc>
          <w:tcPr>
            <w:tcW w:w="2604" w:type="dxa"/>
          </w:tcPr>
          <w:p w14:paraId="50F19485" w14:textId="77777777" w:rsidR="009F641C" w:rsidRPr="009F641C" w:rsidRDefault="009F641C" w:rsidP="005D40B5">
            <w:pPr>
              <w:jc w:val="left"/>
              <w:cnfStyle w:val="000000000000" w:firstRow="0" w:lastRow="0" w:firstColumn="0" w:lastColumn="0" w:oddVBand="0" w:evenVBand="0" w:oddHBand="0" w:evenHBand="0" w:firstRowFirstColumn="0" w:firstRowLastColumn="0" w:lastRowFirstColumn="0" w:lastRowLastColumn="0"/>
            </w:pPr>
            <w:r w:rsidRPr="009F641C">
              <w:t>Senior Manager with strategic and implementation roles (SMSI-1A)</w:t>
            </w:r>
          </w:p>
        </w:tc>
        <w:tc>
          <w:tcPr>
            <w:tcW w:w="1630" w:type="dxa"/>
          </w:tcPr>
          <w:p w14:paraId="5EDB9538"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left"/>
              <w:cnfStyle w:val="000000000000" w:firstRow="0" w:lastRow="0" w:firstColumn="0" w:lastColumn="0" w:oddVBand="0" w:evenVBand="0" w:oddHBand="0" w:evenHBand="0" w:firstRowFirstColumn="0" w:firstRowLastColumn="0" w:lastRowFirstColumn="0" w:lastRowLastColumn="0"/>
              <w:rPr>
                <w:rFonts w:eastAsia="Arial"/>
              </w:rPr>
            </w:pPr>
            <w:r w:rsidRPr="009F641C">
              <w:t>Communities Director</w:t>
            </w:r>
          </w:p>
        </w:tc>
        <w:tc>
          <w:tcPr>
            <w:tcW w:w="2835" w:type="dxa"/>
          </w:tcPr>
          <w:p w14:paraId="28F87C8E"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left"/>
              <w:cnfStyle w:val="000000000000" w:firstRow="0" w:lastRow="0" w:firstColumn="0" w:lastColumn="0" w:oddVBand="0" w:evenVBand="0" w:oddHBand="0" w:evenHBand="0" w:firstRowFirstColumn="0" w:firstRowLastColumn="0" w:lastRowFirstColumn="0" w:lastRowLastColumn="0"/>
              <w:rPr>
                <w:rFonts w:eastAsia="Arial"/>
              </w:rPr>
            </w:pPr>
            <w:r w:rsidRPr="009F641C">
              <w:t>Senior Manager with strategic role (SMS-2B)</w:t>
            </w:r>
          </w:p>
        </w:tc>
      </w:tr>
      <w:tr w:rsidR="009F641C" w:rsidRPr="009F641C" w14:paraId="6A30471E" w14:textId="77777777" w:rsidTr="000D270E">
        <w:trPr>
          <w:cnfStyle w:val="000000100000" w:firstRow="0" w:lastRow="0" w:firstColumn="0" w:lastColumn="0" w:oddVBand="0" w:evenVBand="0" w:oddHBand="1" w:evenHBand="0" w:firstRowFirstColumn="0" w:firstRowLastColumn="0" w:lastRowFirstColumn="0" w:lastRowLastColumn="0"/>
          <w:trHeight w:val="1103"/>
          <w:jc w:val="center"/>
        </w:trPr>
        <w:tc>
          <w:tcPr>
            <w:cnfStyle w:val="001000000000" w:firstRow="0" w:lastRow="0" w:firstColumn="1" w:lastColumn="0" w:oddVBand="0" w:evenVBand="0" w:oddHBand="0" w:evenHBand="0" w:firstRowFirstColumn="0" w:firstRowLastColumn="0" w:lastRowFirstColumn="0" w:lastRowLastColumn="0"/>
            <w:tcW w:w="497" w:type="dxa"/>
          </w:tcPr>
          <w:p w14:paraId="2A0020EB"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eastAsia="Arial"/>
              </w:rPr>
            </w:pPr>
            <w:r w:rsidRPr="009F641C">
              <w:rPr>
                <w:rFonts w:eastAsia="Arial"/>
              </w:rPr>
              <w:t>3</w:t>
            </w:r>
          </w:p>
        </w:tc>
        <w:tc>
          <w:tcPr>
            <w:tcW w:w="1365" w:type="dxa"/>
          </w:tcPr>
          <w:p w14:paraId="61FB9F00"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left"/>
              <w:cnfStyle w:val="000000100000" w:firstRow="0" w:lastRow="0" w:firstColumn="0" w:lastColumn="0" w:oddVBand="0" w:evenVBand="0" w:oddHBand="1" w:evenHBand="0" w:firstRowFirstColumn="0" w:firstRowLastColumn="0" w:lastRowFirstColumn="0" w:lastRowLastColumn="0"/>
              <w:rPr>
                <w:rFonts w:eastAsia="Arial"/>
              </w:rPr>
            </w:pPr>
            <w:r w:rsidRPr="009F641C">
              <w:rPr>
                <w:rFonts w:eastAsia="Arial"/>
              </w:rPr>
              <w:t>Head of Education</w:t>
            </w:r>
          </w:p>
        </w:tc>
        <w:tc>
          <w:tcPr>
            <w:tcW w:w="2604" w:type="dxa"/>
          </w:tcPr>
          <w:p w14:paraId="0D0FB5B8" w14:textId="77777777" w:rsidR="009F641C" w:rsidRPr="009F641C" w:rsidRDefault="009F641C" w:rsidP="005D40B5">
            <w:pPr>
              <w:jc w:val="left"/>
              <w:cnfStyle w:val="000000100000" w:firstRow="0" w:lastRow="0" w:firstColumn="0" w:lastColumn="0" w:oddVBand="0" w:evenVBand="0" w:oddHBand="1" w:evenHBand="0" w:firstRowFirstColumn="0" w:firstRowLastColumn="0" w:lastRowFirstColumn="0" w:lastRowLastColumn="0"/>
            </w:pPr>
            <w:r w:rsidRPr="009F641C">
              <w:t>Senior Manager with strategic and implementation roles (SMSI-2A)</w:t>
            </w:r>
          </w:p>
        </w:tc>
        <w:tc>
          <w:tcPr>
            <w:tcW w:w="1630" w:type="dxa"/>
          </w:tcPr>
          <w:p w14:paraId="2EBB0AD8"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left"/>
              <w:cnfStyle w:val="000000100000" w:firstRow="0" w:lastRow="0" w:firstColumn="0" w:lastColumn="0" w:oddVBand="0" w:evenVBand="0" w:oddHBand="1" w:evenHBand="0" w:firstRowFirstColumn="0" w:firstRowLastColumn="0" w:lastRowFirstColumn="0" w:lastRowLastColumn="0"/>
              <w:rPr>
                <w:rFonts w:eastAsia="Arial"/>
              </w:rPr>
            </w:pPr>
            <w:r w:rsidRPr="009F641C">
              <w:t>Education Director</w:t>
            </w:r>
          </w:p>
        </w:tc>
        <w:tc>
          <w:tcPr>
            <w:tcW w:w="2835" w:type="dxa"/>
          </w:tcPr>
          <w:p w14:paraId="589BC062"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left"/>
              <w:cnfStyle w:val="000000100000" w:firstRow="0" w:lastRow="0" w:firstColumn="0" w:lastColumn="0" w:oddVBand="0" w:evenVBand="0" w:oddHBand="1" w:evenHBand="0" w:firstRowFirstColumn="0" w:firstRowLastColumn="0" w:lastRowFirstColumn="0" w:lastRowLastColumn="0"/>
              <w:rPr>
                <w:rFonts w:eastAsia="Arial"/>
              </w:rPr>
            </w:pPr>
            <w:r w:rsidRPr="009F641C">
              <w:t>Senior Manager with strategic and implementation roles (SMSI-1B)</w:t>
            </w:r>
          </w:p>
        </w:tc>
      </w:tr>
      <w:tr w:rsidR="009F641C" w:rsidRPr="009F641C" w14:paraId="15DA37F1" w14:textId="77777777" w:rsidTr="000D270E">
        <w:trPr>
          <w:trHeight w:val="1118"/>
          <w:jc w:val="center"/>
        </w:trPr>
        <w:tc>
          <w:tcPr>
            <w:cnfStyle w:val="001000000000" w:firstRow="0" w:lastRow="0" w:firstColumn="1" w:lastColumn="0" w:oddVBand="0" w:evenVBand="0" w:oddHBand="0" w:evenHBand="0" w:firstRowFirstColumn="0" w:firstRowLastColumn="0" w:lastRowFirstColumn="0" w:lastRowLastColumn="0"/>
            <w:tcW w:w="497" w:type="dxa"/>
          </w:tcPr>
          <w:p w14:paraId="592529BB"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eastAsia="Arial"/>
              </w:rPr>
            </w:pPr>
            <w:r w:rsidRPr="009F641C">
              <w:rPr>
                <w:rFonts w:eastAsia="Arial"/>
              </w:rPr>
              <w:t>4</w:t>
            </w:r>
          </w:p>
        </w:tc>
        <w:tc>
          <w:tcPr>
            <w:tcW w:w="1365" w:type="dxa"/>
          </w:tcPr>
          <w:p w14:paraId="01BED0FD"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left"/>
              <w:cnfStyle w:val="000000000000" w:firstRow="0" w:lastRow="0" w:firstColumn="0" w:lastColumn="0" w:oddVBand="0" w:evenVBand="0" w:oddHBand="0" w:evenHBand="0" w:firstRowFirstColumn="0" w:firstRowLastColumn="0" w:lastRowFirstColumn="0" w:lastRowLastColumn="0"/>
              <w:rPr>
                <w:rFonts w:eastAsia="Arial"/>
              </w:rPr>
            </w:pPr>
            <w:r w:rsidRPr="009F641C">
              <w:rPr>
                <w:rFonts w:eastAsia="Arial"/>
              </w:rPr>
              <w:t>Head of Inclusive Education</w:t>
            </w:r>
          </w:p>
        </w:tc>
        <w:tc>
          <w:tcPr>
            <w:tcW w:w="2604" w:type="dxa"/>
          </w:tcPr>
          <w:p w14:paraId="10643C86" w14:textId="77777777" w:rsidR="009F641C" w:rsidRPr="009F641C" w:rsidRDefault="009F641C" w:rsidP="005D40B5">
            <w:pPr>
              <w:jc w:val="left"/>
              <w:cnfStyle w:val="000000000000" w:firstRow="0" w:lastRow="0" w:firstColumn="0" w:lastColumn="0" w:oddVBand="0" w:evenVBand="0" w:oddHBand="0" w:evenHBand="0" w:firstRowFirstColumn="0" w:firstRowLastColumn="0" w:lastRowFirstColumn="0" w:lastRowLastColumn="0"/>
            </w:pPr>
            <w:r w:rsidRPr="009F641C">
              <w:t>Senior Manager with strategic and implementation roles (SMSI-3A)</w:t>
            </w:r>
          </w:p>
        </w:tc>
        <w:tc>
          <w:tcPr>
            <w:tcW w:w="1630" w:type="dxa"/>
          </w:tcPr>
          <w:p w14:paraId="7072A683"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left"/>
              <w:cnfStyle w:val="000000000000" w:firstRow="0" w:lastRow="0" w:firstColumn="0" w:lastColumn="0" w:oddVBand="0" w:evenVBand="0" w:oddHBand="0" w:evenHBand="0" w:firstRowFirstColumn="0" w:firstRowLastColumn="0" w:lastRowFirstColumn="0" w:lastRowLastColumn="0"/>
              <w:rPr>
                <w:rFonts w:eastAsia="Arial"/>
              </w:rPr>
            </w:pPr>
            <w:r w:rsidRPr="009F641C">
              <w:t xml:space="preserve">Head of Education </w:t>
            </w:r>
          </w:p>
        </w:tc>
        <w:tc>
          <w:tcPr>
            <w:tcW w:w="2835" w:type="dxa"/>
          </w:tcPr>
          <w:p w14:paraId="796AEB85"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left"/>
              <w:cnfStyle w:val="000000000000" w:firstRow="0" w:lastRow="0" w:firstColumn="0" w:lastColumn="0" w:oddVBand="0" w:evenVBand="0" w:oddHBand="0" w:evenHBand="0" w:firstRowFirstColumn="0" w:firstRowLastColumn="0" w:lastRowFirstColumn="0" w:lastRowLastColumn="0"/>
              <w:rPr>
                <w:rFonts w:eastAsia="Arial"/>
              </w:rPr>
            </w:pPr>
            <w:r w:rsidRPr="009F641C">
              <w:t>Senior Manager with strategic and implementation roles (SMSI-2B)</w:t>
            </w:r>
          </w:p>
        </w:tc>
      </w:tr>
      <w:tr w:rsidR="009F641C" w:rsidRPr="009F641C" w14:paraId="46E06110" w14:textId="77777777" w:rsidTr="000D270E">
        <w:trPr>
          <w:cnfStyle w:val="000000100000" w:firstRow="0" w:lastRow="0" w:firstColumn="0" w:lastColumn="0" w:oddVBand="0" w:evenVBand="0" w:oddHBand="1" w:evenHBand="0" w:firstRowFirstColumn="0" w:firstRowLastColumn="0" w:lastRowFirstColumn="0" w:lastRowLastColumn="0"/>
          <w:trHeight w:val="1238"/>
          <w:jc w:val="center"/>
        </w:trPr>
        <w:tc>
          <w:tcPr>
            <w:cnfStyle w:val="001000000000" w:firstRow="0" w:lastRow="0" w:firstColumn="1" w:lastColumn="0" w:oddVBand="0" w:evenVBand="0" w:oddHBand="0" w:evenHBand="0" w:firstRowFirstColumn="0" w:firstRowLastColumn="0" w:lastRowFirstColumn="0" w:lastRowLastColumn="0"/>
            <w:tcW w:w="497" w:type="dxa"/>
          </w:tcPr>
          <w:p w14:paraId="6FA0DE4E"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eastAsia="Arial"/>
              </w:rPr>
            </w:pPr>
            <w:r w:rsidRPr="009F641C">
              <w:rPr>
                <w:rFonts w:eastAsia="Arial"/>
              </w:rPr>
              <w:t>5</w:t>
            </w:r>
          </w:p>
        </w:tc>
        <w:tc>
          <w:tcPr>
            <w:tcW w:w="1365" w:type="dxa"/>
          </w:tcPr>
          <w:p w14:paraId="097D5AAA"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left"/>
              <w:cnfStyle w:val="000000100000" w:firstRow="0" w:lastRow="0" w:firstColumn="0" w:lastColumn="0" w:oddVBand="0" w:evenVBand="0" w:oddHBand="1" w:evenHBand="0" w:firstRowFirstColumn="0" w:firstRowLastColumn="0" w:lastRowFirstColumn="0" w:lastRowLastColumn="0"/>
              <w:rPr>
                <w:rFonts w:eastAsia="Arial"/>
              </w:rPr>
            </w:pPr>
            <w:r w:rsidRPr="009F641C">
              <w:rPr>
                <w:rFonts w:eastAsia="Arial"/>
              </w:rPr>
              <w:t>Head of Children Services</w:t>
            </w:r>
          </w:p>
        </w:tc>
        <w:tc>
          <w:tcPr>
            <w:tcW w:w="2604" w:type="dxa"/>
          </w:tcPr>
          <w:p w14:paraId="290BD6D8" w14:textId="77777777" w:rsidR="009F641C" w:rsidRPr="009F641C" w:rsidRDefault="009F641C" w:rsidP="005D40B5">
            <w:pPr>
              <w:jc w:val="left"/>
              <w:cnfStyle w:val="000000100000" w:firstRow="0" w:lastRow="0" w:firstColumn="0" w:lastColumn="0" w:oddVBand="0" w:evenVBand="0" w:oddHBand="1" w:evenHBand="0" w:firstRowFirstColumn="0" w:firstRowLastColumn="0" w:lastRowFirstColumn="0" w:lastRowLastColumn="0"/>
            </w:pPr>
            <w:r w:rsidRPr="009F641C">
              <w:rPr>
                <w:rFonts w:eastAsia="Arial"/>
              </w:rPr>
              <w:t>Senior Manager with strategic role (SMS-2A)</w:t>
            </w:r>
          </w:p>
        </w:tc>
        <w:tc>
          <w:tcPr>
            <w:tcW w:w="1630" w:type="dxa"/>
          </w:tcPr>
          <w:p w14:paraId="463DE0F4" w14:textId="77777777" w:rsidR="009F641C" w:rsidRPr="009F641C" w:rsidRDefault="009F641C" w:rsidP="005D40B5">
            <w:pPr>
              <w:autoSpaceDE w:val="0"/>
              <w:autoSpaceDN w:val="0"/>
              <w:adjustRightInd w:val="0"/>
              <w:jc w:val="left"/>
              <w:cnfStyle w:val="000000100000" w:firstRow="0" w:lastRow="0" w:firstColumn="0" w:lastColumn="0" w:oddVBand="0" w:evenVBand="0" w:oddHBand="1" w:evenHBand="0" w:firstRowFirstColumn="0" w:firstRowLastColumn="0" w:lastRowFirstColumn="0" w:lastRowLastColumn="0"/>
            </w:pPr>
            <w:r w:rsidRPr="009F641C">
              <w:t>Schools Manager</w:t>
            </w:r>
          </w:p>
        </w:tc>
        <w:tc>
          <w:tcPr>
            <w:tcW w:w="2835" w:type="dxa"/>
          </w:tcPr>
          <w:p w14:paraId="4EEBCB3A" w14:textId="77777777" w:rsidR="009F641C" w:rsidRPr="009F641C" w:rsidRDefault="009F641C" w:rsidP="005D40B5">
            <w:pPr>
              <w:autoSpaceDE w:val="0"/>
              <w:autoSpaceDN w:val="0"/>
              <w:adjustRightInd w:val="0"/>
              <w:jc w:val="left"/>
              <w:cnfStyle w:val="000000100000" w:firstRow="0" w:lastRow="0" w:firstColumn="0" w:lastColumn="0" w:oddVBand="0" w:evenVBand="0" w:oddHBand="1" w:evenHBand="0" w:firstRowFirstColumn="0" w:firstRowLastColumn="0" w:lastRowFirstColumn="0" w:lastRowLastColumn="0"/>
            </w:pPr>
            <w:r w:rsidRPr="009F641C">
              <w:t>Senior Manager with strategic and implementation roles (SMSI-3B)</w:t>
            </w:r>
          </w:p>
        </w:tc>
      </w:tr>
      <w:tr w:rsidR="009F641C" w:rsidRPr="009F641C" w14:paraId="75E07FB9" w14:textId="77777777" w:rsidTr="000D270E">
        <w:trPr>
          <w:trHeight w:val="1118"/>
          <w:jc w:val="center"/>
        </w:trPr>
        <w:tc>
          <w:tcPr>
            <w:cnfStyle w:val="001000000000" w:firstRow="0" w:lastRow="0" w:firstColumn="1" w:lastColumn="0" w:oddVBand="0" w:evenVBand="0" w:oddHBand="0" w:evenHBand="0" w:firstRowFirstColumn="0" w:firstRowLastColumn="0" w:lastRowFirstColumn="0" w:lastRowLastColumn="0"/>
            <w:tcW w:w="497" w:type="dxa"/>
          </w:tcPr>
          <w:p w14:paraId="28F8795B"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eastAsia="Arial"/>
              </w:rPr>
            </w:pPr>
            <w:r w:rsidRPr="009F641C">
              <w:rPr>
                <w:rFonts w:eastAsia="Arial"/>
              </w:rPr>
              <w:t>6</w:t>
            </w:r>
          </w:p>
        </w:tc>
        <w:tc>
          <w:tcPr>
            <w:tcW w:w="1365" w:type="dxa"/>
          </w:tcPr>
          <w:p w14:paraId="5F546A07"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left"/>
              <w:cnfStyle w:val="000000000000" w:firstRow="0" w:lastRow="0" w:firstColumn="0" w:lastColumn="0" w:oddVBand="0" w:evenVBand="0" w:oddHBand="0" w:evenHBand="0" w:firstRowFirstColumn="0" w:firstRowLastColumn="0" w:lastRowFirstColumn="0" w:lastRowLastColumn="0"/>
              <w:rPr>
                <w:rFonts w:eastAsia="Arial"/>
              </w:rPr>
            </w:pPr>
            <w:r w:rsidRPr="009F641C">
              <w:rPr>
                <w:rFonts w:eastAsia="Arial"/>
              </w:rPr>
              <w:t>Chief Internal Auditor</w:t>
            </w:r>
          </w:p>
        </w:tc>
        <w:tc>
          <w:tcPr>
            <w:tcW w:w="2604" w:type="dxa"/>
          </w:tcPr>
          <w:p w14:paraId="447483CE" w14:textId="77777777" w:rsidR="009F641C" w:rsidRPr="009F641C" w:rsidRDefault="009F641C" w:rsidP="005D40B5">
            <w:pPr>
              <w:jc w:val="left"/>
              <w:cnfStyle w:val="000000000000" w:firstRow="0" w:lastRow="0" w:firstColumn="0" w:lastColumn="0" w:oddVBand="0" w:evenVBand="0" w:oddHBand="0" w:evenHBand="0" w:firstRowFirstColumn="0" w:firstRowLastColumn="0" w:lastRowFirstColumn="0" w:lastRowLastColumn="0"/>
            </w:pPr>
            <w:r w:rsidRPr="009F641C">
              <w:t>Middle Manager with strategic role (MMS-1A)</w:t>
            </w:r>
          </w:p>
        </w:tc>
        <w:tc>
          <w:tcPr>
            <w:tcW w:w="1630" w:type="dxa"/>
          </w:tcPr>
          <w:p w14:paraId="44F159F1"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left"/>
              <w:cnfStyle w:val="000000000000" w:firstRow="0" w:lastRow="0" w:firstColumn="0" w:lastColumn="0" w:oddVBand="0" w:evenVBand="0" w:oddHBand="0" w:evenHBand="0" w:firstRowFirstColumn="0" w:firstRowLastColumn="0" w:lastRowFirstColumn="0" w:lastRowLastColumn="0"/>
              <w:rPr>
                <w:rFonts w:eastAsia="Arial"/>
              </w:rPr>
            </w:pPr>
            <w:r w:rsidRPr="009F641C">
              <w:t>Internal Auditor</w:t>
            </w:r>
          </w:p>
        </w:tc>
        <w:tc>
          <w:tcPr>
            <w:tcW w:w="2835" w:type="dxa"/>
          </w:tcPr>
          <w:p w14:paraId="7A143FCC"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left"/>
              <w:cnfStyle w:val="000000000000" w:firstRow="0" w:lastRow="0" w:firstColumn="0" w:lastColumn="0" w:oddVBand="0" w:evenVBand="0" w:oddHBand="0" w:evenHBand="0" w:firstRowFirstColumn="0" w:firstRowLastColumn="0" w:lastRowFirstColumn="0" w:lastRowLastColumn="0"/>
              <w:rPr>
                <w:rFonts w:eastAsia="Arial"/>
              </w:rPr>
            </w:pPr>
            <w:r w:rsidRPr="009F641C">
              <w:t>Middle Manager with strategic role (MMS-1B)</w:t>
            </w:r>
          </w:p>
        </w:tc>
      </w:tr>
      <w:tr w:rsidR="009F641C" w:rsidRPr="009F641C" w14:paraId="2C512FB6" w14:textId="77777777" w:rsidTr="000D270E">
        <w:trPr>
          <w:cnfStyle w:val="000000100000" w:firstRow="0" w:lastRow="0" w:firstColumn="0" w:lastColumn="0" w:oddVBand="0" w:evenVBand="0" w:oddHBand="1" w:evenHBand="0" w:firstRowFirstColumn="0" w:firstRowLastColumn="0" w:lastRowFirstColumn="0" w:lastRowLastColumn="0"/>
          <w:trHeight w:val="1133"/>
          <w:jc w:val="center"/>
        </w:trPr>
        <w:tc>
          <w:tcPr>
            <w:cnfStyle w:val="001000000000" w:firstRow="0" w:lastRow="0" w:firstColumn="1" w:lastColumn="0" w:oddVBand="0" w:evenVBand="0" w:oddHBand="0" w:evenHBand="0" w:firstRowFirstColumn="0" w:firstRowLastColumn="0" w:lastRowFirstColumn="0" w:lastRowLastColumn="0"/>
            <w:tcW w:w="497" w:type="dxa"/>
          </w:tcPr>
          <w:p w14:paraId="4090DDE8"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eastAsia="Arial"/>
              </w:rPr>
            </w:pPr>
            <w:r w:rsidRPr="009F641C">
              <w:rPr>
                <w:rFonts w:eastAsia="Arial"/>
              </w:rPr>
              <w:lastRenderedPageBreak/>
              <w:t>7</w:t>
            </w:r>
          </w:p>
        </w:tc>
        <w:tc>
          <w:tcPr>
            <w:tcW w:w="1365" w:type="dxa"/>
          </w:tcPr>
          <w:p w14:paraId="109DF74F"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left"/>
              <w:cnfStyle w:val="000000100000" w:firstRow="0" w:lastRow="0" w:firstColumn="0" w:lastColumn="0" w:oddVBand="0" w:evenVBand="0" w:oddHBand="1" w:evenHBand="0" w:firstRowFirstColumn="0" w:firstRowLastColumn="0" w:lastRowFirstColumn="0" w:lastRowLastColumn="0"/>
              <w:rPr>
                <w:rFonts w:eastAsia="Arial"/>
              </w:rPr>
            </w:pPr>
            <w:r w:rsidRPr="009F641C">
              <w:rPr>
                <w:rFonts w:eastAsia="Arial"/>
              </w:rPr>
              <w:t>Policy Manager</w:t>
            </w:r>
          </w:p>
        </w:tc>
        <w:tc>
          <w:tcPr>
            <w:tcW w:w="2604" w:type="dxa"/>
          </w:tcPr>
          <w:p w14:paraId="17254601"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left"/>
              <w:cnfStyle w:val="000000100000" w:firstRow="0" w:lastRow="0" w:firstColumn="0" w:lastColumn="0" w:oddVBand="0" w:evenVBand="0" w:oddHBand="1" w:evenHBand="0" w:firstRowFirstColumn="0" w:firstRowLastColumn="0" w:lastRowFirstColumn="0" w:lastRowLastColumn="0"/>
              <w:rPr>
                <w:rFonts w:eastAsia="Arial"/>
              </w:rPr>
            </w:pPr>
            <w:r w:rsidRPr="009F641C">
              <w:t>Middle Manager with strategic role (MMS-2A)</w:t>
            </w:r>
          </w:p>
        </w:tc>
        <w:tc>
          <w:tcPr>
            <w:tcW w:w="1630" w:type="dxa"/>
          </w:tcPr>
          <w:p w14:paraId="0BFB3F9A"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left"/>
              <w:cnfStyle w:val="000000100000" w:firstRow="0" w:lastRow="0" w:firstColumn="0" w:lastColumn="0" w:oddVBand="0" w:evenVBand="0" w:oddHBand="1" w:evenHBand="0" w:firstRowFirstColumn="0" w:firstRowLastColumn="0" w:lastRowFirstColumn="0" w:lastRowLastColumn="0"/>
              <w:rPr>
                <w:rFonts w:eastAsia="Arial"/>
              </w:rPr>
            </w:pPr>
            <w:r w:rsidRPr="009F641C">
              <w:t>Inclusion Manager</w:t>
            </w:r>
          </w:p>
        </w:tc>
        <w:tc>
          <w:tcPr>
            <w:tcW w:w="2835" w:type="dxa"/>
          </w:tcPr>
          <w:p w14:paraId="40C3A301"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left"/>
              <w:cnfStyle w:val="000000100000" w:firstRow="0" w:lastRow="0" w:firstColumn="0" w:lastColumn="0" w:oddVBand="0" w:evenVBand="0" w:oddHBand="1" w:evenHBand="0" w:firstRowFirstColumn="0" w:firstRowLastColumn="0" w:lastRowFirstColumn="0" w:lastRowLastColumn="0"/>
              <w:rPr>
                <w:rFonts w:eastAsia="Arial"/>
              </w:rPr>
            </w:pPr>
            <w:r w:rsidRPr="009F641C">
              <w:t>Middle Manager with strategic role (MMS-2B)</w:t>
            </w:r>
          </w:p>
        </w:tc>
      </w:tr>
      <w:tr w:rsidR="009F641C" w:rsidRPr="009F641C" w14:paraId="06849CE2" w14:textId="77777777" w:rsidTr="000D270E">
        <w:trPr>
          <w:trHeight w:val="1118"/>
          <w:jc w:val="center"/>
        </w:trPr>
        <w:tc>
          <w:tcPr>
            <w:cnfStyle w:val="001000000000" w:firstRow="0" w:lastRow="0" w:firstColumn="1" w:lastColumn="0" w:oddVBand="0" w:evenVBand="0" w:oddHBand="0" w:evenHBand="0" w:firstRowFirstColumn="0" w:firstRowLastColumn="0" w:lastRowFirstColumn="0" w:lastRowLastColumn="0"/>
            <w:tcW w:w="497" w:type="dxa"/>
          </w:tcPr>
          <w:p w14:paraId="41A0247F"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eastAsia="Arial"/>
              </w:rPr>
            </w:pPr>
            <w:r w:rsidRPr="009F641C">
              <w:rPr>
                <w:rFonts w:eastAsia="Arial"/>
              </w:rPr>
              <w:t>8</w:t>
            </w:r>
          </w:p>
        </w:tc>
        <w:tc>
          <w:tcPr>
            <w:tcW w:w="1365" w:type="dxa"/>
          </w:tcPr>
          <w:p w14:paraId="37A4EBA3"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left"/>
              <w:cnfStyle w:val="000000000000" w:firstRow="0" w:lastRow="0" w:firstColumn="0" w:lastColumn="0" w:oddVBand="0" w:evenVBand="0" w:oddHBand="0" w:evenHBand="0" w:firstRowFirstColumn="0" w:firstRowLastColumn="0" w:lastRowFirstColumn="0" w:lastRowLastColumn="0"/>
              <w:rPr>
                <w:rFonts w:eastAsia="Arial"/>
              </w:rPr>
            </w:pPr>
            <w:r w:rsidRPr="009F641C">
              <w:rPr>
                <w:rFonts w:eastAsia="Arial"/>
              </w:rPr>
              <w:t>Attainment Challenge Manager</w:t>
            </w:r>
          </w:p>
        </w:tc>
        <w:tc>
          <w:tcPr>
            <w:tcW w:w="2604" w:type="dxa"/>
          </w:tcPr>
          <w:p w14:paraId="4CF09B57" w14:textId="77777777" w:rsidR="009F641C" w:rsidRPr="009F641C" w:rsidRDefault="009F641C" w:rsidP="005D40B5">
            <w:pPr>
              <w:jc w:val="left"/>
              <w:cnfStyle w:val="000000000000" w:firstRow="0" w:lastRow="0" w:firstColumn="0" w:lastColumn="0" w:oddVBand="0" w:evenVBand="0" w:oddHBand="0" w:evenHBand="0" w:firstRowFirstColumn="0" w:firstRowLastColumn="0" w:lastRowFirstColumn="0" w:lastRowLastColumn="0"/>
            </w:pPr>
            <w:r w:rsidRPr="009F641C">
              <w:t>Frontline Manager with implementation role (FMI-1A)</w:t>
            </w:r>
          </w:p>
        </w:tc>
        <w:tc>
          <w:tcPr>
            <w:tcW w:w="1630" w:type="dxa"/>
          </w:tcPr>
          <w:p w14:paraId="45842B40"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left"/>
              <w:cnfStyle w:val="000000000000" w:firstRow="0" w:lastRow="0" w:firstColumn="0" w:lastColumn="0" w:oddVBand="0" w:evenVBand="0" w:oddHBand="0" w:evenHBand="0" w:firstRowFirstColumn="0" w:firstRowLastColumn="0" w:lastRowFirstColumn="0" w:lastRowLastColumn="0"/>
            </w:pPr>
            <w:r w:rsidRPr="009F641C">
              <w:t>Improvement Manager</w:t>
            </w:r>
          </w:p>
        </w:tc>
        <w:tc>
          <w:tcPr>
            <w:tcW w:w="2835" w:type="dxa"/>
          </w:tcPr>
          <w:p w14:paraId="7A7C1D7F"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left"/>
              <w:cnfStyle w:val="000000000000" w:firstRow="0" w:lastRow="0" w:firstColumn="0" w:lastColumn="0" w:oddVBand="0" w:evenVBand="0" w:oddHBand="0" w:evenHBand="0" w:firstRowFirstColumn="0" w:firstRowLastColumn="0" w:lastRowFirstColumn="0" w:lastRowLastColumn="0"/>
              <w:rPr>
                <w:rFonts w:eastAsia="Arial"/>
              </w:rPr>
            </w:pPr>
            <w:r w:rsidRPr="009F641C">
              <w:t>Middle Manager with strategic role (MMS-3B)</w:t>
            </w:r>
          </w:p>
        </w:tc>
      </w:tr>
      <w:tr w:rsidR="009F641C" w:rsidRPr="009F641C" w14:paraId="2DF0C470" w14:textId="77777777" w:rsidTr="000D270E">
        <w:trPr>
          <w:cnfStyle w:val="000000100000" w:firstRow="0" w:lastRow="0" w:firstColumn="0" w:lastColumn="0" w:oddVBand="0" w:evenVBand="0" w:oddHBand="1" w:evenHBand="0" w:firstRowFirstColumn="0" w:firstRowLastColumn="0" w:lastRowFirstColumn="0" w:lastRowLastColumn="0"/>
          <w:trHeight w:val="1118"/>
          <w:jc w:val="center"/>
        </w:trPr>
        <w:tc>
          <w:tcPr>
            <w:cnfStyle w:val="001000000000" w:firstRow="0" w:lastRow="0" w:firstColumn="1" w:lastColumn="0" w:oddVBand="0" w:evenVBand="0" w:oddHBand="0" w:evenHBand="0" w:firstRowFirstColumn="0" w:firstRowLastColumn="0" w:lastRowFirstColumn="0" w:lastRowLastColumn="0"/>
            <w:tcW w:w="497" w:type="dxa"/>
          </w:tcPr>
          <w:p w14:paraId="28833470"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eastAsia="Arial"/>
              </w:rPr>
            </w:pPr>
            <w:r w:rsidRPr="009F641C">
              <w:rPr>
                <w:rFonts w:eastAsia="Arial"/>
              </w:rPr>
              <w:t>9</w:t>
            </w:r>
          </w:p>
        </w:tc>
        <w:tc>
          <w:tcPr>
            <w:tcW w:w="1365" w:type="dxa"/>
          </w:tcPr>
          <w:p w14:paraId="4C7F7837"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left"/>
              <w:cnfStyle w:val="000000100000" w:firstRow="0" w:lastRow="0" w:firstColumn="0" w:lastColumn="0" w:oddVBand="0" w:evenVBand="0" w:oddHBand="1" w:evenHBand="0" w:firstRowFirstColumn="0" w:firstRowLastColumn="0" w:lastRowFirstColumn="0" w:lastRowLastColumn="0"/>
              <w:rPr>
                <w:rFonts w:eastAsia="Arial"/>
              </w:rPr>
            </w:pPr>
          </w:p>
        </w:tc>
        <w:tc>
          <w:tcPr>
            <w:tcW w:w="2604" w:type="dxa"/>
          </w:tcPr>
          <w:p w14:paraId="5133B36A" w14:textId="77777777" w:rsidR="009F641C" w:rsidRPr="009F641C" w:rsidRDefault="009F641C" w:rsidP="005D40B5">
            <w:pPr>
              <w:jc w:val="left"/>
              <w:cnfStyle w:val="000000100000" w:firstRow="0" w:lastRow="0" w:firstColumn="0" w:lastColumn="0" w:oddVBand="0" w:evenVBand="0" w:oddHBand="1" w:evenHBand="0" w:firstRowFirstColumn="0" w:firstRowLastColumn="0" w:lastRowFirstColumn="0" w:lastRowLastColumn="0"/>
            </w:pPr>
          </w:p>
        </w:tc>
        <w:tc>
          <w:tcPr>
            <w:tcW w:w="1630" w:type="dxa"/>
          </w:tcPr>
          <w:p w14:paraId="4776D6C1"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left"/>
              <w:cnfStyle w:val="000000100000" w:firstRow="0" w:lastRow="0" w:firstColumn="0" w:lastColumn="0" w:oddVBand="0" w:evenVBand="0" w:oddHBand="1" w:evenHBand="0" w:firstRowFirstColumn="0" w:firstRowLastColumn="0" w:lastRowFirstColumn="0" w:lastRowLastColumn="0"/>
            </w:pPr>
            <w:r w:rsidRPr="009F641C">
              <w:t>Service Review Manager</w:t>
            </w:r>
          </w:p>
        </w:tc>
        <w:tc>
          <w:tcPr>
            <w:tcW w:w="2835" w:type="dxa"/>
          </w:tcPr>
          <w:p w14:paraId="35197D82" w14:textId="77777777" w:rsidR="009F641C" w:rsidRPr="009F641C" w:rsidRDefault="009F641C" w:rsidP="005D40B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left"/>
              <w:cnfStyle w:val="000000100000" w:firstRow="0" w:lastRow="0" w:firstColumn="0" w:lastColumn="0" w:oddVBand="0" w:evenVBand="0" w:oddHBand="1" w:evenHBand="0" w:firstRowFirstColumn="0" w:firstRowLastColumn="0" w:lastRowFirstColumn="0" w:lastRowLastColumn="0"/>
            </w:pPr>
            <w:r w:rsidRPr="009F641C">
              <w:rPr>
                <w:rFonts w:eastAsia="Arial"/>
              </w:rPr>
              <w:t>Middle Manager with strategic and implementation roles (MMSI-1B)</w:t>
            </w:r>
          </w:p>
        </w:tc>
      </w:tr>
    </w:tbl>
    <w:p w14:paraId="08ACB8DC" w14:textId="77777777" w:rsidR="009F641C" w:rsidRPr="009F641C" w:rsidRDefault="009F641C" w:rsidP="005D40B5">
      <w:pPr>
        <w:rPr>
          <w:bCs/>
          <w:lang w:eastAsia="en-GB"/>
        </w:rPr>
      </w:pPr>
      <w:r w:rsidRPr="009F641C">
        <w:rPr>
          <w:bCs/>
          <w:lang w:eastAsia="en-GB"/>
        </w:rPr>
        <w:t xml:space="preserve"> </w:t>
      </w:r>
    </w:p>
    <w:p w14:paraId="145FD3F2" w14:textId="77777777" w:rsidR="009F641C" w:rsidRDefault="009F641C" w:rsidP="005D40B5">
      <w:pPr>
        <w:keepNext/>
        <w:keepLines/>
        <w:spacing w:before="40"/>
        <w:ind w:left="864" w:hanging="864"/>
        <w:outlineLvl w:val="3"/>
        <w:rPr>
          <w:rFonts w:eastAsiaTheme="majorEastAsia" w:cstheme="majorBidi"/>
          <w:b/>
          <w:iCs/>
          <w:u w:val="single"/>
        </w:rPr>
      </w:pPr>
      <w:r w:rsidRPr="009F641C">
        <w:rPr>
          <w:rFonts w:eastAsiaTheme="majorEastAsia" w:cstheme="majorBidi"/>
          <w:b/>
          <w:iCs/>
          <w:u w:val="single"/>
        </w:rPr>
        <w:t>Analysis Strategy</w:t>
      </w:r>
    </w:p>
    <w:p w14:paraId="2A6BC67E" w14:textId="092E02FD" w:rsidR="00820739" w:rsidRPr="00820739" w:rsidRDefault="00820739" w:rsidP="00820739">
      <w:pPr>
        <w:rPr>
          <w:rFonts w:eastAsia="Times New Roman"/>
          <w:i/>
          <w:lang w:eastAsia="en-GB"/>
        </w:rPr>
      </w:pPr>
      <w:r w:rsidRPr="00820739">
        <w:rPr>
          <w:rFonts w:eastAsia="Times New Roman"/>
          <w:lang w:eastAsia="en-GB"/>
        </w:rPr>
        <w:t xml:space="preserve">The analysis strategy determines the number of research participants. A thematic cross-case analysis was conducted to illustrate how transformation-related social risks may be enacted and managed in two different demographic contexts in Scotland, that is predominantly urban versus predominantly rural settings. Thematic analysis focuses on qualifying themes by “identifying, analysing and reporting patterns within data” (Braun and Clarke, 2006, p. 79). Thus, it gives an altogether qualitative, nuanced, and comprehensive data interpretation. </w:t>
      </w:r>
      <w:r>
        <w:rPr>
          <w:rFonts w:eastAsia="Times New Roman"/>
          <w:lang w:eastAsia="en-GB"/>
        </w:rPr>
        <w:t xml:space="preserve">The findings were </w:t>
      </w:r>
      <w:r w:rsidR="008430D3">
        <w:rPr>
          <w:rFonts w:eastAsia="Times New Roman"/>
          <w:lang w:eastAsia="en-GB"/>
        </w:rPr>
        <w:t>analysed</w:t>
      </w:r>
      <w:r w:rsidR="00AA4B3E">
        <w:rPr>
          <w:rFonts w:eastAsia="Times New Roman"/>
          <w:lang w:eastAsia="en-GB"/>
        </w:rPr>
        <w:t>, interpreted, and discussed</w:t>
      </w:r>
      <w:r w:rsidR="008430D3">
        <w:rPr>
          <w:rFonts w:eastAsia="Times New Roman"/>
          <w:lang w:eastAsia="en-GB"/>
        </w:rPr>
        <w:t xml:space="preserve"> via a blend of risk management, structuration, and the RBV theory</w:t>
      </w:r>
      <w:r w:rsidR="00AA4B3E">
        <w:rPr>
          <w:rFonts w:eastAsia="Times New Roman"/>
          <w:lang w:eastAsia="en-GB"/>
        </w:rPr>
        <w:t>.</w:t>
      </w:r>
    </w:p>
    <w:p w14:paraId="3E1B8B25" w14:textId="37CA034A" w:rsidR="009F641C" w:rsidRPr="00ED5CAF" w:rsidRDefault="00F45696" w:rsidP="005D40B5">
      <w:pPr>
        <w:pStyle w:val="Heading3"/>
        <w:numPr>
          <w:ilvl w:val="0"/>
          <w:numId w:val="0"/>
        </w:numPr>
        <w:spacing w:after="0"/>
        <w:ind w:left="720" w:hanging="720"/>
      </w:pPr>
      <w:r>
        <w:t xml:space="preserve">Findings and </w:t>
      </w:r>
      <w:bookmarkEnd w:id="0"/>
      <w:bookmarkEnd w:id="1"/>
      <w:r w:rsidR="00C23BBD">
        <w:t>Discussion</w:t>
      </w:r>
      <w:r w:rsidR="009F641C" w:rsidRPr="00ED5CAF">
        <w:t xml:space="preserve"> </w:t>
      </w:r>
    </w:p>
    <w:bookmarkEnd w:id="2"/>
    <w:p w14:paraId="41B5D91E" w14:textId="6A653D5B" w:rsidR="009F641C" w:rsidRPr="00ED5CAF" w:rsidRDefault="009F641C" w:rsidP="005D40B5">
      <w:r w:rsidRPr="00ED5CAF">
        <w:t xml:space="preserve">Signification refers to the coding of meaning in discourse and establishing a common language: hence, it can aid or hinder risk communication (Hsu et al., 2013). Signification structures are denoted as rules associated with political, legislative, and socio-economic contexts. From an SSES perspective, signification structures constitute blueprint for action and are enacted via interpretive schemes. Accordingly, interpretive schemes are the modalities, generative mechanisms, and/or language through which public policy and legislation on SSES </w:t>
      </w:r>
      <w:r w:rsidR="00DB5ABB">
        <w:t>transform</w:t>
      </w:r>
      <w:r w:rsidRPr="00ED5CAF">
        <w:t xml:space="preserve"> are communicated to Councils. Interpretive schemes can influence how social risks are perceived and therefore managed. Table 2 captures some interpretive schemes deployed in Councils A and B, although their role in social risk management particularly during SSES </w:t>
      </w:r>
      <w:r w:rsidR="00DB5ABB">
        <w:t>transformation</w:t>
      </w:r>
      <w:r w:rsidRPr="00ED5CAF">
        <w:t xml:space="preserve"> is under-developed in both Councils.</w:t>
      </w:r>
    </w:p>
    <w:p w14:paraId="78572318" w14:textId="77777777" w:rsidR="009F641C" w:rsidRPr="00ED5CAF" w:rsidRDefault="009F641C" w:rsidP="005D40B5"/>
    <w:p w14:paraId="41EA4FB2" w14:textId="0AB88117" w:rsidR="009F641C" w:rsidRPr="00ED5CAF" w:rsidRDefault="009F641C" w:rsidP="005D40B5">
      <w:pPr>
        <w:rPr>
          <w:rFonts w:eastAsia="Times New Roman"/>
          <w:lang w:eastAsia="en-GB"/>
        </w:rPr>
      </w:pPr>
      <w:r w:rsidRPr="00ED5CAF">
        <w:rPr>
          <w:rFonts w:eastAsia="Times New Roman"/>
          <w:lang w:eastAsia="en-GB"/>
        </w:rPr>
        <w:t xml:space="preserve">Documentary analysis was one of the ways in which interpretive schemes were analysed. Table </w:t>
      </w:r>
      <w:r w:rsidR="00785016">
        <w:rPr>
          <w:rFonts w:eastAsia="Times New Roman"/>
          <w:lang w:eastAsia="en-GB"/>
        </w:rPr>
        <w:t>2</w:t>
      </w:r>
      <w:r w:rsidRPr="00ED5CAF">
        <w:rPr>
          <w:rFonts w:eastAsia="Times New Roman"/>
          <w:lang w:eastAsia="en-GB"/>
        </w:rPr>
        <w:t xml:space="preserve"> provides some evidence of social risk awareness and management during SSES </w:t>
      </w:r>
      <w:r>
        <w:rPr>
          <w:rFonts w:eastAsia="Times New Roman"/>
          <w:lang w:eastAsia="en-GB"/>
        </w:rPr>
        <w:t>reform</w:t>
      </w:r>
      <w:r w:rsidRPr="00ED5CAF">
        <w:rPr>
          <w:rFonts w:eastAsia="Times New Roman"/>
          <w:lang w:eastAsia="en-GB"/>
        </w:rPr>
        <w:t xml:space="preserve">. In Council A, the social risks identified were associated mainly with exclusion/inequality and poor learning outcomes in the partnership and performance pillars. In contrast, social risks associated with all 4Ps were identified in Council B’s corporate documents. There was also some evidence of social risk management during SSES </w:t>
      </w:r>
      <w:r>
        <w:rPr>
          <w:rFonts w:eastAsia="Times New Roman"/>
          <w:lang w:eastAsia="en-GB"/>
        </w:rPr>
        <w:t>reform</w:t>
      </w:r>
      <w:r w:rsidRPr="00ED5CAF">
        <w:rPr>
          <w:rFonts w:eastAsia="Times New Roman"/>
          <w:lang w:eastAsia="en-GB"/>
        </w:rPr>
        <w:t xml:space="preserve"> based on the partnership, performance, and prevention pillars. There was no evidence of risk management for social risks associated with the people pillar. In both Councils, the risk of reductionism was neither discussed nor alluded to in their corporate documents. This may be because the potential impacts of reductionism are less obvious and only evident in the long-term, unlike other categories of social risks with potential short to medium term impacts.</w:t>
      </w:r>
    </w:p>
    <w:p w14:paraId="550042CB" w14:textId="77777777" w:rsidR="009F641C" w:rsidRDefault="009F641C" w:rsidP="005D40B5">
      <w:pPr>
        <w:rPr>
          <w:rFonts w:eastAsia="Times New Roman"/>
          <w:lang w:eastAsia="en-GB"/>
        </w:rPr>
      </w:pPr>
    </w:p>
    <w:p w14:paraId="060F4B81" w14:textId="3DA73C8F" w:rsidR="009F641C" w:rsidRPr="00ED5CAF" w:rsidRDefault="009F641C" w:rsidP="005D40B5">
      <w:pPr>
        <w:rPr>
          <w:rFonts w:eastAsia="Times New Roman"/>
          <w:lang w:eastAsia="en-GB"/>
        </w:rPr>
      </w:pPr>
      <w:r w:rsidRPr="00ED5CAF">
        <w:rPr>
          <w:rFonts w:eastAsia="Times New Roman"/>
          <w:lang w:eastAsia="en-GB"/>
        </w:rPr>
        <w:t xml:space="preserve">Interview analysis was another method used for analysing interpretive schemes by studying the language used by respondents. As illustrated in </w:t>
      </w:r>
      <w:r w:rsidRPr="00785016">
        <w:rPr>
          <w:rFonts w:eastAsia="Times New Roman"/>
          <w:lang w:eastAsia="en-GB"/>
        </w:rPr>
        <w:t xml:space="preserve">Table </w:t>
      </w:r>
      <w:r w:rsidR="00785016" w:rsidRPr="00785016">
        <w:rPr>
          <w:rFonts w:eastAsia="Times New Roman"/>
          <w:lang w:eastAsia="en-GB"/>
        </w:rPr>
        <w:t>3</w:t>
      </w:r>
      <w:r w:rsidRPr="00785016">
        <w:rPr>
          <w:rFonts w:eastAsia="Times New Roman"/>
          <w:lang w:eastAsia="en-GB"/>
        </w:rPr>
        <w:t>,</w:t>
      </w:r>
      <w:r w:rsidRPr="00ED5CAF">
        <w:rPr>
          <w:rFonts w:eastAsia="Times New Roman"/>
          <w:lang w:eastAsia="en-GB"/>
        </w:rPr>
        <w:t xml:space="preserve"> Council A respondents articulated the nature of social risk associated with the 4Ps approach to SSES </w:t>
      </w:r>
      <w:r w:rsidR="00DB5ABB">
        <w:rPr>
          <w:rFonts w:eastAsia="Times New Roman"/>
          <w:lang w:eastAsia="en-GB"/>
        </w:rPr>
        <w:t>transformation</w:t>
      </w:r>
      <w:r w:rsidRPr="00ED5CAF">
        <w:rPr>
          <w:rFonts w:eastAsia="Times New Roman"/>
          <w:lang w:eastAsia="en-GB"/>
        </w:rPr>
        <w:t xml:space="preserve"> but not in all potential social risk categories (exclusion/inequality, poor learning outcome, reductionism). In contrast, Council B articulated the nature of social risk associated with SSES </w:t>
      </w:r>
      <w:r w:rsidR="00DB5ABB">
        <w:rPr>
          <w:rFonts w:eastAsia="Times New Roman"/>
          <w:lang w:eastAsia="en-GB"/>
        </w:rPr>
        <w:t>transformation</w:t>
      </w:r>
      <w:r w:rsidRPr="00ED5CAF">
        <w:rPr>
          <w:rFonts w:eastAsia="Times New Roman"/>
          <w:lang w:eastAsia="en-GB"/>
        </w:rPr>
        <w:t xml:space="preserve"> underpinned by </w:t>
      </w:r>
      <w:r w:rsidRPr="00ED5CAF">
        <w:rPr>
          <w:rFonts w:eastAsia="Times New Roman"/>
          <w:u w:val="single"/>
          <w:lang w:eastAsia="en-GB"/>
        </w:rPr>
        <w:t>all 4Ps</w:t>
      </w:r>
      <w:r w:rsidRPr="00ED5CAF">
        <w:rPr>
          <w:rFonts w:eastAsia="Times New Roman"/>
          <w:lang w:eastAsia="en-GB"/>
        </w:rPr>
        <w:t xml:space="preserve"> and in</w:t>
      </w:r>
      <w:r w:rsidRPr="00ED5CAF">
        <w:rPr>
          <w:rFonts w:eastAsia="Times New Roman"/>
          <w:u w:val="single"/>
          <w:lang w:eastAsia="en-GB"/>
        </w:rPr>
        <w:t xml:space="preserve"> each social risk category</w:t>
      </w:r>
      <w:r w:rsidRPr="00ED5CAF">
        <w:rPr>
          <w:rFonts w:eastAsia="Times New Roman"/>
          <w:lang w:eastAsia="en-GB"/>
        </w:rPr>
        <w:t>. However, in the case of partnership social risk, reductionism was the only form identified.</w:t>
      </w:r>
    </w:p>
    <w:p w14:paraId="13D03A9B" w14:textId="77777777" w:rsidR="009F641C" w:rsidRDefault="009F641C" w:rsidP="005D40B5"/>
    <w:p w14:paraId="3664FC43" w14:textId="77777777" w:rsidR="009F641C" w:rsidRPr="00ED5CAF" w:rsidRDefault="009F641C" w:rsidP="005D40B5">
      <w:r w:rsidRPr="00ED5CAF">
        <w:t>More risks were identified during the interview process compared with documentary analysis, demonstrating that SSES managers are receptive to the concept of social risk. However, the Councils’ interpretive schemes do not effectively communicate this knowledge across the organisation; thus hindering (to some extent) effective social risk management. This insufficiency of corporate communication is crucially important because the holistic nature of social disadvantage requires a wide spectrum of council services to be utilised if that disadvantage is to be overcome effectively and quickly (i.e., in the medium, if not short, term).</w:t>
      </w:r>
    </w:p>
    <w:p w14:paraId="3C7DD893" w14:textId="77777777" w:rsidR="009F641C" w:rsidRDefault="009F641C" w:rsidP="005D40B5"/>
    <w:p w14:paraId="5B2E79C5" w14:textId="513CCB30" w:rsidR="002A5116" w:rsidRPr="00ED5CAF" w:rsidRDefault="0031418F" w:rsidP="005D40B5">
      <w:pPr>
        <w:sectPr w:rsidR="002A5116" w:rsidRPr="00ED5CAF" w:rsidSect="002A4816">
          <w:headerReference w:type="default" r:id="rId8"/>
          <w:footerReference w:type="default" r:id="rId9"/>
          <w:headerReference w:type="first" r:id="rId10"/>
          <w:pgSz w:w="11906" w:h="16838"/>
          <w:pgMar w:top="1440" w:right="1440" w:bottom="1440" w:left="1440" w:header="708" w:footer="708" w:gutter="0"/>
          <w:cols w:space="708"/>
          <w:titlePg/>
          <w:docGrid w:linePitch="360"/>
        </w:sectPr>
      </w:pPr>
      <w:r w:rsidRPr="0031418F">
        <w:t xml:space="preserve"> The findings of this study can be interpreted through the lens of the RBV. The presence of strong human capital, in the form of skilled and committed teachers and administrators, emerged as a key resource for managing social risks in both case study councils. However, the </w:t>
      </w:r>
      <w:r w:rsidRPr="0031418F">
        <w:lastRenderedPageBreak/>
        <w:t>effectiveness of social risk management strategies varied between the two councils, suggesting differences in their organizational and social capital (Barney, 1991; Grant, 1991). Council B's more risk aware management team and its proactive, albeit implicit approach to identifying and addressing social risks and resource to address them appeared to contribute to its more effective social risk management compared to Council A (Pablo et al., 2007)</w:t>
      </w:r>
    </w:p>
    <w:p w14:paraId="210255D5" w14:textId="34B12D6D" w:rsidR="009F641C" w:rsidRPr="00ED5CAF" w:rsidRDefault="009F641C" w:rsidP="005D40B5">
      <w:pPr>
        <w:jc w:val="center"/>
        <w:rPr>
          <w:rFonts w:eastAsia="Times New Roman"/>
          <w:b/>
          <w:lang w:eastAsia="en-GB"/>
        </w:rPr>
      </w:pPr>
      <w:bookmarkStart w:id="7" w:name="_Toc3220968"/>
      <w:bookmarkStart w:id="8" w:name="_Toc8107435"/>
      <w:bookmarkStart w:id="9" w:name="_Toc23944246"/>
      <w:r w:rsidRPr="00ED5CAF">
        <w:rPr>
          <w:rFonts w:eastAsia="Times New Roman"/>
          <w:b/>
          <w:lang w:eastAsia="en-GB"/>
        </w:rPr>
        <w:lastRenderedPageBreak/>
        <w:t xml:space="preserve">Table </w:t>
      </w:r>
      <w:r w:rsidR="00785016">
        <w:rPr>
          <w:rFonts w:eastAsia="Times New Roman"/>
          <w:b/>
          <w:lang w:eastAsia="en-GB"/>
        </w:rPr>
        <w:t>2</w:t>
      </w:r>
      <w:r w:rsidRPr="00ED5CAF">
        <w:rPr>
          <w:rFonts w:eastAsia="Times New Roman"/>
          <w:b/>
          <w:lang w:eastAsia="en-GB"/>
        </w:rPr>
        <w:t>: Table Documentary Analysis: Evidence of Social Risk Awareness</w:t>
      </w:r>
      <w:r w:rsidRPr="00ED5CAF">
        <w:rPr>
          <w:rFonts w:eastAsia="Times New Roman"/>
          <w:b/>
          <w:vertAlign w:val="superscript"/>
          <w:lang w:eastAsia="en-GB"/>
        </w:rPr>
        <w:footnoteReference w:id="5"/>
      </w:r>
      <w:r w:rsidRPr="00ED5CAF">
        <w:rPr>
          <w:rFonts w:eastAsia="Times New Roman"/>
          <w:b/>
          <w:lang w:eastAsia="en-GB"/>
        </w:rPr>
        <w:t xml:space="preserve"> and Management</w:t>
      </w:r>
      <w:bookmarkEnd w:id="7"/>
      <w:bookmarkEnd w:id="8"/>
      <w:bookmarkEnd w:id="9"/>
    </w:p>
    <w:tbl>
      <w:tblPr>
        <w:tblStyle w:val="TableGridLight4"/>
        <w:tblW w:w="11761" w:type="dxa"/>
        <w:jc w:val="center"/>
        <w:tblLayout w:type="fixed"/>
        <w:tblLook w:val="04A0" w:firstRow="1" w:lastRow="0" w:firstColumn="1" w:lastColumn="0" w:noHBand="0" w:noVBand="1"/>
      </w:tblPr>
      <w:tblGrid>
        <w:gridCol w:w="421"/>
        <w:gridCol w:w="2693"/>
        <w:gridCol w:w="2693"/>
        <w:gridCol w:w="1418"/>
        <w:gridCol w:w="1559"/>
        <w:gridCol w:w="1352"/>
        <w:gridCol w:w="1625"/>
      </w:tblGrid>
      <w:tr w:rsidR="009F641C" w:rsidRPr="00ED5CAF" w14:paraId="2639C915" w14:textId="77777777" w:rsidTr="000D270E">
        <w:trPr>
          <w:jc w:val="center"/>
        </w:trPr>
        <w:tc>
          <w:tcPr>
            <w:tcW w:w="421" w:type="dxa"/>
            <w:vMerge w:val="restart"/>
          </w:tcPr>
          <w:p w14:paraId="71A388FE" w14:textId="77777777" w:rsidR="009F641C" w:rsidRPr="00ED5CAF" w:rsidRDefault="009F641C" w:rsidP="005D40B5">
            <w:pPr>
              <w:rPr>
                <w:rFonts w:eastAsia="Times New Roman"/>
                <w:sz w:val="22"/>
                <w:szCs w:val="22"/>
                <w:lang w:eastAsia="en-GB"/>
              </w:rPr>
            </w:pPr>
            <w:r w:rsidRPr="00ED5CAF">
              <w:rPr>
                <w:rFonts w:eastAsia="Times New Roman"/>
                <w:sz w:val="22"/>
                <w:szCs w:val="22"/>
                <w:lang w:eastAsia="en-GB"/>
              </w:rPr>
              <w:t>#</w:t>
            </w:r>
          </w:p>
        </w:tc>
        <w:tc>
          <w:tcPr>
            <w:tcW w:w="2693" w:type="dxa"/>
            <w:vMerge w:val="restart"/>
          </w:tcPr>
          <w:p w14:paraId="29CB7674" w14:textId="77777777" w:rsidR="009F641C" w:rsidRPr="00ED5CAF" w:rsidRDefault="009F641C" w:rsidP="005D40B5">
            <w:pPr>
              <w:rPr>
                <w:rFonts w:eastAsia="Times New Roman"/>
                <w:sz w:val="22"/>
                <w:szCs w:val="22"/>
                <w:lang w:eastAsia="en-GB"/>
              </w:rPr>
            </w:pPr>
            <w:r w:rsidRPr="00ED5CAF">
              <w:rPr>
                <w:rFonts w:eastAsia="Times New Roman"/>
                <w:sz w:val="22"/>
                <w:szCs w:val="22"/>
                <w:lang w:eastAsia="en-GB"/>
              </w:rPr>
              <w:t>Social Risk Category</w:t>
            </w:r>
          </w:p>
        </w:tc>
        <w:tc>
          <w:tcPr>
            <w:tcW w:w="2693" w:type="dxa"/>
            <w:vMerge w:val="restart"/>
          </w:tcPr>
          <w:p w14:paraId="7D8C157B" w14:textId="77777777" w:rsidR="009F641C" w:rsidRPr="00ED5CAF" w:rsidRDefault="009F641C" w:rsidP="005D40B5">
            <w:pPr>
              <w:rPr>
                <w:rFonts w:eastAsia="Times New Roman"/>
                <w:sz w:val="22"/>
                <w:szCs w:val="22"/>
                <w:lang w:eastAsia="en-GB"/>
              </w:rPr>
            </w:pPr>
            <w:r w:rsidRPr="00ED5CAF">
              <w:rPr>
                <w:rFonts w:eastAsia="Times New Roman"/>
                <w:sz w:val="22"/>
                <w:szCs w:val="22"/>
                <w:lang w:eastAsia="en-GB"/>
              </w:rPr>
              <w:t>Nature of Social Risk</w:t>
            </w:r>
          </w:p>
        </w:tc>
        <w:tc>
          <w:tcPr>
            <w:tcW w:w="2977" w:type="dxa"/>
            <w:gridSpan w:val="2"/>
          </w:tcPr>
          <w:p w14:paraId="02210B9E"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Council A</w:t>
            </w:r>
          </w:p>
        </w:tc>
        <w:tc>
          <w:tcPr>
            <w:tcW w:w="2977" w:type="dxa"/>
            <w:gridSpan w:val="2"/>
          </w:tcPr>
          <w:p w14:paraId="48C770A8"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Council B</w:t>
            </w:r>
          </w:p>
        </w:tc>
      </w:tr>
      <w:tr w:rsidR="009F641C" w:rsidRPr="00ED5CAF" w14:paraId="721DE9E2" w14:textId="77777777" w:rsidTr="000D270E">
        <w:trPr>
          <w:jc w:val="center"/>
        </w:trPr>
        <w:tc>
          <w:tcPr>
            <w:tcW w:w="421" w:type="dxa"/>
            <w:vMerge/>
          </w:tcPr>
          <w:p w14:paraId="11E3F243" w14:textId="77777777" w:rsidR="009F641C" w:rsidRPr="00ED5CAF" w:rsidRDefault="009F641C" w:rsidP="005D40B5">
            <w:pPr>
              <w:rPr>
                <w:rFonts w:eastAsia="Times New Roman"/>
                <w:sz w:val="22"/>
                <w:szCs w:val="22"/>
                <w:lang w:eastAsia="en-GB"/>
              </w:rPr>
            </w:pPr>
          </w:p>
        </w:tc>
        <w:tc>
          <w:tcPr>
            <w:tcW w:w="2693" w:type="dxa"/>
            <w:vMerge/>
          </w:tcPr>
          <w:p w14:paraId="70D1C0B0" w14:textId="77777777" w:rsidR="009F641C" w:rsidRPr="00ED5CAF" w:rsidRDefault="009F641C" w:rsidP="005D40B5">
            <w:pPr>
              <w:rPr>
                <w:rFonts w:eastAsia="Times New Roman"/>
                <w:sz w:val="22"/>
                <w:szCs w:val="22"/>
                <w:lang w:eastAsia="en-GB"/>
              </w:rPr>
            </w:pPr>
          </w:p>
        </w:tc>
        <w:tc>
          <w:tcPr>
            <w:tcW w:w="2693" w:type="dxa"/>
            <w:vMerge/>
          </w:tcPr>
          <w:p w14:paraId="39DA23AA" w14:textId="77777777" w:rsidR="009F641C" w:rsidRPr="00ED5CAF" w:rsidRDefault="009F641C" w:rsidP="005D40B5">
            <w:pPr>
              <w:rPr>
                <w:rFonts w:eastAsia="Times New Roman"/>
                <w:sz w:val="22"/>
                <w:szCs w:val="22"/>
                <w:lang w:eastAsia="en-GB"/>
              </w:rPr>
            </w:pPr>
          </w:p>
        </w:tc>
        <w:tc>
          <w:tcPr>
            <w:tcW w:w="1418" w:type="dxa"/>
          </w:tcPr>
          <w:p w14:paraId="0096F0D3"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Social Risk Awareness</w:t>
            </w:r>
          </w:p>
        </w:tc>
        <w:tc>
          <w:tcPr>
            <w:tcW w:w="1559" w:type="dxa"/>
          </w:tcPr>
          <w:p w14:paraId="39A18DBE"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Social Risk Management</w:t>
            </w:r>
          </w:p>
        </w:tc>
        <w:tc>
          <w:tcPr>
            <w:tcW w:w="1352" w:type="dxa"/>
          </w:tcPr>
          <w:p w14:paraId="05C7899F"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Social Risk Awareness</w:t>
            </w:r>
          </w:p>
        </w:tc>
        <w:tc>
          <w:tcPr>
            <w:tcW w:w="1625" w:type="dxa"/>
          </w:tcPr>
          <w:p w14:paraId="52F73E4D"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Social Risk Management</w:t>
            </w:r>
          </w:p>
        </w:tc>
      </w:tr>
      <w:tr w:rsidR="009F641C" w:rsidRPr="00ED5CAF" w14:paraId="79A58503" w14:textId="77777777" w:rsidTr="000D270E">
        <w:trPr>
          <w:trHeight w:val="297"/>
          <w:jc w:val="center"/>
        </w:trPr>
        <w:tc>
          <w:tcPr>
            <w:tcW w:w="421" w:type="dxa"/>
            <w:vMerge w:val="restart"/>
          </w:tcPr>
          <w:p w14:paraId="00A2821C" w14:textId="77777777" w:rsidR="009F641C" w:rsidRPr="00ED5CAF" w:rsidRDefault="009F641C" w:rsidP="005D40B5">
            <w:pPr>
              <w:rPr>
                <w:rFonts w:eastAsia="Times New Roman"/>
                <w:sz w:val="22"/>
                <w:szCs w:val="22"/>
                <w:lang w:eastAsia="en-GB"/>
              </w:rPr>
            </w:pPr>
            <w:r w:rsidRPr="00ED5CAF">
              <w:rPr>
                <w:rFonts w:eastAsia="Times New Roman"/>
                <w:sz w:val="22"/>
                <w:szCs w:val="22"/>
                <w:lang w:eastAsia="en-GB"/>
              </w:rPr>
              <w:t>1</w:t>
            </w:r>
          </w:p>
        </w:tc>
        <w:tc>
          <w:tcPr>
            <w:tcW w:w="2693" w:type="dxa"/>
            <w:vMerge w:val="restart"/>
          </w:tcPr>
          <w:p w14:paraId="75661B26" w14:textId="77777777" w:rsidR="009F641C" w:rsidRPr="00ED5CAF" w:rsidRDefault="009F641C" w:rsidP="005D40B5">
            <w:pPr>
              <w:rPr>
                <w:rFonts w:eastAsia="Times New Roman"/>
                <w:sz w:val="22"/>
                <w:szCs w:val="22"/>
                <w:lang w:eastAsia="en-GB"/>
              </w:rPr>
            </w:pPr>
            <w:r w:rsidRPr="00ED5CAF">
              <w:rPr>
                <w:rFonts w:eastAsia="Times New Roman"/>
                <w:sz w:val="22"/>
                <w:szCs w:val="22"/>
                <w:lang w:eastAsia="en-GB"/>
              </w:rPr>
              <w:t>Partnership Social Risk</w:t>
            </w:r>
          </w:p>
        </w:tc>
        <w:tc>
          <w:tcPr>
            <w:tcW w:w="2693" w:type="dxa"/>
          </w:tcPr>
          <w:p w14:paraId="692C7CBC" w14:textId="77777777" w:rsidR="009F641C" w:rsidRPr="00ED5CAF" w:rsidRDefault="009F641C" w:rsidP="005D40B5">
            <w:pPr>
              <w:rPr>
                <w:rFonts w:eastAsia="Times New Roman"/>
                <w:sz w:val="22"/>
                <w:szCs w:val="22"/>
                <w:lang w:eastAsia="en-GB"/>
              </w:rPr>
            </w:pPr>
            <w:r w:rsidRPr="00ED5CAF">
              <w:rPr>
                <w:rFonts w:eastAsia="Times New Roman"/>
                <w:sz w:val="22"/>
                <w:szCs w:val="22"/>
                <w:lang w:eastAsia="en-GB"/>
              </w:rPr>
              <w:t>Exclusion/Inequality</w:t>
            </w:r>
          </w:p>
        </w:tc>
        <w:tc>
          <w:tcPr>
            <w:tcW w:w="1418" w:type="dxa"/>
          </w:tcPr>
          <w:p w14:paraId="6ABA2E4F"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c>
          <w:tcPr>
            <w:tcW w:w="1559" w:type="dxa"/>
            <w:vMerge w:val="restart"/>
          </w:tcPr>
          <w:p w14:paraId="038F69C4"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c>
          <w:tcPr>
            <w:tcW w:w="1352" w:type="dxa"/>
          </w:tcPr>
          <w:p w14:paraId="2FD9283F"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c>
          <w:tcPr>
            <w:tcW w:w="1625" w:type="dxa"/>
            <w:vMerge w:val="restart"/>
          </w:tcPr>
          <w:p w14:paraId="38E9BA86"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r>
      <w:tr w:rsidR="009F641C" w:rsidRPr="00ED5CAF" w14:paraId="0C097C74" w14:textId="77777777" w:rsidTr="000D270E">
        <w:trPr>
          <w:jc w:val="center"/>
        </w:trPr>
        <w:tc>
          <w:tcPr>
            <w:tcW w:w="421" w:type="dxa"/>
            <w:vMerge/>
          </w:tcPr>
          <w:p w14:paraId="5DECB83A" w14:textId="77777777" w:rsidR="009F641C" w:rsidRPr="00ED5CAF" w:rsidRDefault="009F641C" w:rsidP="005D40B5">
            <w:pPr>
              <w:rPr>
                <w:rFonts w:eastAsia="Times New Roman"/>
                <w:sz w:val="22"/>
                <w:szCs w:val="22"/>
                <w:lang w:eastAsia="en-GB"/>
              </w:rPr>
            </w:pPr>
          </w:p>
        </w:tc>
        <w:tc>
          <w:tcPr>
            <w:tcW w:w="2693" w:type="dxa"/>
            <w:vMerge/>
          </w:tcPr>
          <w:p w14:paraId="5D6477E3" w14:textId="77777777" w:rsidR="009F641C" w:rsidRPr="00ED5CAF" w:rsidRDefault="009F641C" w:rsidP="005D40B5">
            <w:pPr>
              <w:rPr>
                <w:rFonts w:eastAsia="Times New Roman"/>
                <w:sz w:val="22"/>
                <w:szCs w:val="22"/>
                <w:lang w:eastAsia="en-GB"/>
              </w:rPr>
            </w:pPr>
          </w:p>
        </w:tc>
        <w:tc>
          <w:tcPr>
            <w:tcW w:w="2693" w:type="dxa"/>
          </w:tcPr>
          <w:p w14:paraId="7258321A" w14:textId="77777777" w:rsidR="009F641C" w:rsidRPr="00ED5CAF" w:rsidRDefault="009F641C" w:rsidP="005D40B5">
            <w:pPr>
              <w:rPr>
                <w:rFonts w:eastAsia="Times New Roman"/>
                <w:sz w:val="22"/>
                <w:szCs w:val="22"/>
                <w:lang w:eastAsia="en-GB"/>
              </w:rPr>
            </w:pPr>
            <w:r w:rsidRPr="00ED5CAF">
              <w:rPr>
                <w:rFonts w:eastAsia="Times New Roman"/>
                <w:sz w:val="22"/>
                <w:szCs w:val="22"/>
                <w:lang w:eastAsia="en-GB"/>
              </w:rPr>
              <w:t>Poor Learning Outcomes</w:t>
            </w:r>
          </w:p>
        </w:tc>
        <w:tc>
          <w:tcPr>
            <w:tcW w:w="1418" w:type="dxa"/>
          </w:tcPr>
          <w:p w14:paraId="3C870C34"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c>
          <w:tcPr>
            <w:tcW w:w="1559" w:type="dxa"/>
            <w:vMerge/>
          </w:tcPr>
          <w:p w14:paraId="23EBEB01" w14:textId="77777777" w:rsidR="009F641C" w:rsidRPr="00ED5CAF" w:rsidRDefault="009F641C" w:rsidP="005D40B5">
            <w:pPr>
              <w:jc w:val="center"/>
              <w:rPr>
                <w:rFonts w:eastAsia="Times New Roman"/>
                <w:sz w:val="22"/>
                <w:szCs w:val="22"/>
                <w:lang w:eastAsia="en-GB"/>
              </w:rPr>
            </w:pPr>
          </w:p>
        </w:tc>
        <w:tc>
          <w:tcPr>
            <w:tcW w:w="1352" w:type="dxa"/>
          </w:tcPr>
          <w:p w14:paraId="2CA33D1D"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c>
          <w:tcPr>
            <w:tcW w:w="1625" w:type="dxa"/>
            <w:vMerge/>
          </w:tcPr>
          <w:p w14:paraId="0D6C3A69" w14:textId="77777777" w:rsidR="009F641C" w:rsidRPr="00ED5CAF" w:rsidRDefault="009F641C" w:rsidP="005D40B5">
            <w:pPr>
              <w:jc w:val="center"/>
              <w:rPr>
                <w:rFonts w:eastAsia="Times New Roman"/>
                <w:sz w:val="22"/>
                <w:szCs w:val="22"/>
                <w:lang w:eastAsia="en-GB"/>
              </w:rPr>
            </w:pPr>
          </w:p>
        </w:tc>
      </w:tr>
      <w:tr w:rsidR="009F641C" w:rsidRPr="00ED5CAF" w14:paraId="45A08172" w14:textId="77777777" w:rsidTr="000D270E">
        <w:trPr>
          <w:trHeight w:val="294"/>
          <w:jc w:val="center"/>
        </w:trPr>
        <w:tc>
          <w:tcPr>
            <w:tcW w:w="421" w:type="dxa"/>
            <w:vMerge/>
          </w:tcPr>
          <w:p w14:paraId="62F82B5B" w14:textId="77777777" w:rsidR="009F641C" w:rsidRPr="00ED5CAF" w:rsidRDefault="009F641C" w:rsidP="005D40B5">
            <w:pPr>
              <w:rPr>
                <w:rFonts w:eastAsia="Times New Roman"/>
                <w:sz w:val="22"/>
                <w:szCs w:val="22"/>
                <w:lang w:eastAsia="en-GB"/>
              </w:rPr>
            </w:pPr>
          </w:p>
        </w:tc>
        <w:tc>
          <w:tcPr>
            <w:tcW w:w="2693" w:type="dxa"/>
            <w:vMerge/>
          </w:tcPr>
          <w:p w14:paraId="65A42B42" w14:textId="77777777" w:rsidR="009F641C" w:rsidRPr="00ED5CAF" w:rsidRDefault="009F641C" w:rsidP="005D40B5">
            <w:pPr>
              <w:rPr>
                <w:rFonts w:eastAsia="Times New Roman"/>
                <w:sz w:val="22"/>
                <w:szCs w:val="22"/>
                <w:lang w:eastAsia="en-GB"/>
              </w:rPr>
            </w:pPr>
          </w:p>
        </w:tc>
        <w:tc>
          <w:tcPr>
            <w:tcW w:w="2693" w:type="dxa"/>
          </w:tcPr>
          <w:p w14:paraId="661C5DB6" w14:textId="77777777" w:rsidR="009F641C" w:rsidRPr="00ED5CAF" w:rsidRDefault="009F641C" w:rsidP="005D40B5">
            <w:pPr>
              <w:rPr>
                <w:rFonts w:eastAsia="Times New Roman"/>
                <w:sz w:val="22"/>
                <w:szCs w:val="22"/>
                <w:lang w:eastAsia="en-GB"/>
              </w:rPr>
            </w:pPr>
            <w:r w:rsidRPr="00ED5CAF">
              <w:rPr>
                <w:rFonts w:eastAsia="Times New Roman"/>
                <w:sz w:val="22"/>
                <w:szCs w:val="22"/>
                <w:lang w:eastAsia="en-GB"/>
              </w:rPr>
              <w:t>Reductionism</w:t>
            </w:r>
          </w:p>
        </w:tc>
        <w:tc>
          <w:tcPr>
            <w:tcW w:w="1418" w:type="dxa"/>
          </w:tcPr>
          <w:p w14:paraId="69440E0B"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c>
          <w:tcPr>
            <w:tcW w:w="1559" w:type="dxa"/>
            <w:vMerge/>
          </w:tcPr>
          <w:p w14:paraId="72DBB0A8" w14:textId="77777777" w:rsidR="009F641C" w:rsidRPr="00ED5CAF" w:rsidRDefault="009F641C" w:rsidP="005D40B5">
            <w:pPr>
              <w:jc w:val="center"/>
              <w:rPr>
                <w:rFonts w:eastAsia="Times New Roman"/>
                <w:sz w:val="22"/>
                <w:szCs w:val="22"/>
                <w:lang w:eastAsia="en-GB"/>
              </w:rPr>
            </w:pPr>
          </w:p>
        </w:tc>
        <w:tc>
          <w:tcPr>
            <w:tcW w:w="1352" w:type="dxa"/>
          </w:tcPr>
          <w:p w14:paraId="7115161D"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c>
          <w:tcPr>
            <w:tcW w:w="1625" w:type="dxa"/>
            <w:vMerge/>
          </w:tcPr>
          <w:p w14:paraId="50FE44C1" w14:textId="77777777" w:rsidR="009F641C" w:rsidRPr="00ED5CAF" w:rsidRDefault="009F641C" w:rsidP="005D40B5">
            <w:pPr>
              <w:jc w:val="center"/>
              <w:rPr>
                <w:rFonts w:eastAsia="Times New Roman"/>
                <w:sz w:val="22"/>
                <w:szCs w:val="22"/>
                <w:lang w:eastAsia="en-GB"/>
              </w:rPr>
            </w:pPr>
          </w:p>
        </w:tc>
      </w:tr>
      <w:tr w:rsidR="009F641C" w:rsidRPr="00ED5CAF" w14:paraId="14FB1AAA" w14:textId="77777777" w:rsidTr="000D270E">
        <w:trPr>
          <w:jc w:val="center"/>
        </w:trPr>
        <w:tc>
          <w:tcPr>
            <w:tcW w:w="421" w:type="dxa"/>
            <w:vMerge w:val="restart"/>
          </w:tcPr>
          <w:p w14:paraId="3992CA61" w14:textId="77777777" w:rsidR="009F641C" w:rsidRPr="00ED5CAF" w:rsidRDefault="009F641C" w:rsidP="005D40B5">
            <w:pPr>
              <w:rPr>
                <w:rFonts w:eastAsia="Times New Roman"/>
                <w:sz w:val="22"/>
                <w:szCs w:val="22"/>
                <w:lang w:eastAsia="en-GB"/>
              </w:rPr>
            </w:pPr>
            <w:r w:rsidRPr="00ED5CAF">
              <w:rPr>
                <w:rFonts w:eastAsia="Times New Roman"/>
                <w:sz w:val="22"/>
                <w:szCs w:val="22"/>
                <w:lang w:eastAsia="en-GB"/>
              </w:rPr>
              <w:t>2</w:t>
            </w:r>
          </w:p>
        </w:tc>
        <w:tc>
          <w:tcPr>
            <w:tcW w:w="2693" w:type="dxa"/>
            <w:vMerge w:val="restart"/>
          </w:tcPr>
          <w:p w14:paraId="4F6ACE85" w14:textId="77777777" w:rsidR="009F641C" w:rsidRPr="00ED5CAF" w:rsidRDefault="009F641C" w:rsidP="005D40B5">
            <w:pPr>
              <w:rPr>
                <w:rFonts w:eastAsia="Times New Roman"/>
                <w:sz w:val="22"/>
                <w:szCs w:val="22"/>
                <w:lang w:eastAsia="en-GB"/>
              </w:rPr>
            </w:pPr>
            <w:r w:rsidRPr="00ED5CAF">
              <w:rPr>
                <w:rFonts w:eastAsia="Times New Roman"/>
                <w:sz w:val="22"/>
                <w:szCs w:val="22"/>
                <w:lang w:eastAsia="en-GB"/>
              </w:rPr>
              <w:t>People Social Risk</w:t>
            </w:r>
          </w:p>
        </w:tc>
        <w:tc>
          <w:tcPr>
            <w:tcW w:w="2693" w:type="dxa"/>
          </w:tcPr>
          <w:p w14:paraId="4F8191A4" w14:textId="77777777" w:rsidR="009F641C" w:rsidRPr="00ED5CAF" w:rsidRDefault="009F641C" w:rsidP="005D40B5">
            <w:pPr>
              <w:rPr>
                <w:rFonts w:eastAsia="Times New Roman"/>
                <w:sz w:val="22"/>
                <w:szCs w:val="22"/>
                <w:lang w:eastAsia="en-GB"/>
              </w:rPr>
            </w:pPr>
            <w:r w:rsidRPr="00ED5CAF">
              <w:rPr>
                <w:rFonts w:eastAsia="Times New Roman"/>
                <w:sz w:val="22"/>
                <w:szCs w:val="22"/>
                <w:lang w:eastAsia="en-GB"/>
              </w:rPr>
              <w:t>Exclusion/Inequality</w:t>
            </w:r>
          </w:p>
        </w:tc>
        <w:tc>
          <w:tcPr>
            <w:tcW w:w="1418" w:type="dxa"/>
          </w:tcPr>
          <w:p w14:paraId="38BD2BCD"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c>
          <w:tcPr>
            <w:tcW w:w="1559" w:type="dxa"/>
            <w:vMerge w:val="restart"/>
          </w:tcPr>
          <w:p w14:paraId="4C462E8A"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c>
          <w:tcPr>
            <w:tcW w:w="1352" w:type="dxa"/>
          </w:tcPr>
          <w:p w14:paraId="3B744085"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c>
          <w:tcPr>
            <w:tcW w:w="1625" w:type="dxa"/>
            <w:vMerge w:val="restart"/>
          </w:tcPr>
          <w:p w14:paraId="75DC06BB"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r>
      <w:tr w:rsidR="009F641C" w:rsidRPr="00ED5CAF" w14:paraId="5984D6AF" w14:textId="77777777" w:rsidTr="000D270E">
        <w:trPr>
          <w:jc w:val="center"/>
        </w:trPr>
        <w:tc>
          <w:tcPr>
            <w:tcW w:w="421" w:type="dxa"/>
            <w:vMerge/>
          </w:tcPr>
          <w:p w14:paraId="003AA070" w14:textId="77777777" w:rsidR="009F641C" w:rsidRPr="00ED5CAF" w:rsidRDefault="009F641C" w:rsidP="005D40B5">
            <w:pPr>
              <w:rPr>
                <w:rFonts w:eastAsia="Times New Roman"/>
                <w:sz w:val="22"/>
                <w:szCs w:val="22"/>
                <w:lang w:eastAsia="en-GB"/>
              </w:rPr>
            </w:pPr>
          </w:p>
        </w:tc>
        <w:tc>
          <w:tcPr>
            <w:tcW w:w="2693" w:type="dxa"/>
            <w:vMerge/>
          </w:tcPr>
          <w:p w14:paraId="64299066" w14:textId="77777777" w:rsidR="009F641C" w:rsidRPr="00ED5CAF" w:rsidRDefault="009F641C" w:rsidP="005D40B5">
            <w:pPr>
              <w:rPr>
                <w:rFonts w:eastAsia="Times New Roman"/>
                <w:sz w:val="22"/>
                <w:szCs w:val="22"/>
                <w:lang w:eastAsia="en-GB"/>
              </w:rPr>
            </w:pPr>
          </w:p>
        </w:tc>
        <w:tc>
          <w:tcPr>
            <w:tcW w:w="2693" w:type="dxa"/>
          </w:tcPr>
          <w:p w14:paraId="29957D3D" w14:textId="77777777" w:rsidR="009F641C" w:rsidRPr="00ED5CAF" w:rsidRDefault="009F641C" w:rsidP="005D40B5">
            <w:pPr>
              <w:rPr>
                <w:rFonts w:eastAsia="Times New Roman"/>
                <w:sz w:val="22"/>
                <w:szCs w:val="22"/>
                <w:lang w:eastAsia="en-GB"/>
              </w:rPr>
            </w:pPr>
            <w:r w:rsidRPr="00ED5CAF">
              <w:rPr>
                <w:rFonts w:eastAsia="Times New Roman"/>
                <w:sz w:val="22"/>
                <w:szCs w:val="22"/>
                <w:lang w:eastAsia="en-GB"/>
              </w:rPr>
              <w:t>Poor Learning Outcomes</w:t>
            </w:r>
          </w:p>
        </w:tc>
        <w:tc>
          <w:tcPr>
            <w:tcW w:w="1418" w:type="dxa"/>
          </w:tcPr>
          <w:p w14:paraId="66F24967"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c>
          <w:tcPr>
            <w:tcW w:w="1559" w:type="dxa"/>
            <w:vMerge/>
          </w:tcPr>
          <w:p w14:paraId="77F6CFC1" w14:textId="77777777" w:rsidR="009F641C" w:rsidRPr="00ED5CAF" w:rsidRDefault="009F641C" w:rsidP="005D40B5">
            <w:pPr>
              <w:jc w:val="center"/>
              <w:rPr>
                <w:rFonts w:eastAsia="Times New Roman"/>
                <w:sz w:val="22"/>
                <w:szCs w:val="22"/>
                <w:lang w:eastAsia="en-GB"/>
              </w:rPr>
            </w:pPr>
          </w:p>
        </w:tc>
        <w:tc>
          <w:tcPr>
            <w:tcW w:w="1352" w:type="dxa"/>
          </w:tcPr>
          <w:p w14:paraId="528D0910"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c>
          <w:tcPr>
            <w:tcW w:w="1625" w:type="dxa"/>
            <w:vMerge/>
          </w:tcPr>
          <w:p w14:paraId="07A17EA9" w14:textId="77777777" w:rsidR="009F641C" w:rsidRPr="00ED5CAF" w:rsidRDefault="009F641C" w:rsidP="005D40B5">
            <w:pPr>
              <w:jc w:val="center"/>
              <w:rPr>
                <w:rFonts w:eastAsia="Times New Roman"/>
                <w:sz w:val="22"/>
                <w:szCs w:val="22"/>
                <w:lang w:eastAsia="en-GB"/>
              </w:rPr>
            </w:pPr>
          </w:p>
        </w:tc>
      </w:tr>
      <w:tr w:rsidR="009F641C" w:rsidRPr="00ED5CAF" w14:paraId="67C2C613" w14:textId="77777777" w:rsidTr="000D270E">
        <w:trPr>
          <w:jc w:val="center"/>
        </w:trPr>
        <w:tc>
          <w:tcPr>
            <w:tcW w:w="421" w:type="dxa"/>
            <w:vMerge/>
          </w:tcPr>
          <w:p w14:paraId="582CE7BE" w14:textId="77777777" w:rsidR="009F641C" w:rsidRPr="00ED5CAF" w:rsidRDefault="009F641C" w:rsidP="005D40B5">
            <w:pPr>
              <w:rPr>
                <w:rFonts w:eastAsia="Times New Roman"/>
                <w:sz w:val="22"/>
                <w:szCs w:val="22"/>
                <w:lang w:eastAsia="en-GB"/>
              </w:rPr>
            </w:pPr>
          </w:p>
        </w:tc>
        <w:tc>
          <w:tcPr>
            <w:tcW w:w="2693" w:type="dxa"/>
            <w:vMerge/>
          </w:tcPr>
          <w:p w14:paraId="4DC33AA4" w14:textId="77777777" w:rsidR="009F641C" w:rsidRPr="00ED5CAF" w:rsidRDefault="009F641C" w:rsidP="005D40B5">
            <w:pPr>
              <w:rPr>
                <w:rFonts w:eastAsia="Times New Roman"/>
                <w:sz w:val="22"/>
                <w:szCs w:val="22"/>
                <w:lang w:eastAsia="en-GB"/>
              </w:rPr>
            </w:pPr>
          </w:p>
        </w:tc>
        <w:tc>
          <w:tcPr>
            <w:tcW w:w="2693" w:type="dxa"/>
          </w:tcPr>
          <w:p w14:paraId="55AD7E84" w14:textId="77777777" w:rsidR="009F641C" w:rsidRPr="00ED5CAF" w:rsidRDefault="009F641C" w:rsidP="005D40B5">
            <w:pPr>
              <w:rPr>
                <w:rFonts w:eastAsia="Times New Roman"/>
                <w:sz w:val="22"/>
                <w:szCs w:val="22"/>
                <w:lang w:eastAsia="en-GB"/>
              </w:rPr>
            </w:pPr>
            <w:r w:rsidRPr="00ED5CAF">
              <w:rPr>
                <w:rFonts w:eastAsia="Times New Roman"/>
                <w:sz w:val="22"/>
                <w:szCs w:val="22"/>
                <w:lang w:eastAsia="en-GB"/>
              </w:rPr>
              <w:t>Reductionism</w:t>
            </w:r>
          </w:p>
        </w:tc>
        <w:tc>
          <w:tcPr>
            <w:tcW w:w="1418" w:type="dxa"/>
          </w:tcPr>
          <w:p w14:paraId="7BDB7F17"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c>
          <w:tcPr>
            <w:tcW w:w="1559" w:type="dxa"/>
            <w:vMerge/>
          </w:tcPr>
          <w:p w14:paraId="2EA7A033" w14:textId="77777777" w:rsidR="009F641C" w:rsidRPr="00ED5CAF" w:rsidRDefault="009F641C" w:rsidP="005D40B5">
            <w:pPr>
              <w:jc w:val="center"/>
              <w:rPr>
                <w:rFonts w:eastAsia="Times New Roman"/>
                <w:sz w:val="22"/>
                <w:szCs w:val="22"/>
                <w:lang w:eastAsia="en-GB"/>
              </w:rPr>
            </w:pPr>
          </w:p>
        </w:tc>
        <w:tc>
          <w:tcPr>
            <w:tcW w:w="1352" w:type="dxa"/>
          </w:tcPr>
          <w:p w14:paraId="6FB98E54"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c>
          <w:tcPr>
            <w:tcW w:w="1625" w:type="dxa"/>
            <w:vMerge/>
          </w:tcPr>
          <w:p w14:paraId="3C96297F" w14:textId="77777777" w:rsidR="009F641C" w:rsidRPr="00ED5CAF" w:rsidRDefault="009F641C" w:rsidP="005D40B5">
            <w:pPr>
              <w:jc w:val="center"/>
              <w:rPr>
                <w:rFonts w:eastAsia="Times New Roman"/>
                <w:sz w:val="22"/>
                <w:szCs w:val="22"/>
                <w:lang w:eastAsia="en-GB"/>
              </w:rPr>
            </w:pPr>
          </w:p>
        </w:tc>
      </w:tr>
      <w:tr w:rsidR="009F641C" w:rsidRPr="00ED5CAF" w14:paraId="55FC1213" w14:textId="77777777" w:rsidTr="000D270E">
        <w:trPr>
          <w:jc w:val="center"/>
        </w:trPr>
        <w:tc>
          <w:tcPr>
            <w:tcW w:w="421" w:type="dxa"/>
            <w:vMerge w:val="restart"/>
          </w:tcPr>
          <w:p w14:paraId="3635B80C" w14:textId="77777777" w:rsidR="009F641C" w:rsidRPr="00ED5CAF" w:rsidRDefault="009F641C" w:rsidP="005D40B5">
            <w:pPr>
              <w:rPr>
                <w:rFonts w:eastAsia="Times New Roman"/>
                <w:sz w:val="22"/>
                <w:szCs w:val="22"/>
                <w:lang w:eastAsia="en-GB"/>
              </w:rPr>
            </w:pPr>
            <w:r w:rsidRPr="00ED5CAF">
              <w:rPr>
                <w:rFonts w:eastAsia="Times New Roman"/>
                <w:sz w:val="22"/>
                <w:szCs w:val="22"/>
                <w:lang w:eastAsia="en-GB"/>
              </w:rPr>
              <w:t>3</w:t>
            </w:r>
          </w:p>
        </w:tc>
        <w:tc>
          <w:tcPr>
            <w:tcW w:w="2693" w:type="dxa"/>
            <w:vMerge w:val="restart"/>
          </w:tcPr>
          <w:p w14:paraId="45E2627A" w14:textId="77777777" w:rsidR="009F641C" w:rsidRPr="00ED5CAF" w:rsidRDefault="009F641C" w:rsidP="005D40B5">
            <w:pPr>
              <w:rPr>
                <w:rFonts w:eastAsia="Times New Roman"/>
                <w:sz w:val="22"/>
                <w:szCs w:val="22"/>
                <w:lang w:eastAsia="en-GB"/>
              </w:rPr>
            </w:pPr>
            <w:r w:rsidRPr="00ED5CAF">
              <w:rPr>
                <w:rFonts w:eastAsia="Times New Roman"/>
                <w:sz w:val="22"/>
                <w:szCs w:val="22"/>
                <w:lang w:eastAsia="en-GB"/>
              </w:rPr>
              <w:t>Performance Social Risk</w:t>
            </w:r>
          </w:p>
        </w:tc>
        <w:tc>
          <w:tcPr>
            <w:tcW w:w="2693" w:type="dxa"/>
          </w:tcPr>
          <w:p w14:paraId="18E8AC0D" w14:textId="77777777" w:rsidR="009F641C" w:rsidRPr="00ED5CAF" w:rsidRDefault="009F641C" w:rsidP="005D40B5">
            <w:pPr>
              <w:rPr>
                <w:rFonts w:eastAsia="Times New Roman"/>
                <w:sz w:val="22"/>
                <w:szCs w:val="22"/>
                <w:lang w:eastAsia="en-GB"/>
              </w:rPr>
            </w:pPr>
            <w:r w:rsidRPr="00ED5CAF">
              <w:rPr>
                <w:rFonts w:eastAsia="Times New Roman"/>
                <w:sz w:val="22"/>
                <w:szCs w:val="22"/>
                <w:lang w:eastAsia="en-GB"/>
              </w:rPr>
              <w:t>Exclusion/Inequality</w:t>
            </w:r>
          </w:p>
        </w:tc>
        <w:tc>
          <w:tcPr>
            <w:tcW w:w="1418" w:type="dxa"/>
          </w:tcPr>
          <w:p w14:paraId="311D3E5F"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c>
          <w:tcPr>
            <w:tcW w:w="1559" w:type="dxa"/>
            <w:vMerge w:val="restart"/>
          </w:tcPr>
          <w:p w14:paraId="49EE9F93"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c>
          <w:tcPr>
            <w:tcW w:w="1352" w:type="dxa"/>
          </w:tcPr>
          <w:p w14:paraId="626C94CE"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c>
          <w:tcPr>
            <w:tcW w:w="1625" w:type="dxa"/>
            <w:vMerge w:val="restart"/>
          </w:tcPr>
          <w:p w14:paraId="7A958AD5" w14:textId="00A35C0B"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r>
      <w:tr w:rsidR="009F641C" w:rsidRPr="00ED5CAF" w14:paraId="71A78FEC" w14:textId="77777777" w:rsidTr="000D270E">
        <w:trPr>
          <w:jc w:val="center"/>
        </w:trPr>
        <w:tc>
          <w:tcPr>
            <w:tcW w:w="421" w:type="dxa"/>
            <w:vMerge/>
          </w:tcPr>
          <w:p w14:paraId="424E571E" w14:textId="77777777" w:rsidR="009F641C" w:rsidRPr="00ED5CAF" w:rsidRDefault="009F641C" w:rsidP="005D40B5">
            <w:pPr>
              <w:rPr>
                <w:rFonts w:eastAsia="Times New Roman"/>
                <w:sz w:val="22"/>
                <w:szCs w:val="22"/>
                <w:lang w:eastAsia="en-GB"/>
              </w:rPr>
            </w:pPr>
          </w:p>
        </w:tc>
        <w:tc>
          <w:tcPr>
            <w:tcW w:w="2693" w:type="dxa"/>
            <w:vMerge/>
          </w:tcPr>
          <w:p w14:paraId="5270E92C" w14:textId="77777777" w:rsidR="009F641C" w:rsidRPr="00ED5CAF" w:rsidRDefault="009F641C" w:rsidP="005D40B5">
            <w:pPr>
              <w:rPr>
                <w:rFonts w:eastAsia="Times New Roman"/>
                <w:sz w:val="22"/>
                <w:szCs w:val="22"/>
                <w:lang w:eastAsia="en-GB"/>
              </w:rPr>
            </w:pPr>
          </w:p>
        </w:tc>
        <w:tc>
          <w:tcPr>
            <w:tcW w:w="2693" w:type="dxa"/>
          </w:tcPr>
          <w:p w14:paraId="50AE1D91" w14:textId="77777777" w:rsidR="009F641C" w:rsidRPr="00ED5CAF" w:rsidRDefault="009F641C" w:rsidP="005D40B5">
            <w:pPr>
              <w:rPr>
                <w:rFonts w:eastAsia="Times New Roman"/>
                <w:sz w:val="22"/>
                <w:szCs w:val="22"/>
                <w:lang w:eastAsia="en-GB"/>
              </w:rPr>
            </w:pPr>
            <w:r w:rsidRPr="00ED5CAF">
              <w:rPr>
                <w:rFonts w:eastAsia="Times New Roman"/>
                <w:sz w:val="22"/>
                <w:szCs w:val="22"/>
                <w:lang w:eastAsia="en-GB"/>
              </w:rPr>
              <w:t>Poor Learning Outcomes</w:t>
            </w:r>
          </w:p>
        </w:tc>
        <w:tc>
          <w:tcPr>
            <w:tcW w:w="1418" w:type="dxa"/>
          </w:tcPr>
          <w:p w14:paraId="42B122AF"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c>
          <w:tcPr>
            <w:tcW w:w="1559" w:type="dxa"/>
            <w:vMerge/>
          </w:tcPr>
          <w:p w14:paraId="208C79B4" w14:textId="77777777" w:rsidR="009F641C" w:rsidRPr="00ED5CAF" w:rsidRDefault="009F641C" w:rsidP="005D40B5">
            <w:pPr>
              <w:jc w:val="center"/>
              <w:rPr>
                <w:rFonts w:eastAsia="Times New Roman"/>
                <w:sz w:val="22"/>
                <w:szCs w:val="22"/>
                <w:lang w:eastAsia="en-GB"/>
              </w:rPr>
            </w:pPr>
          </w:p>
        </w:tc>
        <w:tc>
          <w:tcPr>
            <w:tcW w:w="1352" w:type="dxa"/>
          </w:tcPr>
          <w:p w14:paraId="4825B7F8"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c>
          <w:tcPr>
            <w:tcW w:w="1625" w:type="dxa"/>
            <w:vMerge/>
          </w:tcPr>
          <w:p w14:paraId="6A0F8D2B" w14:textId="77777777" w:rsidR="009F641C" w:rsidRPr="00ED5CAF" w:rsidRDefault="009F641C" w:rsidP="005D40B5">
            <w:pPr>
              <w:jc w:val="center"/>
              <w:rPr>
                <w:rFonts w:eastAsia="Times New Roman"/>
                <w:sz w:val="22"/>
                <w:szCs w:val="22"/>
                <w:lang w:eastAsia="en-GB"/>
              </w:rPr>
            </w:pPr>
          </w:p>
        </w:tc>
      </w:tr>
      <w:tr w:rsidR="009F641C" w:rsidRPr="00ED5CAF" w14:paraId="21C8B9DC" w14:textId="77777777" w:rsidTr="000D270E">
        <w:trPr>
          <w:jc w:val="center"/>
        </w:trPr>
        <w:tc>
          <w:tcPr>
            <w:tcW w:w="421" w:type="dxa"/>
            <w:vMerge/>
          </w:tcPr>
          <w:p w14:paraId="444940C1" w14:textId="77777777" w:rsidR="009F641C" w:rsidRPr="00ED5CAF" w:rsidRDefault="009F641C" w:rsidP="005D40B5">
            <w:pPr>
              <w:rPr>
                <w:rFonts w:eastAsia="Times New Roman"/>
                <w:sz w:val="22"/>
                <w:szCs w:val="22"/>
                <w:lang w:eastAsia="en-GB"/>
              </w:rPr>
            </w:pPr>
          </w:p>
        </w:tc>
        <w:tc>
          <w:tcPr>
            <w:tcW w:w="2693" w:type="dxa"/>
            <w:vMerge/>
          </w:tcPr>
          <w:p w14:paraId="4945F4DE" w14:textId="77777777" w:rsidR="009F641C" w:rsidRPr="00ED5CAF" w:rsidRDefault="009F641C" w:rsidP="005D40B5">
            <w:pPr>
              <w:rPr>
                <w:rFonts w:eastAsia="Times New Roman"/>
                <w:sz w:val="22"/>
                <w:szCs w:val="22"/>
                <w:lang w:eastAsia="en-GB"/>
              </w:rPr>
            </w:pPr>
          </w:p>
        </w:tc>
        <w:tc>
          <w:tcPr>
            <w:tcW w:w="2693" w:type="dxa"/>
          </w:tcPr>
          <w:p w14:paraId="1BCFD0CD" w14:textId="77777777" w:rsidR="009F641C" w:rsidRPr="00ED5CAF" w:rsidRDefault="009F641C" w:rsidP="005D40B5">
            <w:pPr>
              <w:rPr>
                <w:rFonts w:eastAsia="Times New Roman"/>
                <w:sz w:val="22"/>
                <w:szCs w:val="22"/>
                <w:lang w:eastAsia="en-GB"/>
              </w:rPr>
            </w:pPr>
            <w:r w:rsidRPr="00ED5CAF">
              <w:rPr>
                <w:rFonts w:eastAsia="Times New Roman"/>
                <w:sz w:val="22"/>
                <w:szCs w:val="22"/>
                <w:lang w:eastAsia="en-GB"/>
              </w:rPr>
              <w:t>Reductionism</w:t>
            </w:r>
          </w:p>
        </w:tc>
        <w:tc>
          <w:tcPr>
            <w:tcW w:w="1418" w:type="dxa"/>
          </w:tcPr>
          <w:p w14:paraId="0E8A0E62"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c>
          <w:tcPr>
            <w:tcW w:w="1559" w:type="dxa"/>
            <w:vMerge/>
          </w:tcPr>
          <w:p w14:paraId="61568B22" w14:textId="77777777" w:rsidR="009F641C" w:rsidRPr="00ED5CAF" w:rsidRDefault="009F641C" w:rsidP="005D40B5">
            <w:pPr>
              <w:jc w:val="center"/>
              <w:rPr>
                <w:rFonts w:eastAsia="Times New Roman"/>
                <w:sz w:val="22"/>
                <w:szCs w:val="22"/>
                <w:lang w:eastAsia="en-GB"/>
              </w:rPr>
            </w:pPr>
          </w:p>
        </w:tc>
        <w:tc>
          <w:tcPr>
            <w:tcW w:w="1352" w:type="dxa"/>
          </w:tcPr>
          <w:p w14:paraId="502486C5"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c>
          <w:tcPr>
            <w:tcW w:w="1625" w:type="dxa"/>
            <w:vMerge/>
          </w:tcPr>
          <w:p w14:paraId="2453113B" w14:textId="77777777" w:rsidR="009F641C" w:rsidRPr="00ED5CAF" w:rsidRDefault="009F641C" w:rsidP="005D40B5">
            <w:pPr>
              <w:jc w:val="center"/>
              <w:rPr>
                <w:rFonts w:eastAsia="Times New Roman"/>
                <w:sz w:val="22"/>
                <w:szCs w:val="22"/>
                <w:lang w:eastAsia="en-GB"/>
              </w:rPr>
            </w:pPr>
          </w:p>
        </w:tc>
      </w:tr>
      <w:tr w:rsidR="009F641C" w:rsidRPr="00ED5CAF" w14:paraId="545B0235" w14:textId="77777777" w:rsidTr="000D270E">
        <w:trPr>
          <w:jc w:val="center"/>
        </w:trPr>
        <w:tc>
          <w:tcPr>
            <w:tcW w:w="421" w:type="dxa"/>
            <w:vMerge w:val="restart"/>
          </w:tcPr>
          <w:p w14:paraId="2C8EF3F5" w14:textId="77777777" w:rsidR="009F641C" w:rsidRPr="00ED5CAF" w:rsidRDefault="009F641C" w:rsidP="005D40B5">
            <w:pPr>
              <w:rPr>
                <w:rFonts w:eastAsia="Times New Roman"/>
                <w:sz w:val="22"/>
                <w:szCs w:val="22"/>
                <w:lang w:eastAsia="en-GB"/>
              </w:rPr>
            </w:pPr>
            <w:r w:rsidRPr="00ED5CAF">
              <w:rPr>
                <w:rFonts w:eastAsia="Times New Roman"/>
                <w:sz w:val="22"/>
                <w:szCs w:val="22"/>
                <w:lang w:eastAsia="en-GB"/>
              </w:rPr>
              <w:t>4</w:t>
            </w:r>
          </w:p>
        </w:tc>
        <w:tc>
          <w:tcPr>
            <w:tcW w:w="2693" w:type="dxa"/>
            <w:vMerge w:val="restart"/>
          </w:tcPr>
          <w:p w14:paraId="0331B8FA" w14:textId="77777777" w:rsidR="009F641C" w:rsidRPr="00ED5CAF" w:rsidRDefault="009F641C" w:rsidP="005D40B5">
            <w:pPr>
              <w:rPr>
                <w:rFonts w:eastAsia="Times New Roman"/>
                <w:sz w:val="22"/>
                <w:szCs w:val="22"/>
                <w:lang w:eastAsia="en-GB"/>
              </w:rPr>
            </w:pPr>
            <w:r w:rsidRPr="00ED5CAF">
              <w:rPr>
                <w:rFonts w:eastAsia="Times New Roman"/>
                <w:sz w:val="22"/>
                <w:szCs w:val="22"/>
                <w:lang w:eastAsia="en-GB"/>
              </w:rPr>
              <w:t>Prevention Social Risk</w:t>
            </w:r>
          </w:p>
        </w:tc>
        <w:tc>
          <w:tcPr>
            <w:tcW w:w="2693" w:type="dxa"/>
            <w:vMerge w:val="restart"/>
          </w:tcPr>
          <w:p w14:paraId="2592006D" w14:textId="77777777" w:rsidR="009F641C" w:rsidRPr="00ED5CAF" w:rsidRDefault="009F641C" w:rsidP="005D40B5">
            <w:pPr>
              <w:rPr>
                <w:rFonts w:eastAsia="Times New Roman"/>
                <w:sz w:val="22"/>
                <w:szCs w:val="22"/>
                <w:lang w:eastAsia="en-GB"/>
              </w:rPr>
            </w:pPr>
            <w:r w:rsidRPr="00ED5CAF">
              <w:rPr>
                <w:rFonts w:eastAsia="Times New Roman"/>
                <w:sz w:val="22"/>
                <w:szCs w:val="22"/>
                <w:lang w:eastAsia="en-GB"/>
              </w:rPr>
              <w:t>Exclusion/Inequality</w:t>
            </w:r>
          </w:p>
          <w:p w14:paraId="6D271284" w14:textId="77777777" w:rsidR="009F641C" w:rsidRPr="00ED5CAF" w:rsidRDefault="009F641C" w:rsidP="005D40B5">
            <w:pPr>
              <w:rPr>
                <w:rFonts w:eastAsia="Times New Roman"/>
                <w:sz w:val="22"/>
                <w:szCs w:val="22"/>
                <w:lang w:eastAsia="en-GB"/>
              </w:rPr>
            </w:pPr>
            <w:r w:rsidRPr="00ED5CAF">
              <w:rPr>
                <w:rFonts w:eastAsia="Times New Roman"/>
                <w:sz w:val="22"/>
                <w:szCs w:val="22"/>
                <w:lang w:eastAsia="en-GB"/>
              </w:rPr>
              <w:t>Poor Learning Outcomes</w:t>
            </w:r>
          </w:p>
          <w:p w14:paraId="0EFE3649" w14:textId="77777777" w:rsidR="009F641C" w:rsidRPr="00ED5CAF" w:rsidRDefault="009F641C" w:rsidP="005D40B5">
            <w:pPr>
              <w:rPr>
                <w:rFonts w:eastAsia="Times New Roman"/>
                <w:sz w:val="22"/>
                <w:szCs w:val="22"/>
                <w:lang w:eastAsia="en-GB"/>
              </w:rPr>
            </w:pPr>
            <w:r w:rsidRPr="00ED5CAF">
              <w:rPr>
                <w:rFonts w:eastAsia="Times New Roman"/>
                <w:sz w:val="22"/>
                <w:szCs w:val="22"/>
                <w:lang w:eastAsia="en-GB"/>
              </w:rPr>
              <w:t>Reductionism</w:t>
            </w:r>
          </w:p>
        </w:tc>
        <w:tc>
          <w:tcPr>
            <w:tcW w:w="1418" w:type="dxa"/>
          </w:tcPr>
          <w:p w14:paraId="49754A63"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c>
          <w:tcPr>
            <w:tcW w:w="1559" w:type="dxa"/>
            <w:vMerge w:val="restart"/>
          </w:tcPr>
          <w:p w14:paraId="33B396D3"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c>
          <w:tcPr>
            <w:tcW w:w="1352" w:type="dxa"/>
          </w:tcPr>
          <w:p w14:paraId="0BADF4D9"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c>
          <w:tcPr>
            <w:tcW w:w="1625" w:type="dxa"/>
            <w:vMerge w:val="restart"/>
          </w:tcPr>
          <w:p w14:paraId="2B96D44B"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r>
      <w:tr w:rsidR="009F641C" w:rsidRPr="00ED5CAF" w14:paraId="56603840" w14:textId="77777777" w:rsidTr="000D270E">
        <w:trPr>
          <w:jc w:val="center"/>
        </w:trPr>
        <w:tc>
          <w:tcPr>
            <w:tcW w:w="421" w:type="dxa"/>
            <w:vMerge/>
          </w:tcPr>
          <w:p w14:paraId="4270979A" w14:textId="77777777" w:rsidR="009F641C" w:rsidRPr="00ED5CAF" w:rsidRDefault="009F641C" w:rsidP="005D40B5">
            <w:pPr>
              <w:rPr>
                <w:rFonts w:eastAsia="Times New Roman"/>
                <w:sz w:val="22"/>
                <w:szCs w:val="22"/>
                <w:lang w:eastAsia="en-GB"/>
              </w:rPr>
            </w:pPr>
          </w:p>
        </w:tc>
        <w:tc>
          <w:tcPr>
            <w:tcW w:w="2693" w:type="dxa"/>
            <w:vMerge/>
          </w:tcPr>
          <w:p w14:paraId="7474BB72" w14:textId="77777777" w:rsidR="009F641C" w:rsidRPr="00ED5CAF" w:rsidRDefault="009F641C" w:rsidP="005D40B5">
            <w:pPr>
              <w:rPr>
                <w:rFonts w:eastAsia="Times New Roman"/>
                <w:sz w:val="22"/>
                <w:szCs w:val="22"/>
                <w:lang w:eastAsia="en-GB"/>
              </w:rPr>
            </w:pPr>
          </w:p>
        </w:tc>
        <w:tc>
          <w:tcPr>
            <w:tcW w:w="2693" w:type="dxa"/>
            <w:vMerge/>
          </w:tcPr>
          <w:p w14:paraId="3D47EFB6" w14:textId="77777777" w:rsidR="009F641C" w:rsidRPr="00ED5CAF" w:rsidRDefault="009F641C" w:rsidP="005D40B5">
            <w:pPr>
              <w:rPr>
                <w:rFonts w:eastAsia="Times New Roman"/>
                <w:sz w:val="22"/>
                <w:szCs w:val="22"/>
                <w:lang w:eastAsia="en-GB"/>
              </w:rPr>
            </w:pPr>
          </w:p>
        </w:tc>
        <w:tc>
          <w:tcPr>
            <w:tcW w:w="1418" w:type="dxa"/>
          </w:tcPr>
          <w:p w14:paraId="0BC3F728"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c>
          <w:tcPr>
            <w:tcW w:w="1559" w:type="dxa"/>
            <w:vMerge/>
          </w:tcPr>
          <w:p w14:paraId="77ED6B6E" w14:textId="77777777" w:rsidR="009F641C" w:rsidRPr="00ED5CAF" w:rsidRDefault="009F641C" w:rsidP="005D40B5">
            <w:pPr>
              <w:jc w:val="center"/>
              <w:rPr>
                <w:rFonts w:eastAsia="Times New Roman"/>
                <w:sz w:val="22"/>
                <w:szCs w:val="22"/>
                <w:lang w:eastAsia="en-GB"/>
              </w:rPr>
            </w:pPr>
          </w:p>
        </w:tc>
        <w:tc>
          <w:tcPr>
            <w:tcW w:w="1352" w:type="dxa"/>
          </w:tcPr>
          <w:p w14:paraId="6A3F5A1D"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c>
          <w:tcPr>
            <w:tcW w:w="1625" w:type="dxa"/>
            <w:vMerge/>
          </w:tcPr>
          <w:p w14:paraId="1B70EDD1" w14:textId="77777777" w:rsidR="009F641C" w:rsidRPr="00ED5CAF" w:rsidRDefault="009F641C" w:rsidP="005D40B5">
            <w:pPr>
              <w:jc w:val="center"/>
              <w:rPr>
                <w:rFonts w:eastAsia="Times New Roman"/>
                <w:sz w:val="22"/>
                <w:szCs w:val="22"/>
                <w:lang w:eastAsia="en-GB"/>
              </w:rPr>
            </w:pPr>
          </w:p>
        </w:tc>
      </w:tr>
      <w:tr w:rsidR="009F641C" w:rsidRPr="00ED5CAF" w14:paraId="4412A306" w14:textId="77777777" w:rsidTr="000D270E">
        <w:trPr>
          <w:jc w:val="center"/>
        </w:trPr>
        <w:tc>
          <w:tcPr>
            <w:tcW w:w="421" w:type="dxa"/>
            <w:vMerge/>
          </w:tcPr>
          <w:p w14:paraId="445ADA79" w14:textId="77777777" w:rsidR="009F641C" w:rsidRPr="00ED5CAF" w:rsidRDefault="009F641C" w:rsidP="005D40B5">
            <w:pPr>
              <w:rPr>
                <w:rFonts w:eastAsia="Times New Roman"/>
                <w:sz w:val="22"/>
                <w:szCs w:val="22"/>
                <w:lang w:eastAsia="en-GB"/>
              </w:rPr>
            </w:pPr>
          </w:p>
        </w:tc>
        <w:tc>
          <w:tcPr>
            <w:tcW w:w="2693" w:type="dxa"/>
            <w:vMerge/>
          </w:tcPr>
          <w:p w14:paraId="6C7C2B05" w14:textId="77777777" w:rsidR="009F641C" w:rsidRPr="00ED5CAF" w:rsidRDefault="009F641C" w:rsidP="005D40B5">
            <w:pPr>
              <w:rPr>
                <w:rFonts w:eastAsia="Times New Roman"/>
                <w:sz w:val="22"/>
                <w:szCs w:val="22"/>
                <w:lang w:eastAsia="en-GB"/>
              </w:rPr>
            </w:pPr>
          </w:p>
        </w:tc>
        <w:tc>
          <w:tcPr>
            <w:tcW w:w="2693" w:type="dxa"/>
            <w:vMerge/>
          </w:tcPr>
          <w:p w14:paraId="728B6190" w14:textId="77777777" w:rsidR="009F641C" w:rsidRPr="00ED5CAF" w:rsidRDefault="009F641C" w:rsidP="005D40B5">
            <w:pPr>
              <w:rPr>
                <w:rFonts w:eastAsia="Times New Roman"/>
                <w:sz w:val="22"/>
                <w:szCs w:val="22"/>
                <w:lang w:eastAsia="en-GB"/>
              </w:rPr>
            </w:pPr>
          </w:p>
        </w:tc>
        <w:tc>
          <w:tcPr>
            <w:tcW w:w="1418" w:type="dxa"/>
          </w:tcPr>
          <w:p w14:paraId="682AD02A"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c>
          <w:tcPr>
            <w:tcW w:w="1559" w:type="dxa"/>
            <w:vMerge/>
          </w:tcPr>
          <w:p w14:paraId="4D80C907" w14:textId="77777777" w:rsidR="009F641C" w:rsidRPr="00ED5CAF" w:rsidRDefault="009F641C" w:rsidP="005D40B5">
            <w:pPr>
              <w:jc w:val="center"/>
              <w:rPr>
                <w:rFonts w:eastAsia="Times New Roman"/>
                <w:sz w:val="22"/>
                <w:szCs w:val="22"/>
                <w:lang w:eastAsia="en-GB"/>
              </w:rPr>
            </w:pPr>
          </w:p>
        </w:tc>
        <w:tc>
          <w:tcPr>
            <w:tcW w:w="1352" w:type="dxa"/>
          </w:tcPr>
          <w:p w14:paraId="60ACEF5A"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c>
          <w:tcPr>
            <w:tcW w:w="1625" w:type="dxa"/>
            <w:vMerge/>
          </w:tcPr>
          <w:p w14:paraId="6567396B" w14:textId="77777777" w:rsidR="009F641C" w:rsidRPr="00ED5CAF" w:rsidRDefault="009F641C" w:rsidP="005D40B5">
            <w:pPr>
              <w:jc w:val="center"/>
              <w:rPr>
                <w:rFonts w:eastAsia="Times New Roman"/>
                <w:sz w:val="22"/>
                <w:szCs w:val="22"/>
                <w:lang w:eastAsia="en-GB"/>
              </w:rPr>
            </w:pPr>
          </w:p>
        </w:tc>
      </w:tr>
    </w:tbl>
    <w:p w14:paraId="1A04FF43" w14:textId="77777777" w:rsidR="009F641C" w:rsidRPr="00ED5CAF" w:rsidRDefault="009F641C" w:rsidP="005D40B5">
      <w:pPr>
        <w:tabs>
          <w:tab w:val="left" w:pos="4425"/>
        </w:tabs>
        <w:jc w:val="center"/>
        <w:rPr>
          <w:rFonts w:eastAsia="Times New Roman"/>
          <w:b/>
          <w:lang w:eastAsia="en-GB"/>
        </w:rPr>
      </w:pPr>
      <w:bookmarkStart w:id="10" w:name="_Toc3220969"/>
      <w:bookmarkStart w:id="11" w:name="_Toc8107436"/>
    </w:p>
    <w:p w14:paraId="4CC17E43" w14:textId="77777777" w:rsidR="009F641C" w:rsidRDefault="009F641C" w:rsidP="005D40B5">
      <w:pPr>
        <w:tabs>
          <w:tab w:val="left" w:pos="4425"/>
        </w:tabs>
        <w:jc w:val="center"/>
        <w:rPr>
          <w:rFonts w:eastAsia="Times New Roman"/>
          <w:b/>
          <w:lang w:eastAsia="en-GB"/>
        </w:rPr>
      </w:pPr>
      <w:bookmarkStart w:id="12" w:name="_Toc23944247"/>
    </w:p>
    <w:p w14:paraId="74BF5481" w14:textId="77777777" w:rsidR="00785016" w:rsidRDefault="00785016" w:rsidP="005D40B5">
      <w:pPr>
        <w:tabs>
          <w:tab w:val="left" w:pos="4425"/>
        </w:tabs>
        <w:jc w:val="center"/>
        <w:rPr>
          <w:rFonts w:eastAsia="Times New Roman"/>
          <w:b/>
          <w:lang w:eastAsia="en-GB"/>
        </w:rPr>
      </w:pPr>
    </w:p>
    <w:p w14:paraId="3615B0C6" w14:textId="10596340" w:rsidR="009F641C" w:rsidRPr="00ED5CAF" w:rsidRDefault="009F641C" w:rsidP="005D40B5">
      <w:pPr>
        <w:tabs>
          <w:tab w:val="left" w:pos="4425"/>
        </w:tabs>
        <w:jc w:val="center"/>
        <w:rPr>
          <w:rFonts w:eastAsia="Times New Roman"/>
          <w:b/>
          <w:lang w:eastAsia="en-GB"/>
        </w:rPr>
      </w:pPr>
      <w:r w:rsidRPr="00ED5CAF">
        <w:rPr>
          <w:rFonts w:eastAsia="Times New Roman"/>
          <w:b/>
          <w:lang w:eastAsia="en-GB"/>
        </w:rPr>
        <w:lastRenderedPageBreak/>
        <w:t xml:space="preserve">Table </w:t>
      </w:r>
      <w:r w:rsidR="00785016">
        <w:rPr>
          <w:rFonts w:eastAsia="Times New Roman"/>
          <w:b/>
          <w:lang w:eastAsia="en-GB"/>
        </w:rPr>
        <w:t>3</w:t>
      </w:r>
      <w:r w:rsidRPr="00ED5CAF">
        <w:rPr>
          <w:rFonts w:eastAsia="Times New Roman"/>
          <w:b/>
          <w:lang w:eastAsia="en-GB"/>
        </w:rPr>
        <w:t>: Interview Analysis: Evidence of Social Risk Awareness and Management</w:t>
      </w:r>
      <w:bookmarkEnd w:id="10"/>
      <w:bookmarkEnd w:id="11"/>
      <w:r w:rsidRPr="00ED5CAF">
        <w:rPr>
          <w:rFonts w:eastAsia="Times New Roman"/>
          <w:b/>
          <w:lang w:eastAsia="en-GB"/>
        </w:rPr>
        <w:t>.</w:t>
      </w:r>
      <w:bookmarkEnd w:id="12"/>
    </w:p>
    <w:tbl>
      <w:tblPr>
        <w:tblStyle w:val="TableGridLight4"/>
        <w:tblW w:w="12186" w:type="dxa"/>
        <w:jc w:val="center"/>
        <w:tblLayout w:type="fixed"/>
        <w:tblLook w:val="04A0" w:firstRow="1" w:lastRow="0" w:firstColumn="1" w:lastColumn="0" w:noHBand="0" w:noVBand="1"/>
      </w:tblPr>
      <w:tblGrid>
        <w:gridCol w:w="279"/>
        <w:gridCol w:w="2693"/>
        <w:gridCol w:w="2835"/>
        <w:gridCol w:w="1418"/>
        <w:gridCol w:w="1559"/>
        <w:gridCol w:w="1352"/>
        <w:gridCol w:w="2050"/>
      </w:tblGrid>
      <w:tr w:rsidR="009F641C" w:rsidRPr="00ED5CAF" w14:paraId="728A649B" w14:textId="77777777" w:rsidTr="000D270E">
        <w:trPr>
          <w:jc w:val="center"/>
        </w:trPr>
        <w:tc>
          <w:tcPr>
            <w:tcW w:w="279" w:type="dxa"/>
            <w:vMerge w:val="restart"/>
          </w:tcPr>
          <w:p w14:paraId="792B6D00" w14:textId="77777777" w:rsidR="009F641C" w:rsidRPr="00ED5CAF" w:rsidRDefault="009F641C" w:rsidP="005D40B5">
            <w:pPr>
              <w:rPr>
                <w:rFonts w:eastAsia="Times New Roman"/>
                <w:sz w:val="22"/>
                <w:szCs w:val="22"/>
                <w:lang w:eastAsia="en-GB"/>
              </w:rPr>
            </w:pPr>
            <w:r w:rsidRPr="00ED5CAF">
              <w:rPr>
                <w:rFonts w:eastAsia="Times New Roman"/>
                <w:sz w:val="22"/>
                <w:szCs w:val="22"/>
                <w:lang w:eastAsia="en-GB"/>
              </w:rPr>
              <w:t>#</w:t>
            </w:r>
          </w:p>
        </w:tc>
        <w:tc>
          <w:tcPr>
            <w:tcW w:w="2693" w:type="dxa"/>
            <w:vMerge w:val="restart"/>
          </w:tcPr>
          <w:p w14:paraId="1201875F" w14:textId="77777777" w:rsidR="009F641C" w:rsidRPr="00ED5CAF" w:rsidRDefault="009F641C" w:rsidP="005D40B5">
            <w:pPr>
              <w:jc w:val="left"/>
              <w:rPr>
                <w:rFonts w:eastAsia="Times New Roman"/>
                <w:sz w:val="22"/>
                <w:szCs w:val="22"/>
                <w:lang w:eastAsia="en-GB"/>
              </w:rPr>
            </w:pPr>
            <w:r w:rsidRPr="00ED5CAF">
              <w:rPr>
                <w:rFonts w:eastAsia="Times New Roman"/>
                <w:sz w:val="22"/>
                <w:szCs w:val="22"/>
                <w:lang w:eastAsia="en-GB"/>
              </w:rPr>
              <w:t>Social Risk Category</w:t>
            </w:r>
          </w:p>
        </w:tc>
        <w:tc>
          <w:tcPr>
            <w:tcW w:w="2835" w:type="dxa"/>
            <w:vMerge w:val="restart"/>
          </w:tcPr>
          <w:p w14:paraId="5FB3106A" w14:textId="77777777" w:rsidR="009F641C" w:rsidRPr="00ED5CAF" w:rsidRDefault="009F641C" w:rsidP="005D40B5">
            <w:pPr>
              <w:jc w:val="left"/>
              <w:rPr>
                <w:rFonts w:eastAsia="Times New Roman"/>
                <w:sz w:val="22"/>
                <w:szCs w:val="22"/>
                <w:lang w:eastAsia="en-GB"/>
              </w:rPr>
            </w:pPr>
            <w:r w:rsidRPr="00ED5CAF">
              <w:rPr>
                <w:rFonts w:eastAsia="Times New Roman"/>
                <w:sz w:val="22"/>
                <w:szCs w:val="22"/>
                <w:lang w:eastAsia="en-GB"/>
              </w:rPr>
              <w:t>Nature of Social Risk</w:t>
            </w:r>
          </w:p>
        </w:tc>
        <w:tc>
          <w:tcPr>
            <w:tcW w:w="2977" w:type="dxa"/>
            <w:gridSpan w:val="2"/>
          </w:tcPr>
          <w:p w14:paraId="7389A898"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Council A</w:t>
            </w:r>
          </w:p>
        </w:tc>
        <w:tc>
          <w:tcPr>
            <w:tcW w:w="3402" w:type="dxa"/>
            <w:gridSpan w:val="2"/>
          </w:tcPr>
          <w:p w14:paraId="0315B341"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Council B</w:t>
            </w:r>
          </w:p>
        </w:tc>
      </w:tr>
      <w:tr w:rsidR="009F641C" w:rsidRPr="00ED5CAF" w14:paraId="31177B50" w14:textId="77777777" w:rsidTr="000D270E">
        <w:trPr>
          <w:jc w:val="center"/>
        </w:trPr>
        <w:tc>
          <w:tcPr>
            <w:tcW w:w="279" w:type="dxa"/>
            <w:vMerge/>
          </w:tcPr>
          <w:p w14:paraId="42427DA8" w14:textId="77777777" w:rsidR="009F641C" w:rsidRPr="00ED5CAF" w:rsidRDefault="009F641C" w:rsidP="005D40B5">
            <w:pPr>
              <w:rPr>
                <w:rFonts w:eastAsia="Times New Roman"/>
                <w:sz w:val="22"/>
                <w:szCs w:val="22"/>
                <w:lang w:eastAsia="en-GB"/>
              </w:rPr>
            </w:pPr>
          </w:p>
        </w:tc>
        <w:tc>
          <w:tcPr>
            <w:tcW w:w="2693" w:type="dxa"/>
            <w:vMerge/>
          </w:tcPr>
          <w:p w14:paraId="0BDB5D71" w14:textId="77777777" w:rsidR="009F641C" w:rsidRPr="00ED5CAF" w:rsidRDefault="009F641C" w:rsidP="005D40B5">
            <w:pPr>
              <w:jc w:val="left"/>
              <w:rPr>
                <w:rFonts w:eastAsia="Times New Roman"/>
                <w:sz w:val="22"/>
                <w:szCs w:val="22"/>
                <w:lang w:eastAsia="en-GB"/>
              </w:rPr>
            </w:pPr>
          </w:p>
        </w:tc>
        <w:tc>
          <w:tcPr>
            <w:tcW w:w="2835" w:type="dxa"/>
            <w:vMerge/>
          </w:tcPr>
          <w:p w14:paraId="799C6F7F" w14:textId="77777777" w:rsidR="009F641C" w:rsidRPr="00ED5CAF" w:rsidRDefault="009F641C" w:rsidP="005D40B5">
            <w:pPr>
              <w:jc w:val="left"/>
              <w:rPr>
                <w:rFonts w:eastAsia="Times New Roman"/>
                <w:sz w:val="22"/>
                <w:szCs w:val="22"/>
                <w:lang w:eastAsia="en-GB"/>
              </w:rPr>
            </w:pPr>
          </w:p>
        </w:tc>
        <w:tc>
          <w:tcPr>
            <w:tcW w:w="1418" w:type="dxa"/>
          </w:tcPr>
          <w:p w14:paraId="016E44DD"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Social Risk Awareness</w:t>
            </w:r>
          </w:p>
        </w:tc>
        <w:tc>
          <w:tcPr>
            <w:tcW w:w="1559" w:type="dxa"/>
          </w:tcPr>
          <w:p w14:paraId="7E549126"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Social Risk Management</w:t>
            </w:r>
          </w:p>
        </w:tc>
        <w:tc>
          <w:tcPr>
            <w:tcW w:w="1352" w:type="dxa"/>
          </w:tcPr>
          <w:p w14:paraId="0D5147DC"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Social Risk Awareness</w:t>
            </w:r>
          </w:p>
        </w:tc>
        <w:tc>
          <w:tcPr>
            <w:tcW w:w="2050" w:type="dxa"/>
          </w:tcPr>
          <w:p w14:paraId="023E74E7"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Social Risk Management</w:t>
            </w:r>
          </w:p>
        </w:tc>
      </w:tr>
      <w:tr w:rsidR="009F641C" w:rsidRPr="00ED5CAF" w14:paraId="0AE96D60" w14:textId="77777777" w:rsidTr="000D270E">
        <w:trPr>
          <w:jc w:val="center"/>
        </w:trPr>
        <w:tc>
          <w:tcPr>
            <w:tcW w:w="279" w:type="dxa"/>
            <w:vMerge w:val="restart"/>
          </w:tcPr>
          <w:p w14:paraId="6CE28B25"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1</w:t>
            </w:r>
          </w:p>
        </w:tc>
        <w:tc>
          <w:tcPr>
            <w:tcW w:w="2693" w:type="dxa"/>
            <w:vMerge w:val="restart"/>
          </w:tcPr>
          <w:p w14:paraId="4A010E8A" w14:textId="77777777" w:rsidR="009F641C" w:rsidRPr="00ED5CAF" w:rsidRDefault="009F641C" w:rsidP="005D40B5">
            <w:pPr>
              <w:jc w:val="left"/>
              <w:rPr>
                <w:rFonts w:eastAsia="Times New Roman"/>
                <w:sz w:val="22"/>
                <w:szCs w:val="22"/>
                <w:lang w:eastAsia="en-GB"/>
              </w:rPr>
            </w:pPr>
            <w:r w:rsidRPr="00ED5CAF">
              <w:rPr>
                <w:rFonts w:eastAsia="Times New Roman"/>
                <w:sz w:val="22"/>
                <w:szCs w:val="22"/>
                <w:lang w:eastAsia="en-GB"/>
              </w:rPr>
              <w:t>Partnership Social Risk</w:t>
            </w:r>
          </w:p>
        </w:tc>
        <w:tc>
          <w:tcPr>
            <w:tcW w:w="2835" w:type="dxa"/>
          </w:tcPr>
          <w:p w14:paraId="2597A6F7" w14:textId="77777777" w:rsidR="009F641C" w:rsidRPr="00ED5CAF" w:rsidRDefault="009F641C" w:rsidP="005D40B5">
            <w:pPr>
              <w:jc w:val="left"/>
              <w:rPr>
                <w:rFonts w:eastAsia="Times New Roman"/>
                <w:sz w:val="22"/>
                <w:szCs w:val="22"/>
                <w:lang w:eastAsia="en-GB"/>
              </w:rPr>
            </w:pPr>
            <w:r w:rsidRPr="00ED5CAF">
              <w:rPr>
                <w:rFonts w:eastAsia="Times New Roman"/>
                <w:sz w:val="22"/>
                <w:szCs w:val="22"/>
                <w:lang w:eastAsia="en-GB"/>
              </w:rPr>
              <w:t>Exclusion/Inequality</w:t>
            </w:r>
          </w:p>
        </w:tc>
        <w:tc>
          <w:tcPr>
            <w:tcW w:w="1418" w:type="dxa"/>
          </w:tcPr>
          <w:p w14:paraId="45ED1B9C"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c>
          <w:tcPr>
            <w:tcW w:w="1559" w:type="dxa"/>
          </w:tcPr>
          <w:p w14:paraId="34490D42"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c>
          <w:tcPr>
            <w:tcW w:w="1352" w:type="dxa"/>
          </w:tcPr>
          <w:p w14:paraId="718E71CB"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c>
          <w:tcPr>
            <w:tcW w:w="2050" w:type="dxa"/>
          </w:tcPr>
          <w:p w14:paraId="00B06A44"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r>
      <w:tr w:rsidR="009F641C" w:rsidRPr="00ED5CAF" w14:paraId="2374598C" w14:textId="77777777" w:rsidTr="000D270E">
        <w:trPr>
          <w:jc w:val="center"/>
        </w:trPr>
        <w:tc>
          <w:tcPr>
            <w:tcW w:w="279" w:type="dxa"/>
            <w:vMerge/>
          </w:tcPr>
          <w:p w14:paraId="3815B7F8" w14:textId="77777777" w:rsidR="009F641C" w:rsidRPr="00ED5CAF" w:rsidRDefault="009F641C" w:rsidP="005D40B5">
            <w:pPr>
              <w:rPr>
                <w:rFonts w:eastAsia="Times New Roman"/>
                <w:sz w:val="22"/>
                <w:szCs w:val="22"/>
                <w:lang w:eastAsia="en-GB"/>
              </w:rPr>
            </w:pPr>
          </w:p>
        </w:tc>
        <w:tc>
          <w:tcPr>
            <w:tcW w:w="2693" w:type="dxa"/>
            <w:vMerge/>
          </w:tcPr>
          <w:p w14:paraId="343F7DFF" w14:textId="77777777" w:rsidR="009F641C" w:rsidRPr="00ED5CAF" w:rsidRDefault="009F641C" w:rsidP="005D40B5">
            <w:pPr>
              <w:jc w:val="left"/>
              <w:rPr>
                <w:rFonts w:eastAsia="Times New Roman"/>
                <w:sz w:val="22"/>
                <w:szCs w:val="22"/>
                <w:lang w:eastAsia="en-GB"/>
              </w:rPr>
            </w:pPr>
          </w:p>
        </w:tc>
        <w:tc>
          <w:tcPr>
            <w:tcW w:w="2835" w:type="dxa"/>
          </w:tcPr>
          <w:p w14:paraId="02D17A27" w14:textId="77777777" w:rsidR="009F641C" w:rsidRPr="00ED5CAF" w:rsidRDefault="009F641C" w:rsidP="005D40B5">
            <w:pPr>
              <w:jc w:val="left"/>
              <w:rPr>
                <w:rFonts w:eastAsia="Times New Roman"/>
                <w:sz w:val="22"/>
                <w:szCs w:val="22"/>
                <w:lang w:eastAsia="en-GB"/>
              </w:rPr>
            </w:pPr>
            <w:r w:rsidRPr="00ED5CAF">
              <w:rPr>
                <w:rFonts w:eastAsia="Times New Roman"/>
                <w:sz w:val="22"/>
                <w:szCs w:val="22"/>
                <w:lang w:eastAsia="en-GB"/>
              </w:rPr>
              <w:t>Poor Learning Outcomes</w:t>
            </w:r>
          </w:p>
        </w:tc>
        <w:tc>
          <w:tcPr>
            <w:tcW w:w="1418" w:type="dxa"/>
          </w:tcPr>
          <w:p w14:paraId="3947EDD4"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r w:rsidRPr="00ED5CAF">
              <w:rPr>
                <w:rFonts w:eastAsia="Times New Roman"/>
                <w:sz w:val="22"/>
                <w:szCs w:val="22"/>
                <w:vertAlign w:val="superscript"/>
                <w:lang w:eastAsia="en-GB"/>
              </w:rPr>
              <w:footnoteReference w:id="6"/>
            </w:r>
          </w:p>
        </w:tc>
        <w:tc>
          <w:tcPr>
            <w:tcW w:w="1559" w:type="dxa"/>
          </w:tcPr>
          <w:p w14:paraId="177BB8AF"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c>
          <w:tcPr>
            <w:tcW w:w="1352" w:type="dxa"/>
          </w:tcPr>
          <w:p w14:paraId="0068D3D1"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c>
          <w:tcPr>
            <w:tcW w:w="2050" w:type="dxa"/>
          </w:tcPr>
          <w:p w14:paraId="50929BEB"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r>
      <w:tr w:rsidR="009F641C" w:rsidRPr="00ED5CAF" w14:paraId="3BA4A39D" w14:textId="77777777" w:rsidTr="000D270E">
        <w:trPr>
          <w:jc w:val="center"/>
        </w:trPr>
        <w:tc>
          <w:tcPr>
            <w:tcW w:w="279" w:type="dxa"/>
            <w:vMerge/>
          </w:tcPr>
          <w:p w14:paraId="419C032F" w14:textId="77777777" w:rsidR="009F641C" w:rsidRPr="00ED5CAF" w:rsidRDefault="009F641C" w:rsidP="005D40B5">
            <w:pPr>
              <w:rPr>
                <w:rFonts w:eastAsia="Times New Roman"/>
                <w:sz w:val="22"/>
                <w:szCs w:val="22"/>
                <w:lang w:eastAsia="en-GB"/>
              </w:rPr>
            </w:pPr>
          </w:p>
        </w:tc>
        <w:tc>
          <w:tcPr>
            <w:tcW w:w="2693" w:type="dxa"/>
            <w:vMerge/>
          </w:tcPr>
          <w:p w14:paraId="19330C2D" w14:textId="77777777" w:rsidR="009F641C" w:rsidRPr="00ED5CAF" w:rsidRDefault="009F641C" w:rsidP="005D40B5">
            <w:pPr>
              <w:jc w:val="left"/>
              <w:rPr>
                <w:rFonts w:eastAsia="Times New Roman"/>
                <w:sz w:val="22"/>
                <w:szCs w:val="22"/>
                <w:lang w:eastAsia="en-GB"/>
              </w:rPr>
            </w:pPr>
          </w:p>
        </w:tc>
        <w:tc>
          <w:tcPr>
            <w:tcW w:w="2835" w:type="dxa"/>
          </w:tcPr>
          <w:p w14:paraId="5666D59D" w14:textId="77777777" w:rsidR="009F641C" w:rsidRPr="00ED5CAF" w:rsidRDefault="009F641C" w:rsidP="005D40B5">
            <w:pPr>
              <w:jc w:val="left"/>
              <w:rPr>
                <w:rFonts w:eastAsia="Times New Roman"/>
                <w:sz w:val="22"/>
                <w:szCs w:val="22"/>
                <w:lang w:eastAsia="en-GB"/>
              </w:rPr>
            </w:pPr>
            <w:r w:rsidRPr="00ED5CAF">
              <w:rPr>
                <w:rFonts w:eastAsia="Times New Roman"/>
                <w:sz w:val="22"/>
                <w:szCs w:val="22"/>
                <w:lang w:eastAsia="en-GB"/>
              </w:rPr>
              <w:t>Reductionism</w:t>
            </w:r>
          </w:p>
        </w:tc>
        <w:tc>
          <w:tcPr>
            <w:tcW w:w="1418" w:type="dxa"/>
          </w:tcPr>
          <w:p w14:paraId="421DDBE0"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c>
          <w:tcPr>
            <w:tcW w:w="1559" w:type="dxa"/>
          </w:tcPr>
          <w:p w14:paraId="0E88F32D"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c>
          <w:tcPr>
            <w:tcW w:w="1352" w:type="dxa"/>
          </w:tcPr>
          <w:p w14:paraId="36E5ADCF"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c>
          <w:tcPr>
            <w:tcW w:w="2050" w:type="dxa"/>
          </w:tcPr>
          <w:p w14:paraId="2449BB56"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r w:rsidRPr="00ED5CAF">
              <w:rPr>
                <w:rFonts w:eastAsia="Times New Roman"/>
                <w:sz w:val="22"/>
                <w:szCs w:val="22"/>
                <w:vertAlign w:val="superscript"/>
                <w:lang w:eastAsia="en-GB"/>
              </w:rPr>
              <w:footnoteReference w:id="7"/>
            </w:r>
          </w:p>
        </w:tc>
      </w:tr>
      <w:tr w:rsidR="009F641C" w:rsidRPr="00ED5CAF" w14:paraId="7F184679" w14:textId="77777777" w:rsidTr="000D270E">
        <w:trPr>
          <w:jc w:val="center"/>
        </w:trPr>
        <w:tc>
          <w:tcPr>
            <w:tcW w:w="279" w:type="dxa"/>
            <w:vMerge w:val="restart"/>
          </w:tcPr>
          <w:p w14:paraId="3625A1EA" w14:textId="77777777" w:rsidR="009F641C" w:rsidRPr="00ED5CAF" w:rsidRDefault="009F641C" w:rsidP="005D40B5">
            <w:pPr>
              <w:rPr>
                <w:rFonts w:eastAsia="Times New Roman"/>
                <w:sz w:val="22"/>
                <w:szCs w:val="22"/>
                <w:lang w:eastAsia="en-GB"/>
              </w:rPr>
            </w:pPr>
            <w:r w:rsidRPr="00ED5CAF">
              <w:rPr>
                <w:rFonts w:eastAsia="Times New Roman"/>
                <w:sz w:val="22"/>
                <w:szCs w:val="22"/>
                <w:lang w:eastAsia="en-GB"/>
              </w:rPr>
              <w:t>2</w:t>
            </w:r>
          </w:p>
        </w:tc>
        <w:tc>
          <w:tcPr>
            <w:tcW w:w="2693" w:type="dxa"/>
            <w:vMerge w:val="restart"/>
          </w:tcPr>
          <w:p w14:paraId="5CC16CB7" w14:textId="77777777" w:rsidR="009F641C" w:rsidRPr="00ED5CAF" w:rsidRDefault="009F641C" w:rsidP="005D40B5">
            <w:pPr>
              <w:jc w:val="left"/>
              <w:rPr>
                <w:rFonts w:eastAsia="Times New Roman"/>
                <w:sz w:val="22"/>
                <w:szCs w:val="22"/>
                <w:lang w:eastAsia="en-GB"/>
              </w:rPr>
            </w:pPr>
            <w:r w:rsidRPr="00ED5CAF">
              <w:rPr>
                <w:rFonts w:eastAsia="Times New Roman"/>
                <w:sz w:val="22"/>
                <w:szCs w:val="22"/>
                <w:lang w:eastAsia="en-GB"/>
              </w:rPr>
              <w:t>People Social Risk</w:t>
            </w:r>
          </w:p>
        </w:tc>
        <w:tc>
          <w:tcPr>
            <w:tcW w:w="2835" w:type="dxa"/>
          </w:tcPr>
          <w:p w14:paraId="0374991A" w14:textId="77777777" w:rsidR="009F641C" w:rsidRPr="00ED5CAF" w:rsidRDefault="009F641C" w:rsidP="005D40B5">
            <w:pPr>
              <w:jc w:val="left"/>
              <w:rPr>
                <w:rFonts w:eastAsia="Times New Roman"/>
                <w:sz w:val="22"/>
                <w:szCs w:val="22"/>
                <w:lang w:eastAsia="en-GB"/>
              </w:rPr>
            </w:pPr>
            <w:r w:rsidRPr="00ED5CAF">
              <w:rPr>
                <w:rFonts w:eastAsia="Times New Roman"/>
                <w:sz w:val="22"/>
                <w:szCs w:val="22"/>
                <w:lang w:eastAsia="en-GB"/>
              </w:rPr>
              <w:t>Exclusion/Inequality</w:t>
            </w:r>
          </w:p>
        </w:tc>
        <w:tc>
          <w:tcPr>
            <w:tcW w:w="1418" w:type="dxa"/>
          </w:tcPr>
          <w:p w14:paraId="2B222E26"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c>
          <w:tcPr>
            <w:tcW w:w="1559" w:type="dxa"/>
          </w:tcPr>
          <w:p w14:paraId="59512804"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c>
          <w:tcPr>
            <w:tcW w:w="1352" w:type="dxa"/>
          </w:tcPr>
          <w:p w14:paraId="197914D8"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c>
          <w:tcPr>
            <w:tcW w:w="2050" w:type="dxa"/>
          </w:tcPr>
          <w:p w14:paraId="552171D1"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r>
      <w:tr w:rsidR="009F641C" w:rsidRPr="00ED5CAF" w14:paraId="29CFBCCB" w14:textId="77777777" w:rsidTr="000D270E">
        <w:trPr>
          <w:jc w:val="center"/>
        </w:trPr>
        <w:tc>
          <w:tcPr>
            <w:tcW w:w="279" w:type="dxa"/>
            <w:vMerge/>
          </w:tcPr>
          <w:p w14:paraId="61549135" w14:textId="77777777" w:rsidR="009F641C" w:rsidRPr="00ED5CAF" w:rsidRDefault="009F641C" w:rsidP="005D40B5">
            <w:pPr>
              <w:rPr>
                <w:rFonts w:eastAsia="Times New Roman"/>
                <w:sz w:val="22"/>
                <w:szCs w:val="22"/>
                <w:lang w:eastAsia="en-GB"/>
              </w:rPr>
            </w:pPr>
          </w:p>
        </w:tc>
        <w:tc>
          <w:tcPr>
            <w:tcW w:w="2693" w:type="dxa"/>
            <w:vMerge/>
          </w:tcPr>
          <w:p w14:paraId="045384D6" w14:textId="77777777" w:rsidR="009F641C" w:rsidRPr="00ED5CAF" w:rsidRDefault="009F641C" w:rsidP="005D40B5">
            <w:pPr>
              <w:jc w:val="left"/>
              <w:rPr>
                <w:rFonts w:eastAsia="Times New Roman"/>
                <w:sz w:val="22"/>
                <w:szCs w:val="22"/>
                <w:lang w:eastAsia="en-GB"/>
              </w:rPr>
            </w:pPr>
          </w:p>
        </w:tc>
        <w:tc>
          <w:tcPr>
            <w:tcW w:w="2835" w:type="dxa"/>
          </w:tcPr>
          <w:p w14:paraId="131BAC69" w14:textId="77777777" w:rsidR="009F641C" w:rsidRPr="00ED5CAF" w:rsidRDefault="009F641C" w:rsidP="005D40B5">
            <w:pPr>
              <w:jc w:val="left"/>
              <w:rPr>
                <w:rFonts w:eastAsia="Times New Roman"/>
                <w:sz w:val="22"/>
                <w:szCs w:val="22"/>
                <w:lang w:eastAsia="en-GB"/>
              </w:rPr>
            </w:pPr>
            <w:r w:rsidRPr="00ED5CAF">
              <w:rPr>
                <w:rFonts w:eastAsia="Times New Roman"/>
                <w:sz w:val="22"/>
                <w:szCs w:val="22"/>
                <w:lang w:eastAsia="en-GB"/>
              </w:rPr>
              <w:t>Poor Learning Outcomes</w:t>
            </w:r>
          </w:p>
        </w:tc>
        <w:tc>
          <w:tcPr>
            <w:tcW w:w="1418" w:type="dxa"/>
          </w:tcPr>
          <w:p w14:paraId="27B1E122"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c>
          <w:tcPr>
            <w:tcW w:w="1559" w:type="dxa"/>
          </w:tcPr>
          <w:p w14:paraId="6E169689"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c>
          <w:tcPr>
            <w:tcW w:w="1352" w:type="dxa"/>
          </w:tcPr>
          <w:p w14:paraId="739A0705"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c>
          <w:tcPr>
            <w:tcW w:w="2050" w:type="dxa"/>
          </w:tcPr>
          <w:p w14:paraId="770C3164"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r>
      <w:tr w:rsidR="009F641C" w:rsidRPr="00ED5CAF" w14:paraId="316A5640" w14:textId="77777777" w:rsidTr="000D270E">
        <w:trPr>
          <w:jc w:val="center"/>
        </w:trPr>
        <w:tc>
          <w:tcPr>
            <w:tcW w:w="279" w:type="dxa"/>
            <w:vMerge/>
          </w:tcPr>
          <w:p w14:paraId="218A8E24" w14:textId="77777777" w:rsidR="009F641C" w:rsidRPr="00ED5CAF" w:rsidRDefault="009F641C" w:rsidP="005D40B5">
            <w:pPr>
              <w:rPr>
                <w:rFonts w:eastAsia="Times New Roman"/>
                <w:sz w:val="22"/>
                <w:szCs w:val="22"/>
                <w:lang w:eastAsia="en-GB"/>
              </w:rPr>
            </w:pPr>
          </w:p>
        </w:tc>
        <w:tc>
          <w:tcPr>
            <w:tcW w:w="2693" w:type="dxa"/>
            <w:vMerge/>
          </w:tcPr>
          <w:p w14:paraId="5B7BBF1D" w14:textId="77777777" w:rsidR="009F641C" w:rsidRPr="00ED5CAF" w:rsidRDefault="009F641C" w:rsidP="005D40B5">
            <w:pPr>
              <w:jc w:val="left"/>
              <w:rPr>
                <w:rFonts w:eastAsia="Times New Roman"/>
                <w:sz w:val="22"/>
                <w:szCs w:val="22"/>
                <w:lang w:eastAsia="en-GB"/>
              </w:rPr>
            </w:pPr>
          </w:p>
        </w:tc>
        <w:tc>
          <w:tcPr>
            <w:tcW w:w="2835" w:type="dxa"/>
          </w:tcPr>
          <w:p w14:paraId="355F92AE" w14:textId="77777777" w:rsidR="009F641C" w:rsidRPr="00ED5CAF" w:rsidRDefault="009F641C" w:rsidP="005D40B5">
            <w:pPr>
              <w:jc w:val="left"/>
              <w:rPr>
                <w:rFonts w:eastAsia="Times New Roman"/>
                <w:sz w:val="22"/>
                <w:szCs w:val="22"/>
                <w:lang w:eastAsia="en-GB"/>
              </w:rPr>
            </w:pPr>
            <w:r w:rsidRPr="00ED5CAF">
              <w:rPr>
                <w:rFonts w:eastAsia="Times New Roman"/>
                <w:sz w:val="22"/>
                <w:szCs w:val="22"/>
                <w:lang w:eastAsia="en-GB"/>
              </w:rPr>
              <w:t>Reductionism</w:t>
            </w:r>
          </w:p>
        </w:tc>
        <w:tc>
          <w:tcPr>
            <w:tcW w:w="1418" w:type="dxa"/>
          </w:tcPr>
          <w:p w14:paraId="2E8ADA34"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c>
          <w:tcPr>
            <w:tcW w:w="1559" w:type="dxa"/>
          </w:tcPr>
          <w:p w14:paraId="1FE1D130"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c>
          <w:tcPr>
            <w:tcW w:w="1352" w:type="dxa"/>
          </w:tcPr>
          <w:p w14:paraId="3522DF2D"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c>
          <w:tcPr>
            <w:tcW w:w="2050" w:type="dxa"/>
          </w:tcPr>
          <w:p w14:paraId="15D898CB"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r>
      <w:tr w:rsidR="009F641C" w:rsidRPr="00ED5CAF" w14:paraId="389D0BE7" w14:textId="77777777" w:rsidTr="000D270E">
        <w:trPr>
          <w:jc w:val="center"/>
        </w:trPr>
        <w:tc>
          <w:tcPr>
            <w:tcW w:w="279" w:type="dxa"/>
            <w:vMerge w:val="restart"/>
          </w:tcPr>
          <w:p w14:paraId="577B990F" w14:textId="77777777" w:rsidR="009F641C" w:rsidRPr="00ED5CAF" w:rsidRDefault="009F641C" w:rsidP="005D40B5">
            <w:pPr>
              <w:rPr>
                <w:rFonts w:eastAsia="Times New Roman"/>
                <w:sz w:val="22"/>
                <w:szCs w:val="22"/>
                <w:lang w:eastAsia="en-GB"/>
              </w:rPr>
            </w:pPr>
            <w:r w:rsidRPr="00ED5CAF">
              <w:rPr>
                <w:rFonts w:eastAsia="Times New Roman"/>
                <w:sz w:val="22"/>
                <w:szCs w:val="22"/>
                <w:lang w:eastAsia="en-GB"/>
              </w:rPr>
              <w:t>3</w:t>
            </w:r>
          </w:p>
        </w:tc>
        <w:tc>
          <w:tcPr>
            <w:tcW w:w="2693" w:type="dxa"/>
            <w:vMerge w:val="restart"/>
          </w:tcPr>
          <w:p w14:paraId="3BABBD0D" w14:textId="77777777" w:rsidR="009F641C" w:rsidRPr="00ED5CAF" w:rsidRDefault="009F641C" w:rsidP="005D40B5">
            <w:pPr>
              <w:jc w:val="left"/>
              <w:rPr>
                <w:rFonts w:eastAsia="Times New Roman"/>
                <w:sz w:val="22"/>
                <w:szCs w:val="22"/>
                <w:lang w:eastAsia="en-GB"/>
              </w:rPr>
            </w:pPr>
            <w:r w:rsidRPr="00ED5CAF">
              <w:rPr>
                <w:rFonts w:eastAsia="Times New Roman"/>
                <w:sz w:val="22"/>
                <w:szCs w:val="22"/>
                <w:lang w:eastAsia="en-GB"/>
              </w:rPr>
              <w:t>Performance Social Risk</w:t>
            </w:r>
          </w:p>
        </w:tc>
        <w:tc>
          <w:tcPr>
            <w:tcW w:w="2835" w:type="dxa"/>
          </w:tcPr>
          <w:p w14:paraId="46806514" w14:textId="77777777" w:rsidR="009F641C" w:rsidRPr="00ED5CAF" w:rsidRDefault="009F641C" w:rsidP="005D40B5">
            <w:pPr>
              <w:jc w:val="left"/>
              <w:rPr>
                <w:rFonts w:eastAsia="Times New Roman"/>
                <w:sz w:val="22"/>
                <w:szCs w:val="22"/>
                <w:lang w:eastAsia="en-GB"/>
              </w:rPr>
            </w:pPr>
            <w:r w:rsidRPr="00ED5CAF">
              <w:rPr>
                <w:rFonts w:eastAsia="Times New Roman"/>
                <w:sz w:val="22"/>
                <w:szCs w:val="22"/>
                <w:lang w:eastAsia="en-GB"/>
              </w:rPr>
              <w:t>Exclusion/Inequality</w:t>
            </w:r>
          </w:p>
        </w:tc>
        <w:tc>
          <w:tcPr>
            <w:tcW w:w="1418" w:type="dxa"/>
          </w:tcPr>
          <w:p w14:paraId="46B28370"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c>
          <w:tcPr>
            <w:tcW w:w="1559" w:type="dxa"/>
          </w:tcPr>
          <w:p w14:paraId="49692AFD"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c>
          <w:tcPr>
            <w:tcW w:w="1352" w:type="dxa"/>
          </w:tcPr>
          <w:p w14:paraId="62A31ACD"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c>
          <w:tcPr>
            <w:tcW w:w="2050" w:type="dxa"/>
          </w:tcPr>
          <w:p w14:paraId="26482415"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r>
      <w:tr w:rsidR="009F641C" w:rsidRPr="00ED5CAF" w14:paraId="41529950" w14:textId="77777777" w:rsidTr="000D270E">
        <w:trPr>
          <w:jc w:val="center"/>
        </w:trPr>
        <w:tc>
          <w:tcPr>
            <w:tcW w:w="279" w:type="dxa"/>
            <w:vMerge/>
          </w:tcPr>
          <w:p w14:paraId="7BDE6153" w14:textId="77777777" w:rsidR="009F641C" w:rsidRPr="00ED5CAF" w:rsidRDefault="009F641C" w:rsidP="005D40B5">
            <w:pPr>
              <w:rPr>
                <w:rFonts w:eastAsia="Times New Roman"/>
                <w:sz w:val="22"/>
                <w:szCs w:val="22"/>
                <w:lang w:eastAsia="en-GB"/>
              </w:rPr>
            </w:pPr>
          </w:p>
        </w:tc>
        <w:tc>
          <w:tcPr>
            <w:tcW w:w="2693" w:type="dxa"/>
            <w:vMerge/>
          </w:tcPr>
          <w:p w14:paraId="1D48A723" w14:textId="77777777" w:rsidR="009F641C" w:rsidRPr="00ED5CAF" w:rsidRDefault="009F641C" w:rsidP="005D40B5">
            <w:pPr>
              <w:jc w:val="left"/>
              <w:rPr>
                <w:rFonts w:eastAsia="Times New Roman"/>
                <w:sz w:val="22"/>
                <w:szCs w:val="22"/>
                <w:lang w:eastAsia="en-GB"/>
              </w:rPr>
            </w:pPr>
          </w:p>
        </w:tc>
        <w:tc>
          <w:tcPr>
            <w:tcW w:w="2835" w:type="dxa"/>
          </w:tcPr>
          <w:p w14:paraId="0740B878" w14:textId="77777777" w:rsidR="009F641C" w:rsidRPr="00ED5CAF" w:rsidRDefault="009F641C" w:rsidP="005D40B5">
            <w:pPr>
              <w:jc w:val="left"/>
              <w:rPr>
                <w:rFonts w:eastAsia="Times New Roman"/>
                <w:sz w:val="22"/>
                <w:szCs w:val="22"/>
                <w:lang w:eastAsia="en-GB"/>
              </w:rPr>
            </w:pPr>
            <w:r w:rsidRPr="00ED5CAF">
              <w:rPr>
                <w:rFonts w:eastAsia="Times New Roman"/>
                <w:sz w:val="22"/>
                <w:szCs w:val="22"/>
                <w:lang w:eastAsia="en-GB"/>
              </w:rPr>
              <w:t>Poor Learning Outcomes</w:t>
            </w:r>
          </w:p>
        </w:tc>
        <w:tc>
          <w:tcPr>
            <w:tcW w:w="1418" w:type="dxa"/>
          </w:tcPr>
          <w:p w14:paraId="58F18366"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c>
          <w:tcPr>
            <w:tcW w:w="1559" w:type="dxa"/>
          </w:tcPr>
          <w:p w14:paraId="444AB58C"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c>
          <w:tcPr>
            <w:tcW w:w="1352" w:type="dxa"/>
          </w:tcPr>
          <w:p w14:paraId="01239F5E"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c>
          <w:tcPr>
            <w:tcW w:w="2050" w:type="dxa"/>
          </w:tcPr>
          <w:p w14:paraId="4EA59504"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r>
      <w:tr w:rsidR="009F641C" w:rsidRPr="00ED5CAF" w14:paraId="0FDACD49" w14:textId="77777777" w:rsidTr="000D270E">
        <w:trPr>
          <w:jc w:val="center"/>
        </w:trPr>
        <w:tc>
          <w:tcPr>
            <w:tcW w:w="279" w:type="dxa"/>
            <w:vMerge/>
          </w:tcPr>
          <w:p w14:paraId="18D075B8" w14:textId="77777777" w:rsidR="009F641C" w:rsidRPr="00ED5CAF" w:rsidRDefault="009F641C" w:rsidP="005D40B5">
            <w:pPr>
              <w:rPr>
                <w:rFonts w:eastAsia="Times New Roman"/>
                <w:sz w:val="22"/>
                <w:szCs w:val="22"/>
                <w:lang w:eastAsia="en-GB"/>
              </w:rPr>
            </w:pPr>
          </w:p>
        </w:tc>
        <w:tc>
          <w:tcPr>
            <w:tcW w:w="2693" w:type="dxa"/>
            <w:vMerge/>
          </w:tcPr>
          <w:p w14:paraId="1040DDA7" w14:textId="77777777" w:rsidR="009F641C" w:rsidRPr="00ED5CAF" w:rsidRDefault="009F641C" w:rsidP="005D40B5">
            <w:pPr>
              <w:jc w:val="left"/>
              <w:rPr>
                <w:rFonts w:eastAsia="Times New Roman"/>
                <w:sz w:val="22"/>
                <w:szCs w:val="22"/>
                <w:lang w:eastAsia="en-GB"/>
              </w:rPr>
            </w:pPr>
          </w:p>
        </w:tc>
        <w:tc>
          <w:tcPr>
            <w:tcW w:w="2835" w:type="dxa"/>
          </w:tcPr>
          <w:p w14:paraId="2383FFED" w14:textId="77777777" w:rsidR="009F641C" w:rsidRPr="00ED5CAF" w:rsidRDefault="009F641C" w:rsidP="005D40B5">
            <w:pPr>
              <w:jc w:val="left"/>
              <w:rPr>
                <w:rFonts w:eastAsia="Times New Roman"/>
                <w:sz w:val="22"/>
                <w:szCs w:val="22"/>
                <w:lang w:eastAsia="en-GB"/>
              </w:rPr>
            </w:pPr>
            <w:r w:rsidRPr="00ED5CAF">
              <w:rPr>
                <w:rFonts w:eastAsia="Times New Roman"/>
                <w:sz w:val="22"/>
                <w:szCs w:val="22"/>
                <w:lang w:eastAsia="en-GB"/>
              </w:rPr>
              <w:t>Reductionism</w:t>
            </w:r>
          </w:p>
        </w:tc>
        <w:tc>
          <w:tcPr>
            <w:tcW w:w="1418" w:type="dxa"/>
          </w:tcPr>
          <w:p w14:paraId="19FDD9AD"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c>
          <w:tcPr>
            <w:tcW w:w="1559" w:type="dxa"/>
          </w:tcPr>
          <w:p w14:paraId="3A948CA0"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c>
          <w:tcPr>
            <w:tcW w:w="1352" w:type="dxa"/>
          </w:tcPr>
          <w:p w14:paraId="6FE3BA9A"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c>
          <w:tcPr>
            <w:tcW w:w="2050" w:type="dxa"/>
          </w:tcPr>
          <w:p w14:paraId="0E7A960B"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Work in Progress</w:t>
            </w:r>
          </w:p>
        </w:tc>
      </w:tr>
      <w:tr w:rsidR="009F641C" w:rsidRPr="00ED5CAF" w14:paraId="3A3FE600" w14:textId="77777777" w:rsidTr="000D270E">
        <w:trPr>
          <w:jc w:val="center"/>
        </w:trPr>
        <w:tc>
          <w:tcPr>
            <w:tcW w:w="279" w:type="dxa"/>
            <w:vMerge w:val="restart"/>
          </w:tcPr>
          <w:p w14:paraId="58022037" w14:textId="77777777" w:rsidR="009F641C" w:rsidRPr="00ED5CAF" w:rsidRDefault="009F641C" w:rsidP="005D40B5">
            <w:pPr>
              <w:rPr>
                <w:rFonts w:eastAsia="Times New Roman"/>
                <w:sz w:val="22"/>
                <w:szCs w:val="22"/>
                <w:lang w:eastAsia="en-GB"/>
              </w:rPr>
            </w:pPr>
            <w:r w:rsidRPr="00ED5CAF">
              <w:rPr>
                <w:rFonts w:eastAsia="Times New Roman"/>
                <w:sz w:val="22"/>
                <w:szCs w:val="22"/>
                <w:lang w:eastAsia="en-GB"/>
              </w:rPr>
              <w:t>4</w:t>
            </w:r>
          </w:p>
        </w:tc>
        <w:tc>
          <w:tcPr>
            <w:tcW w:w="2693" w:type="dxa"/>
            <w:vMerge w:val="restart"/>
          </w:tcPr>
          <w:p w14:paraId="649ACEBF" w14:textId="77777777" w:rsidR="009F641C" w:rsidRPr="00ED5CAF" w:rsidRDefault="009F641C" w:rsidP="005D40B5">
            <w:pPr>
              <w:jc w:val="left"/>
              <w:rPr>
                <w:rFonts w:eastAsia="Times New Roman"/>
                <w:sz w:val="22"/>
                <w:szCs w:val="22"/>
                <w:lang w:eastAsia="en-GB"/>
              </w:rPr>
            </w:pPr>
            <w:r w:rsidRPr="00ED5CAF">
              <w:rPr>
                <w:rFonts w:eastAsia="Times New Roman"/>
                <w:sz w:val="22"/>
                <w:szCs w:val="22"/>
                <w:lang w:eastAsia="en-GB"/>
              </w:rPr>
              <w:t>Prevention Social Risk</w:t>
            </w:r>
          </w:p>
        </w:tc>
        <w:tc>
          <w:tcPr>
            <w:tcW w:w="2835" w:type="dxa"/>
            <w:vMerge w:val="restart"/>
          </w:tcPr>
          <w:p w14:paraId="21FA5D64" w14:textId="77777777" w:rsidR="009F641C" w:rsidRPr="00ED5CAF" w:rsidRDefault="009F641C" w:rsidP="005D40B5">
            <w:pPr>
              <w:jc w:val="left"/>
              <w:rPr>
                <w:rFonts w:eastAsia="Times New Roman"/>
                <w:sz w:val="22"/>
                <w:szCs w:val="22"/>
                <w:lang w:eastAsia="en-GB"/>
              </w:rPr>
            </w:pPr>
            <w:r w:rsidRPr="00ED5CAF">
              <w:rPr>
                <w:rFonts w:eastAsia="Times New Roman"/>
                <w:sz w:val="22"/>
                <w:szCs w:val="22"/>
                <w:lang w:eastAsia="en-GB"/>
              </w:rPr>
              <w:t>Exclusion/Inequality</w:t>
            </w:r>
          </w:p>
          <w:p w14:paraId="1CDD7D4D" w14:textId="77777777" w:rsidR="009F641C" w:rsidRPr="00ED5CAF" w:rsidRDefault="009F641C" w:rsidP="005D40B5">
            <w:pPr>
              <w:jc w:val="left"/>
              <w:rPr>
                <w:rFonts w:eastAsia="Times New Roman"/>
                <w:sz w:val="22"/>
                <w:szCs w:val="22"/>
                <w:lang w:eastAsia="en-GB"/>
              </w:rPr>
            </w:pPr>
            <w:r w:rsidRPr="00ED5CAF">
              <w:rPr>
                <w:rFonts w:eastAsia="Times New Roman"/>
                <w:sz w:val="22"/>
                <w:szCs w:val="22"/>
                <w:lang w:eastAsia="en-GB"/>
              </w:rPr>
              <w:t>Poor Learning Outcomes</w:t>
            </w:r>
          </w:p>
          <w:p w14:paraId="781CC0BF" w14:textId="77777777" w:rsidR="009F641C" w:rsidRPr="00ED5CAF" w:rsidRDefault="009F641C" w:rsidP="005D40B5">
            <w:pPr>
              <w:jc w:val="left"/>
              <w:rPr>
                <w:rFonts w:eastAsia="Times New Roman"/>
                <w:sz w:val="22"/>
                <w:szCs w:val="22"/>
                <w:lang w:eastAsia="en-GB"/>
              </w:rPr>
            </w:pPr>
            <w:r w:rsidRPr="00ED5CAF">
              <w:rPr>
                <w:rFonts w:eastAsia="Times New Roman"/>
                <w:sz w:val="22"/>
                <w:szCs w:val="22"/>
                <w:lang w:eastAsia="en-GB"/>
              </w:rPr>
              <w:t>Reductionism</w:t>
            </w:r>
          </w:p>
        </w:tc>
        <w:tc>
          <w:tcPr>
            <w:tcW w:w="1418" w:type="dxa"/>
          </w:tcPr>
          <w:p w14:paraId="021B4E0F"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c>
          <w:tcPr>
            <w:tcW w:w="1559" w:type="dxa"/>
          </w:tcPr>
          <w:p w14:paraId="6C8E53DD"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c>
          <w:tcPr>
            <w:tcW w:w="1352" w:type="dxa"/>
          </w:tcPr>
          <w:p w14:paraId="2B342AE4"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c>
          <w:tcPr>
            <w:tcW w:w="2050" w:type="dxa"/>
          </w:tcPr>
          <w:p w14:paraId="0B5E4313"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r>
      <w:tr w:rsidR="009F641C" w:rsidRPr="00ED5CAF" w14:paraId="06C5713F" w14:textId="77777777" w:rsidTr="000D270E">
        <w:trPr>
          <w:jc w:val="center"/>
        </w:trPr>
        <w:tc>
          <w:tcPr>
            <w:tcW w:w="279" w:type="dxa"/>
            <w:vMerge/>
          </w:tcPr>
          <w:p w14:paraId="40676D62" w14:textId="77777777" w:rsidR="009F641C" w:rsidRPr="00ED5CAF" w:rsidRDefault="009F641C" w:rsidP="005D40B5">
            <w:pPr>
              <w:rPr>
                <w:rFonts w:eastAsia="Times New Roman"/>
                <w:sz w:val="22"/>
                <w:szCs w:val="22"/>
                <w:lang w:eastAsia="en-GB"/>
              </w:rPr>
            </w:pPr>
          </w:p>
        </w:tc>
        <w:tc>
          <w:tcPr>
            <w:tcW w:w="2693" w:type="dxa"/>
            <w:vMerge/>
          </w:tcPr>
          <w:p w14:paraId="5ADC2B35" w14:textId="77777777" w:rsidR="009F641C" w:rsidRPr="00ED5CAF" w:rsidRDefault="009F641C" w:rsidP="005D40B5">
            <w:pPr>
              <w:jc w:val="left"/>
              <w:rPr>
                <w:rFonts w:eastAsia="Times New Roman"/>
                <w:sz w:val="22"/>
                <w:szCs w:val="22"/>
                <w:lang w:eastAsia="en-GB"/>
              </w:rPr>
            </w:pPr>
          </w:p>
        </w:tc>
        <w:tc>
          <w:tcPr>
            <w:tcW w:w="2835" w:type="dxa"/>
            <w:vMerge/>
          </w:tcPr>
          <w:p w14:paraId="4B726B97" w14:textId="77777777" w:rsidR="009F641C" w:rsidRPr="00ED5CAF" w:rsidRDefault="009F641C" w:rsidP="005D40B5">
            <w:pPr>
              <w:jc w:val="left"/>
              <w:rPr>
                <w:rFonts w:eastAsia="Times New Roman"/>
                <w:sz w:val="22"/>
                <w:szCs w:val="22"/>
                <w:lang w:eastAsia="en-GB"/>
              </w:rPr>
            </w:pPr>
          </w:p>
        </w:tc>
        <w:tc>
          <w:tcPr>
            <w:tcW w:w="1418" w:type="dxa"/>
          </w:tcPr>
          <w:p w14:paraId="7F9669CD"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c>
          <w:tcPr>
            <w:tcW w:w="1559" w:type="dxa"/>
          </w:tcPr>
          <w:p w14:paraId="4865D788"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c>
          <w:tcPr>
            <w:tcW w:w="1352" w:type="dxa"/>
          </w:tcPr>
          <w:p w14:paraId="060A5234"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c>
          <w:tcPr>
            <w:tcW w:w="2050" w:type="dxa"/>
          </w:tcPr>
          <w:p w14:paraId="5500478B"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r>
      <w:tr w:rsidR="009F641C" w:rsidRPr="00ED5CAF" w14:paraId="2051B159" w14:textId="77777777" w:rsidTr="000D270E">
        <w:trPr>
          <w:jc w:val="center"/>
        </w:trPr>
        <w:tc>
          <w:tcPr>
            <w:tcW w:w="279" w:type="dxa"/>
            <w:vMerge/>
          </w:tcPr>
          <w:p w14:paraId="5F9637E1" w14:textId="77777777" w:rsidR="009F641C" w:rsidRPr="00ED5CAF" w:rsidRDefault="009F641C" w:rsidP="005D40B5">
            <w:pPr>
              <w:rPr>
                <w:rFonts w:eastAsia="Times New Roman"/>
                <w:sz w:val="22"/>
                <w:szCs w:val="22"/>
                <w:lang w:eastAsia="en-GB"/>
              </w:rPr>
            </w:pPr>
          </w:p>
        </w:tc>
        <w:tc>
          <w:tcPr>
            <w:tcW w:w="2693" w:type="dxa"/>
            <w:vMerge/>
          </w:tcPr>
          <w:p w14:paraId="20EAA335" w14:textId="77777777" w:rsidR="009F641C" w:rsidRPr="00ED5CAF" w:rsidRDefault="009F641C" w:rsidP="005D40B5">
            <w:pPr>
              <w:jc w:val="left"/>
              <w:rPr>
                <w:rFonts w:eastAsia="Times New Roman"/>
                <w:sz w:val="22"/>
                <w:szCs w:val="22"/>
                <w:lang w:eastAsia="en-GB"/>
              </w:rPr>
            </w:pPr>
          </w:p>
        </w:tc>
        <w:tc>
          <w:tcPr>
            <w:tcW w:w="2835" w:type="dxa"/>
            <w:vMerge/>
          </w:tcPr>
          <w:p w14:paraId="6483F461" w14:textId="77777777" w:rsidR="009F641C" w:rsidRPr="00ED5CAF" w:rsidRDefault="009F641C" w:rsidP="005D40B5">
            <w:pPr>
              <w:jc w:val="left"/>
              <w:rPr>
                <w:rFonts w:eastAsia="Times New Roman"/>
                <w:sz w:val="22"/>
                <w:szCs w:val="22"/>
                <w:lang w:eastAsia="en-GB"/>
              </w:rPr>
            </w:pPr>
          </w:p>
        </w:tc>
        <w:tc>
          <w:tcPr>
            <w:tcW w:w="1418" w:type="dxa"/>
          </w:tcPr>
          <w:p w14:paraId="35431C0F"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c>
          <w:tcPr>
            <w:tcW w:w="1559" w:type="dxa"/>
          </w:tcPr>
          <w:p w14:paraId="6A9837B9"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__</w:t>
            </w:r>
          </w:p>
        </w:tc>
        <w:tc>
          <w:tcPr>
            <w:tcW w:w="1352" w:type="dxa"/>
          </w:tcPr>
          <w:p w14:paraId="6C9EB0F6"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c>
          <w:tcPr>
            <w:tcW w:w="2050" w:type="dxa"/>
          </w:tcPr>
          <w:p w14:paraId="1EF7B7C5" w14:textId="77777777" w:rsidR="009F641C" w:rsidRPr="00ED5CAF" w:rsidRDefault="009F641C" w:rsidP="005D40B5">
            <w:pPr>
              <w:jc w:val="center"/>
              <w:rPr>
                <w:rFonts w:eastAsia="Times New Roman"/>
                <w:sz w:val="22"/>
                <w:szCs w:val="22"/>
                <w:lang w:eastAsia="en-GB"/>
              </w:rPr>
            </w:pPr>
            <w:r w:rsidRPr="00ED5CAF">
              <w:rPr>
                <w:rFonts w:eastAsia="Times New Roman"/>
                <w:sz w:val="22"/>
                <w:szCs w:val="22"/>
                <w:lang w:eastAsia="en-GB"/>
              </w:rPr>
              <w:t>X</w:t>
            </w:r>
          </w:p>
        </w:tc>
      </w:tr>
    </w:tbl>
    <w:p w14:paraId="790D6052" w14:textId="77777777" w:rsidR="009F641C" w:rsidRPr="00ED5CAF" w:rsidRDefault="009F641C" w:rsidP="005D40B5">
      <w:pPr>
        <w:jc w:val="center"/>
        <w:sectPr w:rsidR="009F641C" w:rsidRPr="00ED5CAF" w:rsidSect="000D2C39">
          <w:pgSz w:w="16838" w:h="11906" w:orient="landscape"/>
          <w:pgMar w:top="1440" w:right="1440" w:bottom="1440" w:left="1440" w:header="708" w:footer="708" w:gutter="0"/>
          <w:cols w:space="708"/>
          <w:docGrid w:linePitch="360"/>
        </w:sectPr>
      </w:pPr>
    </w:p>
    <w:p w14:paraId="11352473" w14:textId="77777777" w:rsidR="009F641C" w:rsidRPr="00ED5CAF" w:rsidRDefault="009F641C" w:rsidP="005D40B5">
      <w:pPr>
        <w:rPr>
          <w:rFonts w:eastAsia="Times New Roman"/>
          <w:lang w:eastAsia="en-GB"/>
        </w:rPr>
      </w:pPr>
    </w:p>
    <w:p w14:paraId="3EC41097" w14:textId="38AB9BE4" w:rsidR="009F641C" w:rsidRPr="00ED5CAF" w:rsidRDefault="009F641C" w:rsidP="005D40B5">
      <w:r w:rsidRPr="00ED5CAF">
        <w:rPr>
          <w:rFonts w:eastAsia="Times New Roman"/>
          <w:lang w:eastAsia="en-GB"/>
        </w:rPr>
        <w:t xml:space="preserve">The role of individual managers in Council B was crucial in social risk discourse around </w:t>
      </w:r>
      <w:r w:rsidR="0045775A">
        <w:rPr>
          <w:rFonts w:eastAsia="Times New Roman"/>
          <w:lang w:eastAsia="en-GB"/>
        </w:rPr>
        <w:t xml:space="preserve">inequalities and </w:t>
      </w:r>
      <w:r w:rsidRPr="00ED5CAF">
        <w:rPr>
          <w:rFonts w:eastAsia="Times New Roman"/>
          <w:lang w:eastAsia="en-GB"/>
        </w:rPr>
        <w:t xml:space="preserve">SSES </w:t>
      </w:r>
      <w:r w:rsidR="00DB5ABB">
        <w:rPr>
          <w:rFonts w:eastAsia="Times New Roman"/>
          <w:lang w:eastAsia="en-GB"/>
        </w:rPr>
        <w:t>transformation</w:t>
      </w:r>
      <w:r w:rsidRPr="00ED5CAF">
        <w:rPr>
          <w:rFonts w:eastAsia="Times New Roman"/>
          <w:lang w:eastAsia="en-GB"/>
        </w:rPr>
        <w:t xml:space="preserve">. </w:t>
      </w:r>
      <w:r w:rsidRPr="00ED5CAF">
        <w:t>Senior managers</w:t>
      </w:r>
      <w:r w:rsidRPr="00ED5CAF">
        <w:rPr>
          <w:rFonts w:eastAsia="Times New Roman"/>
          <w:lang w:eastAsia="en-GB"/>
        </w:rPr>
        <w:t xml:space="preserve"> like the Chief Executive and Head of Education, and middle manager like the Internal Auditor were significantly more knowledgeable than others about the concept of risk and communicated this knowledge articulately. </w:t>
      </w:r>
      <w:r w:rsidRPr="00ED5CAF">
        <w:t>This probably enhanced their understanding of social risk when the concept was introduced to them. Hence, their engagement in social risk discourse was more in-depth than in Council A’s management team. Correspondingly, previous risk experiences of senior managers were key. In Council B, less risk-aware colleagues could conceptualise social risks</w:t>
      </w:r>
      <w:r w:rsidR="003F3906">
        <w:t xml:space="preserve"> of inequalities</w:t>
      </w:r>
      <w:r w:rsidRPr="00ED5CAF">
        <w:t xml:space="preserve"> from an SSES </w:t>
      </w:r>
      <w:r w:rsidR="00DB5ABB">
        <w:t>transformation</w:t>
      </w:r>
      <w:r w:rsidRPr="00ED5CAF">
        <w:t xml:space="preserve"> perspective when the concept was explained to them. This was probably due to the influence of their risk-aware environment. Thus, responses from the less risk-aware managers often mirrored social risk expressions used by their more risk-aware colleagues like “unintended consequences” and “negative consequences”. This highlights the positive role of agency in enhancing signification structures. It also demonstrates that with relevant social risk management knowledge, council managers can effectively function as social risk “arbiters” (Hardy and Maguire, 2016, p.88). Council A managers (apart from the Internal Auditor) were not as exposed to equivalent levels of risk knowledge or experience which probably explains their lower level of social risk awareness in comparison to respondents from Council B. </w:t>
      </w:r>
    </w:p>
    <w:p w14:paraId="02BD4F45" w14:textId="77777777" w:rsidR="009F641C" w:rsidRPr="00ED5CAF" w:rsidRDefault="009F641C" w:rsidP="005D40B5"/>
    <w:p w14:paraId="1B14B15C" w14:textId="3D74221E" w:rsidR="00785016" w:rsidRDefault="009F641C" w:rsidP="005D40B5">
      <w:r w:rsidRPr="00ED5CAF">
        <w:rPr>
          <w:rFonts w:eastAsia="Times New Roman"/>
          <w:lang w:eastAsia="en-GB"/>
        </w:rPr>
        <w:t>Both Councils’ seemingly haphazard and uncoordinated approach to social risk management indicate need for well-developed signification structures and interpretive schemes as a vital first step to</w:t>
      </w:r>
      <w:r w:rsidRPr="00ED5CAF">
        <w:t>wards</w:t>
      </w:r>
      <w:r w:rsidRPr="00ED5CAF">
        <w:rPr>
          <w:rFonts w:eastAsia="Times New Roman"/>
          <w:lang w:eastAsia="en-GB"/>
        </w:rPr>
        <w:t xml:space="preserve"> tackl</w:t>
      </w:r>
      <w:r w:rsidRPr="00ED5CAF">
        <w:t>ing</w:t>
      </w:r>
      <w:r w:rsidRPr="00ED5CAF">
        <w:rPr>
          <w:rFonts w:eastAsia="Times New Roman"/>
          <w:lang w:eastAsia="en-GB"/>
        </w:rPr>
        <w:t xml:space="preserve"> </w:t>
      </w:r>
      <w:r w:rsidRPr="00ED5CAF">
        <w:t>SSES</w:t>
      </w:r>
      <w:r w:rsidRPr="00ED5CAF">
        <w:rPr>
          <w:rFonts w:eastAsia="Times New Roman"/>
          <w:lang w:eastAsia="en-GB"/>
        </w:rPr>
        <w:t xml:space="preserve"> related social risks</w:t>
      </w:r>
      <w:r w:rsidR="00823DD8">
        <w:rPr>
          <w:rFonts w:eastAsia="Times New Roman"/>
          <w:lang w:eastAsia="en-GB"/>
        </w:rPr>
        <w:t xml:space="preserve"> of inequalities</w:t>
      </w:r>
      <w:r w:rsidRPr="00ED5CAF">
        <w:rPr>
          <w:rFonts w:eastAsia="Times New Roman"/>
          <w:lang w:eastAsia="en-GB"/>
        </w:rPr>
        <w:t>.</w:t>
      </w:r>
      <w:r w:rsidRPr="00ED5CAF">
        <w:t xml:space="preserve"> This can be partly achieved through agency as demonstrated in Council B, and legitimation structures, </w:t>
      </w:r>
      <w:r>
        <w:t>which will be discussed in the full version of this paper</w:t>
      </w:r>
      <w:r w:rsidR="00785016">
        <w:t>.</w:t>
      </w:r>
    </w:p>
    <w:p w14:paraId="33883C7F" w14:textId="77777777" w:rsidR="00785016" w:rsidRDefault="00785016" w:rsidP="005D40B5"/>
    <w:p w14:paraId="0C85AA62" w14:textId="77777777" w:rsidR="00ED1096" w:rsidRPr="00ED5CAF" w:rsidRDefault="00ED1096" w:rsidP="005D40B5">
      <w:pPr>
        <w:pStyle w:val="Heading3"/>
        <w:numPr>
          <w:ilvl w:val="0"/>
          <w:numId w:val="0"/>
        </w:numPr>
        <w:spacing w:after="0"/>
        <w:ind w:left="720" w:hanging="720"/>
      </w:pPr>
      <w:r>
        <w:t>Conclusion</w:t>
      </w:r>
    </w:p>
    <w:p w14:paraId="5E7AD74C" w14:textId="74B5D393" w:rsidR="00622812" w:rsidRDefault="008D625B" w:rsidP="005D40B5">
      <w:r>
        <w:t>T</w:t>
      </w:r>
      <w:r w:rsidR="00622812">
        <w:t xml:space="preserve">he reviewed legislation outlined the strategic priorities of the Scottish Government as pertains to SSES transformation. The </w:t>
      </w:r>
      <w:r w:rsidR="00C07169">
        <w:t xml:space="preserve">findings and </w:t>
      </w:r>
      <w:r w:rsidR="00622812">
        <w:t xml:space="preserve">discussions reveal that from a political and legislative perspective, transforming SSES based on the 4Ps can introduce and/or exacerbate social risks if not properly implemented. In terms of the people pillar, the social risks were explicitly associated with the potential to exclude individuals and groups that may not be </w:t>
      </w:r>
      <w:r w:rsidR="00622812">
        <w:lastRenderedPageBreak/>
        <w:t>captured by the E</w:t>
      </w:r>
      <w:r>
        <w:t>quality Impact Assessment (</w:t>
      </w:r>
      <w:proofErr w:type="spellStart"/>
      <w:r>
        <w:t>E</w:t>
      </w:r>
      <w:r w:rsidR="00992C73">
        <w:t>q</w:t>
      </w:r>
      <w:r w:rsidR="00622812">
        <w:t>IA</w:t>
      </w:r>
      <w:proofErr w:type="spellEnd"/>
      <w:r w:rsidR="00992C73">
        <w:t>)</w:t>
      </w:r>
      <w:r w:rsidR="00622812">
        <w:t>. This could exacerbate inequality. Similarly different groups of young people could experience inequality risks if Councils do not pay due regard to how school education is provided and transformed or assess potential impact of implementing new school education policy on the learning outcomes of young people.</w:t>
      </w:r>
    </w:p>
    <w:p w14:paraId="29A27719" w14:textId="77777777" w:rsidR="00622812" w:rsidRDefault="00622812" w:rsidP="005D40B5"/>
    <w:p w14:paraId="58BFB08E" w14:textId="5EC12488" w:rsidR="00622812" w:rsidRDefault="00622812" w:rsidP="005D40B5">
      <w:r>
        <w:t>Like the people pillar, the social risks associated with the partnership pillar are exclusions and inequality of learning outcomes. This could arise based if councils focus strictly on legislation or strategic council documents (Local Outcome Improvement and Locality Improvement Plans) to guide their identification of vulnerable young people requiring for example, additional learning support, without recognising the role other public bodies play and whose operations could counteract councils’ measures. Likewise, many C</w:t>
      </w:r>
      <w:r w:rsidR="00DE75A6">
        <w:t>ommunity Planning Partnerships (C</w:t>
      </w:r>
      <w:r>
        <w:t>PP</w:t>
      </w:r>
      <w:r w:rsidR="00DE75A6">
        <w:t>)</w:t>
      </w:r>
      <w:r>
        <w:t xml:space="preserve"> neither understand their leadership roles and performance assessment responsibilities, nor the benefits of partnership working and how this might reduce inequality of outcomes associated with socio-economic disadvantage (Audit Scotland, 2018c). </w:t>
      </w:r>
    </w:p>
    <w:p w14:paraId="4CE51373" w14:textId="77777777" w:rsidR="00622812" w:rsidRDefault="00622812" w:rsidP="005D40B5"/>
    <w:p w14:paraId="0B27F0C8" w14:textId="673E4CAF" w:rsidR="00622812" w:rsidRDefault="00622812" w:rsidP="005D40B5">
      <w:r>
        <w:t xml:space="preserve">There is no coherent national framework for assessing CPP performance and their progress towards implementing the Statement of Ambition (ibid). According to a study by Asenova et al (2013), there was no evidence reflecting genuine empowerment of the community, which contradicts the Community Empowerment (Scotland) Act 2015. So, whilst CPP are well positioned to deliver transformational change in an SSES context, this may be hindered if operational risks associated with leadership and performance are not addressed. Further, if unaddressed, these operational risks could have negative impacts on learning outcomes of some vulnerable young people, thereby constituting social risks of inequality. Absence of diversity in parent councils and poor parental engagement were identified as barriers to effective parental and community engagement (Scottish Government, 2017a). This implies that the needs of some young people may not be addressed because their parents/guardians are not available to plead their cause; thus, introducing social risks of exclusion. </w:t>
      </w:r>
    </w:p>
    <w:p w14:paraId="164CDF82" w14:textId="77777777" w:rsidR="00622812" w:rsidRDefault="00622812" w:rsidP="005D40B5"/>
    <w:p w14:paraId="1E273035" w14:textId="77777777" w:rsidR="00622812" w:rsidRDefault="00622812" w:rsidP="005D40B5">
      <w:r>
        <w:t xml:space="preserve">The social risks associated with the performance pillar is the possibility of poor learning outcomes for some pupils. This is also linked to the social risk of inequalities. It may be caused by operational risks relating to increased teacher workload and needless bureaucracy associated </w:t>
      </w:r>
      <w:r>
        <w:lastRenderedPageBreak/>
        <w:t xml:space="preserve">with the PEF. Poorly developed lines of accountability are additional operational risks associated with PEF which may lead to poor learning outcomes for some pupils. </w:t>
      </w:r>
    </w:p>
    <w:p w14:paraId="60711AA6" w14:textId="77777777" w:rsidR="00622812" w:rsidRDefault="00622812" w:rsidP="005D40B5"/>
    <w:p w14:paraId="46796054" w14:textId="38C21F28" w:rsidR="00672195" w:rsidRDefault="00622812" w:rsidP="005D40B5">
      <w:r>
        <w:t>Common to both performance and prevention pillars are strategic risks relating to strategic decision making for example the need for a clearer articulation of GIRFEC. Focusing on ‘measuring the measurables’ (e.g., outputs rather than outcomes) may distort performance and failure to assess operational and behavioural risks (</w:t>
      </w:r>
      <w:r w:rsidR="002F1688">
        <w:t>e.g.,</w:t>
      </w:r>
      <w:r>
        <w:t xml:space="preserve"> relating to opportunity costs) may frustrate preventative measures. In both instances, social risks relating to poor learning outcomes might emerge. Similarly, some risks were associated with routine council operations relating to service provision and transformation. Therefore, effective, and sustainable SSES transformation may be hindered if these risks are not considered during the process and can be facilitated if considered. This suggests that SSES have an important role to play in ensuring effective transformation.</w:t>
      </w:r>
    </w:p>
    <w:p w14:paraId="65D8CB25" w14:textId="77777777" w:rsidR="005053FC" w:rsidRDefault="005053FC" w:rsidP="005D40B5"/>
    <w:p w14:paraId="3E5F680C" w14:textId="15B2BC89" w:rsidR="002F1688" w:rsidRDefault="005B3279" w:rsidP="005D40B5">
      <w:r w:rsidRPr="005B3279">
        <w:t>Incorporating the R</w:t>
      </w:r>
      <w:r>
        <w:t xml:space="preserve">esource </w:t>
      </w:r>
      <w:r w:rsidRPr="005B3279">
        <w:t>B</w:t>
      </w:r>
      <w:r>
        <w:t>ase</w:t>
      </w:r>
      <w:r w:rsidR="00870535">
        <w:t xml:space="preserve">d </w:t>
      </w:r>
      <w:r w:rsidRPr="005B3279">
        <w:t>V</w:t>
      </w:r>
      <w:r w:rsidR="00870535">
        <w:t>iew</w:t>
      </w:r>
      <w:r w:rsidRPr="005B3279">
        <w:t xml:space="preserve"> alongside structuration theory has enriched our understanding of social risk management in the context of Scottish school education transformation. While structuration theory illuminates the interplay between agency and structure in shaping social risk management practices, the RBV highlights the importance of internal organizational resources and capabilities in determining the effectiveness of these practices (Barney, 1991; Giddens, 1984). By combining these perspectives, this study offers a more comprehensive account of the challenges and opportunities involved in managing social risks during public service transformation (Bryson et al., 2007; Pablo et al., 2007)</w:t>
      </w:r>
      <w:r>
        <w:t>.</w:t>
      </w:r>
    </w:p>
    <w:p w14:paraId="01B7DDA3" w14:textId="77777777" w:rsidR="005B3279" w:rsidRDefault="005B3279" w:rsidP="005D40B5"/>
    <w:p w14:paraId="7EE63333" w14:textId="79D39EA0" w:rsidR="00ED1096" w:rsidRDefault="00502DC4" w:rsidP="005D40B5">
      <w:r>
        <w:t xml:space="preserve">The </w:t>
      </w:r>
      <w:r w:rsidR="00ED1096" w:rsidRPr="002A5116">
        <w:rPr>
          <w:u w:val="single"/>
        </w:rPr>
        <w:t>new knowledge</w:t>
      </w:r>
      <w:r w:rsidR="00ED1096">
        <w:t xml:space="preserve"> created in this paper has the potential to create positive impact in the lives of key beneficiaries, if the findings from the recommendations are applied. For example, beneficiaries such as the groups of children and young people who may be exposed to inequalities of learning outcome would be identified and provisions would be made by schools to include them in </w:t>
      </w:r>
      <w:r w:rsidR="00DB5ABB">
        <w:t>transformation</w:t>
      </w:r>
      <w:r w:rsidR="00ED1096">
        <w:t xml:space="preserve"> initiatives. This would provide a level playing field for all children and young people. Furthermore, armed with this new knowledge, key stakeholders like schools and the Scottish Government operating at the meso and macro institutional levels respectively, who are instrumental to delivering this impact may do so various ways. The schools can update their organisational policies and procedures to ensure that these groups are </w:t>
      </w:r>
      <w:r w:rsidR="00ED1096">
        <w:lastRenderedPageBreak/>
        <w:t>not ignored when they undertake activities</w:t>
      </w:r>
      <w:r w:rsidR="00ED1096" w:rsidRPr="000169DE">
        <w:t xml:space="preserve"> </w:t>
      </w:r>
      <w:r w:rsidR="00ED1096">
        <w:t>targeted at</w:t>
      </w:r>
      <w:r w:rsidR="00ED1096" w:rsidRPr="000169DE">
        <w:t xml:space="preserve"> </w:t>
      </w:r>
      <w:r w:rsidR="00DB5ABB">
        <w:t>transform</w:t>
      </w:r>
      <w:r w:rsidR="00ED1096">
        <w:t>ing school education. The Scottish Government can include not just the head teachers, also the teachers, including part time and supply teachers in strategic decision-making from the onset, as the latter are the ones responsible for strategy implementation.</w:t>
      </w:r>
    </w:p>
    <w:p w14:paraId="4179AA38" w14:textId="77777777" w:rsidR="00110395" w:rsidRDefault="00110395" w:rsidP="005D40B5"/>
    <w:p w14:paraId="723AA90D" w14:textId="77777777" w:rsidR="005B3279" w:rsidRDefault="005B3279" w:rsidP="005D40B5">
      <w:r w:rsidRPr="005B3279">
        <w:t xml:space="preserve"> Drawing on the insights from the RBV, this study recommends that education policymakers and practitioners prioritize the development and leveraging of key resources and capabilities to enhance social risk management in Scottish school education transformation. This may involve investing in staff training and development programs to build human capital, fostering partnerships with community organizations to enhance social capital, and reviewing and improving organizational processes and routines to strengthen organizational capital (Barney, 1991; Grant, 1991; Pablo et al., 2007). By proactively identifying and addressing resource gaps and leveraging their unique strengths, education authorities can improve their capacity to effectively manage social risks and promote positive outcomes for all students (Bryson et al., 2007)</w:t>
      </w:r>
      <w:r w:rsidR="0057414D">
        <w:t>.</w:t>
      </w:r>
    </w:p>
    <w:p w14:paraId="63BD872D" w14:textId="77777777" w:rsidR="0057414D" w:rsidRDefault="0057414D" w:rsidP="005D40B5"/>
    <w:p w14:paraId="5B415B9D" w14:textId="20035CF2" w:rsidR="002B67F7" w:rsidRDefault="002B67F7" w:rsidP="005D40B5">
      <w:pPr>
        <w:sectPr w:rsidR="002B67F7">
          <w:pgSz w:w="11906" w:h="16838"/>
          <w:pgMar w:top="1440" w:right="1440" w:bottom="1440" w:left="1440" w:header="708" w:footer="708" w:gutter="0"/>
          <w:cols w:space="708"/>
          <w:docGrid w:linePitch="360"/>
        </w:sectPr>
      </w:pPr>
      <w:r>
        <w:t xml:space="preserve">Despite the </w:t>
      </w:r>
      <w:r>
        <w:t xml:space="preserve">perceived </w:t>
      </w:r>
      <w:r>
        <w:t xml:space="preserve">strengths of the structuration theory, it fails to explain how and why social risk is not explicitly mentioned in policy documents belonging to Scottish school education services. To address this, </w:t>
      </w:r>
      <w:r w:rsidR="00E4100E">
        <w:t xml:space="preserve">future research can </w:t>
      </w:r>
      <w:r>
        <w:t>draw on the language view of strategy as practice</w:t>
      </w:r>
      <w:r w:rsidR="00E4100E">
        <w:t xml:space="preserve"> </w:t>
      </w:r>
      <w:r w:rsidR="00A67012">
        <w:t>as a critical lens to</w:t>
      </w:r>
      <w:r w:rsidR="00E4100E">
        <w:t xml:space="preserve"> </w:t>
      </w:r>
      <w:r>
        <w:t xml:space="preserve">critically consider </w:t>
      </w:r>
      <w:r w:rsidR="00471F23">
        <w:t>this anomaly.</w:t>
      </w:r>
      <w:r w:rsidR="00A65ACC">
        <w:t xml:space="preserve">  Put simply, future research should focus </w:t>
      </w:r>
      <w:r w:rsidR="00376712">
        <w:t>o</w:t>
      </w:r>
      <w:r w:rsidR="00224CBE">
        <w:t>n</w:t>
      </w:r>
      <w:r w:rsidR="00376712">
        <w:t xml:space="preserve"> </w:t>
      </w:r>
      <w:r w:rsidR="00224CBE">
        <w:t>“</w:t>
      </w:r>
      <w:r w:rsidR="00224CBE" w:rsidRPr="00224CBE">
        <w:rPr>
          <w:i/>
          <w:iCs/>
        </w:rPr>
        <w:t xml:space="preserve">playing </w:t>
      </w:r>
      <w:r w:rsidR="00376712" w:rsidRPr="00224CBE">
        <w:rPr>
          <w:i/>
          <w:iCs/>
        </w:rPr>
        <w:t>t</w:t>
      </w:r>
      <w:r w:rsidR="00790A3B" w:rsidRPr="00224CBE">
        <w:rPr>
          <w:i/>
          <w:iCs/>
        </w:rPr>
        <w:t>he language game</w:t>
      </w:r>
      <w:r w:rsidR="00224CBE" w:rsidRPr="00224CBE">
        <w:rPr>
          <w:i/>
          <w:iCs/>
        </w:rPr>
        <w:t>”</w:t>
      </w:r>
      <w:r w:rsidR="00790A3B">
        <w:t xml:space="preserve"> to </w:t>
      </w:r>
      <w:r w:rsidR="00B1083D">
        <w:t xml:space="preserve"> </w:t>
      </w:r>
      <w:r w:rsidR="00790A3B">
        <w:t xml:space="preserve">promote alignment between </w:t>
      </w:r>
      <w:r w:rsidR="00B1083D">
        <w:t xml:space="preserve">organisational  strategy </w:t>
      </w:r>
      <w:r w:rsidR="00790A3B">
        <w:t xml:space="preserve">and </w:t>
      </w:r>
      <w:r w:rsidR="00B1083D">
        <w:t>risk management strategy</w:t>
      </w:r>
      <w:r w:rsidR="00A26B50">
        <w:t xml:space="preserve">. This will promote a shared understanding and language of  social risks </w:t>
      </w:r>
      <w:r w:rsidR="00BA479D">
        <w:t>manifested in risk registers, annual reports, and meeting minutes.</w:t>
      </w:r>
    </w:p>
    <w:p w14:paraId="3D3A93A5" w14:textId="77777777" w:rsidR="004B1F22" w:rsidRPr="0045775A" w:rsidRDefault="004B1F22" w:rsidP="005D40B5">
      <w:pPr>
        <w:rPr>
          <w:b/>
          <w:bCs/>
        </w:rPr>
      </w:pPr>
      <w:r w:rsidRPr="0045775A">
        <w:rPr>
          <w:b/>
          <w:bCs/>
        </w:rPr>
        <w:lastRenderedPageBreak/>
        <w:t>References</w:t>
      </w:r>
    </w:p>
    <w:p w14:paraId="117E1360" w14:textId="77777777" w:rsidR="000A4692" w:rsidRPr="009F1D82" w:rsidRDefault="000A4692" w:rsidP="005D40B5">
      <w:pPr>
        <w:ind w:left="450" w:hanging="450"/>
        <w:jc w:val="left"/>
        <w:rPr>
          <w:rFonts w:eastAsia="Times New Roman"/>
          <w:lang w:val="en-US"/>
        </w:rPr>
      </w:pPr>
      <w:r w:rsidRPr="009F1D82">
        <w:rPr>
          <w:rFonts w:eastAsia="Times New Roman"/>
          <w:lang w:val="en-US"/>
        </w:rPr>
        <w:t xml:space="preserve">Asenova, D., Bailey, S. and McCann, C. 2013, </w:t>
      </w:r>
      <w:r w:rsidRPr="009F1D82">
        <w:rPr>
          <w:rFonts w:eastAsia="Times New Roman"/>
          <w:i/>
          <w:iCs/>
          <w:lang w:val="en-US"/>
        </w:rPr>
        <w:t>Managing the social risks of public spending cuts in Scotland</w:t>
      </w:r>
      <w:r w:rsidRPr="009F1D82">
        <w:rPr>
          <w:rFonts w:eastAsia="Times New Roman"/>
          <w:lang w:val="en-US"/>
        </w:rPr>
        <w:t xml:space="preserve">, Joseph Rowntree Foundation, York, North Yorkshire, England, United Kingdom. </w:t>
      </w:r>
    </w:p>
    <w:p w14:paraId="0B3EFDEE" w14:textId="77777777" w:rsidR="004B1F22" w:rsidRDefault="004B1F22" w:rsidP="005D40B5">
      <w:pPr>
        <w:spacing w:before="100" w:beforeAutospacing="1" w:after="100" w:afterAutospacing="1"/>
        <w:ind w:left="450" w:hanging="450"/>
        <w:rPr>
          <w:rFonts w:eastAsia="Times New Roman"/>
          <w:lang w:val="en-US"/>
        </w:rPr>
      </w:pPr>
      <w:r w:rsidRPr="00D529C1">
        <w:rPr>
          <w:rFonts w:eastAsia="Times New Roman"/>
          <w:lang w:val="en-US"/>
        </w:rPr>
        <w:t xml:space="preserve">Asenova, Darinka, Stephen Bailey, and Claire </w:t>
      </w:r>
      <w:proofErr w:type="spellStart"/>
      <w:r w:rsidRPr="00D529C1">
        <w:rPr>
          <w:rFonts w:eastAsia="Times New Roman"/>
          <w:lang w:val="en-US"/>
        </w:rPr>
        <w:t>Mccann</w:t>
      </w:r>
      <w:proofErr w:type="spellEnd"/>
      <w:r w:rsidRPr="00D529C1">
        <w:rPr>
          <w:rFonts w:eastAsia="Times New Roman"/>
          <w:lang w:val="en-US"/>
        </w:rPr>
        <w:t xml:space="preserve">. 2015. "Managing Municipal Austerity: Mitigation of Social Risks." </w:t>
      </w:r>
      <w:r w:rsidRPr="00D529C1">
        <w:rPr>
          <w:rFonts w:eastAsia="Times New Roman"/>
          <w:i/>
          <w:iCs/>
          <w:lang w:val="en-US"/>
        </w:rPr>
        <w:t>Local Government Studies</w:t>
      </w:r>
      <w:r w:rsidRPr="00D529C1">
        <w:rPr>
          <w:rFonts w:eastAsia="Times New Roman"/>
          <w:lang w:val="en-US"/>
        </w:rPr>
        <w:t xml:space="preserve"> 41 (1): 1-19. </w:t>
      </w:r>
    </w:p>
    <w:p w14:paraId="0AA056E6" w14:textId="77777777" w:rsidR="004B1F22" w:rsidRDefault="004B1F22" w:rsidP="005D40B5">
      <w:pPr>
        <w:ind w:left="450" w:hanging="450"/>
        <w:jc w:val="left"/>
        <w:rPr>
          <w:rFonts w:eastAsia="Times New Roman"/>
          <w:lang w:val="en-US"/>
        </w:rPr>
      </w:pPr>
      <w:r w:rsidRPr="00ED5CAF">
        <w:rPr>
          <w:rFonts w:eastAsia="Times New Roman"/>
          <w:lang w:val="en-US"/>
        </w:rPr>
        <w:t xml:space="preserve">Braun, V. and Clarke, V. 2006, "Using thematic analysis in psychology", </w:t>
      </w:r>
      <w:r w:rsidRPr="00ED5CAF">
        <w:rPr>
          <w:rFonts w:eastAsia="Times New Roman"/>
          <w:i/>
          <w:iCs/>
          <w:lang w:val="en-US"/>
        </w:rPr>
        <w:t xml:space="preserve">Qualitative research in psychology, </w:t>
      </w:r>
      <w:r w:rsidRPr="00ED5CAF">
        <w:rPr>
          <w:rFonts w:eastAsia="Times New Roman"/>
          <w:lang w:val="en-US"/>
        </w:rPr>
        <w:t xml:space="preserve">vol. 3, no. 2, pp. 77-101. </w:t>
      </w:r>
    </w:p>
    <w:p w14:paraId="04D891A4" w14:textId="5CD53A29" w:rsidR="00D0373B" w:rsidRDefault="004473F9" w:rsidP="004473F9">
      <w:pPr>
        <w:ind w:left="450" w:hanging="450"/>
        <w:jc w:val="left"/>
        <w:rPr>
          <w:rFonts w:eastAsia="Times New Roman"/>
          <w:lang w:val="en-US"/>
        </w:rPr>
      </w:pPr>
      <w:r w:rsidRPr="004473F9">
        <w:rPr>
          <w:rFonts w:eastAsia="Times New Roman"/>
          <w:lang w:val="en-US"/>
        </w:rPr>
        <w:t>Bourdieu, P., &amp; Nice, R. (1980). The production of belief: contribution to an economy of symbolic goods. Media, culture &amp; society, 2(3), 261-293.</w:t>
      </w:r>
    </w:p>
    <w:p w14:paraId="27425862" w14:textId="77777777" w:rsidR="00F15924" w:rsidRDefault="00F15924" w:rsidP="005D40B5">
      <w:pPr>
        <w:ind w:left="450" w:hanging="450"/>
        <w:jc w:val="left"/>
        <w:rPr>
          <w:rFonts w:eastAsia="Times New Roman"/>
          <w:lang w:val="en-US"/>
        </w:rPr>
      </w:pPr>
      <w:r w:rsidRPr="00ED5CAF">
        <w:rPr>
          <w:rFonts w:eastAsia="Times New Roman"/>
          <w:lang w:val="en-US"/>
        </w:rPr>
        <w:t>CIPFA (Chartered Institute of Public Finance and Accountability) 2017, 6 January 2017-last update</w:t>
      </w:r>
      <w:r w:rsidRPr="00ED5CAF">
        <w:rPr>
          <w:rFonts w:eastAsia="Times New Roman"/>
          <w:i/>
          <w:iCs/>
          <w:lang w:val="en-US"/>
        </w:rPr>
        <w:t>, Proposals to reform Scottish schools would cause significant financial management issues, CIPFA Scotland warns</w:t>
      </w:r>
      <w:r w:rsidRPr="00ED5CAF">
        <w:rPr>
          <w:rFonts w:eastAsia="Times New Roman"/>
          <w:lang w:val="en-US"/>
        </w:rPr>
        <w:t xml:space="preserve"> [Homepage of CIPFA (Chartered Institute of Public Finance and Accountability)], [Online]. Available: </w:t>
      </w:r>
      <w:hyperlink r:id="rId11" w:tgtFrame="_blank" w:history="1">
        <w:r w:rsidRPr="00ED5CAF">
          <w:rPr>
            <w:rFonts w:eastAsia="Times New Roman"/>
            <w:color w:val="0563C1" w:themeColor="hyperlink"/>
            <w:u w:val="single"/>
            <w:lang w:val="en-US"/>
          </w:rPr>
          <w:t>http://www.cipfa.org/about-cipfa/press-office/latest-press-releases/proposals-to-reform-scottish-schools-would-cause-significant-financial-management-issues-cipfa-scotland-warns</w:t>
        </w:r>
      </w:hyperlink>
      <w:r w:rsidRPr="00ED5CAF">
        <w:rPr>
          <w:rFonts w:eastAsia="Times New Roman"/>
          <w:lang w:val="en-US"/>
        </w:rPr>
        <w:t xml:space="preserve"> [2017, April 14]. </w:t>
      </w:r>
    </w:p>
    <w:p w14:paraId="39C551AB" w14:textId="77777777" w:rsidR="002E7577" w:rsidRPr="00ED5CAF" w:rsidRDefault="002E7577" w:rsidP="005D40B5">
      <w:pPr>
        <w:ind w:left="450" w:hanging="450"/>
        <w:jc w:val="left"/>
        <w:rPr>
          <w:rFonts w:eastAsia="Times New Roman"/>
          <w:lang w:val="en-US"/>
        </w:rPr>
      </w:pPr>
    </w:p>
    <w:p w14:paraId="00AB3829" w14:textId="087ED5B1" w:rsidR="00D0373B" w:rsidRPr="00ED5CAF" w:rsidRDefault="00D0373B" w:rsidP="005D40B5">
      <w:pPr>
        <w:ind w:left="450" w:hanging="450"/>
        <w:jc w:val="left"/>
        <w:rPr>
          <w:rFonts w:eastAsia="Times New Roman"/>
          <w:lang w:val="en-US"/>
        </w:rPr>
      </w:pPr>
      <w:r w:rsidRPr="00ED5CAF">
        <w:rPr>
          <w:rFonts w:eastAsia="Times New Roman"/>
          <w:lang w:val="en-US"/>
        </w:rPr>
        <w:t xml:space="preserve">Cohen, I.J. 1989, </w:t>
      </w:r>
      <w:r w:rsidRPr="00ED5CAF">
        <w:rPr>
          <w:rFonts w:eastAsia="Times New Roman"/>
          <w:i/>
          <w:iCs/>
          <w:lang w:val="en-US"/>
        </w:rPr>
        <w:t xml:space="preserve">Structuration Theory: Anthony Giddens and the Structuration of Social Life. </w:t>
      </w:r>
      <w:r w:rsidRPr="00ED5CAF">
        <w:rPr>
          <w:rFonts w:eastAsia="Times New Roman"/>
          <w:lang w:val="en-US"/>
        </w:rPr>
        <w:t xml:space="preserve">Macmillan, London. </w:t>
      </w:r>
    </w:p>
    <w:p w14:paraId="44327B50" w14:textId="77777777" w:rsidR="004B1F22" w:rsidRDefault="004B1F22" w:rsidP="005D40B5">
      <w:pPr>
        <w:ind w:left="450" w:hanging="450"/>
        <w:jc w:val="left"/>
        <w:rPr>
          <w:rFonts w:eastAsia="Times New Roman"/>
          <w:lang w:val="en-US"/>
        </w:rPr>
      </w:pPr>
    </w:p>
    <w:p w14:paraId="5FB18A05" w14:textId="77777777" w:rsidR="004B1F22" w:rsidRDefault="004B1F22" w:rsidP="005D40B5">
      <w:pPr>
        <w:ind w:left="450" w:hanging="450"/>
        <w:jc w:val="left"/>
        <w:rPr>
          <w:rFonts w:eastAsia="Times New Roman"/>
          <w:lang w:val="en-US"/>
        </w:rPr>
      </w:pPr>
      <w:r w:rsidRPr="00ED5CAF">
        <w:rPr>
          <w:rFonts w:eastAsia="Times New Roman"/>
          <w:lang w:val="en-US"/>
        </w:rPr>
        <w:t xml:space="preserve">Coulton, S., Stockdale, K., Marchand, C., Hendrie, N., Billings, J., Boniface, S., Butler, S., Deluca, P., Drummond, C. and Newbury-Birch, D. 2017, "Pragmatic </w:t>
      </w:r>
      <w:proofErr w:type="spellStart"/>
      <w:r w:rsidRPr="00ED5CAF">
        <w:rPr>
          <w:rFonts w:eastAsia="Times New Roman"/>
          <w:lang w:val="en-US"/>
        </w:rPr>
        <w:t>randomised</w:t>
      </w:r>
      <w:proofErr w:type="spellEnd"/>
      <w:r w:rsidRPr="00ED5CAF">
        <w:rPr>
          <w:rFonts w:eastAsia="Times New Roman"/>
          <w:lang w:val="en-US"/>
        </w:rPr>
        <w:t xml:space="preserve"> controlled trial to evaluate the effectiveness and cost effectiveness of a multi-component intervention to reduce substance use and risk-taking behaviour in adolescents involved in the criminal justice system: A trial protocol (RISKIT-CJS)", </w:t>
      </w:r>
      <w:r w:rsidRPr="00ED5CAF">
        <w:rPr>
          <w:rFonts w:eastAsia="Times New Roman"/>
          <w:i/>
          <w:iCs/>
          <w:lang w:val="en-US"/>
        </w:rPr>
        <w:t xml:space="preserve">BMC public health, </w:t>
      </w:r>
      <w:r w:rsidRPr="00ED5CAF">
        <w:rPr>
          <w:rFonts w:eastAsia="Times New Roman"/>
          <w:lang w:val="en-US"/>
        </w:rPr>
        <w:t xml:space="preserve">vol. 17, no. 1, pp. 246. </w:t>
      </w:r>
    </w:p>
    <w:p w14:paraId="2681F58A" w14:textId="77777777" w:rsidR="002E7577" w:rsidRDefault="002E7577" w:rsidP="005D40B5">
      <w:pPr>
        <w:ind w:left="450" w:hanging="450"/>
        <w:jc w:val="left"/>
        <w:rPr>
          <w:rFonts w:eastAsia="Times New Roman"/>
          <w:lang w:val="en-US"/>
        </w:rPr>
      </w:pPr>
    </w:p>
    <w:p w14:paraId="4B5BEE84" w14:textId="0128A2F1" w:rsidR="00404E19" w:rsidRDefault="00404E19" w:rsidP="005D40B5">
      <w:pPr>
        <w:ind w:left="450" w:hanging="450"/>
        <w:jc w:val="left"/>
        <w:rPr>
          <w:rFonts w:eastAsia="Times New Roman"/>
          <w:lang w:val="en-US"/>
        </w:rPr>
      </w:pPr>
      <w:r w:rsidRPr="00ED5CAF">
        <w:rPr>
          <w:rFonts w:eastAsia="Times New Roman"/>
          <w:lang w:val="en-US"/>
        </w:rPr>
        <w:t xml:space="preserve">Den </w:t>
      </w:r>
      <w:proofErr w:type="spellStart"/>
      <w:r w:rsidRPr="00ED5CAF">
        <w:rPr>
          <w:rFonts w:eastAsia="Times New Roman"/>
          <w:lang w:val="en-US"/>
        </w:rPr>
        <w:t>Hond</w:t>
      </w:r>
      <w:proofErr w:type="spellEnd"/>
      <w:r w:rsidRPr="00ED5CAF">
        <w:rPr>
          <w:rFonts w:eastAsia="Times New Roman"/>
          <w:lang w:val="en-US"/>
        </w:rPr>
        <w:t xml:space="preserve">, F., Boersma, F.K., </w:t>
      </w:r>
      <w:proofErr w:type="spellStart"/>
      <w:r w:rsidRPr="00ED5CAF">
        <w:rPr>
          <w:rFonts w:eastAsia="Times New Roman"/>
          <w:lang w:val="en-US"/>
        </w:rPr>
        <w:t>Heres</w:t>
      </w:r>
      <w:proofErr w:type="spellEnd"/>
      <w:r w:rsidRPr="00ED5CAF">
        <w:rPr>
          <w:rFonts w:eastAsia="Times New Roman"/>
          <w:lang w:val="en-US"/>
        </w:rPr>
        <w:t xml:space="preserve">, L., Kroes, E.H. and van Oirschot, E. 2012, "Giddens à la Carte? Appraising empirical applications of Structuration Theory in management and organisation studies", </w:t>
      </w:r>
      <w:r w:rsidRPr="00ED5CAF">
        <w:rPr>
          <w:rFonts w:eastAsia="Times New Roman"/>
          <w:i/>
          <w:iCs/>
          <w:lang w:val="en-US"/>
        </w:rPr>
        <w:t xml:space="preserve">Journal of Political Power, </w:t>
      </w:r>
      <w:r w:rsidRPr="00ED5CAF">
        <w:rPr>
          <w:rFonts w:eastAsia="Times New Roman"/>
          <w:lang w:val="en-US"/>
        </w:rPr>
        <w:t xml:space="preserve">vol. 5, no. 2, pp. 239-264. </w:t>
      </w:r>
    </w:p>
    <w:p w14:paraId="5AB08472" w14:textId="77777777" w:rsidR="002E7577" w:rsidRDefault="004B1F22" w:rsidP="005D40B5">
      <w:pPr>
        <w:spacing w:before="100" w:beforeAutospacing="1" w:after="100" w:afterAutospacing="1"/>
        <w:ind w:left="450" w:hanging="450"/>
        <w:rPr>
          <w:rFonts w:eastAsia="Times New Roman"/>
          <w:lang w:val="en-US"/>
        </w:rPr>
      </w:pPr>
      <w:r w:rsidRPr="008F4519">
        <w:rPr>
          <w:rFonts w:eastAsia="Times New Roman"/>
          <w:lang w:val="en-US"/>
        </w:rPr>
        <w:lastRenderedPageBreak/>
        <w:t>Eisenhardt, K.M. and Graebner, M.E. 2007, "Theory building from cases: Opportunities and challenges", Academy of management journal, vol. 50, no. 1, pp. 25-32.</w:t>
      </w:r>
    </w:p>
    <w:p w14:paraId="238BFA3C" w14:textId="7482D84A" w:rsidR="004B1F22" w:rsidRDefault="004B1F22" w:rsidP="005D40B5">
      <w:pPr>
        <w:spacing w:before="100" w:beforeAutospacing="1" w:after="100" w:afterAutospacing="1"/>
        <w:ind w:left="450" w:hanging="450"/>
        <w:rPr>
          <w:rFonts w:eastAsia="Times New Roman"/>
          <w:lang w:val="en-US"/>
        </w:rPr>
      </w:pPr>
      <w:r w:rsidRPr="00B97FDA">
        <w:rPr>
          <w:rFonts w:eastAsia="Times New Roman"/>
          <w:lang w:val="en-US"/>
        </w:rPr>
        <w:t>Enang, I. (2023). Risk Management and Public Service Reform: Changing Governance and Funding Structures Within School Education Services. Taylor &amp; Francis.</w:t>
      </w:r>
    </w:p>
    <w:p w14:paraId="00FC4CB8" w14:textId="77777777" w:rsidR="002D215E" w:rsidRDefault="002D215E" w:rsidP="005D40B5">
      <w:pPr>
        <w:jc w:val="left"/>
        <w:rPr>
          <w:rFonts w:eastAsia="Times New Roman"/>
          <w:lang w:val="en-US"/>
        </w:rPr>
      </w:pPr>
      <w:r w:rsidRPr="00ED5CAF">
        <w:rPr>
          <w:rFonts w:eastAsia="Times New Roman"/>
          <w:lang w:val="en-US"/>
        </w:rPr>
        <w:t xml:space="preserve">Ene, N. and Dobrea, C. 2006, "Adapting risk management principles to the public sector reforms", </w:t>
      </w:r>
      <w:r w:rsidRPr="00ED5CAF">
        <w:rPr>
          <w:rFonts w:eastAsia="Times New Roman"/>
          <w:i/>
          <w:iCs/>
          <w:lang w:val="en-US"/>
        </w:rPr>
        <w:t xml:space="preserve">Public Administration and Management, </w:t>
      </w:r>
      <w:r w:rsidRPr="00ED5CAF">
        <w:rPr>
          <w:rFonts w:eastAsia="Times New Roman"/>
          <w:lang w:val="en-US"/>
        </w:rPr>
        <w:t xml:space="preserve">no. 6. </w:t>
      </w:r>
    </w:p>
    <w:p w14:paraId="6B943217" w14:textId="77777777" w:rsidR="002E7577" w:rsidRDefault="002E7577" w:rsidP="005D40B5">
      <w:pPr>
        <w:jc w:val="left"/>
        <w:rPr>
          <w:rFonts w:eastAsia="Times New Roman"/>
          <w:lang w:val="en-US"/>
        </w:rPr>
      </w:pPr>
    </w:p>
    <w:p w14:paraId="6A17D86D" w14:textId="77777777" w:rsidR="002D215E" w:rsidRDefault="002D215E" w:rsidP="005D40B5">
      <w:pPr>
        <w:jc w:val="left"/>
        <w:rPr>
          <w:rFonts w:eastAsia="Times New Roman"/>
          <w:lang w:val="en-US"/>
        </w:rPr>
      </w:pPr>
      <w:r w:rsidRPr="00ED5CAF">
        <w:rPr>
          <w:rFonts w:eastAsia="Times New Roman"/>
          <w:lang w:val="en-US"/>
        </w:rPr>
        <w:t xml:space="preserve">Englund, H. and Gerdin, J. 2014, "Structuration theory in accounting research: Applications and applicability", </w:t>
      </w:r>
      <w:r w:rsidRPr="00ED5CAF">
        <w:rPr>
          <w:rFonts w:eastAsia="Times New Roman"/>
          <w:i/>
          <w:iCs/>
          <w:lang w:val="en-US"/>
        </w:rPr>
        <w:t xml:space="preserve">Critical Perspectives on Accounting, </w:t>
      </w:r>
      <w:r w:rsidRPr="00ED5CAF">
        <w:rPr>
          <w:rFonts w:eastAsia="Times New Roman"/>
          <w:lang w:val="en-US"/>
        </w:rPr>
        <w:t xml:space="preserve">vol. 25, no. 2, pp. 162-180. </w:t>
      </w:r>
    </w:p>
    <w:p w14:paraId="303FC681" w14:textId="77777777" w:rsidR="002E7577" w:rsidRPr="00ED5CAF" w:rsidRDefault="002E7577" w:rsidP="005D40B5">
      <w:pPr>
        <w:jc w:val="left"/>
        <w:rPr>
          <w:rFonts w:eastAsia="Times New Roman"/>
          <w:lang w:val="en-US"/>
        </w:rPr>
      </w:pPr>
    </w:p>
    <w:p w14:paraId="514CEAC7" w14:textId="77777777" w:rsidR="005B3937" w:rsidRDefault="0026420F" w:rsidP="005D40B5">
      <w:pPr>
        <w:jc w:val="left"/>
        <w:rPr>
          <w:rFonts w:eastAsia="Times New Roman"/>
          <w:lang w:val="en-US"/>
        </w:rPr>
      </w:pPr>
      <w:r w:rsidRPr="00ED5CAF">
        <w:rPr>
          <w:rFonts w:eastAsia="Times New Roman"/>
          <w:lang w:val="en-US"/>
        </w:rPr>
        <w:t xml:space="preserve">Fone, M. and Young, P.C. 2000, </w:t>
      </w:r>
      <w:r w:rsidRPr="00ED5CAF">
        <w:rPr>
          <w:rFonts w:eastAsia="Times New Roman"/>
          <w:i/>
          <w:iCs/>
          <w:lang w:val="en-US"/>
        </w:rPr>
        <w:t xml:space="preserve">Public sector risk management, </w:t>
      </w:r>
      <w:r w:rsidRPr="00ED5CAF">
        <w:rPr>
          <w:rFonts w:eastAsia="Times New Roman"/>
          <w:lang w:val="en-US"/>
        </w:rPr>
        <w:t xml:space="preserve">Butterworth-Heinemann Oxford. </w:t>
      </w:r>
    </w:p>
    <w:p w14:paraId="7228D227" w14:textId="49588103" w:rsidR="002E7577" w:rsidRDefault="001B10CB" w:rsidP="005D40B5">
      <w:pPr>
        <w:jc w:val="left"/>
        <w:rPr>
          <w:rFonts w:eastAsia="Times New Roman"/>
          <w:lang w:val="en-US"/>
        </w:rPr>
      </w:pPr>
      <w:r w:rsidRPr="001B10CB">
        <w:rPr>
          <w:rFonts w:eastAsia="Times New Roman"/>
          <w:lang w:val="en-US"/>
        </w:rPr>
        <w:t>Foucault, M. (1977). A preface to transgression. Language, counter-memory, practice: Selected essays and interviews, 29-52.</w:t>
      </w:r>
    </w:p>
    <w:p w14:paraId="146F1374" w14:textId="77777777" w:rsidR="001B10CB" w:rsidRDefault="001B10CB" w:rsidP="005D40B5">
      <w:pPr>
        <w:jc w:val="left"/>
        <w:rPr>
          <w:rFonts w:eastAsia="Times New Roman"/>
          <w:lang w:val="en-US"/>
        </w:rPr>
      </w:pPr>
    </w:p>
    <w:p w14:paraId="0ED7A7D7" w14:textId="77777777" w:rsidR="005B3937" w:rsidRDefault="005B3937" w:rsidP="005D40B5">
      <w:pPr>
        <w:ind w:left="450" w:hanging="450"/>
        <w:jc w:val="left"/>
        <w:rPr>
          <w:rFonts w:eastAsia="Times New Roman"/>
          <w:lang w:val="en-US"/>
        </w:rPr>
      </w:pPr>
      <w:r w:rsidRPr="00ED5CAF">
        <w:rPr>
          <w:rFonts w:eastAsia="Times New Roman"/>
          <w:lang w:val="en-US"/>
        </w:rPr>
        <w:t xml:space="preserve">Gephart Jr, R.P., Van Maanen, J. and </w:t>
      </w:r>
      <w:proofErr w:type="spellStart"/>
      <w:r w:rsidRPr="00ED5CAF">
        <w:rPr>
          <w:rFonts w:eastAsia="Times New Roman"/>
          <w:lang w:val="en-US"/>
        </w:rPr>
        <w:t>Oberlechner</w:t>
      </w:r>
      <w:proofErr w:type="spellEnd"/>
      <w:r w:rsidRPr="00ED5CAF">
        <w:rPr>
          <w:rFonts w:eastAsia="Times New Roman"/>
          <w:lang w:val="en-US"/>
        </w:rPr>
        <w:t xml:space="preserve">, T. 2009, "Organisations and risk in late modernity", </w:t>
      </w:r>
      <w:r w:rsidRPr="00ED5CAF">
        <w:rPr>
          <w:rFonts w:eastAsia="Times New Roman"/>
          <w:i/>
          <w:iCs/>
          <w:lang w:val="en-US"/>
        </w:rPr>
        <w:t xml:space="preserve">Organisation Studies, </w:t>
      </w:r>
      <w:r w:rsidRPr="00ED5CAF">
        <w:rPr>
          <w:rFonts w:eastAsia="Times New Roman"/>
          <w:lang w:val="en-US"/>
        </w:rPr>
        <w:t xml:space="preserve">vol. 30, no. 2-3, pp. 141-155. </w:t>
      </w:r>
    </w:p>
    <w:p w14:paraId="732E03B0" w14:textId="77777777" w:rsidR="002E7577" w:rsidRPr="00ED5CAF" w:rsidRDefault="002E7577" w:rsidP="005D40B5">
      <w:pPr>
        <w:ind w:left="450" w:hanging="450"/>
        <w:jc w:val="left"/>
        <w:rPr>
          <w:rFonts w:eastAsia="Times New Roman"/>
          <w:lang w:val="en-US"/>
        </w:rPr>
      </w:pPr>
    </w:p>
    <w:p w14:paraId="066DFC61" w14:textId="5BF7ED06" w:rsidR="002E0C82" w:rsidRDefault="002E0C82" w:rsidP="005D40B5">
      <w:pPr>
        <w:ind w:left="450" w:hanging="450"/>
        <w:jc w:val="left"/>
        <w:rPr>
          <w:rFonts w:eastAsia="Times New Roman"/>
          <w:lang w:val="en-US"/>
        </w:rPr>
      </w:pPr>
      <w:r w:rsidRPr="002E0C82">
        <w:rPr>
          <w:rFonts w:eastAsia="Times New Roman"/>
          <w:lang w:val="en-US"/>
        </w:rPr>
        <w:t xml:space="preserve">Giddens, A. 1976, "Classical social theory and the origins of modern sociology", American Journal of Sociology, vol. 81, no. 4, pp. 703-729. </w:t>
      </w:r>
    </w:p>
    <w:p w14:paraId="541A55E8" w14:textId="77777777" w:rsidR="002E7577" w:rsidRPr="002E0C82" w:rsidRDefault="002E7577" w:rsidP="005D40B5">
      <w:pPr>
        <w:ind w:left="450" w:hanging="450"/>
        <w:jc w:val="left"/>
        <w:rPr>
          <w:rFonts w:eastAsia="Times New Roman"/>
          <w:lang w:val="en-US"/>
        </w:rPr>
      </w:pPr>
    </w:p>
    <w:p w14:paraId="4477C8F0" w14:textId="77777777" w:rsidR="002E0C82" w:rsidRDefault="002E0C82" w:rsidP="005D40B5">
      <w:pPr>
        <w:ind w:left="450" w:hanging="450"/>
        <w:jc w:val="left"/>
        <w:rPr>
          <w:rFonts w:eastAsia="Times New Roman"/>
          <w:lang w:val="en-US"/>
        </w:rPr>
      </w:pPr>
      <w:r w:rsidRPr="002E0C82">
        <w:rPr>
          <w:rFonts w:eastAsia="Times New Roman"/>
          <w:lang w:val="en-US"/>
        </w:rPr>
        <w:t xml:space="preserve">Giddens, A. 1979, Central problems in social theory: Action, structure, and contradiction in social analysis, Univ of California Press. </w:t>
      </w:r>
    </w:p>
    <w:p w14:paraId="4E4916CF" w14:textId="77777777" w:rsidR="002E7577" w:rsidRPr="002E0C82" w:rsidRDefault="002E7577" w:rsidP="005D40B5">
      <w:pPr>
        <w:ind w:left="450" w:hanging="450"/>
        <w:jc w:val="left"/>
        <w:rPr>
          <w:rFonts w:eastAsia="Times New Roman"/>
          <w:lang w:val="en-US"/>
        </w:rPr>
      </w:pPr>
    </w:p>
    <w:p w14:paraId="426485C4" w14:textId="77777777" w:rsidR="002E0C82" w:rsidRDefault="002E0C82" w:rsidP="005D40B5">
      <w:pPr>
        <w:ind w:left="450" w:hanging="450"/>
        <w:jc w:val="left"/>
        <w:rPr>
          <w:rFonts w:eastAsia="Times New Roman"/>
          <w:lang w:val="en-US"/>
        </w:rPr>
      </w:pPr>
      <w:r w:rsidRPr="002E0C82">
        <w:rPr>
          <w:rFonts w:eastAsia="Times New Roman"/>
          <w:lang w:val="en-US"/>
        </w:rPr>
        <w:t>Giddens, A. 1984, "The constitution of society: Outline of the structuration theory", Cambridge: Polity.</w:t>
      </w:r>
    </w:p>
    <w:p w14:paraId="2B02F642" w14:textId="77777777" w:rsidR="002E7577" w:rsidRPr="002E0C82" w:rsidRDefault="002E7577" w:rsidP="005D40B5">
      <w:pPr>
        <w:ind w:left="450" w:hanging="450"/>
        <w:jc w:val="left"/>
        <w:rPr>
          <w:rFonts w:eastAsia="Times New Roman"/>
          <w:lang w:val="en-US"/>
        </w:rPr>
      </w:pPr>
    </w:p>
    <w:p w14:paraId="0BA0DD4D" w14:textId="256C7D3B" w:rsidR="002E0C82" w:rsidRDefault="002E0C82" w:rsidP="005D40B5">
      <w:pPr>
        <w:ind w:left="450" w:hanging="450"/>
        <w:jc w:val="left"/>
        <w:rPr>
          <w:rFonts w:eastAsia="Times New Roman"/>
          <w:lang w:val="en-US"/>
        </w:rPr>
      </w:pPr>
      <w:r w:rsidRPr="002E0C82">
        <w:rPr>
          <w:rFonts w:eastAsia="Times New Roman"/>
          <w:lang w:val="en-US"/>
        </w:rPr>
        <w:t>Giddens, A. 1991, Modernity and self-identity: Self and society in the late modern age, Stanford university press.</w:t>
      </w:r>
    </w:p>
    <w:p w14:paraId="056E1497" w14:textId="77777777" w:rsidR="002E7577" w:rsidRDefault="002E7577" w:rsidP="005D40B5">
      <w:pPr>
        <w:ind w:left="450" w:hanging="450"/>
        <w:jc w:val="left"/>
        <w:rPr>
          <w:rFonts w:eastAsia="Times New Roman"/>
          <w:lang w:val="en-US"/>
        </w:rPr>
      </w:pPr>
    </w:p>
    <w:p w14:paraId="06D55156" w14:textId="77777777" w:rsidR="00F36F68" w:rsidRDefault="00F36F68" w:rsidP="005D40B5">
      <w:pPr>
        <w:ind w:left="450" w:hanging="450"/>
        <w:jc w:val="left"/>
        <w:rPr>
          <w:rFonts w:eastAsia="Times New Roman"/>
          <w:lang w:val="en-US"/>
        </w:rPr>
      </w:pPr>
      <w:r w:rsidRPr="00ED5CAF">
        <w:rPr>
          <w:rFonts w:eastAsia="Times New Roman"/>
          <w:lang w:val="en-US"/>
        </w:rPr>
        <w:lastRenderedPageBreak/>
        <w:t>Hardy, C. and Maguire, S. 2016, "Organising risk: Discourse, power, and “</w:t>
      </w:r>
      <w:proofErr w:type="spellStart"/>
      <w:r w:rsidRPr="00ED5CAF">
        <w:rPr>
          <w:rFonts w:eastAsia="Times New Roman"/>
          <w:lang w:val="en-US"/>
        </w:rPr>
        <w:t>riskification</w:t>
      </w:r>
      <w:proofErr w:type="spellEnd"/>
      <w:r w:rsidRPr="00ED5CAF">
        <w:rPr>
          <w:rFonts w:eastAsia="Times New Roman"/>
          <w:lang w:val="en-US"/>
        </w:rPr>
        <w:t xml:space="preserve">”", </w:t>
      </w:r>
      <w:r w:rsidRPr="00ED5CAF">
        <w:rPr>
          <w:rFonts w:eastAsia="Times New Roman"/>
          <w:i/>
          <w:iCs/>
          <w:lang w:val="en-US"/>
        </w:rPr>
        <w:t xml:space="preserve">Academy of Management Review, </w:t>
      </w:r>
      <w:r w:rsidRPr="00ED5CAF">
        <w:rPr>
          <w:rFonts w:eastAsia="Times New Roman"/>
          <w:lang w:val="en-US"/>
        </w:rPr>
        <w:t xml:space="preserve">vol. 41, no. 1, pp. 80-108. </w:t>
      </w:r>
    </w:p>
    <w:p w14:paraId="106F33CF" w14:textId="77777777" w:rsidR="002E7577" w:rsidRDefault="002E7577" w:rsidP="005D40B5">
      <w:pPr>
        <w:ind w:left="450" w:hanging="450"/>
        <w:jc w:val="left"/>
        <w:rPr>
          <w:rFonts w:eastAsia="Times New Roman"/>
          <w:lang w:val="en-US"/>
        </w:rPr>
      </w:pPr>
    </w:p>
    <w:p w14:paraId="791F8040" w14:textId="77777777" w:rsidR="00253FD4" w:rsidRDefault="00253FD4" w:rsidP="005D40B5">
      <w:pPr>
        <w:ind w:left="450" w:hanging="450"/>
        <w:jc w:val="left"/>
        <w:rPr>
          <w:rFonts w:eastAsia="Times New Roman"/>
          <w:lang w:val="en-US"/>
        </w:rPr>
      </w:pPr>
      <w:r w:rsidRPr="00ED5CAF">
        <w:rPr>
          <w:rFonts w:eastAsia="Times New Roman"/>
          <w:lang w:val="en-US"/>
        </w:rPr>
        <w:t xml:space="preserve">Hopkin, P. 2014, </w:t>
      </w:r>
      <w:r w:rsidRPr="00ED5CAF">
        <w:rPr>
          <w:rFonts w:eastAsia="Times New Roman"/>
          <w:i/>
          <w:iCs/>
          <w:lang w:val="en-US"/>
        </w:rPr>
        <w:t xml:space="preserve">Fundamentals of risk management: understanding, evaluating and implementing effective risk management, </w:t>
      </w:r>
      <w:r w:rsidRPr="00ED5CAF">
        <w:rPr>
          <w:rFonts w:eastAsia="Times New Roman"/>
          <w:lang w:val="en-US"/>
        </w:rPr>
        <w:t xml:space="preserve">3rd ed. </w:t>
      </w:r>
      <w:proofErr w:type="spellStart"/>
      <w:r w:rsidRPr="00ED5CAF">
        <w:rPr>
          <w:rFonts w:eastAsia="Times New Roman"/>
          <w:lang w:val="en-US"/>
        </w:rPr>
        <w:t>edn</w:t>
      </w:r>
      <w:proofErr w:type="spellEnd"/>
      <w:r w:rsidRPr="00ED5CAF">
        <w:rPr>
          <w:rFonts w:eastAsia="Times New Roman"/>
          <w:lang w:val="en-US"/>
        </w:rPr>
        <w:t xml:space="preserve">, London; Philadelphia : Kogan Page, London ; Philadelphia; London. </w:t>
      </w:r>
    </w:p>
    <w:p w14:paraId="06523745" w14:textId="77777777" w:rsidR="002E7577" w:rsidRPr="00ED5CAF" w:rsidRDefault="002E7577" w:rsidP="005D40B5">
      <w:pPr>
        <w:ind w:left="450" w:hanging="450"/>
        <w:jc w:val="left"/>
        <w:rPr>
          <w:rFonts w:eastAsia="Times New Roman"/>
          <w:lang w:val="en-US"/>
        </w:rPr>
      </w:pPr>
    </w:p>
    <w:p w14:paraId="4888064B" w14:textId="77777777" w:rsidR="00253FD4" w:rsidRDefault="00253FD4" w:rsidP="005D40B5">
      <w:pPr>
        <w:ind w:left="450" w:hanging="450"/>
        <w:jc w:val="left"/>
        <w:rPr>
          <w:rFonts w:eastAsia="Times New Roman"/>
          <w:lang w:val="en-US"/>
        </w:rPr>
      </w:pPr>
      <w:r w:rsidRPr="00ED5CAF">
        <w:rPr>
          <w:rFonts w:eastAsia="Times New Roman"/>
          <w:lang w:val="en-US"/>
        </w:rPr>
        <w:t xml:space="preserve">Hopkin, P. 2017, </w:t>
      </w:r>
      <w:r w:rsidRPr="00ED5CAF">
        <w:rPr>
          <w:rFonts w:eastAsia="Times New Roman"/>
          <w:i/>
          <w:iCs/>
          <w:lang w:val="en-US"/>
        </w:rPr>
        <w:t xml:space="preserve">Fundamentals of risk management: understanding, evaluating and implementing effective risk management, </w:t>
      </w:r>
      <w:r w:rsidRPr="00ED5CAF">
        <w:rPr>
          <w:rFonts w:eastAsia="Times New Roman"/>
          <w:lang w:val="en-US"/>
        </w:rPr>
        <w:t xml:space="preserve">4th ed. </w:t>
      </w:r>
      <w:proofErr w:type="spellStart"/>
      <w:r w:rsidRPr="00ED5CAF">
        <w:rPr>
          <w:rFonts w:eastAsia="Times New Roman"/>
          <w:lang w:val="en-US"/>
        </w:rPr>
        <w:t>edn</w:t>
      </w:r>
      <w:proofErr w:type="spellEnd"/>
      <w:r w:rsidRPr="00ED5CAF">
        <w:rPr>
          <w:rFonts w:eastAsia="Times New Roman"/>
          <w:lang w:val="en-US"/>
        </w:rPr>
        <w:t xml:space="preserve">, New York: Kogan Page Ltd. </w:t>
      </w:r>
    </w:p>
    <w:p w14:paraId="0D04BDDD" w14:textId="77777777" w:rsidR="002E7577" w:rsidRPr="00ED5CAF" w:rsidRDefault="002E7577" w:rsidP="005D40B5">
      <w:pPr>
        <w:ind w:left="450" w:hanging="450"/>
        <w:jc w:val="left"/>
        <w:rPr>
          <w:rFonts w:eastAsia="Times New Roman"/>
          <w:lang w:val="en-US"/>
        </w:rPr>
      </w:pPr>
    </w:p>
    <w:p w14:paraId="2E939529" w14:textId="77777777" w:rsidR="00F36F68" w:rsidRDefault="00F36F68" w:rsidP="005D40B5">
      <w:pPr>
        <w:ind w:left="450" w:hanging="450"/>
        <w:jc w:val="left"/>
        <w:rPr>
          <w:rFonts w:eastAsia="Times New Roman"/>
          <w:lang w:val="en-US"/>
        </w:rPr>
      </w:pPr>
      <w:r w:rsidRPr="00ED5CAF">
        <w:rPr>
          <w:rFonts w:eastAsia="Times New Roman"/>
          <w:lang w:val="en-US"/>
        </w:rPr>
        <w:t xml:space="preserve">Hoyt, R.E. and Liebenberg, A.P. 2011, "The value of Enterprise Risk Management ", </w:t>
      </w:r>
      <w:r w:rsidRPr="00ED5CAF">
        <w:rPr>
          <w:rFonts w:eastAsia="Times New Roman"/>
          <w:i/>
          <w:iCs/>
          <w:lang w:val="en-US"/>
        </w:rPr>
        <w:t xml:space="preserve">Journal of Risk and Insurance, </w:t>
      </w:r>
      <w:r w:rsidRPr="00ED5CAF">
        <w:rPr>
          <w:rFonts w:eastAsia="Times New Roman"/>
          <w:lang w:val="en-US"/>
        </w:rPr>
        <w:t xml:space="preserve">vol. 78, no. 4, pp. 795-822. </w:t>
      </w:r>
    </w:p>
    <w:p w14:paraId="14CD42B7" w14:textId="77777777" w:rsidR="002E7577" w:rsidRPr="00ED5CAF" w:rsidRDefault="002E7577" w:rsidP="005D40B5">
      <w:pPr>
        <w:ind w:left="450" w:hanging="450"/>
        <w:jc w:val="left"/>
        <w:rPr>
          <w:rFonts w:eastAsia="Times New Roman"/>
          <w:lang w:val="en-US"/>
        </w:rPr>
      </w:pPr>
    </w:p>
    <w:p w14:paraId="576D1460" w14:textId="77777777" w:rsidR="004B1F22" w:rsidRDefault="004B1F22" w:rsidP="005D40B5">
      <w:pPr>
        <w:jc w:val="left"/>
        <w:rPr>
          <w:rFonts w:eastAsia="Times New Roman"/>
          <w:lang w:val="en-US"/>
        </w:rPr>
      </w:pPr>
      <w:r w:rsidRPr="00ED5CAF">
        <w:rPr>
          <w:rFonts w:eastAsia="Times New Roman"/>
          <w:lang w:val="en-US"/>
        </w:rPr>
        <w:t xml:space="preserve">Hupe, P. and Hill, M. 2007, “Street-level bureaucracy and public accountability”, </w:t>
      </w:r>
      <w:r w:rsidRPr="00ED5CAF">
        <w:rPr>
          <w:rFonts w:eastAsia="Times New Roman"/>
          <w:i/>
          <w:iCs/>
          <w:lang w:val="en-US"/>
        </w:rPr>
        <w:t xml:space="preserve">Public Administration, </w:t>
      </w:r>
      <w:r w:rsidRPr="00ED5CAF">
        <w:rPr>
          <w:rFonts w:eastAsia="Times New Roman"/>
          <w:lang w:val="en-US"/>
        </w:rPr>
        <w:t xml:space="preserve">vol. 85, no. 2, pp. 279-299. </w:t>
      </w:r>
    </w:p>
    <w:p w14:paraId="0EB37900" w14:textId="77777777" w:rsidR="004B1F22" w:rsidRDefault="004B1F22" w:rsidP="005D40B5">
      <w:pPr>
        <w:ind w:left="450" w:hanging="450"/>
        <w:jc w:val="left"/>
        <w:rPr>
          <w:rFonts w:eastAsia="Times New Roman"/>
          <w:lang w:val="en-US"/>
        </w:rPr>
      </w:pPr>
    </w:p>
    <w:p w14:paraId="1635AB7A" w14:textId="77777777" w:rsidR="004B1F22" w:rsidRDefault="004B1F22" w:rsidP="005D40B5">
      <w:pPr>
        <w:rPr>
          <w:rFonts w:eastAsia="Times New Roman"/>
          <w:lang w:val="en-US"/>
        </w:rPr>
      </w:pPr>
      <w:r w:rsidRPr="00D2206C">
        <w:rPr>
          <w:rFonts w:eastAsia="Times New Roman"/>
          <w:lang w:val="en-US"/>
        </w:rPr>
        <w:t xml:space="preserve">Hsu, C., Backhouse, J. and Silva, L. 2013, "Institutionalizing operational risk management: an empirical study", </w:t>
      </w:r>
      <w:r w:rsidRPr="00D2206C">
        <w:rPr>
          <w:rFonts w:eastAsia="Times New Roman"/>
          <w:i/>
          <w:iCs/>
          <w:lang w:val="en-US"/>
        </w:rPr>
        <w:t xml:space="preserve">Journal of Information Technology, </w:t>
      </w:r>
      <w:r w:rsidRPr="00D2206C">
        <w:rPr>
          <w:rFonts w:eastAsia="Times New Roman"/>
          <w:lang w:val="en-US"/>
        </w:rPr>
        <w:t xml:space="preserve">vol. 29, no. 1, pp. 59. </w:t>
      </w:r>
    </w:p>
    <w:p w14:paraId="10DBD05B" w14:textId="77777777" w:rsidR="002E7577" w:rsidRDefault="002E7577" w:rsidP="005D40B5">
      <w:pPr>
        <w:rPr>
          <w:rFonts w:eastAsia="Times New Roman"/>
          <w:lang w:val="en-US"/>
        </w:rPr>
      </w:pPr>
    </w:p>
    <w:p w14:paraId="14173CD3" w14:textId="63503AB5" w:rsidR="00AC0CCA" w:rsidRDefault="00AC0CCA" w:rsidP="005D40B5">
      <w:pPr>
        <w:ind w:left="450" w:hanging="450"/>
        <w:jc w:val="left"/>
        <w:rPr>
          <w:rFonts w:eastAsia="Times New Roman"/>
          <w:lang w:val="en-US"/>
        </w:rPr>
      </w:pPr>
      <w:r w:rsidRPr="00ED5CAF">
        <w:rPr>
          <w:rFonts w:eastAsia="Times New Roman"/>
          <w:lang w:val="en-US"/>
        </w:rPr>
        <w:t>IFG (Institute For Government) 2012,</w:t>
      </w:r>
      <w:r w:rsidRPr="00ED5CAF">
        <w:rPr>
          <w:rFonts w:eastAsia="Times New Roman"/>
          <w:i/>
          <w:iCs/>
          <w:lang w:val="en-US"/>
        </w:rPr>
        <w:t> An Open Letter: Two Challenges and an Opportunity</w:t>
      </w:r>
      <w:r w:rsidRPr="00ED5CAF">
        <w:rPr>
          <w:rFonts w:eastAsia="Times New Roman"/>
          <w:lang w:val="en-US"/>
        </w:rPr>
        <w:t xml:space="preserve"> [Homepage of Institute For Government], [Online]. Available: </w:t>
      </w:r>
      <w:hyperlink r:id="rId12" w:tgtFrame="_blank" w:history="1">
        <w:r w:rsidRPr="00ED5CAF">
          <w:rPr>
            <w:rFonts w:eastAsia="Times New Roman"/>
            <w:color w:val="0563C1" w:themeColor="hyperlink"/>
            <w:u w:val="single"/>
            <w:lang w:val="en-US"/>
          </w:rPr>
          <w:t>http://www.instituteforgovernment.org.uk/sites/default/files/publications/An%20Open%20Letter.pdf</w:t>
        </w:r>
      </w:hyperlink>
      <w:r w:rsidRPr="00ED5CAF">
        <w:rPr>
          <w:rFonts w:eastAsia="Times New Roman"/>
          <w:lang w:val="en-US"/>
        </w:rPr>
        <w:t xml:space="preserve"> [2016</w:t>
      </w:r>
      <w:r>
        <w:rPr>
          <w:rFonts w:eastAsia="Times New Roman"/>
          <w:lang w:val="en-US"/>
        </w:rPr>
        <w:t>]</w:t>
      </w:r>
      <w:r w:rsidRPr="00ED5CAF">
        <w:rPr>
          <w:rFonts w:eastAsia="Times New Roman"/>
          <w:lang w:val="en-US"/>
        </w:rPr>
        <w:t xml:space="preserve">. </w:t>
      </w:r>
    </w:p>
    <w:p w14:paraId="1BBEF26C" w14:textId="77777777" w:rsidR="002E7577" w:rsidRPr="00ED5CAF" w:rsidRDefault="002E7577" w:rsidP="005D40B5">
      <w:pPr>
        <w:ind w:left="450" w:hanging="450"/>
        <w:jc w:val="left"/>
        <w:rPr>
          <w:rFonts w:eastAsia="Times New Roman"/>
          <w:lang w:val="en-US"/>
        </w:rPr>
      </w:pPr>
    </w:p>
    <w:p w14:paraId="2CCF7421" w14:textId="77777777" w:rsidR="00A80F40" w:rsidRPr="00ED5CAF" w:rsidRDefault="00A80F40" w:rsidP="005D40B5">
      <w:pPr>
        <w:ind w:left="450" w:hanging="450"/>
        <w:jc w:val="left"/>
        <w:rPr>
          <w:rFonts w:eastAsia="Times New Roman"/>
          <w:lang w:val="en-US"/>
        </w:rPr>
      </w:pPr>
      <w:r w:rsidRPr="00ED5CAF">
        <w:rPr>
          <w:rFonts w:eastAsia="Times New Roman"/>
          <w:lang w:val="en-US"/>
        </w:rPr>
        <w:t xml:space="preserve">IRM (Institute of Risk Management) 2018, </w:t>
      </w:r>
      <w:r w:rsidRPr="00ED5CAF">
        <w:rPr>
          <w:rFonts w:eastAsia="Times New Roman"/>
          <w:i/>
          <w:iCs/>
          <w:lang w:val="en-US"/>
        </w:rPr>
        <w:t>A Risk Practitioner’s Guide to ISO 31000:2018</w:t>
      </w:r>
      <w:r w:rsidRPr="00ED5CAF">
        <w:rPr>
          <w:rFonts w:eastAsia="Times New Roman"/>
          <w:lang w:val="en-US"/>
        </w:rPr>
        <w:t xml:space="preserve"> [Homepage of Institute of Risk Management], [Online]. Available: </w:t>
      </w:r>
      <w:hyperlink r:id="rId13" w:tgtFrame="_blank" w:history="1">
        <w:r w:rsidRPr="00ED5CAF">
          <w:rPr>
            <w:rFonts w:eastAsia="Times New Roman"/>
            <w:color w:val="0563C1" w:themeColor="hyperlink"/>
            <w:u w:val="single"/>
            <w:lang w:val="en-US"/>
          </w:rPr>
          <w:t>https://www.theirm.org/media/3513119/IRM-Report-ISO-31000-2018-v3.pdf</w:t>
        </w:r>
      </w:hyperlink>
      <w:r w:rsidRPr="00ED5CAF">
        <w:rPr>
          <w:rFonts w:eastAsia="Times New Roman"/>
          <w:lang w:val="en-US"/>
        </w:rPr>
        <w:t xml:space="preserve"> [2019, March 11]. </w:t>
      </w:r>
    </w:p>
    <w:p w14:paraId="24001CD2" w14:textId="77777777" w:rsidR="004B1F22" w:rsidRPr="00D2206C" w:rsidRDefault="004B1F22" w:rsidP="005D40B5">
      <w:pPr>
        <w:ind w:left="450" w:hanging="450"/>
        <w:rPr>
          <w:rFonts w:eastAsia="Times New Roman"/>
          <w:lang w:val="en-US"/>
        </w:rPr>
      </w:pPr>
    </w:p>
    <w:p w14:paraId="335E724A" w14:textId="77777777" w:rsidR="004B1F22" w:rsidRDefault="004B1F22" w:rsidP="005D40B5">
      <w:pPr>
        <w:ind w:left="450" w:hanging="450"/>
        <w:jc w:val="left"/>
        <w:rPr>
          <w:rFonts w:eastAsia="Times New Roman"/>
          <w:lang w:val="en-US"/>
        </w:rPr>
      </w:pPr>
      <w:r w:rsidRPr="00ED5CAF">
        <w:rPr>
          <w:rFonts w:eastAsia="Times New Roman"/>
          <w:lang w:val="en-US"/>
        </w:rPr>
        <w:t xml:space="preserve">Lipsky, M. 1980, </w:t>
      </w:r>
      <w:r w:rsidRPr="00ED5CAF">
        <w:rPr>
          <w:rFonts w:eastAsia="Times New Roman"/>
          <w:i/>
          <w:iCs/>
          <w:lang w:val="en-US"/>
        </w:rPr>
        <w:t xml:space="preserve">Street-level bureaucracy: dilemmas of the individual in public services, </w:t>
      </w:r>
      <w:r w:rsidRPr="00ED5CAF">
        <w:rPr>
          <w:rFonts w:eastAsia="Times New Roman"/>
          <w:lang w:val="en-US"/>
        </w:rPr>
        <w:t xml:space="preserve">New York: Russell Sage Foundation, New York. </w:t>
      </w:r>
    </w:p>
    <w:p w14:paraId="49535E18" w14:textId="77777777" w:rsidR="004B1F22" w:rsidRDefault="004B1F22" w:rsidP="005D40B5">
      <w:pPr>
        <w:ind w:left="450" w:hanging="450"/>
        <w:jc w:val="left"/>
        <w:rPr>
          <w:rFonts w:eastAsia="Times New Roman"/>
          <w:lang w:val="en-US"/>
        </w:rPr>
      </w:pPr>
    </w:p>
    <w:p w14:paraId="1E4D9710" w14:textId="77777777" w:rsidR="004B1F22" w:rsidRDefault="004B1F22" w:rsidP="005D40B5">
      <w:pPr>
        <w:ind w:left="450" w:hanging="450"/>
        <w:jc w:val="left"/>
        <w:rPr>
          <w:rFonts w:eastAsia="Times New Roman"/>
          <w:lang w:val="en-US"/>
        </w:rPr>
      </w:pPr>
      <w:proofErr w:type="spellStart"/>
      <w:r w:rsidRPr="00ED5CAF">
        <w:rPr>
          <w:rFonts w:eastAsia="Times New Roman"/>
          <w:lang w:val="en-US"/>
        </w:rPr>
        <w:lastRenderedPageBreak/>
        <w:t>Malterud</w:t>
      </w:r>
      <w:proofErr w:type="spellEnd"/>
      <w:r w:rsidRPr="00ED5CAF">
        <w:rPr>
          <w:rFonts w:eastAsia="Times New Roman"/>
          <w:lang w:val="en-US"/>
        </w:rPr>
        <w:t xml:space="preserve">, K., Siersma, V.D. and Guassora, A.D. 2016, "Sample Size in Qualitative Interview Studies: Guided by Information Power", </w:t>
      </w:r>
      <w:r w:rsidRPr="00ED5CAF">
        <w:rPr>
          <w:rFonts w:eastAsia="Times New Roman"/>
          <w:i/>
          <w:iCs/>
          <w:lang w:val="en-US"/>
        </w:rPr>
        <w:t xml:space="preserve">Qualitative health research, </w:t>
      </w:r>
      <w:r w:rsidRPr="00ED5CAF">
        <w:rPr>
          <w:rFonts w:eastAsia="Times New Roman"/>
          <w:lang w:val="en-US"/>
        </w:rPr>
        <w:t xml:space="preserve">vol. 26, no. 13, pp. 1753-1760. </w:t>
      </w:r>
    </w:p>
    <w:p w14:paraId="1A4E4F84" w14:textId="77777777" w:rsidR="002E7577" w:rsidRDefault="004B1F22" w:rsidP="005D40B5">
      <w:pPr>
        <w:spacing w:before="100" w:beforeAutospacing="1" w:after="100" w:afterAutospacing="1"/>
        <w:rPr>
          <w:rFonts w:eastAsia="Times New Roman"/>
          <w:lang w:val="en-US"/>
        </w:rPr>
      </w:pPr>
      <w:r w:rsidRPr="005A034C">
        <w:rPr>
          <w:rFonts w:eastAsia="Times New Roman"/>
          <w:lang w:val="en-US"/>
        </w:rPr>
        <w:t xml:space="preserve">McKendrick, John H., Darinka Asenova, Claire MacRae, Rebecca Reynolds, James Egan, </w:t>
      </w:r>
      <w:r w:rsidRPr="00D2206C">
        <w:rPr>
          <w:rFonts w:eastAsia="Times New Roman"/>
          <w:lang w:val="en-US"/>
        </w:rPr>
        <w:t>Hardy, C. and Maguire, S. 2016, "Organising risk: Discourse, power, and “</w:t>
      </w:r>
      <w:proofErr w:type="spellStart"/>
      <w:r w:rsidRPr="00D2206C">
        <w:rPr>
          <w:rFonts w:eastAsia="Times New Roman"/>
          <w:lang w:val="en-US"/>
        </w:rPr>
        <w:t>riskification</w:t>
      </w:r>
      <w:proofErr w:type="spellEnd"/>
      <w:r w:rsidRPr="00D2206C">
        <w:rPr>
          <w:rFonts w:eastAsia="Times New Roman"/>
          <w:lang w:val="en-US"/>
        </w:rPr>
        <w:t xml:space="preserve">”", </w:t>
      </w:r>
      <w:r w:rsidRPr="00D2206C">
        <w:rPr>
          <w:rFonts w:eastAsia="Times New Roman"/>
          <w:i/>
          <w:iCs/>
          <w:lang w:val="en-US"/>
        </w:rPr>
        <w:t xml:space="preserve">Academy of Management Review, </w:t>
      </w:r>
      <w:r w:rsidRPr="00D2206C">
        <w:rPr>
          <w:rFonts w:eastAsia="Times New Roman"/>
          <w:lang w:val="en-US"/>
        </w:rPr>
        <w:t>vol. 41, no. 1, pp. 80-108.</w:t>
      </w:r>
    </w:p>
    <w:p w14:paraId="026BCC15" w14:textId="77777777" w:rsidR="002E7577" w:rsidRDefault="00C818DA" w:rsidP="005D40B5">
      <w:pPr>
        <w:spacing w:before="100" w:beforeAutospacing="1" w:after="100" w:afterAutospacing="1"/>
        <w:ind w:left="450" w:hanging="450"/>
        <w:rPr>
          <w:rFonts w:eastAsia="Times New Roman"/>
          <w:lang w:val="en-US"/>
        </w:rPr>
      </w:pPr>
      <w:r w:rsidRPr="00ED5CAF">
        <w:rPr>
          <w:rFonts w:eastAsia="Times New Roman"/>
          <w:lang w:val="en-US"/>
        </w:rPr>
        <w:t xml:space="preserve">NAO (National Audit Office) 2011, </w:t>
      </w:r>
      <w:r w:rsidRPr="00ED5CAF">
        <w:rPr>
          <w:rFonts w:eastAsia="Times New Roman"/>
          <w:i/>
          <w:iCs/>
          <w:lang w:val="en-US"/>
        </w:rPr>
        <w:t>Managing risk in government</w:t>
      </w:r>
      <w:r w:rsidRPr="00ED5CAF">
        <w:rPr>
          <w:rFonts w:eastAsia="Times New Roman"/>
          <w:lang w:val="en-US"/>
        </w:rPr>
        <w:t xml:space="preserve">, NAO Communications. </w:t>
      </w:r>
    </w:p>
    <w:p w14:paraId="6A93A256" w14:textId="3694B836" w:rsidR="004B1F22" w:rsidRPr="00ED5CAF" w:rsidRDefault="004B1F22" w:rsidP="005D40B5">
      <w:pPr>
        <w:spacing w:before="100" w:beforeAutospacing="1" w:after="100" w:afterAutospacing="1"/>
        <w:ind w:left="450" w:hanging="450"/>
        <w:rPr>
          <w:rFonts w:eastAsia="Times New Roman"/>
          <w:lang w:val="en-US"/>
        </w:rPr>
      </w:pPr>
      <w:r w:rsidRPr="00ED5CAF">
        <w:rPr>
          <w:rFonts w:eastAsia="Times New Roman"/>
          <w:lang w:val="en-US"/>
        </w:rPr>
        <w:t xml:space="preserve">Patton, M. 2015, </w:t>
      </w:r>
      <w:r w:rsidRPr="00ED5CAF">
        <w:rPr>
          <w:rFonts w:eastAsia="Times New Roman"/>
          <w:i/>
          <w:iCs/>
          <w:lang w:val="en-US"/>
        </w:rPr>
        <w:t xml:space="preserve">Qualitative research and evaluation methods: Integrating theory and practice, </w:t>
      </w:r>
      <w:r w:rsidRPr="00ED5CAF">
        <w:rPr>
          <w:rFonts w:eastAsia="Times New Roman"/>
          <w:lang w:val="en-US"/>
        </w:rPr>
        <w:t xml:space="preserve">4th </w:t>
      </w:r>
      <w:proofErr w:type="spellStart"/>
      <w:r w:rsidRPr="00ED5CAF">
        <w:rPr>
          <w:rFonts w:eastAsia="Times New Roman"/>
          <w:lang w:val="en-US"/>
        </w:rPr>
        <w:t>edn</w:t>
      </w:r>
      <w:proofErr w:type="spellEnd"/>
      <w:r w:rsidRPr="00ED5CAF">
        <w:rPr>
          <w:rFonts w:eastAsia="Times New Roman"/>
          <w:lang w:val="en-US"/>
        </w:rPr>
        <w:t xml:space="preserve">, Thousand Oaks, CA: Sage. </w:t>
      </w:r>
    </w:p>
    <w:p w14:paraId="1C76EA78" w14:textId="77777777" w:rsidR="00A03E2A" w:rsidRDefault="00A03E2A" w:rsidP="005D40B5">
      <w:pPr>
        <w:ind w:left="450" w:hanging="450"/>
        <w:jc w:val="left"/>
        <w:rPr>
          <w:rFonts w:eastAsia="Times New Roman"/>
          <w:lang w:val="en-US"/>
        </w:rPr>
      </w:pPr>
      <w:r w:rsidRPr="00ED5CAF">
        <w:rPr>
          <w:rFonts w:eastAsia="Times New Roman"/>
          <w:lang w:val="en-US"/>
        </w:rPr>
        <w:t xml:space="preserve">Palermo, T. 2014, "Accountability and expertise in public sector risk management: a case study", </w:t>
      </w:r>
      <w:r w:rsidRPr="00ED5CAF">
        <w:rPr>
          <w:rFonts w:eastAsia="Times New Roman"/>
          <w:i/>
          <w:iCs/>
          <w:lang w:val="en-US"/>
        </w:rPr>
        <w:t xml:space="preserve">Financial Accountability and Management, </w:t>
      </w:r>
      <w:r w:rsidRPr="00ED5CAF">
        <w:rPr>
          <w:rFonts w:eastAsia="Times New Roman"/>
          <w:lang w:val="en-US"/>
        </w:rPr>
        <w:t xml:space="preserve">vol. 30, no. 3, pp. 322-341. </w:t>
      </w:r>
    </w:p>
    <w:p w14:paraId="7B1C94E9" w14:textId="77777777" w:rsidR="002E7577" w:rsidRPr="00ED5CAF" w:rsidRDefault="002E7577" w:rsidP="005D40B5">
      <w:pPr>
        <w:ind w:left="450" w:hanging="450"/>
        <w:jc w:val="left"/>
        <w:rPr>
          <w:rFonts w:eastAsia="Times New Roman"/>
          <w:lang w:val="en-US"/>
        </w:rPr>
      </w:pPr>
    </w:p>
    <w:p w14:paraId="52DE9110" w14:textId="24687562" w:rsidR="004B1F22" w:rsidRDefault="00A94719" w:rsidP="005D40B5">
      <w:pPr>
        <w:ind w:left="450" w:hanging="450"/>
        <w:jc w:val="left"/>
        <w:rPr>
          <w:rFonts w:eastAsia="Times New Roman"/>
          <w:lang w:val="en-US"/>
        </w:rPr>
      </w:pPr>
      <w:r w:rsidRPr="00ED5CAF">
        <w:rPr>
          <w:rFonts w:eastAsia="Times New Roman"/>
          <w:lang w:val="en-US"/>
        </w:rPr>
        <w:t>Scottish Parliament 2013, June 26, 2013-last update</w:t>
      </w:r>
      <w:r w:rsidRPr="00ED5CAF">
        <w:rPr>
          <w:rFonts w:eastAsia="Times New Roman"/>
          <w:i/>
          <w:iCs/>
          <w:lang w:val="en-US"/>
        </w:rPr>
        <w:t>, Local Government and Regeneration Committee 9th Report, 2013 (Session 4). Public Services Reform in Scotland: Strand 3 - Developing New Ways of Delivering Services</w:t>
      </w:r>
      <w:r w:rsidRPr="00ED5CAF">
        <w:rPr>
          <w:rFonts w:eastAsia="Times New Roman"/>
          <w:lang w:val="en-US"/>
        </w:rPr>
        <w:t xml:space="preserve"> [Homepage of APS Group Scotland], [Online]. Available: </w:t>
      </w:r>
      <w:hyperlink r:id="rId14" w:tgtFrame="_blank" w:history="1">
        <w:r w:rsidRPr="00ED5CAF">
          <w:rPr>
            <w:rFonts w:eastAsia="Times New Roman"/>
            <w:color w:val="0563C1" w:themeColor="hyperlink"/>
            <w:u w:val="single"/>
            <w:lang w:val="en-US"/>
          </w:rPr>
          <w:t>http://www.scottish.parliament.uk/S4_LocalGovernmentandRegenerationCommittee/Reports/lgr-13-09w.pdf</w:t>
        </w:r>
      </w:hyperlink>
      <w:r w:rsidRPr="00ED5CAF">
        <w:rPr>
          <w:rFonts w:eastAsia="Times New Roman"/>
          <w:lang w:val="en-US"/>
        </w:rPr>
        <w:t xml:space="preserve"> [2015, July 2]</w:t>
      </w:r>
    </w:p>
    <w:p w14:paraId="44F4A460" w14:textId="77777777" w:rsidR="002E7577" w:rsidRPr="00ED5CAF" w:rsidRDefault="002E7577" w:rsidP="005D40B5">
      <w:pPr>
        <w:ind w:left="450" w:hanging="450"/>
        <w:jc w:val="left"/>
        <w:rPr>
          <w:rFonts w:eastAsia="Times New Roman"/>
          <w:lang w:val="en-US"/>
        </w:rPr>
      </w:pPr>
    </w:p>
    <w:p w14:paraId="3F6FFB43" w14:textId="77777777" w:rsidR="004B1F22" w:rsidRDefault="004B1F22" w:rsidP="005D40B5">
      <w:pPr>
        <w:ind w:left="450" w:hanging="450"/>
        <w:jc w:val="left"/>
        <w:rPr>
          <w:rFonts w:eastAsia="Times New Roman"/>
          <w:lang w:val="en-US"/>
        </w:rPr>
      </w:pPr>
      <w:r w:rsidRPr="00ED5CAF">
        <w:rPr>
          <w:rFonts w:eastAsia="Times New Roman"/>
          <w:lang w:val="en-US"/>
        </w:rPr>
        <w:t xml:space="preserve">Shim, D.C., Park, H.H. and </w:t>
      </w:r>
      <w:proofErr w:type="spellStart"/>
      <w:r w:rsidRPr="00ED5CAF">
        <w:rPr>
          <w:rFonts w:eastAsia="Times New Roman"/>
          <w:lang w:val="en-US"/>
        </w:rPr>
        <w:t>Eom</w:t>
      </w:r>
      <w:proofErr w:type="spellEnd"/>
      <w:r w:rsidRPr="00ED5CAF">
        <w:rPr>
          <w:rFonts w:eastAsia="Times New Roman"/>
          <w:lang w:val="en-US"/>
        </w:rPr>
        <w:t xml:space="preserve">, T.H. 2017, "Street-level bureaucrats’ turnover intention: does public service motivation matter?", </w:t>
      </w:r>
      <w:r w:rsidRPr="00ED5CAF">
        <w:rPr>
          <w:rFonts w:eastAsia="Times New Roman"/>
          <w:i/>
          <w:iCs/>
          <w:lang w:val="en-US"/>
        </w:rPr>
        <w:t xml:space="preserve">International Review of Administrative Sciences, </w:t>
      </w:r>
      <w:r w:rsidRPr="00ED5CAF">
        <w:rPr>
          <w:rFonts w:eastAsia="Times New Roman"/>
          <w:lang w:val="en-US"/>
        </w:rPr>
        <w:t xml:space="preserve">vol. 83, no. 3, pp. 563-582. </w:t>
      </w:r>
    </w:p>
    <w:p w14:paraId="58FE0A3B" w14:textId="6E52E320" w:rsidR="003239E8" w:rsidRPr="00ED5CAF" w:rsidRDefault="003239E8" w:rsidP="005D40B5">
      <w:pPr>
        <w:ind w:left="450" w:hanging="450"/>
        <w:jc w:val="left"/>
        <w:rPr>
          <w:rFonts w:eastAsia="Times New Roman"/>
          <w:lang w:val="en-US"/>
        </w:rPr>
      </w:pPr>
      <w:r w:rsidRPr="003239E8">
        <w:rPr>
          <w:rFonts w:eastAsia="Times New Roman"/>
          <w:lang w:val="en-US"/>
        </w:rPr>
        <w:t>Schatzki, T. (2002). Social science in society. Inquiry, 45(1), 119-138.</w:t>
      </w:r>
    </w:p>
    <w:p w14:paraId="46071B1F" w14:textId="1AC13EFD" w:rsidR="004B1F22" w:rsidRDefault="002E079A" w:rsidP="005D40B5">
      <w:proofErr w:type="spellStart"/>
      <w:r w:rsidRPr="002E079A">
        <w:t>Sztompka</w:t>
      </w:r>
      <w:proofErr w:type="spellEnd"/>
      <w:r w:rsidRPr="002E079A">
        <w:t>, P. (1991). Society in action: The theory of social becoming. University of Chicago Press.</w:t>
      </w:r>
    </w:p>
    <w:p w14:paraId="43DE05D9" w14:textId="77777777" w:rsidR="003A06EE" w:rsidRPr="00D529C1" w:rsidRDefault="003A06EE" w:rsidP="005D40B5">
      <w:pPr>
        <w:spacing w:before="100" w:beforeAutospacing="1" w:after="100" w:afterAutospacing="1"/>
        <w:ind w:left="450" w:hanging="450"/>
        <w:rPr>
          <w:rFonts w:eastAsia="Times New Roman"/>
          <w:lang w:val="en-US"/>
        </w:rPr>
      </w:pPr>
    </w:p>
    <w:p w14:paraId="7BEED49E" w14:textId="77777777" w:rsidR="00AF3044" w:rsidRDefault="00AF3044" w:rsidP="005D40B5"/>
    <w:sectPr w:rsidR="00AF304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141362" w14:textId="77777777" w:rsidR="000B58AC" w:rsidRDefault="000B58AC" w:rsidP="009F641C">
      <w:pPr>
        <w:spacing w:line="240" w:lineRule="auto"/>
      </w:pPr>
      <w:r>
        <w:separator/>
      </w:r>
    </w:p>
  </w:endnote>
  <w:endnote w:type="continuationSeparator" w:id="0">
    <w:p w14:paraId="212A7D24" w14:textId="77777777" w:rsidR="000B58AC" w:rsidRDefault="000B58AC" w:rsidP="009F641C">
      <w:pPr>
        <w:spacing w:line="240" w:lineRule="auto"/>
      </w:pPr>
      <w:r>
        <w:continuationSeparator/>
      </w:r>
    </w:p>
  </w:endnote>
  <w:endnote w:type="continuationNotice" w:id="1">
    <w:p w14:paraId="4DA4A257" w14:textId="77777777" w:rsidR="000B58AC" w:rsidRDefault="000B58A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29002607"/>
      <w:docPartObj>
        <w:docPartGallery w:val="Page Numbers (Bottom of Page)"/>
        <w:docPartUnique/>
      </w:docPartObj>
    </w:sdtPr>
    <w:sdtEndPr>
      <w:rPr>
        <w:noProof/>
      </w:rPr>
    </w:sdtEndPr>
    <w:sdtContent>
      <w:p w14:paraId="753ACD94" w14:textId="77777777" w:rsidR="009F641C" w:rsidRDefault="009F641C">
        <w:pPr>
          <w:pStyle w:val="Footer"/>
          <w:spacing w:after="576"/>
          <w:jc w:val="center"/>
        </w:pPr>
        <w:r>
          <w:fldChar w:fldCharType="begin"/>
        </w:r>
        <w:r>
          <w:instrText xml:space="preserve"> PAGE   \* MERGEFORMAT </w:instrText>
        </w:r>
        <w:r>
          <w:fldChar w:fldCharType="separate"/>
        </w:r>
        <w:r>
          <w:rPr>
            <w:noProof/>
          </w:rPr>
          <w:t>394</w:t>
        </w:r>
        <w:r>
          <w:rPr>
            <w:noProof/>
          </w:rPr>
          <w:fldChar w:fldCharType="end"/>
        </w:r>
      </w:p>
    </w:sdtContent>
  </w:sdt>
  <w:p w14:paraId="6BED92E3" w14:textId="77777777" w:rsidR="009F641C" w:rsidRDefault="009F64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C583C4" w14:textId="77777777" w:rsidR="000B58AC" w:rsidRDefault="000B58AC" w:rsidP="009F641C">
      <w:pPr>
        <w:spacing w:line="240" w:lineRule="auto"/>
      </w:pPr>
      <w:r>
        <w:separator/>
      </w:r>
    </w:p>
  </w:footnote>
  <w:footnote w:type="continuationSeparator" w:id="0">
    <w:p w14:paraId="27AA181C" w14:textId="77777777" w:rsidR="000B58AC" w:rsidRDefault="000B58AC" w:rsidP="009F641C">
      <w:pPr>
        <w:spacing w:line="240" w:lineRule="auto"/>
      </w:pPr>
      <w:r>
        <w:continuationSeparator/>
      </w:r>
    </w:p>
  </w:footnote>
  <w:footnote w:type="continuationNotice" w:id="1">
    <w:p w14:paraId="172C05B2" w14:textId="77777777" w:rsidR="000B58AC" w:rsidRDefault="000B58AC">
      <w:pPr>
        <w:spacing w:line="240" w:lineRule="auto"/>
      </w:pPr>
    </w:p>
  </w:footnote>
  <w:footnote w:id="2">
    <w:p w14:paraId="4DC68BA3" w14:textId="77777777" w:rsidR="009F641C" w:rsidRDefault="009F641C" w:rsidP="009F641C">
      <w:pPr>
        <w:pStyle w:val="FootnoteText"/>
      </w:pPr>
      <w:r>
        <w:rPr>
          <w:rStyle w:val="FootnoteReference"/>
        </w:rPr>
        <w:footnoteRef/>
      </w:r>
      <w:r>
        <w:t xml:space="preserve"> Retrospective sensemaking means constructing a version of reality based on retrospective thinking (Weick, 1995).</w:t>
      </w:r>
    </w:p>
  </w:footnote>
  <w:footnote w:id="3">
    <w:p w14:paraId="54E7C2FB" w14:textId="77777777" w:rsidR="009F641C" w:rsidRDefault="009F641C" w:rsidP="009F641C">
      <w:pPr>
        <w:pStyle w:val="FootnoteText"/>
      </w:pPr>
      <w:r>
        <w:rPr>
          <w:rStyle w:val="FootnoteReference"/>
        </w:rPr>
        <w:footnoteRef/>
      </w:r>
      <w:r>
        <w:t xml:space="preserve"> Impression management refers to management’s attempt to present information (organisational matters, events, processes, and others) in the way that they want. It could entail presenting information in a way that promotes a perception of the organisation or influencing information to favour them (Jones, 2011).</w:t>
      </w:r>
    </w:p>
  </w:footnote>
  <w:footnote w:id="4">
    <w:p w14:paraId="798FCD3E" w14:textId="77777777" w:rsidR="00B814F4" w:rsidRDefault="00B814F4" w:rsidP="00B814F4">
      <w:pPr>
        <w:pStyle w:val="FootnoteText"/>
        <w:spacing w:after="576"/>
      </w:pPr>
      <w:r>
        <w:rPr>
          <w:rStyle w:val="FootnoteReference"/>
        </w:rPr>
        <w:footnoteRef/>
      </w:r>
      <w:r>
        <w:t xml:space="preserve"> Politics and socio-economic structures constitute outer or external institutional structures. Discussions on demography were included in socio-economic discussions.</w:t>
      </w:r>
    </w:p>
  </w:footnote>
  <w:footnote w:id="5">
    <w:p w14:paraId="382ED7F7" w14:textId="43F74874" w:rsidR="009F641C" w:rsidRDefault="009F641C" w:rsidP="009F641C">
      <w:pPr>
        <w:pStyle w:val="FootnoteText"/>
      </w:pPr>
      <w:r>
        <w:rPr>
          <w:rStyle w:val="FootnoteReference"/>
        </w:rPr>
        <w:footnoteRef/>
      </w:r>
      <w:r>
        <w:t xml:space="preserve"> </w:t>
      </w:r>
      <w:r w:rsidRPr="00401FE8">
        <w:t>The first step in risk management is risk awareness/identification. As such, social risk awareness/identification is part of the overall process of social risk management. The distinction is made here to highlight the differences social risk, as conceptualised in Councils A and B</w:t>
      </w:r>
      <w:r w:rsidR="00785016">
        <w:t xml:space="preserve">. </w:t>
      </w:r>
      <w:r w:rsidRPr="00401FE8">
        <w:t>The distinction is made here to highlight the differences social risk as conceptualised in Councils A and B.</w:t>
      </w:r>
    </w:p>
  </w:footnote>
  <w:footnote w:id="6">
    <w:p w14:paraId="7CF1B1D2" w14:textId="77777777" w:rsidR="009F641C" w:rsidRDefault="009F641C" w:rsidP="009F641C">
      <w:pPr>
        <w:pStyle w:val="FootnoteText"/>
      </w:pPr>
      <w:r>
        <w:rPr>
          <w:rStyle w:val="FootnoteReference"/>
        </w:rPr>
        <w:footnoteRef/>
      </w:r>
      <w:r>
        <w:t xml:space="preserve"> Poor learning outcome was identified here as a potential cause of inequality.</w:t>
      </w:r>
    </w:p>
  </w:footnote>
  <w:footnote w:id="7">
    <w:p w14:paraId="5F3FC198" w14:textId="39A71E47" w:rsidR="009F641C" w:rsidRDefault="009F641C" w:rsidP="009F641C">
      <w:pPr>
        <w:pStyle w:val="FootnoteText"/>
      </w:pPr>
      <w:r>
        <w:rPr>
          <w:rStyle w:val="FootnoteReference"/>
        </w:rPr>
        <w:footnoteRef/>
      </w:r>
      <w:r>
        <w:t xml:space="preserve"> There were no clear responses regarding the management of this risk. However, </w:t>
      </w:r>
      <w:r w:rsidR="00785016">
        <w:t xml:space="preserve">as noted by one of the senior managers with strategic and implementation (SMSI) responsibilities </w:t>
      </w:r>
      <w:r>
        <w:t>social inclusion could be an effective social risk management strategy</w:t>
      </w:r>
      <w:r w:rsidR="00785016">
        <w:t xml:space="preserve">. </w:t>
      </w:r>
      <w:r>
        <w:t>A</w:t>
      </w:r>
      <w:r w:rsidR="00785016">
        <w:t xml:space="preserve"> middle level manager with strategic responsibility (</w:t>
      </w:r>
      <w:r>
        <w:t>MMS</w:t>
      </w:r>
      <w:r w:rsidR="00785016">
        <w:t>)</w:t>
      </w:r>
      <w:r>
        <w:t xml:space="preserve"> explained that effective communication at senior management level helped in managing reductionism risk associated with the partnership pillar. However, this highlights the communication gap between senior, </w:t>
      </w:r>
      <w:r w:rsidR="00785016">
        <w:t>middle,</w:t>
      </w:r>
      <w:r>
        <w:t xml:space="preserve"> and front-line managers, leaving room for poor alignment between strategy formulation and strategy implementation.</w:t>
      </w:r>
    </w:p>
    <w:p w14:paraId="2BF2CB3F" w14:textId="77777777" w:rsidR="009F641C" w:rsidRDefault="009F641C" w:rsidP="009F641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745A0C" w14:textId="5BE3D46E" w:rsidR="003A06EE" w:rsidRDefault="003A06EE" w:rsidP="003A06EE">
    <w:pPr>
      <w:pStyle w:val="Header"/>
      <w:jc w:val="center"/>
    </w:pPr>
    <w:r>
      <w:t xml:space="preserve">Production and Management of Social Risks of Inequalities During School Education </w:t>
    </w:r>
    <w:r w:rsidR="00DB5ABB">
      <w:t>Transformation</w:t>
    </w:r>
    <w:r>
      <w:t>: The Role of Signification Structures and Interpretive Schemes</w:t>
    </w:r>
  </w:p>
  <w:p w14:paraId="1C6C005D" w14:textId="354DEA4B" w:rsidR="009F641C" w:rsidRPr="003A06EE" w:rsidRDefault="009F641C" w:rsidP="003A06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1091DD" w14:textId="58941414" w:rsidR="009F641C" w:rsidRDefault="003A06EE" w:rsidP="00EE21C0">
    <w:pPr>
      <w:pStyle w:val="Header"/>
      <w:jc w:val="center"/>
    </w:pPr>
    <w:r>
      <w:t xml:space="preserve">Production and Management of Social Risks of Inequalities During School Education </w:t>
    </w:r>
    <w:r w:rsidR="00DB5ABB">
      <w:t>Transformation</w:t>
    </w:r>
    <w:r>
      <w:t>: The Role of Signification Structures and Interpretive Schemes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90538"/>
    <w:multiLevelType w:val="multilevel"/>
    <w:tmpl w:val="4624404A"/>
    <w:lvl w:ilvl="0">
      <w:start w:val="6"/>
      <w:numFmt w:val="decimal"/>
      <w:lvlText w:val="%1."/>
      <w:lvlJc w:val="left"/>
      <w:pPr>
        <w:ind w:left="284" w:hanging="360"/>
      </w:pPr>
      <w:rPr>
        <w:rFonts w:hint="default"/>
      </w:rPr>
    </w:lvl>
    <w:lvl w:ilvl="1">
      <w:start w:val="1"/>
      <w:numFmt w:val="decimal"/>
      <w:lvlText w:val="%1.%2."/>
      <w:lvlJc w:val="left"/>
      <w:pPr>
        <w:ind w:left="716" w:hanging="432"/>
      </w:pPr>
      <w:rPr>
        <w:rFonts w:hint="default"/>
      </w:rPr>
    </w:lvl>
    <w:lvl w:ilvl="2">
      <w:start w:val="1"/>
      <w:numFmt w:val="decimal"/>
      <w:lvlText w:val="%1.%2.%3."/>
      <w:lvlJc w:val="left"/>
      <w:pPr>
        <w:ind w:left="1148" w:hanging="504"/>
      </w:pPr>
      <w:rPr>
        <w:rFonts w:hint="default"/>
      </w:rPr>
    </w:lvl>
    <w:lvl w:ilvl="3">
      <w:start w:val="1"/>
      <w:numFmt w:val="decimal"/>
      <w:lvlText w:val="%1.%2.%3.%4."/>
      <w:lvlJc w:val="left"/>
      <w:pPr>
        <w:ind w:left="1652" w:hanging="648"/>
      </w:pPr>
      <w:rPr>
        <w:rFonts w:hint="default"/>
      </w:rPr>
    </w:lvl>
    <w:lvl w:ilvl="4">
      <w:start w:val="1"/>
      <w:numFmt w:val="decimal"/>
      <w:lvlText w:val="%1.%2.%3.%4.%5."/>
      <w:lvlJc w:val="left"/>
      <w:pPr>
        <w:ind w:left="2156" w:hanging="792"/>
      </w:pPr>
      <w:rPr>
        <w:rFonts w:hint="default"/>
      </w:rPr>
    </w:lvl>
    <w:lvl w:ilvl="5">
      <w:start w:val="1"/>
      <w:numFmt w:val="decimal"/>
      <w:lvlText w:val="%1.%2.%3.%4.%5.%6."/>
      <w:lvlJc w:val="left"/>
      <w:pPr>
        <w:ind w:left="2660" w:hanging="936"/>
      </w:pPr>
      <w:rPr>
        <w:rFonts w:hint="default"/>
      </w:rPr>
    </w:lvl>
    <w:lvl w:ilvl="6">
      <w:start w:val="1"/>
      <w:numFmt w:val="decimal"/>
      <w:lvlText w:val="%1.%2.%3.%4.%5.%6.%7."/>
      <w:lvlJc w:val="left"/>
      <w:pPr>
        <w:ind w:left="3164" w:hanging="1080"/>
      </w:pPr>
      <w:rPr>
        <w:rFonts w:hint="default"/>
      </w:rPr>
    </w:lvl>
    <w:lvl w:ilvl="7">
      <w:start w:val="1"/>
      <w:numFmt w:val="decimal"/>
      <w:lvlText w:val="%1.%2.%3.%4.%5.%6.%7.%8."/>
      <w:lvlJc w:val="left"/>
      <w:pPr>
        <w:ind w:left="3668" w:hanging="1224"/>
      </w:pPr>
      <w:rPr>
        <w:rFonts w:hint="default"/>
      </w:rPr>
    </w:lvl>
    <w:lvl w:ilvl="8">
      <w:start w:val="1"/>
      <w:numFmt w:val="decimal"/>
      <w:lvlText w:val="%1.%2.%3.%4.%5.%6.%7.%8.%9."/>
      <w:lvlJc w:val="left"/>
      <w:pPr>
        <w:ind w:left="4244" w:hanging="1440"/>
      </w:pPr>
      <w:rPr>
        <w:rFonts w:hint="default"/>
      </w:rPr>
    </w:lvl>
  </w:abstractNum>
  <w:abstractNum w:abstractNumId="1" w15:restartNumberingAfterBreak="0">
    <w:nsid w:val="07521404"/>
    <w:multiLevelType w:val="hybridMultilevel"/>
    <w:tmpl w:val="27A40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EF0229"/>
    <w:multiLevelType w:val="hybridMultilevel"/>
    <w:tmpl w:val="AFCA77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C93F52"/>
    <w:multiLevelType w:val="hybridMultilevel"/>
    <w:tmpl w:val="F50A2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436F94"/>
    <w:multiLevelType w:val="hybridMultilevel"/>
    <w:tmpl w:val="88B615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7FF4FEE"/>
    <w:multiLevelType w:val="hybridMultilevel"/>
    <w:tmpl w:val="333AB6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CB3288B"/>
    <w:multiLevelType w:val="hybridMultilevel"/>
    <w:tmpl w:val="127EE1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B55158C"/>
    <w:multiLevelType w:val="hybridMultilevel"/>
    <w:tmpl w:val="9D5661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19F5B3B"/>
    <w:multiLevelType w:val="multilevel"/>
    <w:tmpl w:val="92B23924"/>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9" w15:restartNumberingAfterBreak="0">
    <w:nsid w:val="31B2442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2AD5F63"/>
    <w:multiLevelType w:val="hybridMultilevel"/>
    <w:tmpl w:val="24A67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1C1BCE"/>
    <w:multiLevelType w:val="hybridMultilevel"/>
    <w:tmpl w:val="C2EEAF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6CB15A0"/>
    <w:multiLevelType w:val="hybridMultilevel"/>
    <w:tmpl w:val="7AFEF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7E6E5D"/>
    <w:multiLevelType w:val="multilevel"/>
    <w:tmpl w:val="ED7C46E2"/>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28C5769"/>
    <w:multiLevelType w:val="hybridMultilevel"/>
    <w:tmpl w:val="40242A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2EA72FF"/>
    <w:multiLevelType w:val="hybridMultilevel"/>
    <w:tmpl w:val="6D526A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4F52F81"/>
    <w:multiLevelType w:val="hybridMultilevel"/>
    <w:tmpl w:val="40B605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5563085"/>
    <w:multiLevelType w:val="hybridMultilevel"/>
    <w:tmpl w:val="3886FC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8C73164"/>
    <w:multiLevelType w:val="multilevel"/>
    <w:tmpl w:val="61905C38"/>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0641423">
    <w:abstractNumId w:val="8"/>
  </w:num>
  <w:num w:numId="2" w16cid:durableId="1444811616">
    <w:abstractNumId w:val="0"/>
  </w:num>
  <w:num w:numId="3" w16cid:durableId="821432093">
    <w:abstractNumId w:val="6"/>
  </w:num>
  <w:num w:numId="4" w16cid:durableId="102501843">
    <w:abstractNumId w:val="18"/>
  </w:num>
  <w:num w:numId="5" w16cid:durableId="175114695">
    <w:abstractNumId w:val="7"/>
  </w:num>
  <w:num w:numId="6" w16cid:durableId="1268391873">
    <w:abstractNumId w:val="11"/>
  </w:num>
  <w:num w:numId="7" w16cid:durableId="2025159350">
    <w:abstractNumId w:val="15"/>
  </w:num>
  <w:num w:numId="8" w16cid:durableId="1796828184">
    <w:abstractNumId w:val="2"/>
  </w:num>
  <w:num w:numId="9" w16cid:durableId="383719416">
    <w:abstractNumId w:val="4"/>
  </w:num>
  <w:num w:numId="10" w16cid:durableId="1406415929">
    <w:abstractNumId w:val="5"/>
  </w:num>
  <w:num w:numId="11" w16cid:durableId="716927311">
    <w:abstractNumId w:val="16"/>
  </w:num>
  <w:num w:numId="12" w16cid:durableId="445202370">
    <w:abstractNumId w:val="10"/>
  </w:num>
  <w:num w:numId="13" w16cid:durableId="2096703575">
    <w:abstractNumId w:val="14"/>
  </w:num>
  <w:num w:numId="14" w16cid:durableId="1585335342">
    <w:abstractNumId w:val="9"/>
  </w:num>
  <w:num w:numId="15" w16cid:durableId="1307660802">
    <w:abstractNumId w:val="1"/>
  </w:num>
  <w:num w:numId="16" w16cid:durableId="1666976864">
    <w:abstractNumId w:val="13"/>
  </w:num>
  <w:num w:numId="17" w16cid:durableId="1289168392">
    <w:abstractNumId w:val="3"/>
  </w:num>
  <w:num w:numId="18" w16cid:durableId="751008027">
    <w:abstractNumId w:val="12"/>
  </w:num>
  <w:num w:numId="19" w16cid:durableId="120849500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41C"/>
    <w:rsid w:val="00001515"/>
    <w:rsid w:val="000169DE"/>
    <w:rsid w:val="00027980"/>
    <w:rsid w:val="00036488"/>
    <w:rsid w:val="00041FC4"/>
    <w:rsid w:val="00051C5D"/>
    <w:rsid w:val="000601EF"/>
    <w:rsid w:val="00067565"/>
    <w:rsid w:val="000778CD"/>
    <w:rsid w:val="0009430E"/>
    <w:rsid w:val="000965EA"/>
    <w:rsid w:val="00097B60"/>
    <w:rsid w:val="000A03C2"/>
    <w:rsid w:val="000A4692"/>
    <w:rsid w:val="000A6565"/>
    <w:rsid w:val="000B58AC"/>
    <w:rsid w:val="000B738A"/>
    <w:rsid w:val="000D1118"/>
    <w:rsid w:val="000D5958"/>
    <w:rsid w:val="000E22E3"/>
    <w:rsid w:val="00101DDE"/>
    <w:rsid w:val="00110395"/>
    <w:rsid w:val="00116D9E"/>
    <w:rsid w:val="00121786"/>
    <w:rsid w:val="00126B1B"/>
    <w:rsid w:val="00131FBF"/>
    <w:rsid w:val="0013303D"/>
    <w:rsid w:val="00165BE7"/>
    <w:rsid w:val="00187C09"/>
    <w:rsid w:val="0019395D"/>
    <w:rsid w:val="001A4F45"/>
    <w:rsid w:val="001B10CB"/>
    <w:rsid w:val="001E07C4"/>
    <w:rsid w:val="001E75DD"/>
    <w:rsid w:val="002003A8"/>
    <w:rsid w:val="00201032"/>
    <w:rsid w:val="00201260"/>
    <w:rsid w:val="00214E70"/>
    <w:rsid w:val="002174F2"/>
    <w:rsid w:val="0022186A"/>
    <w:rsid w:val="00223E8E"/>
    <w:rsid w:val="00224CBE"/>
    <w:rsid w:val="00226954"/>
    <w:rsid w:val="002276B6"/>
    <w:rsid w:val="00231AF1"/>
    <w:rsid w:val="00236E00"/>
    <w:rsid w:val="00247375"/>
    <w:rsid w:val="00253FD4"/>
    <w:rsid w:val="0025588B"/>
    <w:rsid w:val="0026420F"/>
    <w:rsid w:val="00274074"/>
    <w:rsid w:val="002910EC"/>
    <w:rsid w:val="002A5116"/>
    <w:rsid w:val="002B67F7"/>
    <w:rsid w:val="002C0407"/>
    <w:rsid w:val="002D15F3"/>
    <w:rsid w:val="002D215E"/>
    <w:rsid w:val="002E079A"/>
    <w:rsid w:val="002E0C82"/>
    <w:rsid w:val="002E7577"/>
    <w:rsid w:val="002F1688"/>
    <w:rsid w:val="003064F2"/>
    <w:rsid w:val="0031418F"/>
    <w:rsid w:val="003239E8"/>
    <w:rsid w:val="00324EE3"/>
    <w:rsid w:val="003418EF"/>
    <w:rsid w:val="00347C53"/>
    <w:rsid w:val="003760DE"/>
    <w:rsid w:val="00376712"/>
    <w:rsid w:val="00394757"/>
    <w:rsid w:val="003A06EE"/>
    <w:rsid w:val="003D27B5"/>
    <w:rsid w:val="003F3906"/>
    <w:rsid w:val="00400573"/>
    <w:rsid w:val="00403417"/>
    <w:rsid w:val="00404E19"/>
    <w:rsid w:val="00406B90"/>
    <w:rsid w:val="00424628"/>
    <w:rsid w:val="00426E76"/>
    <w:rsid w:val="00432A23"/>
    <w:rsid w:val="00446403"/>
    <w:rsid w:val="004473A3"/>
    <w:rsid w:val="004473F9"/>
    <w:rsid w:val="0045775A"/>
    <w:rsid w:val="00465986"/>
    <w:rsid w:val="00471F23"/>
    <w:rsid w:val="004742E7"/>
    <w:rsid w:val="004849BD"/>
    <w:rsid w:val="00496133"/>
    <w:rsid w:val="004A5F18"/>
    <w:rsid w:val="004B1F22"/>
    <w:rsid w:val="004D4146"/>
    <w:rsid w:val="004F4E83"/>
    <w:rsid w:val="00502DC4"/>
    <w:rsid w:val="005053FC"/>
    <w:rsid w:val="00513045"/>
    <w:rsid w:val="00545EA3"/>
    <w:rsid w:val="00565626"/>
    <w:rsid w:val="0057414D"/>
    <w:rsid w:val="00576867"/>
    <w:rsid w:val="00582CAA"/>
    <w:rsid w:val="005837A7"/>
    <w:rsid w:val="00583E9F"/>
    <w:rsid w:val="00593EEB"/>
    <w:rsid w:val="00595E0F"/>
    <w:rsid w:val="005A32CE"/>
    <w:rsid w:val="005A4106"/>
    <w:rsid w:val="005B3279"/>
    <w:rsid w:val="005B3937"/>
    <w:rsid w:val="005C1101"/>
    <w:rsid w:val="005C367A"/>
    <w:rsid w:val="005C7107"/>
    <w:rsid w:val="005D3F45"/>
    <w:rsid w:val="005D40B5"/>
    <w:rsid w:val="005E49AC"/>
    <w:rsid w:val="005E6FB5"/>
    <w:rsid w:val="00612540"/>
    <w:rsid w:val="0061261A"/>
    <w:rsid w:val="00622812"/>
    <w:rsid w:val="006327A4"/>
    <w:rsid w:val="006416D6"/>
    <w:rsid w:val="0064293E"/>
    <w:rsid w:val="00645A98"/>
    <w:rsid w:val="0065632A"/>
    <w:rsid w:val="00672195"/>
    <w:rsid w:val="00673112"/>
    <w:rsid w:val="00687068"/>
    <w:rsid w:val="006A790C"/>
    <w:rsid w:val="006E4574"/>
    <w:rsid w:val="006F0A92"/>
    <w:rsid w:val="006F412F"/>
    <w:rsid w:val="0071263D"/>
    <w:rsid w:val="00722F23"/>
    <w:rsid w:val="00725F9D"/>
    <w:rsid w:val="00726197"/>
    <w:rsid w:val="00743C17"/>
    <w:rsid w:val="0074588B"/>
    <w:rsid w:val="00746CC4"/>
    <w:rsid w:val="0075093D"/>
    <w:rsid w:val="00755A07"/>
    <w:rsid w:val="00756F97"/>
    <w:rsid w:val="0076371F"/>
    <w:rsid w:val="00785016"/>
    <w:rsid w:val="00790A3B"/>
    <w:rsid w:val="007B31C5"/>
    <w:rsid w:val="007C18A4"/>
    <w:rsid w:val="007C40DB"/>
    <w:rsid w:val="00820739"/>
    <w:rsid w:val="00823DD8"/>
    <w:rsid w:val="008269DD"/>
    <w:rsid w:val="00842F07"/>
    <w:rsid w:val="008430D3"/>
    <w:rsid w:val="008463ED"/>
    <w:rsid w:val="00852AE5"/>
    <w:rsid w:val="00856D88"/>
    <w:rsid w:val="00870535"/>
    <w:rsid w:val="00891B80"/>
    <w:rsid w:val="00892C2A"/>
    <w:rsid w:val="008A5C35"/>
    <w:rsid w:val="008B4A5C"/>
    <w:rsid w:val="008B6280"/>
    <w:rsid w:val="008C40F9"/>
    <w:rsid w:val="008D18B9"/>
    <w:rsid w:val="008D625B"/>
    <w:rsid w:val="008F4519"/>
    <w:rsid w:val="00903FB4"/>
    <w:rsid w:val="00926A62"/>
    <w:rsid w:val="00943E20"/>
    <w:rsid w:val="0094575B"/>
    <w:rsid w:val="0098347E"/>
    <w:rsid w:val="009858FF"/>
    <w:rsid w:val="00990431"/>
    <w:rsid w:val="00992C73"/>
    <w:rsid w:val="00995616"/>
    <w:rsid w:val="009C2664"/>
    <w:rsid w:val="009C661D"/>
    <w:rsid w:val="009D78EC"/>
    <w:rsid w:val="009E03FD"/>
    <w:rsid w:val="009F641C"/>
    <w:rsid w:val="00A03E2A"/>
    <w:rsid w:val="00A045EA"/>
    <w:rsid w:val="00A1417F"/>
    <w:rsid w:val="00A26B50"/>
    <w:rsid w:val="00A619D8"/>
    <w:rsid w:val="00A65ACC"/>
    <w:rsid w:val="00A67012"/>
    <w:rsid w:val="00A80F40"/>
    <w:rsid w:val="00A94719"/>
    <w:rsid w:val="00AA4B3E"/>
    <w:rsid w:val="00AB1379"/>
    <w:rsid w:val="00AC0CCA"/>
    <w:rsid w:val="00AD144B"/>
    <w:rsid w:val="00AD464C"/>
    <w:rsid w:val="00AD52F7"/>
    <w:rsid w:val="00AE128C"/>
    <w:rsid w:val="00AF3044"/>
    <w:rsid w:val="00B1083D"/>
    <w:rsid w:val="00B4559C"/>
    <w:rsid w:val="00B52430"/>
    <w:rsid w:val="00B63FE0"/>
    <w:rsid w:val="00B70724"/>
    <w:rsid w:val="00B814F4"/>
    <w:rsid w:val="00B83E17"/>
    <w:rsid w:val="00B92643"/>
    <w:rsid w:val="00B95437"/>
    <w:rsid w:val="00B96A03"/>
    <w:rsid w:val="00B97FDA"/>
    <w:rsid w:val="00BA479D"/>
    <w:rsid w:val="00BA5961"/>
    <w:rsid w:val="00BE1858"/>
    <w:rsid w:val="00C07169"/>
    <w:rsid w:val="00C155E3"/>
    <w:rsid w:val="00C15CF0"/>
    <w:rsid w:val="00C23BBD"/>
    <w:rsid w:val="00C61135"/>
    <w:rsid w:val="00C63489"/>
    <w:rsid w:val="00C818DA"/>
    <w:rsid w:val="00C83DBC"/>
    <w:rsid w:val="00C84207"/>
    <w:rsid w:val="00C94A40"/>
    <w:rsid w:val="00C95035"/>
    <w:rsid w:val="00CE0364"/>
    <w:rsid w:val="00D0373B"/>
    <w:rsid w:val="00D46C2B"/>
    <w:rsid w:val="00D5609C"/>
    <w:rsid w:val="00D94FC8"/>
    <w:rsid w:val="00DA2AFF"/>
    <w:rsid w:val="00DB5ABB"/>
    <w:rsid w:val="00DB6863"/>
    <w:rsid w:val="00DD4B68"/>
    <w:rsid w:val="00DD6024"/>
    <w:rsid w:val="00DE75A6"/>
    <w:rsid w:val="00DF2313"/>
    <w:rsid w:val="00DF2656"/>
    <w:rsid w:val="00DF2A4B"/>
    <w:rsid w:val="00E00D50"/>
    <w:rsid w:val="00E02532"/>
    <w:rsid w:val="00E32A0A"/>
    <w:rsid w:val="00E4100E"/>
    <w:rsid w:val="00E4390B"/>
    <w:rsid w:val="00E47E32"/>
    <w:rsid w:val="00E52BFD"/>
    <w:rsid w:val="00E6473B"/>
    <w:rsid w:val="00E7354C"/>
    <w:rsid w:val="00EC26FF"/>
    <w:rsid w:val="00ED1096"/>
    <w:rsid w:val="00ED5042"/>
    <w:rsid w:val="00ED6F15"/>
    <w:rsid w:val="00F1313E"/>
    <w:rsid w:val="00F140CC"/>
    <w:rsid w:val="00F15924"/>
    <w:rsid w:val="00F266EA"/>
    <w:rsid w:val="00F36F68"/>
    <w:rsid w:val="00F4038E"/>
    <w:rsid w:val="00F45696"/>
    <w:rsid w:val="00F63655"/>
    <w:rsid w:val="00F6690C"/>
    <w:rsid w:val="00F86FBB"/>
    <w:rsid w:val="00FA5A11"/>
    <w:rsid w:val="00FC1282"/>
    <w:rsid w:val="00FD37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DE4FC"/>
  <w15:chartTrackingRefBased/>
  <w15:docId w15:val="{4D323E45-9D5B-4F40-B701-ABC9D257F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41C"/>
    <w:pPr>
      <w:spacing w:after="0" w:line="360" w:lineRule="auto"/>
      <w:jc w:val="both"/>
    </w:pPr>
    <w:rPr>
      <w:rFonts w:ascii="Times New Roman" w:hAnsi="Times New Roman" w:cs="Times New Roman"/>
      <w:sz w:val="24"/>
      <w:szCs w:val="24"/>
    </w:rPr>
  </w:style>
  <w:style w:type="paragraph" w:styleId="Heading1">
    <w:name w:val="heading 1"/>
    <w:basedOn w:val="Normal"/>
    <w:next w:val="Normal"/>
    <w:link w:val="Heading1Char"/>
    <w:uiPriority w:val="9"/>
    <w:qFormat/>
    <w:rsid w:val="009F641C"/>
    <w:pPr>
      <w:keepNext/>
      <w:keepLines/>
      <w:numPr>
        <w:numId w:val="1"/>
      </w:numPr>
      <w:spacing w:after="360"/>
      <w:jc w:val="left"/>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9F641C"/>
    <w:pPr>
      <w:keepNext/>
      <w:keepLines/>
      <w:numPr>
        <w:ilvl w:val="1"/>
        <w:numId w:val="1"/>
      </w:numPr>
      <w:spacing w:before="360" w:after="240"/>
      <w:jc w:val="left"/>
      <w:outlineLvl w:val="1"/>
    </w:pPr>
    <w:rPr>
      <w:rFonts w:eastAsiaTheme="majorEastAsia" w:cstheme="majorBidi"/>
      <w:b/>
      <w:sz w:val="32"/>
      <w:szCs w:val="26"/>
    </w:rPr>
  </w:style>
  <w:style w:type="paragraph" w:styleId="Heading3">
    <w:name w:val="heading 3"/>
    <w:basedOn w:val="Normal"/>
    <w:next w:val="Normal"/>
    <w:link w:val="Heading3Char"/>
    <w:uiPriority w:val="9"/>
    <w:unhideWhenUsed/>
    <w:qFormat/>
    <w:rsid w:val="009F641C"/>
    <w:pPr>
      <w:keepNext/>
      <w:keepLines/>
      <w:numPr>
        <w:ilvl w:val="2"/>
        <w:numId w:val="1"/>
      </w:numPr>
      <w:spacing w:before="240" w:after="120"/>
      <w:jc w:val="left"/>
      <w:outlineLvl w:val="2"/>
    </w:pPr>
    <w:rPr>
      <w:rFonts w:eastAsiaTheme="majorEastAsia" w:cstheme="majorBidi"/>
      <w:b/>
      <w:sz w:val="28"/>
    </w:rPr>
  </w:style>
  <w:style w:type="paragraph" w:styleId="Heading4">
    <w:name w:val="heading 4"/>
    <w:basedOn w:val="Normal"/>
    <w:next w:val="Normal"/>
    <w:link w:val="Heading4Char"/>
    <w:uiPriority w:val="9"/>
    <w:semiHidden/>
    <w:unhideWhenUsed/>
    <w:qFormat/>
    <w:rsid w:val="00101DDE"/>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01DDE"/>
    <w:pPr>
      <w:keepNext/>
      <w:keepLines/>
      <w:spacing w:before="4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uiPriority w:val="9"/>
    <w:semiHidden/>
    <w:unhideWhenUsed/>
    <w:qFormat/>
    <w:rsid w:val="009F641C"/>
    <w:pPr>
      <w:keepNext/>
      <w:keepLines/>
      <w:numPr>
        <w:ilvl w:val="6"/>
        <w:numId w:val="1"/>
      </w:numPr>
      <w:spacing w:before="40" w:line="259" w:lineRule="auto"/>
      <w:jc w:val="left"/>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F641C"/>
    <w:pPr>
      <w:keepNext/>
      <w:keepLines/>
      <w:numPr>
        <w:ilvl w:val="7"/>
        <w:numId w:val="1"/>
      </w:numPr>
      <w:spacing w:before="40" w:line="259" w:lineRule="auto"/>
      <w:jc w:val="left"/>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F641C"/>
    <w:pPr>
      <w:keepNext/>
      <w:keepLines/>
      <w:numPr>
        <w:ilvl w:val="8"/>
        <w:numId w:val="1"/>
      </w:numPr>
      <w:spacing w:before="40" w:line="259" w:lineRule="auto"/>
      <w:jc w:val="left"/>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641C"/>
    <w:rPr>
      <w:rFonts w:ascii="Times New Roman" w:eastAsiaTheme="majorEastAsia" w:hAnsi="Times New Roman" w:cstheme="majorBidi"/>
      <w:b/>
      <w:sz w:val="36"/>
      <w:szCs w:val="32"/>
    </w:rPr>
  </w:style>
  <w:style w:type="character" w:customStyle="1" w:styleId="Heading2Char">
    <w:name w:val="Heading 2 Char"/>
    <w:basedOn w:val="DefaultParagraphFont"/>
    <w:link w:val="Heading2"/>
    <w:uiPriority w:val="9"/>
    <w:rsid w:val="009F641C"/>
    <w:rPr>
      <w:rFonts w:ascii="Times New Roman" w:eastAsiaTheme="majorEastAsia" w:hAnsi="Times New Roman" w:cstheme="majorBidi"/>
      <w:b/>
      <w:sz w:val="32"/>
      <w:szCs w:val="26"/>
    </w:rPr>
  </w:style>
  <w:style w:type="character" w:customStyle="1" w:styleId="Heading3Char">
    <w:name w:val="Heading 3 Char"/>
    <w:basedOn w:val="DefaultParagraphFont"/>
    <w:link w:val="Heading3"/>
    <w:uiPriority w:val="9"/>
    <w:rsid w:val="009F641C"/>
    <w:rPr>
      <w:rFonts w:ascii="Times New Roman" w:eastAsiaTheme="majorEastAsia" w:hAnsi="Times New Roman" w:cstheme="majorBidi"/>
      <w:b/>
      <w:sz w:val="28"/>
      <w:szCs w:val="24"/>
    </w:rPr>
  </w:style>
  <w:style w:type="character" w:customStyle="1" w:styleId="Heading7Char">
    <w:name w:val="Heading 7 Char"/>
    <w:basedOn w:val="DefaultParagraphFont"/>
    <w:link w:val="Heading7"/>
    <w:uiPriority w:val="9"/>
    <w:semiHidden/>
    <w:rsid w:val="009F641C"/>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9F641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F641C"/>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9F641C"/>
    <w:pPr>
      <w:tabs>
        <w:tab w:val="center" w:pos="4513"/>
        <w:tab w:val="right" w:pos="9026"/>
      </w:tabs>
      <w:spacing w:line="240" w:lineRule="auto"/>
    </w:pPr>
  </w:style>
  <w:style w:type="character" w:customStyle="1" w:styleId="HeaderChar">
    <w:name w:val="Header Char"/>
    <w:basedOn w:val="DefaultParagraphFont"/>
    <w:link w:val="Header"/>
    <w:uiPriority w:val="99"/>
    <w:qFormat/>
    <w:rsid w:val="009F641C"/>
    <w:rPr>
      <w:rFonts w:ascii="Times New Roman" w:hAnsi="Times New Roman" w:cs="Times New Roman"/>
      <w:sz w:val="24"/>
      <w:szCs w:val="24"/>
    </w:rPr>
  </w:style>
  <w:style w:type="paragraph" w:styleId="Footer">
    <w:name w:val="footer"/>
    <w:basedOn w:val="Normal"/>
    <w:link w:val="FooterChar"/>
    <w:uiPriority w:val="99"/>
    <w:unhideWhenUsed/>
    <w:rsid w:val="009F641C"/>
    <w:pPr>
      <w:tabs>
        <w:tab w:val="center" w:pos="4513"/>
        <w:tab w:val="right" w:pos="9026"/>
      </w:tabs>
      <w:spacing w:line="240" w:lineRule="auto"/>
    </w:pPr>
  </w:style>
  <w:style w:type="character" w:customStyle="1" w:styleId="FooterChar">
    <w:name w:val="Footer Char"/>
    <w:basedOn w:val="DefaultParagraphFont"/>
    <w:link w:val="Footer"/>
    <w:uiPriority w:val="99"/>
    <w:qFormat/>
    <w:rsid w:val="009F641C"/>
    <w:rPr>
      <w:rFonts w:ascii="Times New Roman" w:hAnsi="Times New Roman" w:cs="Times New Roman"/>
      <w:sz w:val="24"/>
      <w:szCs w:val="24"/>
    </w:rPr>
  </w:style>
  <w:style w:type="paragraph" w:styleId="FootnoteText">
    <w:name w:val="footnote text"/>
    <w:basedOn w:val="Normal"/>
    <w:link w:val="FootnoteTextChar"/>
    <w:uiPriority w:val="99"/>
    <w:unhideWhenUsed/>
    <w:rsid w:val="009F641C"/>
    <w:pPr>
      <w:spacing w:line="240" w:lineRule="auto"/>
    </w:pPr>
    <w:rPr>
      <w:sz w:val="20"/>
      <w:szCs w:val="20"/>
    </w:rPr>
  </w:style>
  <w:style w:type="character" w:customStyle="1" w:styleId="FootnoteTextChar">
    <w:name w:val="Footnote Text Char"/>
    <w:basedOn w:val="DefaultParagraphFont"/>
    <w:link w:val="FootnoteText"/>
    <w:uiPriority w:val="99"/>
    <w:rsid w:val="009F641C"/>
    <w:rPr>
      <w:rFonts w:ascii="Times New Roman" w:hAnsi="Times New Roman" w:cs="Times New Roman"/>
      <w:sz w:val="20"/>
      <w:szCs w:val="20"/>
    </w:rPr>
  </w:style>
  <w:style w:type="character" w:styleId="FootnoteReference">
    <w:name w:val="footnote reference"/>
    <w:basedOn w:val="DefaultParagraphFont"/>
    <w:uiPriority w:val="99"/>
    <w:unhideWhenUsed/>
    <w:rsid w:val="009F641C"/>
    <w:rPr>
      <w:vertAlign w:val="superscript"/>
    </w:rPr>
  </w:style>
  <w:style w:type="table" w:customStyle="1" w:styleId="TableGridLight4">
    <w:name w:val="Table Grid Light4"/>
    <w:basedOn w:val="TableNormal"/>
    <w:next w:val="TableNormal"/>
    <w:uiPriority w:val="40"/>
    <w:rsid w:val="009F641C"/>
    <w:pPr>
      <w:spacing w:after="0" w:line="240" w:lineRule="auto"/>
      <w:jc w:val="both"/>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111">
    <w:name w:val="Plain Table 2111"/>
    <w:basedOn w:val="TableNormal"/>
    <w:next w:val="TableNormal"/>
    <w:uiPriority w:val="42"/>
    <w:rsid w:val="009F641C"/>
    <w:pPr>
      <w:spacing w:after="0" w:line="240" w:lineRule="auto"/>
      <w:jc w:val="both"/>
    </w:pPr>
    <w:rPr>
      <w:rFonts w:ascii="Arial" w:eastAsia="Calibri" w:hAnsi="Arial" w:cs="Times New Roman"/>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12">
    <w:name w:val="Plain Table 212"/>
    <w:basedOn w:val="TableNormal"/>
    <w:uiPriority w:val="42"/>
    <w:rsid w:val="009F641C"/>
    <w:pPr>
      <w:spacing w:after="0" w:line="240" w:lineRule="auto"/>
      <w:jc w:val="both"/>
    </w:pPr>
    <w:rPr>
      <w:rFonts w:ascii="Arial" w:eastAsia="Calibri" w:hAnsi="Arial" w:cs="Times New Roman"/>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1">
    <w:name w:val="Table Grid11"/>
    <w:basedOn w:val="TableNormal"/>
    <w:next w:val="TableGrid"/>
    <w:uiPriority w:val="39"/>
    <w:rsid w:val="009F641C"/>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9F641C"/>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F64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85016"/>
    <w:pPr>
      <w:ind w:left="720"/>
      <w:contextualSpacing/>
    </w:pPr>
  </w:style>
  <w:style w:type="character" w:customStyle="1" w:styleId="Heading4Char">
    <w:name w:val="Heading 4 Char"/>
    <w:basedOn w:val="DefaultParagraphFont"/>
    <w:link w:val="Heading4"/>
    <w:uiPriority w:val="9"/>
    <w:semiHidden/>
    <w:rsid w:val="00101DDE"/>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101DDE"/>
    <w:rPr>
      <w:rFonts w:asciiTheme="majorHAnsi" w:eastAsiaTheme="majorEastAsia" w:hAnsiTheme="majorHAnsi" w:cstheme="majorBidi"/>
      <w:color w:val="2F5496" w:themeColor="accent1" w:themeShade="BF"/>
      <w:sz w:val="24"/>
      <w:szCs w:val="24"/>
    </w:rPr>
  </w:style>
  <w:style w:type="paragraph" w:customStyle="1" w:styleId="Normal0">
    <w:name w:val="[Normal]"/>
    <w:basedOn w:val="Normal"/>
    <w:qFormat/>
    <w:rsid w:val="00101DDE"/>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eastAsia="Calibri"/>
      <w:szCs w:val="20"/>
      <w:lang w:eastAsia="en-GB"/>
    </w:rPr>
  </w:style>
  <w:style w:type="paragraph" w:styleId="NormalWeb">
    <w:name w:val="Normal (Web)"/>
    <w:basedOn w:val="Normal"/>
    <w:uiPriority w:val="99"/>
    <w:unhideWhenUsed/>
    <w:rsid w:val="004F4E83"/>
    <w:pPr>
      <w:spacing w:before="100" w:beforeAutospacing="1" w:after="100" w:afterAutospacing="1" w:line="240" w:lineRule="auto"/>
      <w:jc w:val="left"/>
    </w:pPr>
    <w:rPr>
      <w:rFonts w:eastAsia="Times New Roman"/>
      <w:lang w:eastAsia="en-GB"/>
    </w:rPr>
  </w:style>
  <w:style w:type="character" w:styleId="Strong">
    <w:name w:val="Strong"/>
    <w:basedOn w:val="DefaultParagraphFont"/>
    <w:uiPriority w:val="22"/>
    <w:qFormat/>
    <w:rsid w:val="005D40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theirm.org/media/3513119/IRM-Report-ISO-31000-2018-v3.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instituteforgovernment.org.uk/sites/default/files/publications/An%20Open%20Letter.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ipfa.org/about-cipfa/press-office/latest-press-releases/proposals-to-reform-scottish-schools-would-cause-significant-financial-management-issues-cipfa-scotland-warn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scottish.parliament.uk/S4_LocalGovernmentandRegenerationCommittee/Reports/lgr-13-09w.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24</Pages>
  <Words>6978</Words>
  <Characters>39781</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Iniobong Enang</dc:creator>
  <cp:keywords/>
  <dc:description/>
  <cp:lastModifiedBy>Iniobong Enang</cp:lastModifiedBy>
  <cp:revision>103</cp:revision>
  <cp:lastPrinted>2024-01-08T14:52:00Z</cp:lastPrinted>
  <dcterms:created xsi:type="dcterms:W3CDTF">2024-03-01T09:33:00Z</dcterms:created>
  <dcterms:modified xsi:type="dcterms:W3CDTF">2024-06-28T20:45:00Z</dcterms:modified>
</cp:coreProperties>
</file>