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D4AB3" w14:textId="39210772" w:rsidR="006B0FD2" w:rsidRPr="00D17D77" w:rsidRDefault="006B0FD2" w:rsidP="00D17D77">
      <w:pPr>
        <w:pStyle w:val="Heading3"/>
        <w:spacing w:after="240"/>
        <w:rPr>
          <w:rFonts w:ascii="Times New Roman" w:hAnsi="Times New Roman" w:cs="Times New Roman"/>
          <w:b/>
          <w:bCs/>
        </w:rPr>
      </w:pPr>
      <w:r w:rsidRPr="00D17D77">
        <w:rPr>
          <w:rFonts w:ascii="Times New Roman" w:hAnsi="Times New Roman" w:cs="Times New Roman"/>
          <w:b/>
          <w:bCs/>
        </w:rPr>
        <w:t>Abstract</w:t>
      </w:r>
    </w:p>
    <w:p w14:paraId="1467A233" w14:textId="7843EA9D" w:rsidR="006B0FD2" w:rsidRPr="00D17D77" w:rsidRDefault="006B0FD2" w:rsidP="00D17D77">
      <w:pPr>
        <w:pStyle w:val="NormalWeb"/>
        <w:spacing w:after="240" w:afterAutospacing="0"/>
      </w:pPr>
      <w:r w:rsidRPr="00D17D77">
        <w:t xml:space="preserve">Researchers in organizational and management studies have extensively examined how individuals navigate the boundaries between their work and personal lives. While numerous studies have explored various strategies for managing these boundaries, the complexity and subjectivity of these experiences are often overlooked. This paper provides a nuanced understanding of work-nonwork boundaries within professional services </w:t>
      </w:r>
      <w:r w:rsidR="001C3095" w:rsidRPr="00D17D77">
        <w:t>firm</w:t>
      </w:r>
      <w:r w:rsidRPr="00D17D77">
        <w:t>s, based on in-depth interviews and qualitative daily diaries from consultants in UK-based global consulting firms. The data were analyzed using reflexive thematic analysis.</w:t>
      </w:r>
    </w:p>
    <w:p w14:paraId="66C64AF4" w14:textId="241A69DA" w:rsidR="006B0FD2" w:rsidRPr="00D17D77" w:rsidRDefault="006B0FD2" w:rsidP="00D17D77">
      <w:pPr>
        <w:pStyle w:val="NormalWeb"/>
        <w:spacing w:after="240" w:afterAutospacing="0"/>
      </w:pPr>
      <w:r w:rsidRPr="00D17D77">
        <w:t>Building on boundary theory, which posits that boundaries are mental constructs rather than physical demarcations, this study explores how consultants interpret and construct their work-nonwork boundaries. The findings reveal that consultants in PS</w:t>
      </w:r>
      <w:r w:rsidR="001C3095" w:rsidRPr="00D17D77">
        <w:t>F</w:t>
      </w:r>
      <w:r w:rsidRPr="00D17D77">
        <w:t>s face unique pressures influencing their boundary management strategies. Although the data were collected before the COVID-19 pandemic, the insights are relevant in the hybrid work era, where blurred boundaries have become more pronounced.</w:t>
      </w:r>
    </w:p>
    <w:p w14:paraId="603656F8" w14:textId="6915E9C7" w:rsidR="006B0FD2" w:rsidRPr="00D17D77" w:rsidRDefault="006B0FD2" w:rsidP="00D17D77">
      <w:pPr>
        <w:pStyle w:val="NormalWeb"/>
        <w:spacing w:after="240" w:afterAutospacing="0"/>
      </w:pPr>
      <w:r w:rsidRPr="00D17D77">
        <w:t>This research contributes to the field by offering a comprehensive understanding of the psychological and emotional dimensions of work-nonwork boundaries. It uncovers coping mechanisms and strategies within the specific context of PS</w:t>
      </w:r>
      <w:r w:rsidR="001C3095" w:rsidRPr="00D17D77">
        <w:t>F</w:t>
      </w:r>
      <w:r w:rsidRPr="00D17D77">
        <w:t>s, providing insights to inform targeted and effective policies and practices supporting employee well-being.</w:t>
      </w:r>
    </w:p>
    <w:p w14:paraId="1FB34A41" w14:textId="77777777" w:rsidR="006B0FD2" w:rsidRPr="00D17D77" w:rsidRDefault="006B0FD2" w:rsidP="00D17D77">
      <w:pPr>
        <w:pStyle w:val="Heading3"/>
        <w:spacing w:after="240"/>
        <w:rPr>
          <w:rFonts w:ascii="Times New Roman" w:hAnsi="Times New Roman" w:cs="Times New Roman"/>
        </w:rPr>
      </w:pPr>
      <w:r w:rsidRPr="00D17D77">
        <w:rPr>
          <w:rFonts w:ascii="Times New Roman" w:hAnsi="Times New Roman" w:cs="Times New Roman"/>
        </w:rPr>
        <w:t>Keywords:</w:t>
      </w:r>
    </w:p>
    <w:p w14:paraId="3C345124" w14:textId="28DA46E7" w:rsidR="006B0FD2" w:rsidRPr="00D17D77" w:rsidRDefault="006B0FD2" w:rsidP="00D17D77">
      <w:pPr>
        <w:pStyle w:val="NormalWeb"/>
        <w:spacing w:after="240" w:afterAutospacing="0"/>
      </w:pPr>
      <w:r w:rsidRPr="00D17D77">
        <w:t xml:space="preserve">Work-nonwork boundaries, boundary theory, professional services </w:t>
      </w:r>
      <w:r w:rsidR="00333754" w:rsidRPr="00D17D77">
        <w:t>firm</w:t>
      </w:r>
      <w:r w:rsidRPr="00D17D77">
        <w:t>s, qualitative research.</w:t>
      </w:r>
    </w:p>
    <w:p w14:paraId="2CBFCED9" w14:textId="75448567" w:rsidR="00D17D77" w:rsidRPr="00D17D77" w:rsidRDefault="001C3095" w:rsidP="00D17D77">
      <w:pPr>
        <w:spacing w:after="240"/>
        <w:rPr>
          <w:b/>
          <w:bCs/>
        </w:rPr>
      </w:pPr>
      <w:r w:rsidRPr="00D17D77">
        <w:rPr>
          <w:b/>
          <w:bCs/>
        </w:rPr>
        <w:br w:type="page"/>
      </w:r>
      <w:r w:rsidR="00D17D77" w:rsidRPr="00D17D77">
        <w:rPr>
          <w:b/>
          <w:bCs/>
        </w:rPr>
        <w:lastRenderedPageBreak/>
        <w:br w:type="page"/>
      </w:r>
    </w:p>
    <w:p w14:paraId="1254D57A" w14:textId="42E70906" w:rsidR="00D17D77" w:rsidRPr="00D17D77" w:rsidRDefault="00D17D77" w:rsidP="00D17D77">
      <w:pPr>
        <w:pStyle w:val="NormalWeb"/>
        <w:tabs>
          <w:tab w:val="left" w:pos="0"/>
          <w:tab w:val="left" w:pos="142"/>
        </w:tabs>
        <w:spacing w:after="240" w:afterAutospacing="0"/>
        <w:rPr>
          <w:lang w:val="en-GB"/>
        </w:rPr>
      </w:pPr>
      <w:r w:rsidRPr="00D17D77">
        <w:rPr>
          <w:rStyle w:val="Strong"/>
          <w:lang w:val="en-GB"/>
        </w:rPr>
        <w:lastRenderedPageBreak/>
        <w:t>Meanings</w:t>
      </w:r>
      <w:r w:rsidRPr="00D17D77">
        <w:rPr>
          <w:rStyle w:val="Strong"/>
          <w:lang w:val="en-GB"/>
        </w:rPr>
        <w:t xml:space="preserve"> of Work-Nonwork Boundaries in the </w:t>
      </w:r>
      <w:r w:rsidRPr="00D17D77">
        <w:rPr>
          <w:rStyle w:val="Strong"/>
          <w:lang w:val="en-GB"/>
        </w:rPr>
        <w:t>Professional Services Firms</w:t>
      </w:r>
    </w:p>
    <w:p w14:paraId="5B8E5706" w14:textId="77777777" w:rsidR="00D17D77" w:rsidRPr="00D17D77" w:rsidRDefault="00D17D77" w:rsidP="00D17D77">
      <w:pPr>
        <w:pStyle w:val="APA"/>
        <w:tabs>
          <w:tab w:val="left" w:pos="0"/>
          <w:tab w:val="left" w:pos="142"/>
        </w:tabs>
        <w:spacing w:after="240" w:line="240" w:lineRule="auto"/>
        <w:ind w:firstLine="426"/>
        <w:rPr>
          <w:b/>
          <w:bCs/>
        </w:rPr>
      </w:pPr>
    </w:p>
    <w:p w14:paraId="7EAD79BC" w14:textId="77777777" w:rsidR="00D17D77" w:rsidRPr="00D17D77" w:rsidRDefault="00D17D77" w:rsidP="00D17D77">
      <w:pPr>
        <w:pStyle w:val="APA"/>
        <w:tabs>
          <w:tab w:val="left" w:pos="0"/>
          <w:tab w:val="left" w:pos="142"/>
        </w:tabs>
        <w:spacing w:after="240" w:line="240" w:lineRule="auto"/>
      </w:pPr>
      <w:proofErr w:type="spellStart"/>
      <w:r w:rsidRPr="00D17D77">
        <w:t>Jurate</w:t>
      </w:r>
      <w:proofErr w:type="spellEnd"/>
      <w:r w:rsidRPr="00D17D77">
        <w:t xml:space="preserve"> </w:t>
      </w:r>
      <w:proofErr w:type="spellStart"/>
      <w:r w:rsidRPr="00D17D77">
        <w:t>Cingiene</w:t>
      </w:r>
      <w:proofErr w:type="spellEnd"/>
    </w:p>
    <w:p w14:paraId="60242B77" w14:textId="77777777" w:rsidR="00D17D77" w:rsidRPr="00D17D77" w:rsidRDefault="00D17D77" w:rsidP="00D17D77">
      <w:pPr>
        <w:pStyle w:val="APA"/>
        <w:tabs>
          <w:tab w:val="left" w:pos="0"/>
          <w:tab w:val="left" w:pos="142"/>
        </w:tabs>
        <w:spacing w:after="240" w:line="240" w:lineRule="auto"/>
      </w:pPr>
      <w:r w:rsidRPr="00D17D77">
        <w:t>Queen Mary University of London</w:t>
      </w:r>
    </w:p>
    <w:p w14:paraId="66A44BF8" w14:textId="77777777" w:rsidR="00D17D77" w:rsidRPr="00D17D77" w:rsidRDefault="00D17D77" w:rsidP="00D17D77">
      <w:pPr>
        <w:pStyle w:val="APA"/>
        <w:tabs>
          <w:tab w:val="left" w:pos="0"/>
          <w:tab w:val="left" w:pos="142"/>
        </w:tabs>
        <w:spacing w:after="240" w:line="240" w:lineRule="auto"/>
      </w:pPr>
      <w:r w:rsidRPr="00D17D77">
        <w:t>SMK University of Applied Sciences</w:t>
      </w:r>
    </w:p>
    <w:p w14:paraId="48035DD5" w14:textId="3D628E3C" w:rsidR="00D17D77" w:rsidRPr="00D17D77" w:rsidRDefault="00D17D77" w:rsidP="00D17D77">
      <w:pPr>
        <w:tabs>
          <w:tab w:val="left" w:pos="0"/>
          <w:tab w:val="left" w:pos="142"/>
        </w:tabs>
        <w:spacing w:after="240"/>
        <w:rPr>
          <w:lang w:val="en-GB"/>
        </w:rPr>
      </w:pPr>
      <w:r w:rsidRPr="00D17D77">
        <w:rPr>
          <w:lang w:val="en-GB"/>
        </w:rPr>
        <w:fldChar w:fldCharType="begin"/>
      </w:r>
      <w:r w:rsidRPr="00D17D77">
        <w:rPr>
          <w:lang w:val="en-GB"/>
        </w:rPr>
        <w:instrText>HYPERLINK "mailto:</w:instrText>
      </w:r>
      <w:r w:rsidRPr="00D17D77">
        <w:rPr>
          <w:lang w:val="en-GB"/>
        </w:rPr>
        <w:instrText>j.cingiene@qmul.ac.uk</w:instrText>
      </w:r>
      <w:r w:rsidRPr="00D17D77">
        <w:rPr>
          <w:lang w:val="en-GB"/>
        </w:rPr>
        <w:instrText>"</w:instrText>
      </w:r>
      <w:r w:rsidRPr="00D17D77">
        <w:rPr>
          <w:lang w:val="en-GB"/>
        </w:rPr>
        <w:fldChar w:fldCharType="separate"/>
      </w:r>
      <w:r w:rsidRPr="00D17D77">
        <w:rPr>
          <w:rStyle w:val="Hyperlink"/>
          <w:lang w:val="en-GB"/>
        </w:rPr>
        <w:t>j.cingiene@qmul.ac.uk</w:t>
      </w:r>
      <w:r w:rsidRPr="00D17D77">
        <w:rPr>
          <w:lang w:val="en-GB"/>
        </w:rPr>
        <w:fldChar w:fldCharType="end"/>
      </w:r>
    </w:p>
    <w:p w14:paraId="60BEC9E9" w14:textId="44338E11" w:rsidR="001C3095" w:rsidRPr="00D17D77" w:rsidRDefault="00D17D77" w:rsidP="00D17D77">
      <w:pPr>
        <w:tabs>
          <w:tab w:val="left" w:pos="0"/>
          <w:tab w:val="left" w:pos="142"/>
        </w:tabs>
        <w:spacing w:after="240"/>
        <w:rPr>
          <w:rStyle w:val="Hyperlink"/>
          <w:lang w:val="en-GB"/>
        </w:rPr>
      </w:pPr>
      <w:hyperlink r:id="rId8" w:history="1">
        <w:r w:rsidRPr="00D17D77">
          <w:rPr>
            <w:rStyle w:val="Hyperlink"/>
            <w:lang w:val="en-GB"/>
          </w:rPr>
          <w:t>jurate.cingiene@smk.lt</w:t>
        </w:r>
      </w:hyperlink>
    </w:p>
    <w:p w14:paraId="28EDEB0E" w14:textId="77777777" w:rsidR="00D17D77" w:rsidRPr="00D17D77" w:rsidRDefault="00D17D77" w:rsidP="00D17D77">
      <w:pPr>
        <w:tabs>
          <w:tab w:val="left" w:pos="0"/>
          <w:tab w:val="left" w:pos="142"/>
        </w:tabs>
        <w:spacing w:after="240"/>
        <w:rPr>
          <w:b/>
          <w:bCs/>
        </w:rPr>
      </w:pPr>
    </w:p>
    <w:p w14:paraId="725FD016" w14:textId="7069FA9A" w:rsidR="006C7D2B" w:rsidRPr="00D17D77" w:rsidRDefault="006C7D2B" w:rsidP="00D17D77">
      <w:pPr>
        <w:spacing w:before="120" w:after="240"/>
        <w:rPr>
          <w:b/>
          <w:bCs/>
        </w:rPr>
      </w:pPr>
      <w:r w:rsidRPr="00D17D77">
        <w:rPr>
          <w:b/>
          <w:bCs/>
        </w:rPr>
        <w:t>Introduction</w:t>
      </w:r>
    </w:p>
    <w:p w14:paraId="20CF05A3" w14:textId="7586750C" w:rsidR="00B37FB0" w:rsidRPr="00D17D77" w:rsidRDefault="00B37FB0" w:rsidP="00D17D77">
      <w:pPr>
        <w:spacing w:after="240"/>
        <w:rPr>
          <w:b/>
          <w:bCs/>
          <w:color w:val="000000" w:themeColor="text1"/>
          <w:lang w:val="en-GB"/>
        </w:rPr>
      </w:pPr>
      <w:r w:rsidRPr="00D17D77">
        <w:t>Researchers in organizational and management studies are continuously investigating how individuals experience the boundaries between their work and personal lives</w:t>
      </w:r>
      <w:r w:rsidRPr="00D17D77">
        <w:t xml:space="preserve"> </w:t>
      </w:r>
      <w:r w:rsidRPr="00D17D77">
        <w:fldChar w:fldCharType="begin"/>
      </w:r>
      <w:r w:rsidR="00462DA5" w:rsidRPr="00D17D77">
        <w:instrText xml:space="preserve"> ADDIN ZOTERO_ITEM CSL_CITATION {"citationID":"wyz1i63g","properties":{"formattedCitation":"(Kossek et al., 2021)","plainCitation":"(Kossek et al., 2021)","noteIndex":0},"citationItems":[{"id":2682,"uris":["http://zotero.org/users/600134/items/5Y7FA8HX"],"itemData":{"id":2682,"type":"article-journal","container-title":"Journal of Applied Psychology","DOI":"10.1037/apl0000982","ISSN":"1939-1854","issue":"11","note":"publisher: US: American Psychological Association","page":"1615-1629","source":"psycnet.apa.org","title":"Pushing the boundaries: A qualitative study of how STEM women adapted to disrupted work–nonwork boundaries during the COVID-19 pandemic.","title-short":"Pushing the boundaries","volume":"106","author":[{"family":"Kossek","given":"Ellen Ernst"},{"family":"Dumas","given":"Tracy L."},{"family":"Piszczek","given":"Matthew M."},{"family":"Allen","given":"Tammy D."}],"issued":{"date-parts":[["2021"]]}}}],"schema":"https://github.com/citation-style-language/schema/raw/master/csl-citation.json"} </w:instrText>
      </w:r>
      <w:r w:rsidRPr="00D17D77">
        <w:fldChar w:fldCharType="separate"/>
      </w:r>
      <w:r w:rsidRPr="00D17D77">
        <w:rPr>
          <w:noProof/>
        </w:rPr>
        <w:t>(Kossek et al., 2021)</w:t>
      </w:r>
      <w:r w:rsidRPr="00D17D77">
        <w:fldChar w:fldCharType="end"/>
      </w:r>
      <w:r w:rsidRPr="00D17D77">
        <w:t>. They have examined various strategies, styles, and tactics that individuals use to manage these boundaries</w:t>
      </w:r>
      <w:r w:rsidRPr="00D17D77">
        <w:t xml:space="preserve"> </w:t>
      </w:r>
      <w:r w:rsidRPr="00D17D77">
        <w:fldChar w:fldCharType="begin"/>
      </w:r>
      <w:r w:rsidR="00462DA5" w:rsidRPr="00D17D77">
        <w:instrText xml:space="preserve"> ADDIN ZOTERO_ITEM CSL_CITATION {"citationID":"uwNsHZvG","properties":{"formattedCitation":"(Ammons, 2013; Bulger et al., 2007; Kossek et al., 2012; Kossek &amp; Lautsch, 2008)","plainCitation":"(Ammons, 2013; Bulger et al., 2007; Kossek et al., 2012; Kossek &amp; Lautsch, 2008)","dontUpdate":true,"noteIndex":0},"citationItems":[{"id":2646,"uris":["http://zotero.org/users/600134/items/9TJJQ8RT"],"itemData":{"id":2646,"type":"article-journal","container-title":"Journal of Vocational Behavior","issue":"1","page":"49–58","source":"Google Scholar","title":"Work-family boundary strategies: Stability and alignment between preferred and enacted boundaries","title-short":"Work-family boundary strategies","volume":"82","author":[{"family":"Ammons","given":"Samantha K."}],"issued":{"date-parts":[["2013"]]}}},{"id":2600,"uris":["http://zotero.org/users/600134/items/QDAHJMUE"],"itemData":{"id":2600,"type":"article-journal","abstract":"The article investigates the boundary management profiles of 332 U.S. employees to explore the segmentation-integration continuum and the relation between boundary management strategies and work/personal life balance. The boundary theory indicates that a person manages the boundaries between work and personal life boundaries by segmenting and/or integrating the domains. Findings reveal that boundary management practices have significant relation with work-personal life interference/enhacement.","container-title":"Journal of Occupational Health Psychology","DOI":"10.1037/1076-8998.12.4.365","ISSN":"10768998","issue":"4","page":"365-375","source":"EBSCOhost","title":"Work and Personal Life Boundary Management: Boundary Strength, Work/Personal Life Balance, and the Segmentation-Integration Continuum.","title-short":"Work and Personal Life Boundary Management","volume":"12","author":[{"family":"Bulger","given":"Carrie A."},{"family":"Matthews","given":"Russell A."},{"family":"Hoffman","given":"Mark E."}],"issued":{"date-parts":[["2007",10]]}}},{"id":157,"uris":["http://zotero.org/users/600134/items/6VZJFGVS"],"itemData":{"id":157,"type":"article-journal","abstract":"The goal of this paper is to advance the measurement and theory of work–nonwork boundary management styles. Boundary management styles are defined as the approaches individuals use to demarcate boundaries and attend to work and family and other nonwork roles, given identity centralities and perceived boundary control. We argue that research should be augmented with a person-centered approach, which examines how psychological measures are integrated into configurations. Integrating role and boundary theories, we identify three main characteristics of work-nonwork boundary management: (1) cross-role interruption behaviors (work to nonwork, and nonwork to work interruptions); (2) identity centrality of work and family roles, and (3) perceived control of boundaries. Using a variable-centered approach, we refined and validated these measures to create an assessment (Work–Life Indicator) that captured boundary management profiles. The profiles reflect how interruption behaviors, identity centralities, and boundary control interrelate to cluster into profiles, a set of psychological characteristics organized into a pattern of work–nonwork boundary functioning. We identify boundary management profiles and examine their relationships to key work-family outcomes. Regardless of the level and direction of interruption behaviors and centrality of work–family identities, we found that low control boundary management profiles (reactors, job warriors) tended to experience more negative work and family outcomes than did high control profiles (fusion lovers, dividers, family guardians, eclectics).","container-title":"Journal of Vocational Behavior","DOI":"10.1016/j.jvb.2012.04.003","ISSN":"0001-8791","issue":"1","journalAbbreviation":"Journal of Vocational Behavior","page":"112-128","source":"ScienceDirect","title":"Work–nonwork boundary management profiles: A person-centered approach","title-short":"Work–nonwork boundary management profiles","volume":"81","author":[{"family":"Kossek","given":"Ellen Ernst"},{"family":"Ruderman","given":"Marian N."},{"family":"Braddy","given":"Phillip W."},{"family":"Hannum","given":"Kelly M."}],"issued":{"date-parts":[["2012",8]]}}},{"id":2668,"uris":["http://zotero.org/users/600134/items/6JCV2CDH"],"itemData":{"id":2668,"type":"book","event-place":"Philadelphia","publisher":"PA: Pearson/Wharton School Publishing","publisher-place":"Philadelphia","title":"CEO of Me: Creating a Life that Works in the Flexible Job Age","URL":"https://books.google.lt/books/about/CEO_of_Me.html?id=4WZ6LtBSVXAC&amp;redir_esc=y","author":[{"family":"Kossek","given":"E. E."},{"family":"Lautsch","given":"Brenda A."}],"accessed":{"date-parts":[["2023",2,27]]},"issued":{"date-parts":[["2008"]]}}}],"schema":"https://github.com/citation-style-language/schema/raw/master/csl-citation.json"} </w:instrText>
      </w:r>
      <w:r w:rsidRPr="00D17D77">
        <w:fldChar w:fldCharType="separate"/>
      </w:r>
      <w:r w:rsidRPr="00D17D77">
        <w:rPr>
          <w:noProof/>
        </w:rPr>
        <w:t>(Ammons, 2013; Bulger et al., 2007; Kossek et al., 2012; Kossek &amp; Lautsch, 2008</w:t>
      </w:r>
      <w:r w:rsidRPr="00D17D77">
        <w:rPr>
          <w:noProof/>
        </w:rPr>
        <w:t xml:space="preserve">; </w:t>
      </w:r>
      <w:r w:rsidRPr="00D17D77">
        <w:t>Kreiner et al., 2009</w:t>
      </w:r>
      <w:r w:rsidRPr="00D17D77">
        <w:rPr>
          <w:noProof/>
        </w:rPr>
        <w:t>)</w:t>
      </w:r>
      <w:r w:rsidRPr="00D17D77">
        <w:fldChar w:fldCharType="end"/>
      </w:r>
      <w:r w:rsidRPr="00D17D77">
        <w:t>.</w:t>
      </w:r>
      <w:r w:rsidRPr="00D17D77">
        <w:t xml:space="preserve"> </w:t>
      </w:r>
      <w:r w:rsidRPr="00D17D77">
        <w:t xml:space="preserve">However, existing research often overlooks the complexity and subjectivity of these boundaries. As a result, there is a growing emphasis on understanding the nuanced meanings that employees associate with their work-nonwork boundaries within specific organizational contexts. This paper aims to provide a more nuanced understanding of work-nonwork boundaries within professional services </w:t>
      </w:r>
      <w:r w:rsidR="001C3095" w:rsidRPr="00D17D77">
        <w:t>firm</w:t>
      </w:r>
      <w:r w:rsidRPr="00D17D77">
        <w:t>s (PS</w:t>
      </w:r>
      <w:r w:rsidR="001C3095" w:rsidRPr="00D17D77">
        <w:t>F</w:t>
      </w:r>
      <w:r w:rsidRPr="00D17D77">
        <w:t>s). The findings are based on in-depth interviews and qualitative daily diaries collected from consultants working in UK-based global consulting firms. The data were analyzed using reflexive thematic analysis</w:t>
      </w:r>
      <w:r w:rsidRPr="00D17D77">
        <w:t xml:space="preserve"> </w:t>
      </w:r>
      <w:r w:rsidRPr="00D17D77">
        <w:fldChar w:fldCharType="begin"/>
      </w:r>
      <w:r w:rsidRPr="00D17D77">
        <w:instrText xml:space="preserve"> ADDIN ZOTERO_ITEM CSL_CITATION {"citationID":"E9YJSQYf","properties":{"formattedCitation":"(Braun &amp; Clarke, 2006, 2022)","plainCitation":"(Braun &amp; Clarke, 2006, 2022)","noteIndex":0},"citationItems":[{"id":104,"uris":["http://zotero.org/users/600134/items/BDCGWPZE"],"itemData":{"id":104,"type":"article-journal","abstract":"Thematic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psychology.","container-title":"Qualitative Research in Psychology","DOI":"10.1191/1478088706qp063oa","ISSN":"1478-0887","issue":"2","page":"77-101","source":"Taylor and Francis+NEJM","title":"Using thematic analysis in psychology","volume":"3","author":[{"family":"Braun","given":"Virginia"},{"family":"Clarke","given":"Victoria"}],"issued":{"date-parts":[["2006",1,1]]}}},{"id":2779,"uris":["http://zotero.org/users/600134/items/SVUVKAU3"],"itemData":{"id":2779,"type":"book","abstract":"Developed and adapted by the authors of this book, thematic analysis (TA) is one of the most popular qualitative data analytic techniques in psychology and the social and health sciences. Building on the success of Braun &amp; Clarke′s 2006 paper first outlining their approach - which has over 100,000 citations on Google Scholar - this book is the definitive guide to TA, covering:  - Contextualisation of TA  - Developing themes  - Writing TA reports  - Reflexive TA  It addresses the common questions surrounding TA as well as developments in the field, offering a highly accessible and practical discussion of doing TA situated within a clear understanding of the wider terrain of qualitative research.   Virginia Braun is a Professor in the School of Psychology at The University of Auckland, Aotearoa New Zealand.   Victoria Clarke is an Associate Professor in Qualitative and Critical Psychology in the Department of Social Sciences at the University of the West of England (UWE), Bristol.","ISBN":"978-1-5264-1730-5","language":"en","note":"Google-Books-ID: mToqEAAAQBAJ","number-of-pages":"377","publisher":"SAGE","source":"Google Books","title":"Thematic Analysis: A Practical Guide","title-short":"Thematic Analysis","author":[{"family":"Braun","given":"Virginia"},{"family":"Clarke","given":"Victoria"}],"issued":{"date-parts":[["2022"]]}}}],"schema":"https://github.com/citation-style-language/schema/raw/master/csl-citation.json"} </w:instrText>
      </w:r>
      <w:r w:rsidRPr="00D17D77">
        <w:fldChar w:fldCharType="separate"/>
      </w:r>
      <w:r w:rsidRPr="00D17D77">
        <w:rPr>
          <w:noProof/>
        </w:rPr>
        <w:t>(Braun &amp; Clarke, 2006, 2022)</w:t>
      </w:r>
      <w:r w:rsidRPr="00D17D77">
        <w:fldChar w:fldCharType="end"/>
      </w:r>
      <w:r w:rsidRPr="00D17D77">
        <w:t>.</w:t>
      </w:r>
    </w:p>
    <w:p w14:paraId="216F4B5B" w14:textId="6CBA0DF4" w:rsidR="006C7D2B" w:rsidRPr="00D17D77" w:rsidRDefault="006C7D2B" w:rsidP="00D17D77">
      <w:pPr>
        <w:spacing w:after="240"/>
        <w:rPr>
          <w:b/>
          <w:bCs/>
          <w:color w:val="000000" w:themeColor="text1"/>
          <w:lang w:val="en-GB"/>
        </w:rPr>
      </w:pPr>
      <w:r w:rsidRPr="00D17D77">
        <w:rPr>
          <w:b/>
          <w:bCs/>
          <w:color w:val="000000" w:themeColor="text1"/>
          <w:lang w:val="en-GB"/>
        </w:rPr>
        <w:t xml:space="preserve">Work-nonwork boundary </w:t>
      </w:r>
      <w:r w:rsidR="00E6583F" w:rsidRPr="00D17D77">
        <w:rPr>
          <w:b/>
          <w:bCs/>
          <w:color w:val="000000" w:themeColor="text1"/>
          <w:lang w:val="en-GB"/>
        </w:rPr>
        <w:t>theory</w:t>
      </w:r>
    </w:p>
    <w:p w14:paraId="1A6D8CB1" w14:textId="675C0BFF" w:rsidR="0062700B" w:rsidRPr="00D17D77" w:rsidRDefault="0062700B" w:rsidP="00D17D77">
      <w:pPr>
        <w:spacing w:after="240"/>
        <w:rPr>
          <w:color w:val="000000" w:themeColor="text1"/>
        </w:rPr>
      </w:pPr>
      <w:r w:rsidRPr="00D17D77">
        <w:rPr>
          <w:color w:val="000000" w:themeColor="text1"/>
        </w:rPr>
        <w:t xml:space="preserve">Boundary theory </w:t>
      </w:r>
      <w:r w:rsidR="00735416" w:rsidRPr="00D17D77">
        <w:rPr>
          <w:color w:val="000000" w:themeColor="text1"/>
        </w:rPr>
        <w:fldChar w:fldCharType="begin"/>
      </w:r>
      <w:r w:rsidR="00E6583F" w:rsidRPr="00D17D77">
        <w:rPr>
          <w:color w:val="000000" w:themeColor="text1"/>
        </w:rPr>
        <w:instrText xml:space="preserve"> ADDIN ZOTERO_ITEM CSL_CITATION {"citationID":"xjPsEzeH","properties":{"formattedCitation":"(Ashforth et al., 2000; Nippert-Eng, 1996)","plainCitation":"(Ashforth et al., 2000; Nippert-Eng, 1996)","noteIndex":0},"citationItems":[{"id":41,"uris":["http://zotero.org/users/600134/items/SUV2484B"],"itemData":{"id":41,"type":"article-journal","abstract":"We focus on everyday role transitions involving home, work, and other places. Transitions\nare boundary-crossing activities, where one exits and enters roles by surmounting\nrole boundaries. Roles can be arrayed on a continuum, spanning high\nsegmentation to high integration. Segmentation decreases role blurring but increases\nthe magnitude of change, rendering boundary crossing more difficult; crossing often\nis facilitated by rites of passage. Integration decreases the magnitude of change but\nincreases blurring, rendering boundary creation and maintenance more difficult; this\nchallenge often is surmounted by boundary work.","container-title":"The Academy of Management Review","issue":"3","page":"472-491","title":"All in a Day's Work: Boundaries and Micro Role Transitions","volume":"25","author":[{"family":"Ashforth","given":"Blake"},{"family":"Kreiner","given":"Glen E."},{"family":"Fugate","given":"Mel"}],"issued":{"date-parts":[["2000"]]}}},{"id":2721,"uris":["http://zotero.org/users/600134/items/3R2TC5TH"],"itemData":{"id":2721,"type":"book","abstract":"Do you put family photos on your desk at work? Are your home and work keys on the same chain? Do you keep one all-purpose calendar for listing home and work events? Do you have separate telephone books for colleagues and friends? In Home and Work, Christena Nippert-Eng examines the intricacies and implications of how we draw the line between home and work.Arguing that relationships between the two realms range from those that are highly \"integrating\" to those that are highly \"segmenting,\" Nippert-Eng examines the ways people sculpt the boundaries between home and work. With remarkable sensitivity to the symbolic value of objects and actions, Nippert-Eng explores the meaning of clothing, wallets, lunches and vacations, and the places and ways in which we engage our family, friends, and co-workers. Commuting habits are also revealing, showing how we make the transition between home and work selves though ritualized behavior like hellos and goodbyes, the consumption of food, the way we dress, our choices of routes to and from work, and our listening, working, and sleeping habits during these journeys.The ways each of us manages time, space, and people not only reflect but reinforce lives that are more \"integrating\" or \"segmenting\" at any given time. In clarifying what we take for granted, this book will leave you thinking in different ways about your life and work.","event-place":"Chicago","ISBN":"978-0-226-58146-0","language":"en","number-of-pages":"345","publisher":"University of Chicago Press","publisher-place":"Chicago","source":"Google Books","title":"Home and Work: Negotiating Boundaries through Everyday Life","title-short":"Home and Work","author":[{"family":"Nippert-Eng","given":"Christena E."}],"issued":{"date-parts":[["1996",6,1]]}}}],"schema":"https://github.com/citation-style-language/schema/raw/master/csl-citation.json"} </w:instrText>
      </w:r>
      <w:r w:rsidR="00735416" w:rsidRPr="00D17D77">
        <w:rPr>
          <w:color w:val="000000" w:themeColor="text1"/>
        </w:rPr>
        <w:fldChar w:fldCharType="separate"/>
      </w:r>
      <w:r w:rsidR="00E6583F" w:rsidRPr="00D17D77">
        <w:rPr>
          <w:noProof/>
          <w:color w:val="000000" w:themeColor="text1"/>
        </w:rPr>
        <w:t>(Ashforth et al., 2000; Nippert-Eng, 1996)</w:t>
      </w:r>
      <w:r w:rsidR="00735416" w:rsidRPr="00D17D77">
        <w:rPr>
          <w:color w:val="000000" w:themeColor="text1"/>
        </w:rPr>
        <w:fldChar w:fldCharType="end"/>
      </w:r>
      <w:r w:rsidRPr="00D17D77">
        <w:rPr>
          <w:color w:val="000000" w:themeColor="text1"/>
        </w:rPr>
        <w:t xml:space="preserve"> is based on the cognitive sociological theory of mental categorisation (Zerubavel, 1991). According to boundary theory, due to role complexity, ‘</w:t>
      </w:r>
      <w:r w:rsidRPr="00D17D77">
        <w:rPr>
          <w:i/>
          <w:iCs/>
          <w:color w:val="000000" w:themeColor="text1"/>
        </w:rPr>
        <w:t>individuals create and maintain boundaries to simplify and order the environment</w:t>
      </w:r>
      <w:r w:rsidRPr="00D17D77">
        <w:rPr>
          <w:color w:val="000000" w:themeColor="text1"/>
        </w:rPr>
        <w:t xml:space="preserve">’ </w:t>
      </w:r>
      <w:r w:rsidRPr="00D17D77">
        <w:fldChar w:fldCharType="begin"/>
      </w:r>
      <w:r w:rsidRPr="00D17D77">
        <w:instrText xml:space="preserve"> ADDIN ZOTERO_ITEM CSL_CITATION {"citationID":"a1q29crupa0","properties":{"formattedCitation":"(Ashforth et al., 2000, p. 475)","plainCitation":"(Ashforth et al., 2000, p. 475)","noteIndex":0},"citationItems":[{"id":41,"uris":["http://zotero.org/users/600134/items/SUV2484B"],"itemData":{"id":41,"type":"article-journal","abstract":"We focus on everyday role transitions involving home, work, and other places. Transitions\nare boundary-crossing activities, where one exits and enters roles by surmounting\nrole boundaries. Roles can be arrayed on a continuum, spanning high\nsegmentation to high integration. Segmentation decreases role blurring but increases\nthe magnitude of change, rendering boundary crossing more difficult; crossing often\nis facilitated by rites of passage. Integration decreases the magnitude of change but\nincreases blurring, rendering boundary creation and maintenance more difficult; this\nchallenge often is surmounted by boundary work.","container-title":"The Academy of Management Review","issue":"3","page":"472-491","title":"All in a Day's Work: Boundaries and Micro Role Transitions","volume":"25","author":[{"family":"Ashforth","given":"Blake"},{"family":"Kreiner","given":"Glen E."},{"family":"Fugate","given":"Mel"}],"issued":{"date-parts":[["2000"]]}},"locator":"475"}],"schema":"https://github.com/citation-style-language/schema/raw/master/csl-citation.json"} </w:instrText>
      </w:r>
      <w:r w:rsidRPr="00D17D77">
        <w:fldChar w:fldCharType="separate"/>
      </w:r>
      <w:r w:rsidRPr="00D17D77">
        <w:t>(Ashforth et al., 2000, p. 475)</w:t>
      </w:r>
      <w:r w:rsidRPr="00D17D77">
        <w:fldChar w:fldCharType="end"/>
      </w:r>
      <w:r w:rsidRPr="00D17D77">
        <w:rPr>
          <w:color w:val="000000" w:themeColor="text1"/>
        </w:rPr>
        <w:t xml:space="preserve">. The theory describes boundaries as mental fences that are socially constructed and not necessarily related to a physical place or time. Boundary theory posits that work and nonwork can overlap and that boundaries are not definite but constantly constructed and reconstructed (Nippert-Eng, 1996). This contrasts with some role and work-life balance theories and literature, which tend not to consider blurred boundaries and are less concerned with the dynamic/ongoing process of boundary construction. </w:t>
      </w:r>
    </w:p>
    <w:p w14:paraId="77BB30E6" w14:textId="3E75B95C" w:rsidR="0062700B" w:rsidRPr="00D17D77" w:rsidRDefault="0062700B" w:rsidP="00D17D77">
      <w:pPr>
        <w:spacing w:after="240"/>
        <w:rPr>
          <w:color w:val="000000" w:themeColor="text1"/>
        </w:rPr>
      </w:pPr>
      <w:r w:rsidRPr="00D17D77">
        <w:rPr>
          <w:color w:val="000000" w:themeColor="text1"/>
        </w:rPr>
        <w:t xml:space="preserve">On the one hand, boundaries can have a weak, permeable line, and each domain can influence another or even merge if necessary (integration). On the other hand, firm boundaries mean work and nonwork domains do not affect each other and are segmented (segmentation) (Nippert-Eng 1996). The more we segment, the more we maintain separate mentalities for work and home life. The more we integrate, the more we view ourselves as a single entity with one mentality for all aspects of life (Nippert-Eng, 1996). Boundary theory suggests different types of boundaries, e.g. spatial, temporal, cognitive and emotional boundaries, which integrators blur and segmentors combine </w:t>
      </w:r>
      <w:r w:rsidR="000C3D8E" w:rsidRPr="00D17D77">
        <w:rPr>
          <w:color w:val="000000" w:themeColor="text1"/>
        </w:rPr>
        <w:fldChar w:fldCharType="begin"/>
      </w:r>
      <w:r w:rsidR="000C3D8E" w:rsidRPr="00D17D77">
        <w:rPr>
          <w:color w:val="000000" w:themeColor="text1"/>
        </w:rPr>
        <w:instrText xml:space="preserve"> ADDIN ZOTERO_ITEM CSL_CITATION {"citationID":"aj8zpheH","properties":{"formattedCitation":"(Languilaire, 2009; Nippert-Eng, 1996)","plainCitation":"(Languilaire, 2009; Nippert-Eng, 1996)","noteIndex":0},"citationItems":[{"id":2711,"uris":["http://zotero.org/users/600134/items/WYQDG4ME"],"itemData":{"id":2711,"type":"thesis","event-place":"Jönköping","genre":"PhD Thesis","publisher":"Jönköping University, Jönköping International Business School","publisher-place":"Jönköping","source":"Google Scholar","title":"Experiencing work/non-work: Theorising individuals’ process of integrating and segmenting work, family, social and private","title-short":"Experiencing work/non-work","author":[{"family":"Languilaire","given":"Jean-Charles"}],"issued":{"date-parts":[["2009"]]}}},{"id":2721,"uris":["http://zotero.org/users/600134/items/3R2TC5TH"],"itemData":{"id":2721,"type":"book","abstract":"Do you put family photos on your desk at work? Are your home and work keys on the same chain? Do you keep one all-purpose calendar for listing home and work events? Do you have separate telephone books for colleagues and friends? In Home and Work, Christena Nippert-Eng examines the intricacies and implications of how we draw the line between home and work.Arguing that relationships between the two realms range from those that are highly \"integrating\" to those that are highly \"segmenting,\" Nippert-Eng examines the ways people sculpt the boundaries between home and work. With remarkable sensitivity to the symbolic value of objects and actions, Nippert-Eng explores the meaning of clothing, wallets, lunches and vacations, and the places and ways in which we engage our family, friends, and co-workers. Commuting habits are also revealing, showing how we make the transition between home and work selves though ritualized behavior like hellos and goodbyes, the consumption of food, the way we dress, our choices of routes to and from work, and our listening, working, and sleeping habits during these journeys.The ways each of us manages time, space, and people not only reflect but reinforce lives that are more \"integrating\" or \"segmenting\" at any given time. In clarifying what we take for granted, this book will leave you thinking in different ways about your life and work.","event-place":"Chicago","ISBN":"978-0-226-58146-0","language":"en","number-of-pages":"345","publisher":"University of Chicago Press","publisher-place":"Chicago","source":"Google Books","title":"Home and Work: Negotiating Boundaries through Everyday Life","title-short":"Home and Work","author":[{"family":"Nippert-Eng","given":"Christena E."}],"issued":{"date-parts":[["1996",6,1]]}}}],"schema":"https://github.com/citation-style-language/schema/raw/master/csl-citation.json"} </w:instrText>
      </w:r>
      <w:r w:rsidR="000C3D8E" w:rsidRPr="00D17D77">
        <w:rPr>
          <w:color w:val="000000" w:themeColor="text1"/>
        </w:rPr>
        <w:fldChar w:fldCharType="separate"/>
      </w:r>
      <w:r w:rsidR="000C3D8E" w:rsidRPr="00D17D77">
        <w:rPr>
          <w:noProof/>
          <w:color w:val="000000" w:themeColor="text1"/>
        </w:rPr>
        <w:t>(Languilaire, 2009; Nippert-Eng, 1996)</w:t>
      </w:r>
      <w:r w:rsidR="000C3D8E" w:rsidRPr="00D17D77">
        <w:rPr>
          <w:color w:val="000000" w:themeColor="text1"/>
        </w:rPr>
        <w:fldChar w:fldCharType="end"/>
      </w:r>
      <w:r w:rsidRPr="00D17D77">
        <w:rPr>
          <w:color w:val="000000" w:themeColor="text1"/>
        </w:rPr>
        <w:t xml:space="preserve">. </w:t>
      </w:r>
    </w:p>
    <w:p w14:paraId="08D74D8B" w14:textId="2E56DC92" w:rsidR="0062700B" w:rsidRPr="00D17D77" w:rsidRDefault="0062700B" w:rsidP="00D17D77">
      <w:pPr>
        <w:spacing w:after="240"/>
        <w:rPr>
          <w:color w:val="000000" w:themeColor="text1"/>
        </w:rPr>
      </w:pPr>
      <w:r w:rsidRPr="00D17D77">
        <w:rPr>
          <w:color w:val="000000" w:themeColor="text1"/>
        </w:rPr>
        <w:lastRenderedPageBreak/>
        <w:t xml:space="preserve">Many studies have examined boundary management strategies, defined as how individuals integrate or segment their work and nonwork roles (Ammons, 2013; Bulger et al., 2007; Kossek et al., 2012; Kossek &amp; Lautsch, 2008). These scholars distinguish between preferred and enacted boundary management and propose different boundary management styles to describe how individuals draw boundaries (Ammons, 2013). </w:t>
      </w:r>
      <w:r w:rsidR="00B64EF4" w:rsidRPr="00D17D77">
        <w:rPr>
          <w:color w:val="000000" w:themeColor="text1"/>
        </w:rPr>
        <w:t>Other s</w:t>
      </w:r>
      <w:r w:rsidRPr="00D17D77">
        <w:rPr>
          <w:color w:val="000000" w:themeColor="text1"/>
        </w:rPr>
        <w:t xml:space="preserve">cholars </w:t>
      </w:r>
      <w:r w:rsidR="00854187" w:rsidRPr="00D17D77">
        <w:rPr>
          <w:color w:val="000000" w:themeColor="text1"/>
        </w:rPr>
        <w:t>focused on individual</w:t>
      </w:r>
      <w:r w:rsidRPr="00D17D77">
        <w:rPr>
          <w:color w:val="000000" w:themeColor="text1"/>
        </w:rPr>
        <w:t xml:space="preserve"> beliefs about work-nonwork boundaries</w:t>
      </w:r>
      <w:r w:rsidR="004C0593">
        <w:rPr>
          <w:color w:val="000000" w:themeColor="text1"/>
        </w:rPr>
        <w:t xml:space="preserve"> </w:t>
      </w:r>
      <w:r w:rsidR="004C0593">
        <w:rPr>
          <w:color w:val="000000" w:themeColor="text1"/>
        </w:rPr>
        <w:fldChar w:fldCharType="begin"/>
      </w:r>
      <w:r w:rsidR="004C0593">
        <w:rPr>
          <w:color w:val="000000" w:themeColor="text1"/>
        </w:rPr>
        <w:instrText xml:space="preserve"> ADDIN ZOTERO_ITEM CSL_CITATION {"citationID":"TlWXjWVq","properties":{"formattedCitation":"(Leslie et al., 2019)","plainCitation":"(Leslie et al., 2019)","noteIndex":0},"citationItems":[{"id":2838,"uris":["http://zotero.org/users/600134/items/ABY3AWJH"],"itemData":{"id":2838,"type":"article-journal","abstract":"Work-life scholars have devoted considerable attention to understanding the relationship between work and life but surprisingly little attention to understanding how individuals think about the relationship between work and life. We propose that individuals hold three work-life ideologies, which we define as beliefs about how work and life are related: a fixed (versus expandable) pie ideology, a segmentation (versus integration) ideology, and a work (versus life) priority ideology. Beliefs about the world come, in large part, from the world itself. We therefore advance propositions regarding the contextual antecedents of work-life ideologies; exposure to contexts that prime scarcity, boundaries, and market forces increase the extent to which individuals hold fixed pie, segmentation, and work priority ideologies, respectively. For each prime we also provide four examples of objective contextual features—one each at the family, organizational, community, and societal level of analysis—that make the relevant prime salient and shape the associated work-life ideology. Finally, we propose that work-life ideologies are consequential because they affect individuals’ work-life preferences and how they make sense of demands and resources, which, in turn, affect work-life conflict and enrichment. Our research advances understanding by expanding theory regarding the critical role of cognition in navigating work and life.","container-title":"Academy of Management Review","DOI":"10.5465/amr.2016.0410","ISSN":"0363-7425","issue":"1","journalAbbreviation":"AMR","note":"publisher: Academy of Management","page":"72-98","source":"journals.aom.org (Atypon)","title":"Work-Life Ideologies: The Contextual Basis and Consequences of Beliefs About Work and Life","title-short":"Work-Life Ideologies","volume":"44","author":[{"family":"Leslie","given":"Lisa M."},{"family":"King","given":"Eden B."},{"family":"Clair","given":"Judith A."}],"issued":{"date-parts":[["2019",1]]}}}],"schema":"https://github.com/citation-style-language/schema/raw/master/csl-citation.json"} </w:instrText>
      </w:r>
      <w:r w:rsidR="004C0593">
        <w:rPr>
          <w:color w:val="000000" w:themeColor="text1"/>
        </w:rPr>
        <w:fldChar w:fldCharType="separate"/>
      </w:r>
      <w:r w:rsidR="004C0593">
        <w:rPr>
          <w:noProof/>
          <w:color w:val="000000" w:themeColor="text1"/>
        </w:rPr>
        <w:t>(Leslie et al., 2019)</w:t>
      </w:r>
      <w:r w:rsidR="004C0593">
        <w:rPr>
          <w:color w:val="000000" w:themeColor="text1"/>
        </w:rPr>
        <w:fldChar w:fldCharType="end"/>
      </w:r>
      <w:r w:rsidRPr="00D17D77">
        <w:rPr>
          <w:color w:val="000000" w:themeColor="text1"/>
        </w:rPr>
        <w:t xml:space="preserve">. </w:t>
      </w:r>
      <w:r w:rsidRPr="00D17D77">
        <w:t>While boundary management styles focus on how individuals actively manage their work and personal lives, the concept of boundary ideology emphasises the underlying beliefs and assumptions that individuals hold about the separation or integration of these domains (</w:t>
      </w:r>
      <w:r w:rsidRPr="00D17D77">
        <w:rPr>
          <w:color w:val="000000" w:themeColor="text1"/>
        </w:rPr>
        <w:t xml:space="preserve">Leslie et al., 2019) suggest that individuals hold certain beliefs about the work-life relationship, such as whether work and life are independent or interdependent. At one extreme is the ideology of segmentation, in which individuals believe that work and life are independent of each other and are separated by solid and impermeable boundaries. At the other extreme is the ideology of integration, where individuals believe that work and life are interconnected domains separated by weak and permeable boundaries. </w:t>
      </w:r>
    </w:p>
    <w:p w14:paraId="3AF99917" w14:textId="32E208F3" w:rsidR="00F657A2" w:rsidRPr="00D17D77" w:rsidRDefault="00F657A2" w:rsidP="00D17D77">
      <w:pPr>
        <w:spacing w:before="240" w:after="240"/>
        <w:rPr>
          <w:lang w:val="en-GB"/>
        </w:rPr>
      </w:pPr>
      <w:r w:rsidRPr="00D17D77">
        <w:rPr>
          <w:lang w:val="en-GB"/>
        </w:rPr>
        <w:t xml:space="preserve">While existing research on boundary management and ideology offers valuable insights into individual boundary strategies, it often presents a narrow perspective by overlooking the nuanced meaning and impact of boundaries within specific organizational contexts. This approach fails to capture </w:t>
      </w:r>
      <w:r w:rsidR="00C55221" w:rsidRPr="00D17D77">
        <w:rPr>
          <w:lang w:val="en-GB"/>
        </w:rPr>
        <w:t>boundaries' subjective and dynamic nature</w:t>
      </w:r>
      <w:r w:rsidRPr="00D17D77">
        <w:rPr>
          <w:lang w:val="en-GB"/>
        </w:rPr>
        <w:t xml:space="preserve">, where their meaning and function can vary significantly for different individuals and under different circumstances. A growing body of research, such as </w:t>
      </w:r>
      <w:r w:rsidRPr="00D17D77">
        <w:rPr>
          <w:lang w:val="en-GB"/>
        </w:rPr>
        <w:fldChar w:fldCharType="begin"/>
      </w:r>
      <w:r w:rsidR="00462DA5" w:rsidRPr="00D17D77">
        <w:rPr>
          <w:lang w:val="en-GB"/>
        </w:rPr>
        <w:instrText xml:space="preserve"> ADDIN ZOTERO_ITEM CSL_CITATION {"citationID":"2Ct2UQtt","properties":{"formattedCitation":"(Dee et al., 2020)","plainCitation":"(Dee et al., 2020)","dontUpdate":true,"noteIndex":0},"citationItems":[{"id":2693,"uris":["http://zotero.org/users/600134/items/B8D5YQ8F"],"itemData":{"id":2693,"type":"article-journal","abstract":"This study explored the experiences of work–life balance (WLB) of development nongovernment organization (NGO) workers in the Philippines. Interpretative phenomenological analysis was used to make sense of the data gathered from semistructured interviews with 6 NGO fieldworkers. Findings surfaced 3 superordinate themes arising from the WLB experiences of NGO workers as (a) work–life synthesis (WLS) rather than WLB characterized by perceiving that work is life, living out one’s calling, and having integrated relationships; (b) challenges disrupting WLS such as heavy and unpredictable workload, unintended spillover, and fatigue; and (c) the presence of both internal and external factors enabling WLS. This study contributes to psychological literature by introducing a new conception of WLB as WLS outside its conventionally associated corporate interpretation. Practical implications of this study include the identification of several enabling and hindering factors affecting the WLS of NGO workers that could be addressed by organizational leaders and/or human resource management units of NGOs. (PsycInfo Database Record (c) 2022 APA, all rights reserved)","container-title":"International Perspectives in Psychology: Research, Practice, Consultation","DOI":"10.1037/ipp0000147","ISSN":"2157-3891","issue":"4","note":"publisher-place: US\npublisher: Educational Publishing Foundation","page":"230-246","source":"APA PsycNet","title":"“Work is life”: An interpretative phenomenological analysis of the experiences of work–life balance among nongovernment workers","title-short":"“Work is life”","volume":"9","author":[{"family":"Dee","given":"Ariana Denise A."},{"family":"Dizon","given":"Leyah Christine T."},{"family":"Aldaba","given":"Jose Rafael M."},{"family":"Teng-Calleja","given":"Mendiola"}],"issued":{"date-parts":[["2020"]]}}}],"schema":"https://github.com/citation-style-language/schema/raw/master/csl-citation.json"} </w:instrText>
      </w:r>
      <w:r w:rsidRPr="00D17D77">
        <w:rPr>
          <w:lang w:val="en-GB"/>
        </w:rPr>
        <w:fldChar w:fldCharType="separate"/>
      </w:r>
      <w:r w:rsidR="00C55221" w:rsidRPr="00D17D77">
        <w:rPr>
          <w:noProof/>
          <w:lang w:val="en-GB"/>
        </w:rPr>
        <w:t>Dee et al. (2020)</w:t>
      </w:r>
      <w:r w:rsidRPr="00D17D77">
        <w:rPr>
          <w:lang w:val="en-GB"/>
        </w:rPr>
        <w:fldChar w:fldCharType="end"/>
      </w:r>
      <w:r w:rsidRPr="00D17D77">
        <w:rPr>
          <w:lang w:val="en-GB"/>
        </w:rPr>
        <w:t xml:space="preserve"> and </w:t>
      </w:r>
      <w:r w:rsidR="00C55221" w:rsidRPr="00D17D77">
        <w:rPr>
          <w:lang w:val="en-GB"/>
        </w:rPr>
        <w:fldChar w:fldCharType="begin"/>
      </w:r>
      <w:r w:rsidR="00462DA5" w:rsidRPr="00D17D77">
        <w:rPr>
          <w:lang w:val="en-GB"/>
        </w:rPr>
        <w:instrText xml:space="preserve"> ADDIN ZOTERO_ITEM CSL_CITATION {"citationID":"cigxva5Q","properties":{"formattedCitation":"(Tomkins &amp; Eatough, 2014)","plainCitation":"(Tomkins &amp; Eatough, 2014)","dontUpdate":true,"noteIndex":0},"citationItems":[{"id":2576,"uris":["http://zotero.org/users/600134/items/FGWT3MKG"],"itemData":{"id":2576,"type":"article-journal","abstract":"This article explores what it is like to be a ‘working carer’—that increasingly common category of employee who combines paid work with unpaid care.1 We draw on phenomenology for our initial motivation, epistemological assumptions and method of data analysis, and on critical sensemaking as a template for interpretation and theorization. In line with critical sensemaking, we see identity as a central feature of personhood, and we examine our participants’ identity work through the specific refractions of plausibility, context and agency. These highlight the inconsistencies and oscillations of identity work, and the ways in which it is influenced by competing discourses of the right kind of employee and the right kind of woman. We foreground the existential aspects of sensemaking, as participants struggle to come to terms with the impact of care on their own life-projects and search for meaning. This reflects our belief that experiential approaches to work-related issues have a vital part to play in a ‘turn to meaning’ in critical organizational research. Key implications for practitioners and campaigners are discussed, and policy makers urged to address the issue of working carer identification, recognition and support with greater sensitivity to the label’s psychological and existential implications., This article explores what it is like to be a ‘working carer’—that increasingly common category of employee who combines paid work with unpaid care.1 We draw on phenomenology for our initial motivation, epistemological assumptions and method of data analysis, and on critical sensemaking as a template for interpretation and theorization. In line with critical sensemaking, we see identity as a central feature of personhood, and we examine our participants’ identity work through the specific refractions of plausibility, context and agency. These highlight the inconsistencies and oscillations of identity work, and the ways in which it is influenced by competing discourses of the right kind of employee and the right kind of woman. We foreground the existential aspects of sensemaking, as participants struggle to come to terms with the impact of care on their own life-projects and search for meaning. This reflects our belief that experiential approaches to work-related issues have a vital part to play in a ‘turn to meaning’ in critical organizational research. Key implications for practitioners and campaigners are discussed, and policy makers urged to address the issue of working carer identification, recognition and support with greater sensitivity to the label’s psychological and existential implications.","container-title":"Organization","DOI":"10.1177/1350508412461293","ISSN":"1350-5084","issue":"1","journalAbbreviation":"Organization","language":"en","page":"3-21","source":"SAGE Journals","title":"Stop ‘helping’ me! Identity, recognition and agency in the nexus of work and care","volume":"21","author":[{"family":"Tomkins","given":"Leah"},{"family":"Eatough","given":"Virginia"}],"issued":{"date-parts":[["2014",1,1]]}}}],"schema":"https://github.com/citation-style-language/schema/raw/master/csl-citation.json"} </w:instrText>
      </w:r>
      <w:r w:rsidR="00C55221" w:rsidRPr="00D17D77">
        <w:rPr>
          <w:lang w:val="en-GB"/>
        </w:rPr>
        <w:fldChar w:fldCharType="separate"/>
      </w:r>
      <w:r w:rsidR="00C55221" w:rsidRPr="00D17D77">
        <w:rPr>
          <w:noProof/>
          <w:lang w:val="en-GB"/>
        </w:rPr>
        <w:t>Tomkins and Eatough (2014)</w:t>
      </w:r>
      <w:r w:rsidR="00C55221" w:rsidRPr="00D17D77">
        <w:rPr>
          <w:lang w:val="en-GB"/>
        </w:rPr>
        <w:fldChar w:fldCharType="end"/>
      </w:r>
      <w:r w:rsidRPr="00D17D77">
        <w:rPr>
          <w:lang w:val="en-GB"/>
        </w:rPr>
        <w:t xml:space="preserve">, emphasizes the need for a more nuanced and contextualized view of boundaries. This shift necessitates understanding the subjective meanings employees attribute to their work-nonwork boundaries and how these interpretations manifest within specific organizational contexts </w:t>
      </w:r>
      <w:r w:rsidR="00C55221" w:rsidRPr="00D17D77">
        <w:rPr>
          <w:lang w:val="en-GB"/>
        </w:rPr>
        <w:fldChar w:fldCharType="begin"/>
      </w:r>
      <w:r w:rsidR="007045C7" w:rsidRPr="00D17D77">
        <w:rPr>
          <w:lang w:val="en-GB"/>
        </w:rPr>
        <w:instrText xml:space="preserve"> ADDIN ZOTERO_ITEM CSL_CITATION {"citationID":"aaFrnU76","properties":{"formattedCitation":"(Poppleton et al., 2008)","plainCitation":"(Poppleton et al., 2008)","noteIndex":0},"citationItems":[{"id":8138,"uris":["http://zotero.org/users/600134/items/77DNLJ9M"],"itemData":{"id":8138,"type":"article-journal","abstract":"The purpose of the study was to address several of the limitations of work–non-work research by adopting a qualitative diary methodology which explored insiders’ accounts of both the positive and negative aspects of work–non-work relationships and examined the role of context in shaping such relationships. Daily diary data on work–non-work events and post-diary interview data were collected from participants in two contrasting organizational contexts: Flexorg (N = 20), a progressive local government organization and The Factory (N= 18), a traditional manufacturing organization. Work–non-work relationships were found to be simultaneously enriching and depleting in both organizations. For Flexorg workers, work–non-work relationships were characterized by facilitation and time-based conflicts. At The Factory, high spillover from work to nonwork and vice versa challenged the assumption that blue-collar work is typified by segmentation (Nippert-Eng, 1995). The experience of work–non-work events was shaped by the nature of the work, the work–non-work culture and working patterns in both organizations. The study also identified negative spillover as a qualitatively more important problem than work–non-work conflict in this study, and identified a social dimension of work–non-work conflict which was found across organizational contexts. (PsycInfo Database Record (c) 2022 APA, all rights reserved)","container-title":"Journal of Occupational and Organizational Psychology","DOI":"10.1348/096317908X295182","ISSN":"2044-8325","issue":"3","note":"publisher-place: United Kingdom\npublisher: British Psychological Society","page":"481-502","source":"APA PsycNet","title":"The roles of context and everyday experience in understanding work-non-work relationships: A qualitative diary study of white- and blue-collar workers","title-short":"The roles of context and everyday experience in understanding work-non-work relationships","volume":"81","author":[{"family":"Poppleton","given":"Sarah"},{"family":"Briner","given":"Rob B."},{"family":"Kiefer","given":"Tina"}],"issued":{"date-parts":[["2008"]]}}}],"schema":"https://github.com/citation-style-language/schema/raw/master/csl-citation.json"} </w:instrText>
      </w:r>
      <w:r w:rsidR="00C55221" w:rsidRPr="00D17D77">
        <w:rPr>
          <w:lang w:val="en-GB"/>
        </w:rPr>
        <w:fldChar w:fldCharType="separate"/>
      </w:r>
      <w:r w:rsidR="00C55221" w:rsidRPr="00D17D77">
        <w:rPr>
          <w:noProof/>
          <w:lang w:val="en-GB"/>
        </w:rPr>
        <w:t>(Poppleton et al., 2008)</w:t>
      </w:r>
      <w:r w:rsidR="00C55221" w:rsidRPr="00D17D77">
        <w:rPr>
          <w:lang w:val="en-GB"/>
        </w:rPr>
        <w:fldChar w:fldCharType="end"/>
      </w:r>
      <w:r w:rsidR="00C55221" w:rsidRPr="00D17D77">
        <w:rPr>
          <w:lang w:val="en-GB"/>
        </w:rPr>
        <w:t xml:space="preserve">. </w:t>
      </w:r>
      <w:r w:rsidRPr="00D17D77">
        <w:rPr>
          <w:lang w:val="en-GB"/>
        </w:rPr>
        <w:t>For example, normative maintenance mechanisms within an organization may shape individual boundary experiences, creating additional layers of complexity to consider.</w:t>
      </w:r>
      <w:r w:rsidR="00E71644" w:rsidRPr="00D17D77">
        <w:rPr>
          <w:lang w:val="en-GB"/>
        </w:rPr>
        <w:t xml:space="preserve"> To address this gap, this study aim</w:t>
      </w:r>
      <w:r w:rsidR="00B37FB0" w:rsidRPr="00D17D77">
        <w:rPr>
          <w:lang w:val="en-GB"/>
        </w:rPr>
        <w:t>s</w:t>
      </w:r>
      <w:r w:rsidR="00E71644" w:rsidRPr="00D17D77">
        <w:rPr>
          <w:lang w:val="en-GB"/>
        </w:rPr>
        <w:t xml:space="preserve"> to</w:t>
      </w:r>
      <w:r w:rsidR="00645B93" w:rsidRPr="00D17D77">
        <w:rPr>
          <w:lang w:val="en-GB"/>
        </w:rPr>
        <w:t xml:space="preserve"> understand how consultants constructs meanings of work-nonwork boundaries, including the absence of boundaries.</w:t>
      </w:r>
    </w:p>
    <w:p w14:paraId="51306824" w14:textId="5C6EDA11" w:rsidR="006B0FD2" w:rsidRPr="00D17D77" w:rsidRDefault="006B0FD2" w:rsidP="00D17D77">
      <w:pPr>
        <w:pStyle w:val="NormalWeb"/>
        <w:spacing w:after="240" w:afterAutospacing="0"/>
      </w:pPr>
      <w:r w:rsidRPr="00D17D77">
        <w:t xml:space="preserve">The COVID-19 pandemic dramatically transformed work practices, particularly by making work-from-home (WFH) a widespread necessity </w:t>
      </w:r>
      <w:r w:rsidR="00F54B99">
        <w:fldChar w:fldCharType="begin"/>
      </w:r>
      <w:r w:rsidR="00F54B99">
        <w:instrText xml:space="preserve"> ADDIN ZOTERO_ITEM CSL_CITATION {"citationID":"oGUIhtc3","properties":{"formattedCitation":"(Alfes et al., 2022)","plainCitation":"(Alfes et al., 2022)","noteIndex":0},"citationItems":[{"id":2725,"uris":["http://zotero.org/users/600134/items/B5N2HBEP"],"itemData":{"id":2725,"type":"article-journal","abstract":"Researchers and practitioners are becoming increasingly concerned with the consequences of modern work arrangements for our understanding of work. This article, alongside the four papers which are included in the special issue, explores the implications of new ways of working for employees. We conceptualise new ways of working as an ongoing transformative process, characterised by unprecedented spread, speed and depth of transformation, and highlight four major changes in work which impact employees’ experiences. We critically evaluate the implications of each change for employees’ attitudes, performance and wellbeing, and suggest areas where more research is needed to deepen our knowledge about how modern work arrangements affect employees.","container-title":"The International Journal of Human Resource Management","DOI":"10.1080/09585192.2022.2149151","ISSN":"0958-5192","issue":"22","note":"publisher: Routledge\n_eprint: https://doi.org/10.1080/09585192.2022.2149151","page":"4361-4385","source":"Taylor and Francis+NEJM","title":"New ways of working and the implications for employees: a systematic framework and suggestions for future research","title-short":"New ways of working and the implications for employees","volume":"33","author":[{"family":"Alfes","given":"Kerstin"},{"family":"Avgoustaki","given":"Argyro"},{"family":"Beauregard","given":"T. Alexandra"},{"family":"Cañibano","given":"Almudena"},{"family":"Muratbekova-Touron","given":"Maral"}],"issued":{"date-parts":[["2022",12,16]]}}}],"schema":"https://github.com/citation-style-language/schema/raw/master/csl-citation.json"} </w:instrText>
      </w:r>
      <w:r w:rsidR="00F54B99">
        <w:fldChar w:fldCharType="separate"/>
      </w:r>
      <w:r w:rsidR="00F54B99">
        <w:rPr>
          <w:noProof/>
        </w:rPr>
        <w:t>(Alfes et al., 2022)</w:t>
      </w:r>
      <w:r w:rsidR="00F54B99">
        <w:fldChar w:fldCharType="end"/>
      </w:r>
      <w:r w:rsidRPr="00D17D77">
        <w:t>. This shift significantly impacted work-nonwork boundaries, leading many employees to experience increased workloads, heightened employer surveillance, and blurred lines between work and personal life. Although the data for this study were collected before the pandemic, understanding the context of pressures to integrate work and nonwork boundaries remains crucial in the hybrid work era.</w:t>
      </w:r>
    </w:p>
    <w:p w14:paraId="14CBDD22" w14:textId="75227D0F" w:rsidR="00F657A2" w:rsidRPr="00D17D77" w:rsidRDefault="006B0FD2" w:rsidP="00D17D77">
      <w:pPr>
        <w:spacing w:before="240" w:after="240"/>
        <w:rPr>
          <w:lang w:val="en-GB"/>
        </w:rPr>
      </w:pPr>
      <w:r w:rsidRPr="00D17D77">
        <w:rPr>
          <w:lang w:val="en-GB"/>
        </w:rPr>
        <w:t>U</w:t>
      </w:r>
      <w:r w:rsidR="003E39BF" w:rsidRPr="00D17D77">
        <w:t xml:space="preserve">nderstanding the boundaries between work and nonwork has traditionally been approached through broad, generalized frameworks. However, this research shifts the focus towards the more nuanced meanings of these boundaries, particularly in the context of </w:t>
      </w:r>
      <w:r w:rsidR="00B37FB0" w:rsidRPr="00D17D77">
        <w:t>PS</w:t>
      </w:r>
      <w:r w:rsidR="001C3095" w:rsidRPr="00D17D77">
        <w:t>F</w:t>
      </w:r>
      <w:r w:rsidR="00B37FB0" w:rsidRPr="00D17D77">
        <w:t>s</w:t>
      </w:r>
      <w:r w:rsidR="003E39BF" w:rsidRPr="00D17D77">
        <w:t xml:space="preserve">. </w:t>
      </w:r>
      <w:r w:rsidR="00B37FB0" w:rsidRPr="00D17D77">
        <w:t>T</w:t>
      </w:r>
      <w:r w:rsidR="003E39BF" w:rsidRPr="00D17D77">
        <w:t>his shift is crucial because it acknowledges the complex, multi-layered realities faced by employees in modern, highly dynamic work environments. By delving into the intricacies of how individuals navigate and negotiate these boundaries, we can gain a richer, more comprehensive understanding of their experiences. This nuanced approach not only provides insights into the psychological and emotional dimensions of work-nonwork boundaries but also uncovers the coping mechanisms and strategies that individuals employ</w:t>
      </w:r>
      <w:r w:rsidR="00B37FB0" w:rsidRPr="00D17D77">
        <w:t xml:space="preserve"> within a specific professional context</w:t>
      </w:r>
      <w:r w:rsidR="003E39BF" w:rsidRPr="00D17D77">
        <w:t xml:space="preserve">. Such understanding can inform more targeted and effective policies and practices that support employee well-being. Ultimately, this shift towards a nuanced </w:t>
      </w:r>
      <w:r w:rsidR="003E39BF" w:rsidRPr="00D17D77">
        <w:lastRenderedPageBreak/>
        <w:t>understanding has the potential to significantly advance the field by fostering a more empathetic and context-sensitive approach to managing work and nonwork boundaries.</w:t>
      </w:r>
    </w:p>
    <w:p w14:paraId="58A56A6D" w14:textId="77777777" w:rsidR="006C7D2B" w:rsidRPr="00D17D77" w:rsidRDefault="006C7D2B" w:rsidP="00D17D77">
      <w:pPr>
        <w:pStyle w:val="Heading1"/>
        <w:spacing w:before="240" w:after="240" w:line="240" w:lineRule="auto"/>
        <w:rPr>
          <w:sz w:val="24"/>
        </w:rPr>
      </w:pPr>
      <w:r w:rsidRPr="00D17D77">
        <w:rPr>
          <w:sz w:val="24"/>
        </w:rPr>
        <w:t>Methodology</w:t>
      </w:r>
    </w:p>
    <w:p w14:paraId="5CF0C7D7" w14:textId="77777777" w:rsidR="006C7D2B" w:rsidRPr="00D17D77" w:rsidRDefault="006C7D2B" w:rsidP="00D17D77">
      <w:pPr>
        <w:spacing w:before="240" w:after="240"/>
        <w:rPr>
          <w:lang w:val="en-GB"/>
        </w:rPr>
      </w:pPr>
      <w:r w:rsidRPr="00D17D77">
        <w:rPr>
          <w:lang w:val="en-GB"/>
        </w:rPr>
        <w:t xml:space="preserve">This qualitative study explored the experiences and constructions of the boundary between work and nonwork among UK-based consultants working in global consulting firms. A consultant’s job is considered a typical knowledge-intensive job. It can be described as work characterised by a high degree of ambiguity about what counts as work, a high level of autonomy, a culture of long hours and the relational nature of work </w:t>
      </w:r>
      <w:r w:rsidRPr="00D17D77">
        <w:rPr>
          <w:lang w:val="en-GB"/>
        </w:rPr>
        <w:fldChar w:fldCharType="begin"/>
      </w:r>
      <w:r w:rsidRPr="00D17D77">
        <w:rPr>
          <w:lang w:val="en-GB"/>
        </w:rPr>
        <w:instrText xml:space="preserve"> ADDIN ZOTERO_ITEM CSL_CITATION {"citationID":"THzZzTSo","properties":{"formattedCitation":"(Alvesson, 2004)","plainCitation":"(Alvesson, 2004)","noteIndex":0},"citationItems":[{"id":141,"uris":["http://zotero.org/users/600134/items/TINE7TEH"],"itemData":{"id":141,"type":"book","abstract":"This book addresses the concept of knowledge, and its use in the contexts of work and organizations. It provides a critical understanding of current approaches to knowledge management, organization, and the 'knowledge economy'. The author describes a number of cases of 'knowledge intensive firms', including IT firms, management consultancy firms, advertising agencies, and life science companies. He emphasizes the ambiguity of knowledge in the input, process, and output of professional work, and suggests that we should be careful in assuming too much about the nature, role, and effects of 'knowledge' in business life. Instead we should understand the constructed nature of knowledge and scrutinize knowledge claims carefully. Alvesson looks at several aspects of management and working life, including human resource management issues, client control, and the regulation of identity. Rhetoric, symbolism, image, the politics of knowledge claims, and identity are all shown to be crucial for understanding the management of 'knowledge intensive firms'. By challenging key assumptions in current thinking about knowledge and organization, a novel theoretical approach is suggested. The book will be of interest to business and management academics concerned with issues of knowledge and organization, and will serve as supplementary reading for graduate and final year undergraduate business and management students.","call-number":"HD30.213","event-place":"Oxford","ISBN":"978-0-19-925934-2","language":"English","license":"Mats Alvesson 2004","number-of-pages":"vi, 271","publisher":"Oxford University Press","publisher-place":"Oxford","source":"undefined, Summon 2.0","title":"Knowledge work and knowledge-intensive firms","URL":"http://www.loc.gov/catdir/toc/fy045/2004300659.html","author":[{"family":"Alvesson","given":"Mats"}],"accessed":{"date-parts":[["2017",4,3]]},"issued":{"date-parts":[["2004"]]}}}],"schema":"https://github.com/citation-style-language/schema/raw/master/csl-citation.json"} </w:instrText>
      </w:r>
      <w:r w:rsidRPr="00D17D77">
        <w:rPr>
          <w:lang w:val="en-GB"/>
        </w:rPr>
        <w:fldChar w:fldCharType="separate"/>
      </w:r>
      <w:r w:rsidRPr="00D17D77">
        <w:rPr>
          <w:noProof/>
          <w:lang w:val="en-GB"/>
        </w:rPr>
        <w:t>(Alvesson, 2004)</w:t>
      </w:r>
      <w:r w:rsidRPr="00D17D77">
        <w:rPr>
          <w:lang w:val="en-GB"/>
        </w:rPr>
        <w:fldChar w:fldCharType="end"/>
      </w:r>
      <w:r w:rsidRPr="00D17D77">
        <w:rPr>
          <w:lang w:val="en-GB"/>
        </w:rPr>
        <w:t xml:space="preserve">. The daily work activities of consultants are not limited to a physical location, as the means of carrying out work include a good Internet connection, a laptop and a smartphone. As a result, the distinction between work and nonwork may be less clear than in other jobs requiring employees to be in one physical location </w:t>
      </w:r>
      <w:r w:rsidRPr="00D17D77">
        <w:rPr>
          <w:lang w:val="en-GB"/>
        </w:rPr>
        <w:fldChar w:fldCharType="begin"/>
      </w:r>
      <w:r w:rsidRPr="00D17D77">
        <w:rPr>
          <w:lang w:val="en-GB"/>
        </w:rPr>
        <w:instrText xml:space="preserve"> ADDIN ZOTERO_ITEM CSL_CITATION {"citationID":"bFk1agir","properties":{"formattedCitation":"(Nippert-Eng, 1996; Poppleton et al., 2008)","plainCitation":"(Nippert-Eng, 1996; Poppleton et al., 2008)","noteIndex":0},"citationItems":[{"id":2721,"uris":["http://zotero.org/users/600134/items/3R2TC5TH"],"itemData":{"id":2721,"type":"book","abstract":"Do you put family photos on your desk at work? Are your home and work keys on the same chain? Do you keep one all-purpose calendar for listing home and work events? Do you have separate telephone books for colleagues and friends? In Home and Work, Christena Nippert-Eng examines the intricacies and implications of how we draw the line between home and work.Arguing that relationships between the two realms range from those that are highly \"integrating\" to those that are highly \"segmenting,\" Nippert-Eng examines the ways people sculpt the boundaries between home and work. With remarkable sensitivity to the symbolic value of objects and actions, Nippert-Eng explores the meaning of clothing, wallets, lunches and vacations, and the places and ways in which we engage our family, friends, and co-workers. Commuting habits are also revealing, showing how we make the transition between home and work selves though ritualized behavior like hellos and goodbyes, the consumption of food, the way we dress, our choices of routes to and from work, and our listening, working, and sleeping habits during these journeys.The ways each of us manages time, space, and people not only reflect but reinforce lives that are more \"integrating\" or \"segmenting\" at any given time. In clarifying what we take for granted, this book will leave you thinking in different ways about your life and work.","event-place":"Chicago","ISBN":"978-0-226-58146-0","language":"en","number-of-pages":"345","publisher":"University of Chicago Press","publisher-place":"Chicago","source":"Google Books","title":"Home and Work: Negotiating Boundaries through Everyday Life","title-short":"Home and Work","author":[{"family":"Nippert-Eng","given":"Christena E."}],"issued":{"date-parts":[["1996",6,1]]}}},{"id":8138,"uris":["http://zotero.org/users/600134/items/77DNLJ9M"],"itemData":{"id":8138,"type":"article-journal","abstract":"The purpose of the study was to address several of the limitations of work–non-work research by adopting a qualitative diary methodology which explored insiders’ accounts of both the positive and negative aspects of work–non-work relationships and examined the role of context in shaping such relationships. Daily diary data on work–non-work events and post-diary interview data were collected from participants in two contrasting organizational contexts: Flexorg (N = 20), a progressive local government organization and The Factory (N= 18), a traditional manufacturing organization. Work–non-work relationships were found to be simultaneously enriching and depleting in both organizations. For Flexorg workers, work–non-work relationships were characterized by facilitation and time-based conflicts. At The Factory, high spillover from work to nonwork and vice versa challenged the assumption that blue-collar work is typified by segmentation (Nippert-Eng, 1995). The experience of work–non-work events was shaped by the nature of the work, the work–non-work culture and working patterns in both organizations. The study also identified negative spillover as a qualitatively more important problem than work–non-work conflict in this study, and identified a social dimension of work–non-work conflict which was found across organizational contexts. (PsycInfo Database Record (c) 2022 APA, all rights reserved)","container-title":"Journal of Occupational and Organizational Psychology","DOI":"10.1348/096317908X295182","ISSN":"2044-8325","issue":"3","note":"publisher-place: United Kingdom\npublisher: British Psychological Society","page":"481-502","source":"APA PsycNet","title":"The roles of context and everyday experience in understanding work-non-work relationships: A qualitative diary study of white- and blue-collar workers","title-short":"The roles of context and everyday experience in understanding work-non-work relationships","volume":"81","author":[{"family":"Poppleton","given":"Sarah"},{"family":"Briner","given":"Rob B."},{"family":"Kiefer","given":"Tina"}],"issued":{"date-parts":[["2008"]]}}}],"schema":"https://github.com/citation-style-language/schema/raw/master/csl-citation.json"} </w:instrText>
      </w:r>
      <w:r w:rsidRPr="00D17D77">
        <w:rPr>
          <w:lang w:val="en-GB"/>
        </w:rPr>
        <w:fldChar w:fldCharType="separate"/>
      </w:r>
      <w:r w:rsidRPr="00D17D77">
        <w:rPr>
          <w:noProof/>
          <w:lang w:val="en-GB"/>
        </w:rPr>
        <w:t>(Nippert-Eng, 1996; Poppleton et al., 2008)</w:t>
      </w:r>
      <w:r w:rsidRPr="00D17D77">
        <w:rPr>
          <w:lang w:val="en-GB"/>
        </w:rPr>
        <w:fldChar w:fldCharType="end"/>
      </w:r>
      <w:r w:rsidRPr="00D17D77">
        <w:rPr>
          <w:lang w:val="en-GB"/>
        </w:rPr>
        <w:t>. Such a work context will likely provide rich insights into institutional work, emotions and constructions of the work-nonwork boundaries.</w:t>
      </w:r>
    </w:p>
    <w:p w14:paraId="1C2F60B2" w14:textId="656444DA" w:rsidR="006C7D2B" w:rsidRPr="00D17D77" w:rsidRDefault="00FA669C" w:rsidP="00D17D77">
      <w:pPr>
        <w:pStyle w:val="APA"/>
        <w:spacing w:before="240" w:after="240" w:line="240" w:lineRule="auto"/>
      </w:pPr>
      <w:r w:rsidRPr="00D17D77">
        <w:t>This research use</w:t>
      </w:r>
      <w:r w:rsidR="006B0FD2" w:rsidRPr="00D17D77">
        <w:t>s</w:t>
      </w:r>
      <w:r w:rsidRPr="00D17D77">
        <w:t xml:space="preserve"> purposeful sampling </w:t>
      </w:r>
      <w:r w:rsidR="008C3F63">
        <w:fldChar w:fldCharType="begin"/>
      </w:r>
      <w:r w:rsidR="008C3F63">
        <w:instrText xml:space="preserve"> ADDIN ZOTERO_ITEM CSL_CITATION {"citationID":"kGYei7dI","properties":{"formattedCitation":"(Patton, 1990)","plainCitation":"(Patton, 1990)","noteIndex":0},"citationItems":[{"id":2543,"uris":["http://zotero.org/users/600134/items/AMNUXX6K"],"itemData":{"id":2543,"type":"book","edition":"Second Edition edition","event-place":"Newbury Park, Calif","ISBN":"978-0-8039-3779-6","language":"English","number-of-pages":"536","publisher":"SAGE Publications, Inc","publisher-place":"Newbury Park, Calif","source":"Amazon","title":"Qualitative Evaluation and Research Methods","author":[{"family":"Patton","given":"Michael Quinn"}],"issued":{"date-parts":[["1990",4,10]]}}}],"schema":"https://github.com/citation-style-language/schema/raw/master/csl-citation.json"} </w:instrText>
      </w:r>
      <w:r w:rsidR="008C3F63">
        <w:fldChar w:fldCharType="separate"/>
      </w:r>
      <w:r w:rsidR="008C3F63">
        <w:rPr>
          <w:noProof/>
        </w:rPr>
        <w:t>(Patton, 1990)</w:t>
      </w:r>
      <w:r w:rsidR="008C3F63">
        <w:fldChar w:fldCharType="end"/>
      </w:r>
      <w:r w:rsidR="008C3F63">
        <w:t xml:space="preserve"> </w:t>
      </w:r>
      <w:r w:rsidRPr="00D17D77">
        <w:t xml:space="preserve">and adopt the concept of information power as proposed by </w:t>
      </w:r>
      <w:r w:rsidR="008C3F63">
        <w:fldChar w:fldCharType="begin"/>
      </w:r>
      <w:r w:rsidR="008C3F63">
        <w:instrText xml:space="preserve"> ADDIN ZOTERO_ITEM CSL_CITATION {"citationID":"RjjrUON4","properties":{"formattedCitation":"(Malterud et al., 2016)","plainCitation":"(Malterud et al., 2016)","noteIndex":0},"citationItems":[{"id":8255,"uris":["http://zotero.org/users/600134/items/Y7IAZIC6"],"itemData":{"id":8255,"type":"article-journal","abstract":"Sample sizes must be ascertained in qualitative studies like in quantitative studies but not by the same means. The prevailing concept for sample size in qualitative studies is “saturation.” Saturation is closely tied to a specific methodology, and the term is inconsistently applied. We propose the concept “information power” to guide adequate sample size for qualitative studies. Information power indicates that the more information the sample holds, relevant for the actual study, the lower amount of participants is needed. We suggest that the size of a sample with sufficient information power depends on (a) the aim of the study, (b) sample specificity, (c) use of established theory, (d) quality of dialogue, and (e) analysis strategy. We present a model where these elements of information and their relevant dimensions are related to information power. Application of this model in the planning and during data collection of a qualitative study is discussed.","container-title":"Qualitative Health Research","DOI":"10.1177/1049732315617444","ISSN":"1049-7323","issue":"13","journalAbbreviation":"Qual Health Res","language":"en","note":"publisher: SAGE Publications Inc","page":"1753-1760","source":"SAGE Journals","title":"Sample Size in Qualitative Interview Studies: Guided by Information Power","title-short":"Sample Size in Qualitative Interview Studies","volume":"26","author":[{"family":"Malterud","given":"Kirsti"},{"family":"Siersma","given":"Volkert Dirk"},{"family":"Guassora","given":"Ann Dorrit"}],"issued":{"date-parts":[["2016",11,1]]}}}],"schema":"https://github.com/citation-style-language/schema/raw/master/csl-citation.json"} </w:instrText>
      </w:r>
      <w:r w:rsidR="008C3F63">
        <w:fldChar w:fldCharType="separate"/>
      </w:r>
      <w:r w:rsidR="008C3F63">
        <w:rPr>
          <w:noProof/>
        </w:rPr>
        <w:t>Malterud et al. (2016)</w:t>
      </w:r>
      <w:r w:rsidR="008C3F63">
        <w:fldChar w:fldCharType="end"/>
      </w:r>
      <w:r w:rsidR="008C3F63">
        <w:t xml:space="preserve"> </w:t>
      </w:r>
      <w:r w:rsidRPr="00D17D77">
        <w:t xml:space="preserve">to estimate the sample size. </w:t>
      </w:r>
      <w:r w:rsidR="006C7D2B" w:rsidRPr="00D17D77">
        <w:t>The study recruited 30 UK-based consultants from global consulting firms specialising in HR, management and financial advisory, technology, and real estate. Participants ranged in age from 22 to 54 years old and had varying levels of experience, from junior to director. Data collection took place before the onset of the COVID-19 pandemic, from June 2019 to February 2020.</w:t>
      </w:r>
    </w:p>
    <w:p w14:paraId="7516FAFC" w14:textId="7D99BA07" w:rsidR="00147423" w:rsidRPr="00D17D77" w:rsidRDefault="00147423" w:rsidP="00D17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lang w:val="en-GB"/>
        </w:rPr>
      </w:pPr>
      <w:r w:rsidRPr="00D17D77">
        <w:rPr>
          <w:lang w:val="en-GB" w:eastAsia="lt-LT"/>
        </w:rPr>
        <w:t xml:space="preserve">This research approach was conducted from a critical realist perspective using a contextualist </w:t>
      </w:r>
      <w:r w:rsidRPr="00D17D77">
        <w:rPr>
          <w:color w:val="000000" w:themeColor="text1"/>
          <w:lang w:val="en-GB" w:eastAsia="lt-LT"/>
        </w:rPr>
        <w:t xml:space="preserve">approach </w:t>
      </w:r>
      <w:r w:rsidR="008C3F63">
        <w:rPr>
          <w:color w:val="000000" w:themeColor="text1"/>
          <w:lang w:val="en-GB" w:eastAsia="lt-LT"/>
        </w:rPr>
        <w:fldChar w:fldCharType="begin"/>
      </w:r>
      <w:r w:rsidR="008C3F63">
        <w:rPr>
          <w:color w:val="000000" w:themeColor="text1"/>
          <w:lang w:val="en-GB" w:eastAsia="lt-LT"/>
        </w:rPr>
        <w:instrText xml:space="preserve"> ADDIN ZOTERO_ITEM CSL_CITATION {"citationID":"yH8CMJtu","properties":{"formattedCitation":"(Madill et al., 2000)","plainCitation":"(Madill et al., 2000)","noteIndex":0},"citationItems":[{"id":8099,"uris":["http://zotero.org/users/600134/items/WBLS69EL"],"itemData":{"id":8099,"type":"article-journal","abstract":"The effect of the individual analyst on research findings can create a credibility problem for qualitative approaches from the perspective of evaluative criteria utilized in quantitative psychology. This paper explicates the ways in which objectivity and reliability are understood in qualitative analysis conducted from within three distinct epistemological frameworks: realism, contextual constructionism, and radical constructionism. It is argued that quality criteria utilized in quantitative psychology are appropriate to the evaluation of qualitative analysis only to the extent that it is conducted within a naive or scientific realist framework. The discussion is illustrated with reference to the comparison of two independent grounded theory analyses of identical material. An implication of this illustration is to identify the potential to develop a radical constructionist strand of grounded theory.","container-title":"British Journal of Psychology (London, England: 1953)","DOI":"10.1348/000712600161646","ISSN":"0007-1269","journalAbbreviation":"Br J Psychol","language":"eng","note":"PMID: 10717768","page":"1-20","source":"PubMed","title":"Objectivity and reliability in qualitative analysis: realist, contextualist and radical constructionist epistemologies","title-short":"Objectivity and reliability in qualitative analysis","volume":"91 ( Pt 1)","author":[{"family":"Madill","given":"A."},{"family":"Jordan","given":"A."},{"family":"Shirley","given":"C."}],"issued":{"date-parts":[["2000",2]]}}}],"schema":"https://github.com/citation-style-language/schema/raw/master/csl-citation.json"} </w:instrText>
      </w:r>
      <w:r w:rsidR="008C3F63">
        <w:rPr>
          <w:color w:val="000000" w:themeColor="text1"/>
          <w:lang w:val="en-GB" w:eastAsia="lt-LT"/>
        </w:rPr>
        <w:fldChar w:fldCharType="separate"/>
      </w:r>
      <w:r w:rsidR="008C3F63">
        <w:rPr>
          <w:noProof/>
          <w:color w:val="000000" w:themeColor="text1"/>
          <w:lang w:val="en-GB" w:eastAsia="lt-LT"/>
        </w:rPr>
        <w:t>(Madill et al., 2000)</w:t>
      </w:r>
      <w:r w:rsidR="008C3F63">
        <w:rPr>
          <w:color w:val="000000" w:themeColor="text1"/>
          <w:lang w:val="en-GB" w:eastAsia="lt-LT"/>
        </w:rPr>
        <w:fldChar w:fldCharType="end"/>
      </w:r>
      <w:r w:rsidR="008C3F63">
        <w:rPr>
          <w:color w:val="000000" w:themeColor="text1"/>
          <w:lang w:val="en-GB" w:eastAsia="lt-LT"/>
        </w:rPr>
        <w:t xml:space="preserve"> </w:t>
      </w:r>
      <w:r w:rsidRPr="00D17D77">
        <w:rPr>
          <w:color w:val="000000" w:themeColor="text1"/>
          <w:lang w:val="en-GB" w:eastAsia="lt-LT"/>
        </w:rPr>
        <w:t>b</w:t>
      </w:r>
      <w:r w:rsidRPr="00D17D77">
        <w:rPr>
          <w:lang w:val="en-GB" w:eastAsia="lt-LT"/>
        </w:rPr>
        <w:t>ecause this research focus was on lived experiences in relation to the professional context. This research approach uses a critical realist research perspective to understand the participants' experiences and the context that influences their perspectives. As a critical realist ontological assumption suggests</w:t>
      </w:r>
      <w:r w:rsidR="00B31121" w:rsidRPr="00D17D77">
        <w:rPr>
          <w:lang w:val="en-GB" w:eastAsia="lt-LT"/>
        </w:rPr>
        <w:t xml:space="preserve">, </w:t>
      </w:r>
      <w:r w:rsidRPr="00D17D77">
        <w:rPr>
          <w:lang w:val="en-GB" w:eastAsia="lt-LT"/>
        </w:rPr>
        <w:t>the</w:t>
      </w:r>
      <w:r w:rsidR="00B31121" w:rsidRPr="00D17D77">
        <w:rPr>
          <w:lang w:val="en-GB" w:eastAsia="lt-LT"/>
        </w:rPr>
        <w:t xml:space="preserve"> research assume</w:t>
      </w:r>
      <w:r w:rsidR="00A55676" w:rsidRPr="00D17D77">
        <w:rPr>
          <w:lang w:val="en-GB" w:eastAsia="lt-LT"/>
        </w:rPr>
        <w:t>s</w:t>
      </w:r>
      <w:r w:rsidR="00B31121" w:rsidRPr="00D17D77">
        <w:rPr>
          <w:lang w:val="en-GB" w:eastAsia="lt-LT"/>
        </w:rPr>
        <w:t xml:space="preserve"> that there </w:t>
      </w:r>
      <w:r w:rsidRPr="00D17D77">
        <w:rPr>
          <w:lang w:val="en-GB" w:eastAsia="lt-LT"/>
        </w:rPr>
        <w:t xml:space="preserve">is a reality beyond speech and text. However, our understanding and access of that reality </w:t>
      </w:r>
      <w:r w:rsidR="00B31121" w:rsidRPr="00D17D77">
        <w:rPr>
          <w:lang w:val="en-GB" w:eastAsia="lt-LT"/>
        </w:rPr>
        <w:t>are</w:t>
      </w:r>
      <w:r w:rsidRPr="00D17D77">
        <w:rPr>
          <w:lang w:val="en-GB" w:eastAsia="lt-LT"/>
        </w:rPr>
        <w:t xml:space="preserve"> shaped by contextual lenses at multiple levels (Braun &amp; Clarke, 2013; 2022). This study was conducted from a contextualist </w:t>
      </w:r>
      <w:r w:rsidRPr="00D17D77">
        <w:rPr>
          <w:color w:val="000000" w:themeColor="text1"/>
          <w:lang w:val="en-GB" w:eastAsia="lt-LT"/>
        </w:rPr>
        <w:t xml:space="preserve">epistemology (Madill et al., 2000) that </w:t>
      </w:r>
      <w:r w:rsidRPr="00D17D77">
        <w:rPr>
          <w:lang w:val="en-GB" w:eastAsia="lt-LT"/>
        </w:rPr>
        <w:t xml:space="preserve">recognises the contextual nature of knowledge creation, such as critical management literature, in order to make sense of lived experience and understand the importance of context. </w:t>
      </w:r>
      <w:r w:rsidR="00B31121" w:rsidRPr="00D17D77">
        <w:rPr>
          <w:lang w:val="en-GB" w:eastAsia="lt-LT"/>
        </w:rPr>
        <w:t>C</w:t>
      </w:r>
      <w:r w:rsidRPr="00D17D77">
        <w:rPr>
          <w:lang w:val="en-GB" w:eastAsia="lt-LT"/>
        </w:rPr>
        <w:t xml:space="preserve">onducting research with a contextualist epistemology, </w:t>
      </w:r>
      <w:r w:rsidR="00B31121" w:rsidRPr="00D17D77">
        <w:rPr>
          <w:lang w:val="en-GB" w:eastAsia="lt-LT"/>
        </w:rPr>
        <w:t xml:space="preserve">we </w:t>
      </w:r>
      <w:r w:rsidRPr="00D17D77">
        <w:rPr>
          <w:lang w:val="en-GB" w:eastAsia="lt-LT"/>
        </w:rPr>
        <w:t>acknowledge</w:t>
      </w:r>
      <w:r w:rsidR="00B31121" w:rsidRPr="00D17D77">
        <w:rPr>
          <w:lang w:val="en-GB" w:eastAsia="lt-LT"/>
        </w:rPr>
        <w:t>d</w:t>
      </w:r>
      <w:r w:rsidRPr="00D17D77">
        <w:rPr>
          <w:lang w:val="en-GB" w:eastAsia="lt-LT"/>
        </w:rPr>
        <w:t xml:space="preserve"> the influence of the researcher's own cultural and personal perspective (Madill et al., 2000). The research process </w:t>
      </w:r>
      <w:r w:rsidR="00B31121" w:rsidRPr="00D17D77">
        <w:rPr>
          <w:lang w:val="en-GB" w:eastAsia="lt-LT"/>
        </w:rPr>
        <w:t>wa</w:t>
      </w:r>
      <w:r w:rsidRPr="00D17D77">
        <w:rPr>
          <w:lang w:val="en-GB" w:eastAsia="lt-LT"/>
        </w:rPr>
        <w:t>s seen as a collaboration between researcher and participant, where reflexivity is an important part of the process</w:t>
      </w:r>
      <w:r w:rsidR="00B31121" w:rsidRPr="00D17D77">
        <w:rPr>
          <w:lang w:val="en-GB" w:eastAsia="lt-LT"/>
        </w:rPr>
        <w:t xml:space="preserve"> (Braun &amp; Clarke, 2013; 2022).</w:t>
      </w:r>
    </w:p>
    <w:p w14:paraId="609D3B1E" w14:textId="77777777" w:rsidR="006C7D2B" w:rsidRPr="00D17D77" w:rsidRDefault="006C7D2B" w:rsidP="00D17D77">
      <w:pPr>
        <w:pStyle w:val="APA"/>
        <w:spacing w:before="240" w:after="240" w:line="240" w:lineRule="auto"/>
      </w:pPr>
      <w:r w:rsidRPr="00D17D77">
        <w:t>The study employed a two-stage approach involving the collection of daily diaries for two weeks and in-depth interviews. In stage one, participants were asked to maintain daily diaries for two weeks, reflecting on their experiences related to work-nonwork boundaries. They were instructed to write about specific instances when they perceived the boundary to be clear or unclear and to note their thoughts, feelings, and actions in these situations. Additionally, they were asked to record the number of hours they worked each day. Following the daily diary phase, participants were invited to participate in semi-structured interviews in stage two. Interviews were conducted via telephone or online applications and lasted approximately 60 minutes. The interview guide explored consultants' experiences and perceptions of the work-nonwork boundary, including its fluidity, the factors influencing it, and the strategies they employ to manage it.</w:t>
      </w:r>
    </w:p>
    <w:p w14:paraId="0AF1DF6B" w14:textId="77777777" w:rsidR="006C7D2B" w:rsidRPr="00D17D77" w:rsidRDefault="006C7D2B" w:rsidP="00D17D77">
      <w:pPr>
        <w:pStyle w:val="APA"/>
        <w:spacing w:before="240" w:after="240" w:line="240" w:lineRule="auto"/>
      </w:pPr>
      <w:r w:rsidRPr="00D17D77">
        <w:lastRenderedPageBreak/>
        <w:t xml:space="preserve">The two-stage data collection approach aided in building a comprehensive understanding of consultants' experiences with the work-nonwork boundary. The daily diaries captured the fluidity and contextual nature of these experiences, while the in-depth interviews allowed for in-depth exploration and reflection. Reflexive thematic analysis facilitated a nuanced and interpretative data analysis, capturing the meaning and context of the participants' experiences. </w:t>
      </w:r>
    </w:p>
    <w:p w14:paraId="5F9D57CC" w14:textId="3AD9788B" w:rsidR="003B73C5" w:rsidRPr="00D17D77" w:rsidRDefault="006C7D2B" w:rsidP="00D17D77">
      <w:pPr>
        <w:pStyle w:val="APA"/>
        <w:spacing w:before="240" w:after="240" w:line="240" w:lineRule="auto"/>
        <w:rPr>
          <w:rStyle w:val="rynqvb"/>
          <w:rFonts w:eastAsiaTheme="majorEastAsia"/>
        </w:rPr>
      </w:pPr>
      <w:r w:rsidRPr="00D17D77">
        <w:t xml:space="preserve">The interview transcripts were transcribed verbatim, including verbal communication cues such as voice intensity, pauses, and restarts. </w:t>
      </w:r>
      <w:r w:rsidR="00CF75C4" w:rsidRPr="00D17D77">
        <w:t xml:space="preserve">The data analysis was conducted using reflexive thematic analysis (TA) as outlined by </w:t>
      </w:r>
      <w:r w:rsidR="00CF75C4" w:rsidRPr="00D17D77">
        <w:fldChar w:fldCharType="begin"/>
      </w:r>
      <w:r w:rsidR="00CF75C4" w:rsidRPr="00D17D77">
        <w:instrText xml:space="preserve"> ADDIN ZOTERO_ITEM CSL_CITATION {"citationID":"sU1vIqTN","properties":{"formattedCitation":"(Braun &amp; Clarke, 2006, 2022)","plainCitation":"(Braun &amp; Clarke, 2006, 2022)","dontUpdate":true,"noteIndex":0},"citationItems":[{"id":104,"uris":["http://zotero.org/users/600134/items/BDCGWPZE"],"itemData":{"id":104,"type":"article-journal","abstract":"Thematic analysis is a poorly demarcated, rarely acknowledged, yet widely used qualitative analytic method within psychology. In this paper, we argue that it offers an accessible and theoretically flexible approach to analysing qualitative data. We outline what thematic analysis is, locating it in relation to other qualitative analytic methods that search for themes or patterns, and in relation to different epistemological and ontological positions. We then provide clear guidelines to those wanting to start thematic analysis, or conduct it in a more deliberate and rigorous way, and consider potential pitfalls in conducting thematic analysis. Finally, we outline the disadvantages and advantages of thematic analysis. We conclude by advocating thematic analysis as a useful and flexible method for qualitative research in and beyond psychology.","container-title":"Qualitative Research in Psychology","DOI":"10.1191/1478088706qp063oa","ISSN":"1478-0887","issue":"2","page":"77-101","source":"Taylor and Francis+NEJM","title":"Using thematic analysis in psychology","volume":"3","author":[{"family":"Braun","given":"Virginia"},{"family":"Clarke","given":"Victoria"}],"issued":{"date-parts":[["2006",1,1]]}}},{"id":2779,"uris":["http://zotero.org/users/600134/items/SVUVKAU3"],"itemData":{"id":2779,"type":"book","abstract":"Developed and adapted by the authors of this book, thematic analysis (TA) is one of the most popular qualitative data analytic techniques in psychology and the social and health sciences. Building on the success of Braun &amp; Clarke′s 2006 paper first outlining their approach - which has over 100,000 citations on Google Scholar - this book is the definitive guide to TA, covering:  - Contextualisation of TA  - Developing themes  - Writing TA reports  - Reflexive TA  It addresses the common questions surrounding TA as well as developments in the field, offering a highly accessible and practical discussion of doing TA situated within a clear understanding of the wider terrain of qualitative research.   Virginia Braun is a Professor in the School of Psychology at The University of Auckland, Aotearoa New Zealand.   Victoria Clarke is an Associate Professor in Qualitative and Critical Psychology in the Department of Social Sciences at the University of the West of England (UWE), Bristol.","ISBN":"978-1-5264-1730-5","language":"en","note":"Google-Books-ID: mToqEAAAQBAJ","number-of-pages":"377","publisher":"SAGE","source":"Google Books","title":"Thematic Analysis: A Practical Guide","title-short":"Thematic Analysis","author":[{"family":"Braun","given":"Virginia"},{"family":"Clarke","given":"Victoria"}],"issued":{"date-parts":[["2022"]]}}}],"schema":"https://github.com/citation-style-language/schema/raw/master/csl-citation.json"} </w:instrText>
      </w:r>
      <w:r w:rsidR="00CF75C4" w:rsidRPr="00D17D77">
        <w:fldChar w:fldCharType="separate"/>
      </w:r>
      <w:r w:rsidR="00CF75C4" w:rsidRPr="00D17D77">
        <w:rPr>
          <w:noProof/>
        </w:rPr>
        <w:t>Braun and Clarke's (2006, 2022)</w:t>
      </w:r>
      <w:r w:rsidR="00CF75C4" w:rsidRPr="00D17D77">
        <w:fldChar w:fldCharType="end"/>
      </w:r>
      <w:r w:rsidR="00CF75C4" w:rsidRPr="00D17D77">
        <w:t xml:space="preserve">. Initially, diary data was considered for analysis, but the richness and depth of interview data led to focusing solely on interviews. The six-phase recursive process included data familiarization, coding, generating initial themes, developing and reviewing themes, refining and naming themes, and writing up. First, familiarization involved multiple readings of interview transcripts and listening to recordings, with notes taken to capture initial insights and potential themes. Coding then identified relevant excerpts, with systematic application and refinement of codes across the entire data set. This process included both semantic (descriptive) and latent (interpretative) codes. Initial themes were generated by organizing and relating codes, and candidate themes were evaluated for coherence and relevance to the research questions. These themes were then refined, defined, and named, ensuring they accurately represented the data. Finally, the analysis was written up, presenting an analytic narrative that integrated relevant data extracts and existing literature. This approach facilitated an in-depth understanding of participants' experiences and the nuanced meanings of work/nonwork boundaries. </w:t>
      </w:r>
      <w:r w:rsidRPr="00D17D77">
        <w:t xml:space="preserve">The first author kept a reflective journal throughout the research process, documenting personal beliefs, experiences, and potential </w:t>
      </w:r>
      <w:r w:rsidR="00CF75C4" w:rsidRPr="00D17D77">
        <w:t>assumptions and biases</w:t>
      </w:r>
      <w:r w:rsidRPr="00D17D77">
        <w:t xml:space="preserve"> that could influence the research. This self-reflection aimed to enhance the trustworthiness of the findings.</w:t>
      </w:r>
    </w:p>
    <w:p w14:paraId="1A671E4C" w14:textId="77777777" w:rsidR="00B37FB0" w:rsidRPr="00D17D77" w:rsidRDefault="00B37FB0" w:rsidP="00D17D77">
      <w:pPr>
        <w:spacing w:before="240" w:after="240"/>
        <w:rPr>
          <w:rStyle w:val="rynqvb"/>
          <w:rFonts w:eastAsiaTheme="majorEastAsia"/>
          <w:b/>
          <w:bCs/>
          <w:lang w:val="en-GB"/>
        </w:rPr>
      </w:pPr>
    </w:p>
    <w:p w14:paraId="7FEBCA70" w14:textId="563DC2CD" w:rsidR="006C7D2B" w:rsidRPr="00D17D77" w:rsidRDefault="006C7D2B" w:rsidP="00D17D77">
      <w:pPr>
        <w:spacing w:before="240" w:after="240"/>
        <w:rPr>
          <w:rStyle w:val="rynqvb"/>
          <w:rFonts w:eastAsiaTheme="majorEastAsia"/>
          <w:b/>
          <w:bCs/>
          <w:lang w:val="en-GB"/>
        </w:rPr>
      </w:pPr>
      <w:r w:rsidRPr="00D17D77">
        <w:rPr>
          <w:rStyle w:val="rynqvb"/>
          <w:rFonts w:eastAsiaTheme="majorEastAsia"/>
          <w:b/>
          <w:bCs/>
          <w:lang w:val="en-GB"/>
        </w:rPr>
        <w:t>Findings</w:t>
      </w:r>
    </w:p>
    <w:p w14:paraId="32AB2BBC" w14:textId="486C92B4" w:rsidR="005B603F" w:rsidRPr="00D17D77" w:rsidRDefault="005B603F" w:rsidP="00D17D77">
      <w:pPr>
        <w:pStyle w:val="NormalWeb"/>
        <w:spacing w:before="240" w:beforeAutospacing="0" w:after="240" w:afterAutospacing="0"/>
        <w:rPr>
          <w:lang w:val="en-US"/>
        </w:rPr>
      </w:pPr>
      <w:r w:rsidRPr="00D17D77">
        <w:rPr>
          <w:lang w:val="en-GB"/>
        </w:rPr>
        <w:t xml:space="preserve">This qualitative inductive study of the meanings of work-nonwork boundaries in professional services firms yielded several important findings. </w:t>
      </w:r>
      <w:r w:rsidR="00997B88" w:rsidRPr="00D17D77">
        <w:rPr>
          <w:lang w:val="en-GB"/>
        </w:rPr>
        <w:t>Below, I</w:t>
      </w:r>
      <w:r w:rsidRPr="00D17D77">
        <w:rPr>
          <w:lang w:val="en-GB"/>
        </w:rPr>
        <w:t xml:space="preserve"> discuss several important areas of findings</w:t>
      </w:r>
      <w:r w:rsidR="00997B88" w:rsidRPr="00D17D77">
        <w:rPr>
          <w:lang w:val="en-GB"/>
        </w:rPr>
        <w:t xml:space="preserve"> and conceptualise boundaries as </w:t>
      </w:r>
      <w:r w:rsidR="0022139E" w:rsidRPr="00D17D77">
        <w:rPr>
          <w:lang w:val="en-GB"/>
        </w:rPr>
        <w:t xml:space="preserve">1) organisational </w:t>
      </w:r>
      <w:r w:rsidR="002176D7" w:rsidRPr="00D17D77">
        <w:rPr>
          <w:lang w:val="en-GB"/>
        </w:rPr>
        <w:t xml:space="preserve">and client </w:t>
      </w:r>
      <w:r w:rsidR="0022139E" w:rsidRPr="00D17D77">
        <w:rPr>
          <w:lang w:val="en-GB"/>
        </w:rPr>
        <w:t>controls</w:t>
      </w:r>
      <w:r w:rsidR="00061F74" w:rsidRPr="00D17D77">
        <w:rPr>
          <w:lang w:val="en-GB"/>
        </w:rPr>
        <w:t xml:space="preserve">, 2) </w:t>
      </w:r>
      <w:r w:rsidR="002176D7" w:rsidRPr="00D17D77">
        <w:rPr>
          <w:lang w:val="en-GB"/>
        </w:rPr>
        <w:t xml:space="preserve">coping and belief systems; </w:t>
      </w:r>
      <w:r w:rsidR="00061F74" w:rsidRPr="00D17D77">
        <w:rPr>
          <w:lang w:val="en-GB"/>
        </w:rPr>
        <w:t xml:space="preserve">3) </w:t>
      </w:r>
      <w:r w:rsidR="00E3531F" w:rsidRPr="00D17D77">
        <w:rPr>
          <w:lang w:val="en-GB"/>
        </w:rPr>
        <w:t>physical experiences of limits</w:t>
      </w:r>
      <w:r w:rsidR="00061F74" w:rsidRPr="00D17D77">
        <w:rPr>
          <w:lang w:val="en-GB"/>
        </w:rPr>
        <w:t>,</w:t>
      </w:r>
      <w:r w:rsidR="009765E2" w:rsidRPr="00D17D77">
        <w:rPr>
          <w:lang w:val="en-GB"/>
        </w:rPr>
        <w:t xml:space="preserve"> </w:t>
      </w:r>
      <w:r w:rsidR="00305B12" w:rsidRPr="00D17D77">
        <w:rPr>
          <w:lang w:val="en-GB"/>
        </w:rPr>
        <w:t>and 4)</w:t>
      </w:r>
      <w:r w:rsidR="009765E2" w:rsidRPr="00D17D77">
        <w:rPr>
          <w:lang w:val="en-GB"/>
        </w:rPr>
        <w:t xml:space="preserve"> </w:t>
      </w:r>
      <w:r w:rsidR="00E3531F" w:rsidRPr="00D17D77">
        <w:rPr>
          <w:lang w:val="en-GB"/>
        </w:rPr>
        <w:t>learning experiences and personal</w:t>
      </w:r>
      <w:r w:rsidR="001B69F8" w:rsidRPr="00D17D77">
        <w:rPr>
          <w:lang w:val="en-GB"/>
        </w:rPr>
        <w:t xml:space="preserve"> </w:t>
      </w:r>
      <w:r w:rsidR="00305B12" w:rsidRPr="00D17D77">
        <w:rPr>
          <w:lang w:val="en-GB"/>
        </w:rPr>
        <w:t xml:space="preserve">change. </w:t>
      </w:r>
    </w:p>
    <w:p w14:paraId="267B406F" w14:textId="25EA8EFC" w:rsidR="00EC2690" w:rsidRPr="00D17D77" w:rsidRDefault="0022139E" w:rsidP="00D17D77">
      <w:pPr>
        <w:pStyle w:val="NormalWeb"/>
        <w:numPr>
          <w:ilvl w:val="0"/>
          <w:numId w:val="1"/>
        </w:numPr>
        <w:spacing w:before="240" w:beforeAutospacing="0" w:after="240" w:afterAutospacing="0"/>
        <w:rPr>
          <w:b/>
          <w:bCs/>
          <w:lang w:val="en-GB"/>
        </w:rPr>
      </w:pPr>
      <w:r w:rsidRPr="00D17D77">
        <w:rPr>
          <w:b/>
          <w:bCs/>
          <w:lang w:val="en-GB"/>
        </w:rPr>
        <w:t>Boundaries as o</w:t>
      </w:r>
      <w:r w:rsidR="00EC2690" w:rsidRPr="00D17D77">
        <w:rPr>
          <w:b/>
          <w:bCs/>
          <w:lang w:val="en-GB"/>
        </w:rPr>
        <w:t xml:space="preserve">rganisational </w:t>
      </w:r>
      <w:r w:rsidR="00954322" w:rsidRPr="00D17D77">
        <w:rPr>
          <w:b/>
          <w:bCs/>
          <w:lang w:val="en-GB"/>
        </w:rPr>
        <w:t xml:space="preserve">and client </w:t>
      </w:r>
      <w:r w:rsidR="00EC2690" w:rsidRPr="00D17D77">
        <w:rPr>
          <w:b/>
          <w:bCs/>
          <w:lang w:val="en-GB"/>
        </w:rPr>
        <w:t>controls</w:t>
      </w:r>
    </w:p>
    <w:p w14:paraId="0B70CDE3" w14:textId="58F870A3" w:rsidR="004B3789" w:rsidRPr="00D17D77" w:rsidRDefault="00F96AFF" w:rsidP="00D17D77">
      <w:pPr>
        <w:spacing w:before="120" w:after="240"/>
        <w:rPr>
          <w:bdr w:val="none" w:sz="0" w:space="0" w:color="auto" w:frame="1"/>
          <w:lang w:val="en-GB"/>
        </w:rPr>
      </w:pPr>
      <w:r w:rsidRPr="00D17D77">
        <w:rPr>
          <w:lang w:val="en-GB"/>
        </w:rPr>
        <w:t>According to participants, senior leaders</w:t>
      </w:r>
      <w:r w:rsidR="00141953" w:rsidRPr="00D17D77">
        <w:rPr>
          <w:lang w:val="en-GB"/>
        </w:rPr>
        <w:t xml:space="preserve"> directly or indirectly exerted control over work-</w:t>
      </w:r>
      <w:r w:rsidR="00062834" w:rsidRPr="00D17D77">
        <w:rPr>
          <w:lang w:val="en-GB"/>
        </w:rPr>
        <w:t>nonwork boundaries</w:t>
      </w:r>
      <w:r w:rsidR="00141953" w:rsidRPr="00D17D77">
        <w:rPr>
          <w:lang w:val="en-GB"/>
        </w:rPr>
        <w:t xml:space="preserve"> through their authority. Additionally, colleagues who demonstrated their dedication by working long hours set an unspoken expectation for others to do the same. Clients further contributed to the pressure by demanding immediate responses, sometimes with unreasonable requests, leaving employees feeling powerless to refuse. Compounding the issue, some participants felt they had no choice but to prioritize work over personal life, viewing long hours and personal sacrifice as a sign of deep commitment to the firm. This dynamic highlights how power imbalances within the industry dictate employees' boundary setting, ultimately benefiting organizations and their leaders at the expense of employee well-being.</w:t>
      </w:r>
      <w:r w:rsidRPr="00D17D77">
        <w:rPr>
          <w:lang w:val="en-GB"/>
        </w:rPr>
        <w:t xml:space="preserve"> </w:t>
      </w:r>
      <w:r w:rsidR="004B3789" w:rsidRPr="00D17D77">
        <w:rPr>
          <w:lang w:val="en-GB"/>
        </w:rPr>
        <w:t xml:space="preserve">For example, </w:t>
      </w:r>
      <w:r w:rsidR="004B3789" w:rsidRPr="00D17D77">
        <w:rPr>
          <w:bdr w:val="none" w:sz="0" w:space="0" w:color="auto" w:frame="1"/>
          <w:lang w:val="en-GB"/>
        </w:rPr>
        <w:t>Lora felt implicitly pressured by a senior leader to work extremely long hours on a project:</w:t>
      </w:r>
    </w:p>
    <w:p w14:paraId="01972A93" w14:textId="6BEF65F5" w:rsidR="004B3789" w:rsidRPr="00D17D77" w:rsidRDefault="004B3789" w:rsidP="00D17D77">
      <w:pPr>
        <w:spacing w:before="120" w:after="240"/>
        <w:ind w:left="720"/>
        <w:textAlignment w:val="baseline"/>
        <w:rPr>
          <w:i/>
          <w:bdr w:val="none" w:sz="0" w:space="0" w:color="auto" w:frame="1"/>
          <w:lang w:val="en-GB"/>
        </w:rPr>
      </w:pPr>
      <w:r w:rsidRPr="00D17D77">
        <w:rPr>
          <w:i/>
          <w:bdr w:val="none" w:sz="0" w:space="0" w:color="auto" w:frame="1"/>
          <w:lang w:val="en-GB"/>
        </w:rPr>
        <w:lastRenderedPageBreak/>
        <w:t>[A] woman that I was going to work with works long hours, and I knew that it just would not be feasible for me to pick up my daughter (…) it's just not possible when you're working with her, and it's not worth (…) it for me to cause an argument with her because she is way more senior, and it's only for a week, and there's just no point, so I just arranged for someone else to pick up my daughter every day because we were working until 1 am in the office. (Lora)</w:t>
      </w:r>
    </w:p>
    <w:p w14:paraId="1E1A3D61" w14:textId="28794BCE" w:rsidR="00545616" w:rsidRPr="00D17D77" w:rsidRDefault="00545616" w:rsidP="00D17D77">
      <w:pPr>
        <w:spacing w:before="120" w:after="240"/>
        <w:textAlignment w:val="baseline"/>
        <w:rPr>
          <w:lang w:val="en-GB"/>
        </w:rPr>
      </w:pPr>
      <w:r w:rsidRPr="00D17D77">
        <w:rPr>
          <w:lang w:val="en-GB"/>
        </w:rPr>
        <w:t xml:space="preserve">Instead of explicitly demanding </w:t>
      </w:r>
      <w:r w:rsidR="003D3B35" w:rsidRPr="00D17D77">
        <w:rPr>
          <w:lang w:val="en-GB"/>
        </w:rPr>
        <w:t xml:space="preserve">employees </w:t>
      </w:r>
      <w:r w:rsidRPr="00D17D77">
        <w:rPr>
          <w:lang w:val="en-GB"/>
        </w:rPr>
        <w:t xml:space="preserve">work during </w:t>
      </w:r>
      <w:r w:rsidR="003D3B35" w:rsidRPr="00D17D77">
        <w:rPr>
          <w:lang w:val="en-GB"/>
        </w:rPr>
        <w:t xml:space="preserve">their </w:t>
      </w:r>
      <w:r w:rsidRPr="00D17D77">
        <w:rPr>
          <w:lang w:val="en-GB"/>
        </w:rPr>
        <w:t>personal time, managers subtly communicated expectations through their behavio</w:t>
      </w:r>
      <w:r w:rsidR="003D3B35" w:rsidRPr="00D17D77">
        <w:rPr>
          <w:lang w:val="en-GB"/>
        </w:rPr>
        <w:t>u</w:t>
      </w:r>
      <w:r w:rsidRPr="00D17D77">
        <w:rPr>
          <w:lang w:val="en-GB"/>
        </w:rPr>
        <w:t>r, e.g.:</w:t>
      </w:r>
    </w:p>
    <w:p w14:paraId="06A9E294" w14:textId="1948EF8A" w:rsidR="004B3789" w:rsidRPr="00D17D77" w:rsidRDefault="004B3789" w:rsidP="00D17D77">
      <w:pPr>
        <w:spacing w:before="120" w:after="240"/>
        <w:ind w:left="720"/>
        <w:textAlignment w:val="baseline"/>
        <w:rPr>
          <w:i/>
          <w:bdr w:val="none" w:sz="0" w:space="0" w:color="auto" w:frame="1"/>
          <w:lang w:val="en-GB"/>
        </w:rPr>
      </w:pPr>
      <w:r w:rsidRPr="00D17D77">
        <w:rPr>
          <w:i/>
          <w:bdr w:val="none" w:sz="0" w:space="0" w:color="auto" w:frame="1"/>
          <w:lang w:val="en-GB"/>
        </w:rPr>
        <w:t>I normally just have a scroll through Skype just to see who is online, surprisingly a lot of people are online in the evenings when they get home from actual work, and they're still on their laptops doing work; all of our senior leaders as well, our CEO is always online on the weekends. (Sabina)</w:t>
      </w:r>
    </w:p>
    <w:p w14:paraId="553E10C2" w14:textId="37C2177E" w:rsidR="003D3B35" w:rsidRPr="00D17D77" w:rsidRDefault="003D3B35" w:rsidP="00D17D77">
      <w:pPr>
        <w:spacing w:before="120" w:after="240"/>
        <w:rPr>
          <w:lang w:val="en-GB"/>
        </w:rPr>
      </w:pPr>
      <w:r w:rsidRPr="00D17D77">
        <w:rPr>
          <w:lang w:val="en-GB"/>
        </w:rPr>
        <w:t xml:space="preserve">Dan's </w:t>
      </w:r>
      <w:r w:rsidRPr="00D17D77">
        <w:rPr>
          <w:lang w:val="en-GB"/>
        </w:rPr>
        <w:t xml:space="preserve">senior </w:t>
      </w:r>
      <w:r w:rsidRPr="00D17D77">
        <w:rPr>
          <w:lang w:val="en-GB"/>
        </w:rPr>
        <w:t>managers typically did not explicitly instruct him to work weekends, evenings, or days off. However, their behavio</w:t>
      </w:r>
      <w:r w:rsidRPr="00D17D77">
        <w:rPr>
          <w:lang w:val="en-GB"/>
        </w:rPr>
        <w:t>u</w:t>
      </w:r>
      <w:r w:rsidRPr="00D17D77">
        <w:rPr>
          <w:lang w:val="en-GB"/>
        </w:rPr>
        <w:t>r implied an expectation: they would work every weekend, every evening, and even on their days off. Although they never directly told others to follow suit, their actions created an implicit expectation that everyone should work similarly. Dan believes they may not realize the impact of their behavio</w:t>
      </w:r>
      <w:r w:rsidRPr="00D17D77">
        <w:rPr>
          <w:lang w:val="en-GB"/>
        </w:rPr>
        <w:t>u</w:t>
      </w:r>
      <w:r w:rsidRPr="00D17D77">
        <w:rPr>
          <w:lang w:val="en-GB"/>
        </w:rPr>
        <w:t>r on others</w:t>
      </w:r>
      <w:r w:rsidRPr="00D17D77">
        <w:rPr>
          <w:lang w:val="en-GB"/>
        </w:rPr>
        <w:t>:</w:t>
      </w:r>
    </w:p>
    <w:p w14:paraId="6858F738" w14:textId="336A1867" w:rsidR="004B3789" w:rsidRPr="00D17D77" w:rsidRDefault="004B3789" w:rsidP="00D17D77">
      <w:pPr>
        <w:pStyle w:val="ListParagraph"/>
        <w:spacing w:before="120" w:after="240"/>
        <w:rPr>
          <w:i/>
          <w:bdr w:val="none" w:sz="0" w:space="0" w:color="auto" w:frame="1"/>
          <w:lang w:val="en-GB"/>
        </w:rPr>
      </w:pPr>
      <w:r w:rsidRPr="00D17D77">
        <w:rPr>
          <w:i/>
          <w:bdr w:val="none" w:sz="0" w:space="0" w:color="auto" w:frame="1"/>
          <w:lang w:val="en-GB"/>
        </w:rPr>
        <w:t>They [</w:t>
      </w:r>
      <w:r w:rsidR="003D3B35" w:rsidRPr="00D17D77">
        <w:rPr>
          <w:i/>
          <w:bdr w:val="none" w:sz="0" w:space="0" w:color="auto" w:frame="1"/>
          <w:lang w:val="en-GB"/>
        </w:rPr>
        <w:t>managers</w:t>
      </w:r>
      <w:r w:rsidRPr="00D17D77">
        <w:rPr>
          <w:i/>
          <w:bdr w:val="none" w:sz="0" w:space="0" w:color="auto" w:frame="1"/>
          <w:lang w:val="en-GB"/>
        </w:rPr>
        <w:t>] would work every weekend, and they would work every evening, and if they have a day off, they would work on their day off. Now they are not explicitly telling anyone else that they have to do those things, but the expectation then is created that people will work, and I don't think they reali</w:t>
      </w:r>
      <w:r w:rsidR="003D3B35" w:rsidRPr="00D17D77">
        <w:rPr>
          <w:i/>
          <w:bdr w:val="none" w:sz="0" w:space="0" w:color="auto" w:frame="1"/>
          <w:lang w:val="en-GB"/>
        </w:rPr>
        <w:t>z</w:t>
      </w:r>
      <w:r w:rsidRPr="00D17D77">
        <w:rPr>
          <w:i/>
          <w:bdr w:val="none" w:sz="0" w:space="0" w:color="auto" w:frame="1"/>
          <w:lang w:val="en-GB"/>
        </w:rPr>
        <w:t>e that that's the impact of them doing it. (Dan)</w:t>
      </w:r>
    </w:p>
    <w:p w14:paraId="38111EB9" w14:textId="77777777" w:rsidR="004B3789" w:rsidRPr="00D17D77" w:rsidRDefault="004B3789" w:rsidP="00D17D77">
      <w:pPr>
        <w:pStyle w:val="NormalWeb"/>
        <w:spacing w:before="0" w:beforeAutospacing="0" w:after="240" w:afterAutospacing="0"/>
        <w:textAlignment w:val="baseline"/>
        <w:rPr>
          <w:bdr w:val="none" w:sz="0" w:space="0" w:color="auto" w:frame="1"/>
          <w:lang w:val="en-GB"/>
        </w:rPr>
      </w:pPr>
      <w:r w:rsidRPr="00D17D77">
        <w:rPr>
          <w:bdr w:val="none" w:sz="0" w:space="0" w:color="auto" w:frame="1"/>
          <w:lang w:val="en-GB"/>
        </w:rPr>
        <w:t xml:space="preserve">Mike spoke admiringly of his boss, whom he saw as always working and highly motivated, and followed his example: </w:t>
      </w:r>
    </w:p>
    <w:p w14:paraId="13C2C09D" w14:textId="031BDBB3" w:rsidR="004F6876" w:rsidRPr="00D17D77" w:rsidRDefault="004B3789" w:rsidP="00D17D77">
      <w:pPr>
        <w:pStyle w:val="NormalWeb"/>
        <w:spacing w:before="0" w:beforeAutospacing="0" w:after="240" w:afterAutospacing="0"/>
        <w:ind w:left="720"/>
        <w:textAlignment w:val="baseline"/>
        <w:rPr>
          <w:i/>
          <w:lang w:val="en-GB"/>
        </w:rPr>
      </w:pPr>
      <w:r w:rsidRPr="00D17D77">
        <w:rPr>
          <w:i/>
          <w:lang w:val="en-GB"/>
        </w:rPr>
        <w:t>[M]y boss is an incredibly... he doesn't have any children, he is incredibly driven and competitive he worked in the US, and I think American culture is very different to European (…) I don't think they respect the boundaries as much, and I'll get emails from my boss at 3 o'clock in the morning, and I'll get them on Sundays, and he doesn't have those boundaries, and I think I've maybe from his lead adopted that kind of like always-on culture. (Mike)</w:t>
      </w:r>
    </w:p>
    <w:p w14:paraId="25646539" w14:textId="07AF4888" w:rsidR="00BE1703" w:rsidRPr="00D17D77" w:rsidRDefault="003D3B35" w:rsidP="00D17D77">
      <w:pPr>
        <w:spacing w:before="120" w:after="240"/>
        <w:textAlignment w:val="baseline"/>
        <w:rPr>
          <w:lang w:val="en-GB"/>
        </w:rPr>
      </w:pPr>
      <w:r w:rsidRPr="00D17D77">
        <w:rPr>
          <w:lang w:val="en-GB"/>
        </w:rPr>
        <w:t>In addition, p</w:t>
      </w:r>
      <w:r w:rsidR="00BE1703" w:rsidRPr="00D17D77">
        <w:rPr>
          <w:lang w:val="en-GB"/>
        </w:rPr>
        <w:t>articipants described enduring constant pressure from clients who demanded immediate responses and round-the-clock availability. They described these clients as "greedy," always expecting "more and now." Fiona, for instance, recounted how instant responsiveness and extended availability were perceived as unspoken contractual obligations, adding another layer to the "always-on" burden.</w:t>
      </w:r>
    </w:p>
    <w:p w14:paraId="0C7AC042" w14:textId="6EFAC4FF" w:rsidR="00EB5AC6" w:rsidRPr="00D17D77" w:rsidRDefault="00EB5AC6" w:rsidP="00D17D77">
      <w:pPr>
        <w:spacing w:before="120" w:after="240"/>
        <w:ind w:left="720"/>
        <w:textAlignment w:val="baseline"/>
        <w:rPr>
          <w:i/>
          <w:lang w:val="en-GB"/>
        </w:rPr>
      </w:pPr>
      <w:r w:rsidRPr="00D17D77">
        <w:rPr>
          <w:i/>
          <w:lang w:val="en-GB"/>
        </w:rPr>
        <w:t>I have clients who send emails at funny times of the day and night and are expecting a response (…). I find it hard that if clients are working, they expect you to be online too. It is always on the phone, cos you have a phone, so people expect you to be available. (Fiona)</w:t>
      </w:r>
    </w:p>
    <w:p w14:paraId="3949BD56" w14:textId="543A3B0F" w:rsidR="00422F72" w:rsidRPr="00D17D77" w:rsidRDefault="008F69A8" w:rsidP="00D17D77">
      <w:pPr>
        <w:spacing w:before="120" w:after="240"/>
        <w:ind w:left="720"/>
        <w:textAlignment w:val="baseline"/>
        <w:rPr>
          <w:i/>
          <w:lang w:val="en-GB"/>
        </w:rPr>
      </w:pPr>
      <w:r w:rsidRPr="00D17D77">
        <w:rPr>
          <w:i/>
          <w:lang w:val="en-GB"/>
        </w:rPr>
        <w:t xml:space="preserve">I've got this client calling me, calling me and calling me, and then I pick up and say, “Look, I'll help you, but I'm in the hospital, (…) I don't have my laptop with me, I have nothing in order to be able to support you right now, you have to wait till later”, </w:t>
      </w:r>
      <w:r w:rsidRPr="00D17D77">
        <w:rPr>
          <w:i/>
          <w:lang w:val="en-GB"/>
        </w:rPr>
        <w:lastRenderedPageBreak/>
        <w:t>and they're quite aggressive (…). They were particularly unreasonable about the fact that I wasn't able to help. I was like, “Did you hear me? I am in hospital with my daughter” it's not like I just took an hour and had gone shopping. I'm in the hospital with my poorly daughter. (Fiona)</w:t>
      </w:r>
    </w:p>
    <w:p w14:paraId="2A19EA99" w14:textId="4EAF397A" w:rsidR="0022139E" w:rsidRPr="00D17D77" w:rsidRDefault="008C3F63" w:rsidP="00D17D77">
      <w:pPr>
        <w:pStyle w:val="NormalWeb"/>
        <w:numPr>
          <w:ilvl w:val="0"/>
          <w:numId w:val="1"/>
        </w:numPr>
        <w:spacing w:before="240" w:beforeAutospacing="0" w:after="240" w:afterAutospacing="0"/>
        <w:rPr>
          <w:b/>
          <w:bCs/>
          <w:lang w:val="en-GB"/>
        </w:rPr>
      </w:pPr>
      <w:r>
        <w:rPr>
          <w:b/>
          <w:bCs/>
          <w:lang w:val="en-GB"/>
        </w:rPr>
        <w:t>Boundaries as c</w:t>
      </w:r>
      <w:r w:rsidR="002176D7" w:rsidRPr="00D17D77">
        <w:rPr>
          <w:b/>
          <w:bCs/>
          <w:lang w:val="en-GB"/>
        </w:rPr>
        <w:t xml:space="preserve">oping and </w:t>
      </w:r>
      <w:r w:rsidR="00FA669C" w:rsidRPr="00D17D77">
        <w:rPr>
          <w:b/>
          <w:bCs/>
          <w:lang w:val="en-GB"/>
        </w:rPr>
        <w:t>belief systems</w:t>
      </w:r>
    </w:p>
    <w:p w14:paraId="2C3D588B" w14:textId="25CA29D7" w:rsidR="003C440C" w:rsidRPr="00D17D77" w:rsidRDefault="004E719F" w:rsidP="00D17D77">
      <w:pPr>
        <w:pStyle w:val="NormalWeb"/>
        <w:spacing w:after="240" w:afterAutospacing="0"/>
        <w:rPr>
          <w:b/>
          <w:bCs/>
        </w:rPr>
      </w:pPr>
      <w:r w:rsidRPr="00D17D77">
        <w:rPr>
          <w:rStyle w:val="Strong"/>
          <w:b w:val="0"/>
          <w:bCs w:val="0"/>
        </w:rPr>
        <w:t>Facing the industry's inherent boundary-blurring, consultants</w:t>
      </w:r>
      <w:r w:rsidR="003C440C" w:rsidRPr="00D17D77">
        <w:rPr>
          <w:rStyle w:val="Strong"/>
          <w:b w:val="0"/>
          <w:bCs w:val="0"/>
        </w:rPr>
        <w:t xml:space="preserve"> engage in "mental boundary work," normalizing the situation and justifying it as unavoidable. This internal process help</w:t>
      </w:r>
      <w:r w:rsidR="003D3B35" w:rsidRPr="00D17D77">
        <w:rPr>
          <w:rStyle w:val="Strong"/>
          <w:b w:val="0"/>
          <w:bCs w:val="0"/>
        </w:rPr>
        <w:t>ed</w:t>
      </w:r>
      <w:r w:rsidR="003C440C" w:rsidRPr="00D17D77">
        <w:rPr>
          <w:rStyle w:val="Strong"/>
          <w:b w:val="0"/>
          <w:bCs w:val="0"/>
        </w:rPr>
        <w:t xml:space="preserve"> them adapt to the pervasive overwork culture.</w:t>
      </w:r>
    </w:p>
    <w:p w14:paraId="487AA104" w14:textId="568D5772" w:rsidR="003C440C" w:rsidRPr="00D17D77" w:rsidRDefault="003C440C" w:rsidP="00D17D77">
      <w:pPr>
        <w:pStyle w:val="NormalWeb"/>
        <w:spacing w:after="240" w:afterAutospacing="0"/>
        <w:rPr>
          <w:rStyle w:val="Strong"/>
          <w:b w:val="0"/>
          <w:bCs w:val="0"/>
        </w:rPr>
      </w:pPr>
      <w:r w:rsidRPr="00D17D77">
        <w:rPr>
          <w:rStyle w:val="Strong"/>
          <w:b w:val="0"/>
          <w:bCs w:val="0"/>
        </w:rPr>
        <w:t>Participants expressed a strong need to accept the blurred boundaries as an inevitable part of their job. They described an environment where everyone worked constantly, even during personal time. This was considered an unwritten job requirement, as exemplified by quotes from Fiona, Gina, and Anna</w:t>
      </w:r>
      <w:r w:rsidR="00941782" w:rsidRPr="00D17D77">
        <w:rPr>
          <w:rStyle w:val="Strong"/>
          <w:b w:val="0"/>
          <w:bCs w:val="0"/>
        </w:rPr>
        <w:t>:</w:t>
      </w:r>
    </w:p>
    <w:p w14:paraId="6F68F11B" w14:textId="77777777" w:rsidR="00941782" w:rsidRPr="00D17D77" w:rsidRDefault="00941782" w:rsidP="00D17D77">
      <w:pPr>
        <w:spacing w:before="240" w:after="240"/>
        <w:ind w:left="720"/>
        <w:rPr>
          <w:lang w:val="en-GB"/>
        </w:rPr>
      </w:pPr>
      <w:r w:rsidRPr="00D17D77">
        <w:rPr>
          <w:i/>
          <w:lang w:val="en-GB"/>
        </w:rPr>
        <w:t>In the professional services and consulting world, naturally, people work long hours (…) they just expect everybody to follow suit.</w:t>
      </w:r>
      <w:r w:rsidRPr="00D17D77">
        <w:rPr>
          <w:lang w:val="en-GB"/>
        </w:rPr>
        <w:t xml:space="preserve"> (Fiona)</w:t>
      </w:r>
    </w:p>
    <w:p w14:paraId="27F682D5" w14:textId="77777777" w:rsidR="00941782" w:rsidRPr="00D17D77" w:rsidRDefault="00941782" w:rsidP="00D17D77">
      <w:pPr>
        <w:spacing w:before="240" w:after="240"/>
        <w:ind w:left="720"/>
        <w:rPr>
          <w:lang w:val="en-GB"/>
        </w:rPr>
      </w:pPr>
      <w:r w:rsidRPr="00D17D77">
        <w:rPr>
          <w:i/>
          <w:lang w:val="en-GB"/>
        </w:rPr>
        <w:t>You're in that environment, and you work 10 hours per day or you wouldn't work</w:t>
      </w:r>
      <w:r w:rsidRPr="00D17D77">
        <w:rPr>
          <w:lang w:val="en-GB"/>
        </w:rPr>
        <w:t>. (Gina)</w:t>
      </w:r>
    </w:p>
    <w:p w14:paraId="3706001E" w14:textId="77777777" w:rsidR="00941782" w:rsidRPr="00D17D77" w:rsidRDefault="00941782" w:rsidP="00D17D77">
      <w:pPr>
        <w:spacing w:before="240" w:after="240"/>
        <w:ind w:left="720"/>
        <w:rPr>
          <w:i/>
          <w:lang w:val="en-GB"/>
        </w:rPr>
      </w:pPr>
      <w:r w:rsidRPr="00D17D77">
        <w:rPr>
          <w:i/>
          <w:lang w:val="en-GB"/>
        </w:rPr>
        <w:t xml:space="preserve">I’m more and more thinking that if you </w:t>
      </w:r>
      <w:proofErr w:type="spellStart"/>
      <w:r w:rsidRPr="00D17D77">
        <w:rPr>
          <w:i/>
          <w:lang w:val="en-GB"/>
        </w:rPr>
        <w:t>wanna</w:t>
      </w:r>
      <w:proofErr w:type="spellEnd"/>
      <w:r w:rsidRPr="00D17D77">
        <w:rPr>
          <w:i/>
          <w:lang w:val="en-GB"/>
        </w:rPr>
        <w:t xml:space="preserve"> stay in the consultancy world, this is what it is, this is what you- I have to accept that it’s the way of life. (Anna)</w:t>
      </w:r>
    </w:p>
    <w:p w14:paraId="237FEC19" w14:textId="5662A730" w:rsidR="003C440C" w:rsidRPr="00D17D77" w:rsidRDefault="003C440C" w:rsidP="00D17D77">
      <w:pPr>
        <w:pStyle w:val="NormalWeb"/>
        <w:spacing w:after="240" w:afterAutospacing="0"/>
        <w:rPr>
          <w:rStyle w:val="Strong"/>
          <w:b w:val="0"/>
          <w:bCs w:val="0"/>
        </w:rPr>
      </w:pPr>
      <w:r w:rsidRPr="00D17D77">
        <w:rPr>
          <w:rStyle w:val="Strong"/>
          <w:b w:val="0"/>
          <w:bCs w:val="0"/>
        </w:rPr>
        <w:t>Feeling obligated to accept this situation, participants developed coping mechanisms. Some, like Jeremy, "repaid" themselves for long hours by using work time for personal tasks when less busy</w:t>
      </w:r>
      <w:r w:rsidR="00B76DEE" w:rsidRPr="00D17D77">
        <w:rPr>
          <w:rStyle w:val="Strong"/>
          <w:b w:val="0"/>
          <w:bCs w:val="0"/>
        </w:rPr>
        <w:t>:</w:t>
      </w:r>
    </w:p>
    <w:p w14:paraId="00AA2761" w14:textId="77777777" w:rsidR="00941782" w:rsidRPr="00D17D77" w:rsidRDefault="00941782" w:rsidP="00D17D77">
      <w:pPr>
        <w:spacing w:before="120" w:after="240"/>
        <w:ind w:left="720"/>
        <w:rPr>
          <w:lang w:val="en-GB"/>
        </w:rPr>
      </w:pPr>
      <w:r w:rsidRPr="00D17D77">
        <w:rPr>
          <w:i/>
          <w:lang w:val="en-GB"/>
        </w:rPr>
        <w:t>[T]he sweetener for that [working long hours] is that it also allows me to have the flexibility to say, well, I can't come to the office before 12 o'clock cause I need to do something else. Take the boys to school or wait for something to be delivered or for the washing machine to be installed. (Jeremy)</w:t>
      </w:r>
    </w:p>
    <w:p w14:paraId="38005ADA" w14:textId="7B605FB0" w:rsidR="00941782" w:rsidRPr="00D17D77" w:rsidRDefault="00B76DEE" w:rsidP="00D17D77">
      <w:pPr>
        <w:pStyle w:val="NormalWeb"/>
        <w:spacing w:after="240" w:afterAutospacing="0"/>
        <w:rPr>
          <w:rStyle w:val="Strong"/>
          <w:b w:val="0"/>
          <w:bCs w:val="0"/>
        </w:rPr>
      </w:pPr>
      <w:r w:rsidRPr="00D17D77">
        <w:rPr>
          <w:rStyle w:val="Strong"/>
          <w:b w:val="0"/>
          <w:bCs w:val="0"/>
        </w:rPr>
        <w:t>Others, like Jimmy, embraced working long hours during peak periods with the expectation of more personal time during troughs:</w:t>
      </w:r>
    </w:p>
    <w:p w14:paraId="453EA767" w14:textId="77777777" w:rsidR="008A41F9" w:rsidRPr="00D17D77" w:rsidRDefault="008A41F9" w:rsidP="00D17D77">
      <w:pPr>
        <w:spacing w:before="120" w:after="240"/>
        <w:ind w:left="720"/>
        <w:rPr>
          <w:i/>
          <w:lang w:val="en-GB"/>
        </w:rPr>
      </w:pPr>
      <w:r w:rsidRPr="00D17D77">
        <w:rPr>
          <w:i/>
          <w:lang w:val="en-GB"/>
        </w:rPr>
        <w:t xml:space="preserve">[I]n consulting, we say we have peaks and troughs, so in the peak, you're really </w:t>
      </w:r>
      <w:proofErr w:type="spellStart"/>
      <w:r w:rsidRPr="00D17D77">
        <w:rPr>
          <w:i/>
          <w:lang w:val="en-GB"/>
        </w:rPr>
        <w:t>really</w:t>
      </w:r>
      <w:proofErr w:type="spellEnd"/>
      <w:r w:rsidRPr="00D17D77">
        <w:rPr>
          <w:i/>
          <w:lang w:val="en-GB"/>
        </w:rPr>
        <w:t xml:space="preserve"> busy, you've got no free time, and at the trough, you're less busy at work, and you've got more personal time, and I quite like working in that environment and then, so there are some days when I'd just be working all hours in the day, and I won't have any personal time, but that's okay because I know on another day, I'll have less work to do, and more time for myself to do personal things. (Jimmy) </w:t>
      </w:r>
    </w:p>
    <w:p w14:paraId="31097EAD" w14:textId="77777777" w:rsidR="00EC718F" w:rsidRPr="00D17D77" w:rsidRDefault="003C440C" w:rsidP="00D17D77">
      <w:pPr>
        <w:pStyle w:val="NormalWeb"/>
        <w:spacing w:after="240" w:afterAutospacing="0"/>
        <w:rPr>
          <w:rStyle w:val="Strong"/>
          <w:b w:val="0"/>
          <w:bCs w:val="0"/>
        </w:rPr>
      </w:pPr>
      <w:r w:rsidRPr="00D17D77">
        <w:rPr>
          <w:rStyle w:val="Strong"/>
          <w:b w:val="0"/>
          <w:bCs w:val="0"/>
        </w:rPr>
        <w:t xml:space="preserve">Several consultants challenged the concept of clear boundaries altogether. Gina, for example, saw work as inseparable from her personal life, arguing that clear separation is unrealistic for career-driven individuals. She even found questions about work-nonwork distinctions irrelevant to her </w:t>
      </w:r>
      <w:r w:rsidR="00EC718F" w:rsidRPr="00D17D77">
        <w:rPr>
          <w:rStyle w:val="Strong"/>
          <w:b w:val="0"/>
          <w:bCs w:val="0"/>
        </w:rPr>
        <w:t xml:space="preserve">integrated-work-life </w:t>
      </w:r>
      <w:r w:rsidRPr="00D17D77">
        <w:rPr>
          <w:rStyle w:val="Strong"/>
          <w:b w:val="0"/>
          <w:bCs w:val="0"/>
        </w:rPr>
        <w:t>reality.</w:t>
      </w:r>
    </w:p>
    <w:p w14:paraId="544D8E56" w14:textId="77777777" w:rsidR="00EC718F" w:rsidRPr="00D17D77" w:rsidRDefault="00EC718F" w:rsidP="00D17D77">
      <w:pPr>
        <w:pStyle w:val="NormalWeb"/>
        <w:spacing w:before="120" w:beforeAutospacing="0" w:after="240" w:afterAutospacing="0"/>
        <w:ind w:left="720"/>
        <w:rPr>
          <w:i/>
          <w:lang w:val="en-GB"/>
        </w:rPr>
      </w:pPr>
      <w:r w:rsidRPr="00D17D77">
        <w:rPr>
          <w:i/>
          <w:lang w:val="en-GB"/>
        </w:rPr>
        <w:t xml:space="preserve">I don't believe in people who say oh, work is work, and my private life is my private life because I don't think that's a career they're trying to build. It's just something </w:t>
      </w:r>
      <w:r w:rsidRPr="00D17D77">
        <w:rPr>
          <w:i/>
          <w:lang w:val="en-GB"/>
        </w:rPr>
        <w:lastRenderedPageBreak/>
        <w:t>where you just get the money to pay your bills. But think for people who are looking to build a career, work is part of your life, and you think about it. Like yes, I don't check my emails after 7:00 PM, but I might go to bed and think about a specific project or a specific challenge (...) I have with work. I meet my friends for catch-ups in that social, but then the conversation might be, “Oh, so how is work?” (Gina)</w:t>
      </w:r>
    </w:p>
    <w:p w14:paraId="7D914628" w14:textId="1760AAEA" w:rsidR="003C440C" w:rsidRPr="00D17D77" w:rsidRDefault="003C440C" w:rsidP="00D17D77">
      <w:pPr>
        <w:pStyle w:val="NormalWeb"/>
        <w:spacing w:after="240" w:afterAutospacing="0"/>
        <w:rPr>
          <w:rStyle w:val="Strong"/>
          <w:b w:val="0"/>
          <w:bCs w:val="0"/>
        </w:rPr>
      </w:pPr>
      <w:r w:rsidRPr="00D17D77">
        <w:rPr>
          <w:rStyle w:val="Strong"/>
          <w:b w:val="0"/>
          <w:bCs w:val="0"/>
        </w:rPr>
        <w:t>Lora echoed this sentiment, describing work and personal life as intertwined, with flexibility in her schedule but constant availability</w:t>
      </w:r>
      <w:r w:rsidR="00102737" w:rsidRPr="00D17D77">
        <w:rPr>
          <w:rStyle w:val="Strong"/>
          <w:b w:val="0"/>
          <w:bCs w:val="0"/>
        </w:rPr>
        <w:t>:</w:t>
      </w:r>
    </w:p>
    <w:p w14:paraId="3C0EC533" w14:textId="070B203E" w:rsidR="00102737" w:rsidRPr="00D17D77" w:rsidRDefault="00102737" w:rsidP="00D17D77">
      <w:pPr>
        <w:spacing w:before="120" w:after="240"/>
        <w:ind w:left="720"/>
        <w:textAlignment w:val="baseline"/>
        <w:rPr>
          <w:i/>
          <w:lang w:val="en-GB"/>
        </w:rPr>
      </w:pPr>
      <w:r w:rsidRPr="00D17D77">
        <w:rPr>
          <w:i/>
          <w:lang w:val="en-GB"/>
        </w:rPr>
        <w:t>I don't see them as two separate entities, like two distinct entities, like, it's just, they're so intertwined. I mean, I feel I don't do my working life like other people do. I just don't see a clear disconnect, like if (…) I will leave and go to work when I want based on my schedule that day, I don't feel like I just need to just be there for the sake of being there, so I'll just assess my day, and I'll be there when I need to, and if that means I need to work in a different office, so I kind of just ask, I don't feel afraid to do those things (…) because you’re always, you're always switched-on, so like you’re always switched-on, and you're always available, so the hours, I think the hours I'm sat down at a desk working, those are the hours I gave you. But like you're always available, if something comes up, you have to do it, like you do it whenever it needs to be done kind of thing. (Lona)</w:t>
      </w:r>
    </w:p>
    <w:p w14:paraId="135B60A7" w14:textId="333CD669" w:rsidR="003D3B35" w:rsidRPr="008C3F63" w:rsidRDefault="003C440C" w:rsidP="00D17D77">
      <w:pPr>
        <w:pStyle w:val="NormalWeb"/>
        <w:spacing w:after="240" w:afterAutospacing="0"/>
      </w:pPr>
      <w:r w:rsidRPr="00D17D77">
        <w:rPr>
          <w:rStyle w:val="Strong"/>
          <w:b w:val="0"/>
          <w:bCs w:val="0"/>
        </w:rPr>
        <w:t>This section highlights the complex relationship consultants have with work-life boundaries. While some adapt and develop coping mechanisms, others question the very concept of clear boundaries within the consulting industry's demanding environment.</w:t>
      </w:r>
    </w:p>
    <w:p w14:paraId="09D5A789" w14:textId="50EF291E" w:rsidR="0022139E" w:rsidRPr="00D17D77" w:rsidRDefault="0022139E" w:rsidP="00D17D77">
      <w:pPr>
        <w:pStyle w:val="NormalWeb"/>
        <w:numPr>
          <w:ilvl w:val="0"/>
          <w:numId w:val="1"/>
        </w:numPr>
        <w:spacing w:before="240" w:beforeAutospacing="0" w:after="240" w:afterAutospacing="0"/>
        <w:rPr>
          <w:b/>
          <w:bCs/>
          <w:lang w:val="en-GB"/>
        </w:rPr>
      </w:pPr>
      <w:r w:rsidRPr="00D17D77">
        <w:rPr>
          <w:b/>
          <w:bCs/>
          <w:lang w:val="en-GB"/>
        </w:rPr>
        <w:t xml:space="preserve"> Boundaries as physical </w:t>
      </w:r>
      <w:r w:rsidR="007E293D" w:rsidRPr="00D17D77">
        <w:rPr>
          <w:b/>
          <w:bCs/>
          <w:lang w:val="en-GB"/>
        </w:rPr>
        <w:t xml:space="preserve">experiences of </w:t>
      </w:r>
      <w:r w:rsidR="00FA669C" w:rsidRPr="00D17D77">
        <w:rPr>
          <w:b/>
          <w:bCs/>
          <w:lang w:val="en-GB"/>
        </w:rPr>
        <w:t>limits</w:t>
      </w:r>
    </w:p>
    <w:p w14:paraId="65E3C139" w14:textId="77777777" w:rsidR="00600CBD" w:rsidRPr="00D17D77" w:rsidRDefault="00600CBD" w:rsidP="00D17D77">
      <w:pPr>
        <w:pStyle w:val="NormalWeb"/>
        <w:spacing w:after="240" w:afterAutospacing="0"/>
        <w:rPr>
          <w:b/>
          <w:bCs/>
        </w:rPr>
      </w:pPr>
      <w:r w:rsidRPr="00D17D77">
        <w:rPr>
          <w:rStyle w:val="Strong"/>
          <w:b w:val="0"/>
          <w:bCs w:val="0"/>
        </w:rPr>
        <w:t>This research identified a concerning pattern of blurred work-life boundaries escalating to complete collapse among consulting professionals. Participants described a gradual erosion of personal time as work demands consumed their lives. This progression often culminated in physical and mental exhaustion, forcing them to stop working altogether.</w:t>
      </w:r>
    </w:p>
    <w:p w14:paraId="4E7C53AE" w14:textId="6B7CF9C5" w:rsidR="00836AE1" w:rsidRPr="00D17D77" w:rsidRDefault="00600CBD" w:rsidP="00D17D77">
      <w:pPr>
        <w:pStyle w:val="NormalWeb"/>
        <w:spacing w:after="240" w:afterAutospacing="0"/>
        <w:rPr>
          <w:rStyle w:val="Strong"/>
          <w:b w:val="0"/>
          <w:bCs w:val="0"/>
        </w:rPr>
      </w:pPr>
      <w:r w:rsidRPr="00D17D77">
        <w:rPr>
          <w:rStyle w:val="Strong"/>
          <w:b w:val="0"/>
          <w:bCs w:val="0"/>
        </w:rPr>
        <w:t>Several participants, like Tina and Anna, recounted experiences where neglecting personal needs, including sleep, healthy eating, and social interaction, led to health issues. Tina even described a period of peak performance followed by a debilitating breakdown that forced her to take a month-long leave</w:t>
      </w:r>
      <w:r w:rsidR="00623424" w:rsidRPr="00D17D77">
        <w:rPr>
          <w:rStyle w:val="Strong"/>
          <w:b w:val="0"/>
          <w:bCs w:val="0"/>
        </w:rPr>
        <w:t>:</w:t>
      </w:r>
    </w:p>
    <w:p w14:paraId="25095AF3" w14:textId="77777777" w:rsidR="00836AE1" w:rsidRPr="00D17D77" w:rsidRDefault="00836AE1" w:rsidP="00D17D7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240"/>
        <w:ind w:left="708"/>
        <w:rPr>
          <w:i/>
          <w:lang w:val="en-GB"/>
        </w:rPr>
      </w:pPr>
      <w:r w:rsidRPr="00D17D77">
        <w:rPr>
          <w:i/>
          <w:lang w:val="en-GB"/>
        </w:rPr>
        <w:t>I was signed off work with stress for about a month (…), and that was ironically in my best performance year, where I was performing at the top of my cohort (…). I was building a really good reputation, and people knew my name, which is very difficult to happen in such a big company. My name was everywhere (…). And then (…) I kind of had to let go of all the different things I was juggling. (Tina)</w:t>
      </w:r>
    </w:p>
    <w:p w14:paraId="72F2D598" w14:textId="77777777" w:rsidR="00836AE1" w:rsidRPr="00D17D77" w:rsidRDefault="00836AE1" w:rsidP="00D17D77">
      <w:pPr>
        <w:spacing w:before="120" w:after="240"/>
        <w:rPr>
          <w:lang w:val="en-GB"/>
        </w:rPr>
      </w:pPr>
      <w:r w:rsidRPr="00D17D77">
        <w:rPr>
          <w:lang w:val="en-GB"/>
        </w:rPr>
        <w:t>Tina emphasised being a top performer as her main goal during that period, which meant that the distinction between her work and nonwork was blurred (‘</w:t>
      </w:r>
      <w:r w:rsidRPr="00D17D77">
        <w:rPr>
          <w:i/>
          <w:lang w:val="en-GB"/>
        </w:rPr>
        <w:t>my life was work</w:t>
      </w:r>
      <w:r w:rsidRPr="00D17D77">
        <w:rPr>
          <w:lang w:val="en-GB"/>
        </w:rPr>
        <w:t>’). The irony in her speech may indicate her frustration and self-disappointment, seeing her failure as a top performer, which she found difficult to deal with (‘</w:t>
      </w:r>
      <w:r w:rsidRPr="00D17D77">
        <w:rPr>
          <w:i/>
          <w:lang w:val="en-GB"/>
        </w:rPr>
        <w:t>I had to let go</w:t>
      </w:r>
      <w:r w:rsidRPr="00D17D77">
        <w:rPr>
          <w:lang w:val="en-GB"/>
        </w:rPr>
        <w:t xml:space="preserve">’). </w:t>
      </w:r>
    </w:p>
    <w:p w14:paraId="6D788D9B" w14:textId="74EDF6E1" w:rsidR="00600CBD" w:rsidRPr="00D17D77" w:rsidRDefault="00600CBD" w:rsidP="00D17D77">
      <w:pPr>
        <w:pStyle w:val="NormalWeb"/>
        <w:spacing w:after="240" w:afterAutospacing="0"/>
        <w:rPr>
          <w:rStyle w:val="Strong"/>
          <w:b w:val="0"/>
          <w:bCs w:val="0"/>
        </w:rPr>
      </w:pPr>
      <w:r w:rsidRPr="00D17D77">
        <w:rPr>
          <w:rStyle w:val="Strong"/>
          <w:b w:val="0"/>
          <w:bCs w:val="0"/>
        </w:rPr>
        <w:t>Similarly, Anna confessed to skipping meals and working late nights to meet deadlines, jeopardizing her well-being</w:t>
      </w:r>
      <w:r w:rsidR="00BA657E" w:rsidRPr="00D17D77">
        <w:rPr>
          <w:rStyle w:val="Strong"/>
          <w:b w:val="0"/>
          <w:bCs w:val="0"/>
        </w:rPr>
        <w:t>:</w:t>
      </w:r>
    </w:p>
    <w:p w14:paraId="4CB8CE96" w14:textId="77777777" w:rsidR="00E91027" w:rsidRPr="00D17D77" w:rsidRDefault="00E91027" w:rsidP="00D17D7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240"/>
        <w:ind w:left="708"/>
        <w:rPr>
          <w:lang w:val="en-GB"/>
        </w:rPr>
      </w:pPr>
      <w:r w:rsidRPr="00D17D77">
        <w:rPr>
          <w:i/>
          <w:lang w:val="en-GB"/>
        </w:rPr>
        <w:lastRenderedPageBreak/>
        <w:t>[I]n two and a half days, I have done my contractual hours for the entire week, so I go to bed way too late, I'm still working, I skipped dinner three times this week and (…) this is not the first time. (Anna)</w:t>
      </w:r>
    </w:p>
    <w:p w14:paraId="694FB3F0" w14:textId="6E46B8A5" w:rsidR="009F2D65" w:rsidRPr="00D17D77" w:rsidRDefault="00600CBD" w:rsidP="00D17D77">
      <w:pPr>
        <w:pStyle w:val="NormalWeb"/>
        <w:spacing w:after="240" w:afterAutospacing="0"/>
        <w:rPr>
          <w:rStyle w:val="Strong"/>
          <w:b w:val="0"/>
          <w:bCs w:val="0"/>
        </w:rPr>
      </w:pPr>
      <w:r w:rsidRPr="00D17D77">
        <w:rPr>
          <w:rStyle w:val="Strong"/>
          <w:b w:val="0"/>
          <w:bCs w:val="0"/>
        </w:rPr>
        <w:t xml:space="preserve">The narrative suggests that pushing boundaries often led to a breaking point. Graham, initially critical of colleagues who lacked boundaries, revealed a past personal experience involving a critical health episode triggered by overwork. </w:t>
      </w:r>
    </w:p>
    <w:p w14:paraId="33BD25D7" w14:textId="77777777" w:rsidR="007D22DF" w:rsidRPr="00D17D77" w:rsidRDefault="007D22DF" w:rsidP="00D17D77">
      <w:pPr>
        <w:spacing w:before="120" w:after="240"/>
        <w:ind w:left="720"/>
        <w:rPr>
          <w:i/>
          <w:lang w:val="en-GB"/>
        </w:rPr>
      </w:pPr>
      <w:r w:rsidRPr="00D17D77">
        <w:rPr>
          <w:i/>
          <w:lang w:val="en-GB"/>
        </w:rPr>
        <w:t>[Y]</w:t>
      </w:r>
      <w:proofErr w:type="spellStart"/>
      <w:r w:rsidRPr="00D17D77">
        <w:rPr>
          <w:i/>
          <w:lang w:val="en-GB"/>
        </w:rPr>
        <w:t>ou</w:t>
      </w:r>
      <w:proofErr w:type="spellEnd"/>
      <w:r w:rsidRPr="00D17D77">
        <w:rPr>
          <w:i/>
          <w:lang w:val="en-GB"/>
        </w:rPr>
        <w:t xml:space="preserve"> end up taking up more and more responsibility, and sometimes the body says this is it, you know, we have to stop, so that was a signal, that was a signal to stop, I fainted [laughs] (…) At the workplace (…) the ambulance had to come and pick me up and take me to hospital, I was in the hospital for like three days [laughs] (Graham)</w:t>
      </w:r>
    </w:p>
    <w:p w14:paraId="7ED33844" w14:textId="28EFF7ED" w:rsidR="00600CBD" w:rsidRPr="00D17D77" w:rsidRDefault="00600CBD" w:rsidP="00D17D77">
      <w:pPr>
        <w:pStyle w:val="NormalWeb"/>
        <w:spacing w:after="240" w:afterAutospacing="0"/>
        <w:rPr>
          <w:b/>
          <w:bCs/>
        </w:rPr>
      </w:pPr>
      <w:r w:rsidRPr="00D17D77">
        <w:rPr>
          <w:rStyle w:val="Strong"/>
          <w:b w:val="0"/>
          <w:bCs w:val="0"/>
        </w:rPr>
        <w:t>These accounts emphasize the potential dangers of blurred work-</w:t>
      </w:r>
      <w:r w:rsidR="006701A0" w:rsidRPr="00D17D77">
        <w:rPr>
          <w:rStyle w:val="Strong"/>
          <w:b w:val="0"/>
          <w:bCs w:val="0"/>
        </w:rPr>
        <w:t>nonwork</w:t>
      </w:r>
      <w:r w:rsidRPr="00D17D77">
        <w:rPr>
          <w:rStyle w:val="Strong"/>
          <w:b w:val="0"/>
          <w:bCs w:val="0"/>
        </w:rPr>
        <w:t xml:space="preserve"> boundaries and call for a deeper understanding of the impact on consultant well-being. Notably, the study suggests the "collapse" of boundaries may be not merely a conceptual idea but a tangible experience with severe consequences for health and personal life.</w:t>
      </w:r>
    </w:p>
    <w:p w14:paraId="39A1CFCA" w14:textId="656F7513" w:rsidR="0022139E" w:rsidRPr="00D17D77" w:rsidRDefault="0022139E" w:rsidP="00D17D77">
      <w:pPr>
        <w:pStyle w:val="NormalWeb"/>
        <w:numPr>
          <w:ilvl w:val="0"/>
          <w:numId w:val="1"/>
        </w:numPr>
        <w:spacing w:before="240" w:beforeAutospacing="0" w:after="240" w:afterAutospacing="0"/>
        <w:rPr>
          <w:b/>
          <w:bCs/>
          <w:lang w:val="en-GB"/>
        </w:rPr>
      </w:pPr>
      <w:r w:rsidRPr="00D17D77">
        <w:rPr>
          <w:b/>
          <w:bCs/>
          <w:lang w:val="en-GB"/>
        </w:rPr>
        <w:t xml:space="preserve">Boundaries as </w:t>
      </w:r>
      <w:r w:rsidR="00FA669C" w:rsidRPr="00D17D77">
        <w:rPr>
          <w:b/>
          <w:bCs/>
          <w:lang w:val="en-GB"/>
        </w:rPr>
        <w:t xml:space="preserve">a learning experience </w:t>
      </w:r>
      <w:r w:rsidR="002176D7" w:rsidRPr="00D17D77">
        <w:rPr>
          <w:b/>
          <w:bCs/>
          <w:lang w:val="en-GB"/>
        </w:rPr>
        <w:t>and personal change</w:t>
      </w:r>
    </w:p>
    <w:p w14:paraId="3E73CF74" w14:textId="0A571A97" w:rsidR="007434EE" w:rsidRPr="00D17D77" w:rsidRDefault="00BA657E" w:rsidP="00D17D77">
      <w:pPr>
        <w:pStyle w:val="NormalWeb"/>
        <w:tabs>
          <w:tab w:val="left" w:pos="709"/>
        </w:tabs>
        <w:spacing w:after="240" w:afterAutospacing="0"/>
        <w:rPr>
          <w:b/>
          <w:bCs/>
        </w:rPr>
      </w:pPr>
      <w:r w:rsidRPr="00D17D77">
        <w:rPr>
          <w:rStyle w:val="Strong"/>
          <w:b w:val="0"/>
          <w:bCs w:val="0"/>
        </w:rPr>
        <w:t xml:space="preserve">Participants suggest they went through personal learning </w:t>
      </w:r>
      <w:r w:rsidR="007434EE" w:rsidRPr="00D17D77">
        <w:rPr>
          <w:rStyle w:val="Strong"/>
          <w:b w:val="0"/>
          <w:bCs w:val="0"/>
        </w:rPr>
        <w:t xml:space="preserve">journey towards establishing clearer boundaries between work and personal life. </w:t>
      </w:r>
      <w:r w:rsidRPr="00D17D77">
        <w:rPr>
          <w:rStyle w:val="Strong"/>
          <w:b w:val="0"/>
          <w:bCs w:val="0"/>
        </w:rPr>
        <w:t>Some</w:t>
      </w:r>
      <w:r w:rsidR="007434EE" w:rsidRPr="00D17D77">
        <w:rPr>
          <w:rStyle w:val="Strong"/>
          <w:b w:val="0"/>
          <w:bCs w:val="0"/>
        </w:rPr>
        <w:t xml:space="preserve"> described a turning point where they recognized the unsustainable nature of blurred boundaries and the detrimental impact on their health and well-being.</w:t>
      </w:r>
    </w:p>
    <w:p w14:paraId="7BEA708D" w14:textId="733089F1" w:rsidR="007434EE" w:rsidRPr="00D17D77" w:rsidRDefault="007434EE" w:rsidP="00D17D77">
      <w:pPr>
        <w:pStyle w:val="NormalWeb"/>
        <w:tabs>
          <w:tab w:val="left" w:pos="709"/>
        </w:tabs>
        <w:spacing w:after="240" w:afterAutospacing="0"/>
        <w:rPr>
          <w:rStyle w:val="Strong"/>
          <w:b w:val="0"/>
          <w:bCs w:val="0"/>
        </w:rPr>
      </w:pPr>
      <w:r w:rsidRPr="00D17D77">
        <w:rPr>
          <w:rStyle w:val="Strong"/>
          <w:b w:val="0"/>
          <w:bCs w:val="0"/>
        </w:rPr>
        <w:t>Several participants, like Jeremy</w:t>
      </w:r>
      <w:r w:rsidR="004E5278" w:rsidRPr="00D17D77">
        <w:rPr>
          <w:rStyle w:val="Strong"/>
          <w:b w:val="0"/>
          <w:bCs w:val="0"/>
        </w:rPr>
        <w:t xml:space="preserve">, </w:t>
      </w:r>
      <w:r w:rsidRPr="00D17D77">
        <w:rPr>
          <w:rStyle w:val="Strong"/>
          <w:b w:val="0"/>
          <w:bCs w:val="0"/>
        </w:rPr>
        <w:t>Kenan</w:t>
      </w:r>
      <w:r w:rsidR="004E5278" w:rsidRPr="00D17D77">
        <w:rPr>
          <w:rStyle w:val="Strong"/>
          <w:b w:val="0"/>
          <w:bCs w:val="0"/>
        </w:rPr>
        <w:t xml:space="preserve"> and Anna</w:t>
      </w:r>
      <w:r w:rsidRPr="00D17D77">
        <w:rPr>
          <w:rStyle w:val="Strong"/>
          <w:b w:val="0"/>
          <w:bCs w:val="0"/>
        </w:rPr>
        <w:t>, recounted realizing the constant intrusion of work into their personal space was unacceptable and unsustainable. They described feelings of stress, exhaustion, and a lack of personal life, prompting a desire for change.</w:t>
      </w:r>
    </w:p>
    <w:p w14:paraId="026FA6B3" w14:textId="77777777" w:rsidR="007434EE" w:rsidRPr="00D17D77" w:rsidRDefault="007434EE" w:rsidP="00D17D77">
      <w:pPr>
        <w:pStyle w:val="NormalWeb"/>
        <w:spacing w:before="240" w:after="240" w:afterAutospacing="0"/>
        <w:ind w:left="720"/>
        <w:rPr>
          <w:i/>
          <w:iCs/>
          <w:lang w:val="en-GB"/>
        </w:rPr>
      </w:pPr>
      <w:r w:rsidRPr="00D17D77">
        <w:rPr>
          <w:i/>
          <w:iCs/>
          <w:lang w:val="en-GB"/>
        </w:rPr>
        <w:t>[O]ne day, I just realised (…) the last thought I had when I go to sleep is work, the first thing I think of when I wake up is work again, and I found that very stressful and (…) I don't want this. This is not how I want to live. (…) I don't want to do my job like that. I won't do it again. (Jeremy)</w:t>
      </w:r>
    </w:p>
    <w:p w14:paraId="105AD794" w14:textId="77777777" w:rsidR="007434EE" w:rsidRPr="00D17D77" w:rsidRDefault="007434EE" w:rsidP="00D17D77">
      <w:pPr>
        <w:pStyle w:val="NormalWeb"/>
        <w:spacing w:before="240" w:after="240" w:afterAutospacing="0"/>
        <w:ind w:left="720"/>
        <w:rPr>
          <w:i/>
          <w:iCs/>
          <w:lang w:val="en-GB"/>
        </w:rPr>
      </w:pPr>
      <w:r w:rsidRPr="00D17D77">
        <w:rPr>
          <w:i/>
          <w:iCs/>
          <w:lang w:val="en-GB"/>
        </w:rPr>
        <w:t xml:space="preserve">[I]f you feel in a way that ok, this is going to be constant, it's not just kind of one-off, but if you get the feeling that this is going to be my life, that this is going to be every day like this, then I didn't want to accept that because I think that's going too far. (Kenan) </w:t>
      </w:r>
    </w:p>
    <w:p w14:paraId="080D053D" w14:textId="77777777" w:rsidR="007434EE" w:rsidRPr="00D17D77" w:rsidRDefault="007434EE" w:rsidP="00D17D77">
      <w:pPr>
        <w:pStyle w:val="NormalWeb"/>
        <w:spacing w:before="240" w:after="240" w:afterAutospacing="0"/>
        <w:ind w:left="720"/>
        <w:rPr>
          <w:i/>
          <w:iCs/>
          <w:lang w:val="en-GB"/>
        </w:rPr>
      </w:pPr>
      <w:r w:rsidRPr="00D17D77">
        <w:rPr>
          <w:i/>
          <w:iCs/>
          <w:lang w:val="en-GB"/>
        </w:rPr>
        <w:t xml:space="preserve">A lot of people just keep going keep going, and it was like for me for about two years that I really felt like I wasn’t thinking anymore, I was, you know, dragging along with work </w:t>
      </w:r>
      <w:proofErr w:type="spellStart"/>
      <w:r w:rsidRPr="00D17D77">
        <w:rPr>
          <w:i/>
          <w:iCs/>
          <w:lang w:val="en-GB"/>
        </w:rPr>
        <w:t>work</w:t>
      </w:r>
      <w:proofErr w:type="spellEnd"/>
      <w:r w:rsidRPr="00D17D77">
        <w:rPr>
          <w:i/>
          <w:iCs/>
          <w:lang w:val="en-GB"/>
        </w:rPr>
        <w:t xml:space="preserve"> </w:t>
      </w:r>
      <w:proofErr w:type="spellStart"/>
      <w:r w:rsidRPr="00D17D77">
        <w:rPr>
          <w:i/>
          <w:iCs/>
          <w:lang w:val="en-GB"/>
        </w:rPr>
        <w:t>work</w:t>
      </w:r>
      <w:proofErr w:type="spellEnd"/>
      <w:r w:rsidRPr="00D17D77">
        <w:rPr>
          <w:i/>
          <w:iCs/>
          <w:lang w:val="en-GB"/>
        </w:rPr>
        <w:t xml:space="preserve"> </w:t>
      </w:r>
      <w:proofErr w:type="spellStart"/>
      <w:r w:rsidRPr="00D17D77">
        <w:rPr>
          <w:i/>
          <w:iCs/>
          <w:lang w:val="en-GB"/>
        </w:rPr>
        <w:t>work</w:t>
      </w:r>
      <w:proofErr w:type="spellEnd"/>
      <w:r w:rsidRPr="00D17D77">
        <w:rPr>
          <w:i/>
          <w:iCs/>
          <w:lang w:val="en-GB"/>
        </w:rPr>
        <w:t xml:space="preserve">, just work </w:t>
      </w:r>
      <w:proofErr w:type="spellStart"/>
      <w:r w:rsidRPr="00D17D77">
        <w:rPr>
          <w:i/>
          <w:iCs/>
          <w:lang w:val="en-GB"/>
        </w:rPr>
        <w:t>work</w:t>
      </w:r>
      <w:proofErr w:type="spellEnd"/>
      <w:r w:rsidRPr="00D17D77">
        <w:rPr>
          <w:i/>
          <w:iCs/>
          <w:lang w:val="en-GB"/>
        </w:rPr>
        <w:t xml:space="preserve">, there’s nothing else. I don’t </w:t>
      </w:r>
      <w:proofErr w:type="spellStart"/>
      <w:r w:rsidRPr="00D17D77">
        <w:rPr>
          <w:i/>
          <w:iCs/>
          <w:lang w:val="en-GB"/>
        </w:rPr>
        <w:t>wanna</w:t>
      </w:r>
      <w:proofErr w:type="spellEnd"/>
      <w:r w:rsidRPr="00D17D77">
        <w:rPr>
          <w:i/>
          <w:iCs/>
          <w:lang w:val="en-GB"/>
        </w:rPr>
        <w:t xml:space="preserve"> go through my life and then just looking back and thinking like, “What’s happened? I wasn’t really aware.” (Anna)</w:t>
      </w:r>
    </w:p>
    <w:p w14:paraId="6BECC223" w14:textId="77777777" w:rsidR="007434EE" w:rsidRPr="00D17D77" w:rsidRDefault="007434EE" w:rsidP="00D17D77">
      <w:pPr>
        <w:pStyle w:val="NormalWeb"/>
        <w:spacing w:after="240" w:afterAutospacing="0"/>
        <w:rPr>
          <w:b/>
          <w:bCs/>
        </w:rPr>
      </w:pPr>
      <w:r w:rsidRPr="00D17D77">
        <w:rPr>
          <w:rStyle w:val="Strong"/>
          <w:b w:val="0"/>
          <w:bCs w:val="0"/>
        </w:rPr>
        <w:t>For others, the realization came through the experience of burnout or even health problems. Tina, for example, suffered health issues due to excessive work, highlighting the potential consequences of blurred boundaries. Similarly, Lina's experience with severe depression and stress in a previous consulting role emphasized the need for clearer lines.</w:t>
      </w:r>
    </w:p>
    <w:p w14:paraId="3AA057D1" w14:textId="77777777" w:rsidR="00683E10" w:rsidRPr="00D17D77" w:rsidRDefault="007434EE" w:rsidP="00D17D77">
      <w:pPr>
        <w:pStyle w:val="NormalWeb"/>
        <w:spacing w:after="240" w:afterAutospacing="0"/>
        <w:rPr>
          <w:rStyle w:val="Strong"/>
          <w:b w:val="0"/>
          <w:bCs w:val="0"/>
        </w:rPr>
      </w:pPr>
      <w:r w:rsidRPr="00D17D77">
        <w:rPr>
          <w:rStyle w:val="Strong"/>
          <w:b w:val="0"/>
          <w:bCs w:val="0"/>
        </w:rPr>
        <w:lastRenderedPageBreak/>
        <w:t xml:space="preserve">These experiences led to a shift in perspectives. Some participants, like Graham, developed cynicism and disillusionment with their organizations due to a perceived lack of value placed on their well-being. </w:t>
      </w:r>
    </w:p>
    <w:p w14:paraId="3455CB09" w14:textId="77777777" w:rsidR="00683E10" w:rsidRPr="00D17D77" w:rsidRDefault="00683E10" w:rsidP="00D17D77">
      <w:pPr>
        <w:pStyle w:val="NormalWeb"/>
        <w:spacing w:before="240" w:after="240" w:afterAutospacing="0"/>
        <w:ind w:left="720"/>
        <w:rPr>
          <w:i/>
          <w:iCs/>
          <w:lang w:val="en-GB"/>
        </w:rPr>
      </w:pPr>
      <w:r w:rsidRPr="00D17D77">
        <w:rPr>
          <w:i/>
          <w:iCs/>
          <w:lang w:val="en-GB"/>
        </w:rPr>
        <w:t>I decided to stop the crazy work because, in the end, it is the labour market. If they don't need you, they simply fire you without any sort of respect or recognition for that extra effort that you have put into the job, so sometimes for some employers, employees are commodities, so when employers tend to treat employees as commodities and try to maximise the usage of the recourses, then employees become commodities, and they reduce the workforce and have people doing the work of more than one person because that's on their interest. (Graham)</w:t>
      </w:r>
    </w:p>
    <w:p w14:paraId="74E0AEB9" w14:textId="1FD49D39" w:rsidR="007434EE" w:rsidRPr="00D17D77" w:rsidRDefault="007434EE" w:rsidP="00D17D77">
      <w:pPr>
        <w:pStyle w:val="NormalWeb"/>
        <w:spacing w:after="240" w:afterAutospacing="0"/>
        <w:rPr>
          <w:rStyle w:val="Strong"/>
          <w:b w:val="0"/>
          <w:bCs w:val="0"/>
        </w:rPr>
      </w:pPr>
      <w:r w:rsidRPr="00D17D77">
        <w:rPr>
          <w:rStyle w:val="Strong"/>
          <w:b w:val="0"/>
          <w:bCs w:val="0"/>
        </w:rPr>
        <w:t>Additionally, individuals like Luke questioned the overall meaning and purpose of work, particularly in contexts where it seemed solely focused on financial gain.</w:t>
      </w:r>
    </w:p>
    <w:p w14:paraId="2FC78C63" w14:textId="77777777" w:rsidR="00683E10" w:rsidRPr="00D17D77" w:rsidRDefault="00683E10" w:rsidP="00D17D77">
      <w:pPr>
        <w:pStyle w:val="NormalWeb"/>
        <w:spacing w:before="240" w:after="240" w:afterAutospacing="0"/>
        <w:ind w:left="720"/>
        <w:rPr>
          <w:i/>
          <w:iCs/>
          <w:lang w:val="en-GB"/>
        </w:rPr>
      </w:pPr>
      <w:r w:rsidRPr="00D17D77">
        <w:rPr>
          <w:i/>
          <w:iCs/>
          <w:lang w:val="en-GB"/>
        </w:rPr>
        <w:t xml:space="preserve">There have been times when I was like working till midnight and then had to be up at 5:30 or 6 o'clock the next day and do that for a week or two weeks or even longer. Where it's just like you coming to the weekend, but you can't switch off, and you can't like you end up not sleeping well because all you dream about is work, the next deliverable and those sorts of things. And it's just like a shitty way to live (…). You know, it's hard. You end up just being like fairly miserable kind of, and it puts pressure on, like, family and friends and loved ones and that sort of stuff. (…) your personal relationships suffer. I also kind of don't want to let my friends down and my, you know, partner down in terms of commitments I've made. (Luke) </w:t>
      </w:r>
    </w:p>
    <w:p w14:paraId="6A9BF2B4" w14:textId="03C86FDB" w:rsidR="007434EE" w:rsidRPr="00D17D77" w:rsidRDefault="007434EE" w:rsidP="00D17D77">
      <w:pPr>
        <w:pStyle w:val="NormalWeb"/>
        <w:spacing w:after="240" w:afterAutospacing="0"/>
        <w:rPr>
          <w:rStyle w:val="Strong"/>
          <w:b w:val="0"/>
          <w:bCs w:val="0"/>
        </w:rPr>
      </w:pPr>
      <w:r w:rsidRPr="00D17D77">
        <w:rPr>
          <w:rStyle w:val="Strong"/>
          <w:b w:val="0"/>
          <w:bCs w:val="0"/>
        </w:rPr>
        <w:t>However, the challenges weren't solely negative. Graham's health scare served as a catalyst for re-evaluating his priorities and embracing a more meaningful life beyond mere work. He recognized the limited nature of time and the importance of spending it with loved ones and pursuing personal interests</w:t>
      </w:r>
      <w:r w:rsidR="007C6B59" w:rsidRPr="00D17D77">
        <w:rPr>
          <w:rStyle w:val="Strong"/>
          <w:b w:val="0"/>
          <w:bCs w:val="0"/>
        </w:rPr>
        <w:t>:</w:t>
      </w:r>
    </w:p>
    <w:p w14:paraId="333D5406" w14:textId="77777777" w:rsidR="00771CF8" w:rsidRPr="00D17D77" w:rsidRDefault="00771CF8" w:rsidP="00D17D77">
      <w:pPr>
        <w:pStyle w:val="NormalWeb"/>
        <w:spacing w:before="240" w:after="240" w:afterAutospacing="0"/>
        <w:ind w:left="720"/>
        <w:rPr>
          <w:i/>
          <w:iCs/>
          <w:lang w:val="en-GB"/>
        </w:rPr>
      </w:pPr>
      <w:r w:rsidRPr="00D17D77">
        <w:rPr>
          <w:i/>
          <w:iCs/>
          <w:lang w:val="en-GB"/>
        </w:rPr>
        <w:t xml:space="preserve">Once time is gone, it’s gone, it doesn't matter how much money you have (…) you </w:t>
      </w:r>
      <w:proofErr w:type="spellStart"/>
      <w:r w:rsidRPr="00D17D77">
        <w:rPr>
          <w:i/>
          <w:iCs/>
          <w:lang w:val="en-GB"/>
        </w:rPr>
        <w:t>can not</w:t>
      </w:r>
      <w:proofErr w:type="spellEnd"/>
      <w:r w:rsidRPr="00D17D77">
        <w:rPr>
          <w:i/>
          <w:iCs/>
          <w:lang w:val="en-GB"/>
        </w:rPr>
        <w:t xml:space="preserve"> buy it back, there is a limited amount of time, then you're going to die, you see, so it's not wise to spend all your life just working but if you have to work, make the most of that work (…) nobody on their death bed ever says, “I wish I had worked more”, nobody is going to say that, so why to wait, it's better to start managing that and spend time with people that really matter, your family, your parents, your extended family, your friends, your own personal time, hobbies that you like, so those are the things that you have to do now because when you retire, it's going to be too late. (Graham)</w:t>
      </w:r>
    </w:p>
    <w:p w14:paraId="7BBADB33" w14:textId="7D9BA9AF" w:rsidR="007434EE" w:rsidRPr="00D17D77" w:rsidRDefault="007434EE" w:rsidP="00D17D77">
      <w:pPr>
        <w:pStyle w:val="NormalWeb"/>
        <w:spacing w:after="240" w:afterAutospacing="0"/>
        <w:rPr>
          <w:rStyle w:val="Strong"/>
          <w:b w:val="0"/>
          <w:bCs w:val="0"/>
        </w:rPr>
      </w:pPr>
      <w:r w:rsidRPr="00D17D77">
        <w:rPr>
          <w:rStyle w:val="Strong"/>
          <w:b w:val="0"/>
          <w:bCs w:val="0"/>
        </w:rPr>
        <w:t>Overall, this theme reveals the significant impact of blurred work-</w:t>
      </w:r>
      <w:r w:rsidR="00BA657E" w:rsidRPr="00D17D77">
        <w:rPr>
          <w:rStyle w:val="Strong"/>
          <w:b w:val="0"/>
          <w:bCs w:val="0"/>
        </w:rPr>
        <w:t>nonwork</w:t>
      </w:r>
      <w:r w:rsidRPr="00D17D77">
        <w:rPr>
          <w:rStyle w:val="Strong"/>
          <w:b w:val="0"/>
          <w:bCs w:val="0"/>
        </w:rPr>
        <w:t xml:space="preserve"> boundaries on consultants' physical and mental health and their relationship with their work and organizations. It also highlights the potential for personal transformation when individuals prioritize well-being and establish healthier boundaries.</w:t>
      </w:r>
    </w:p>
    <w:p w14:paraId="070BDA9E" w14:textId="77777777" w:rsidR="00AE5FFC" w:rsidRPr="00D17D77" w:rsidRDefault="00AE5FFC" w:rsidP="00D17D77">
      <w:pPr>
        <w:spacing w:before="100" w:beforeAutospacing="1" w:after="240"/>
        <w:outlineLvl w:val="2"/>
        <w:rPr>
          <w:b/>
          <w:bCs/>
        </w:rPr>
      </w:pPr>
      <w:r w:rsidRPr="00D17D77">
        <w:rPr>
          <w:b/>
          <w:bCs/>
        </w:rPr>
        <w:t>Discussion</w:t>
      </w:r>
    </w:p>
    <w:p w14:paraId="6CCEA3A8" w14:textId="546B7DC3" w:rsidR="00AE5FFC" w:rsidRPr="00D17D77" w:rsidRDefault="00AE5FFC" w:rsidP="00D17D77">
      <w:pPr>
        <w:spacing w:before="100" w:beforeAutospacing="1" w:after="240"/>
      </w:pPr>
      <w:r w:rsidRPr="00D17D77">
        <w:t xml:space="preserve">The findings of this study </w:t>
      </w:r>
      <w:r w:rsidR="00035BF2" w:rsidRPr="00D17D77">
        <w:t>address</w:t>
      </w:r>
      <w:r w:rsidRPr="00D17D77">
        <w:t xml:space="preserve"> several gaps in the existing literature on work-nonwork boundaries, particularly within the context of PS</w:t>
      </w:r>
      <w:r w:rsidR="001C3095" w:rsidRPr="00D17D77">
        <w:t>F</w:t>
      </w:r>
      <w:r w:rsidRPr="00D17D77">
        <w:t>s. While previous research has extensively examined boundary management strategies, tactics, and conditions</w:t>
      </w:r>
      <w:r w:rsidR="008C3F63">
        <w:t xml:space="preserve"> </w:t>
      </w:r>
      <w:r w:rsidR="008C3F63">
        <w:fldChar w:fldCharType="begin"/>
      </w:r>
      <w:r w:rsidR="008C3F63">
        <w:instrText xml:space="preserve"> ADDIN ZOTERO_ITEM CSL_CITATION {"citationID":"3EQTqB9r","properties":{"formattedCitation":"(Kossek et al., 2021; Kreiner et al., 2009)","plainCitation":"(Kossek et al., 2021; Kreiner et al., 2009)","noteIndex":0},"citationItems":[{"id":2682,"uris":["http://zotero.org/users/600134/items/5Y7FA8HX"],"itemData":{"id":2682,"type":"article-journal","container-title":"Journal of Applied Psychology","DOI":"10.1037/apl0000982","ISSN":"1939-1854","issue":"11","note":"publisher: US: American Psychological Association","page":"1615-1629","source":"psycnet.apa.org","title":"Pushing the boundaries: A qualitative study of how STEM women adapted to disrupted work–nonwork boundaries during the COVID-19 pandemic.","title-short":"Pushing the boundaries","volume":"106","author":[{"family":"Kossek","given":"Ellen Ernst"},{"family":"Dumas","given":"Tracy L."},{"family":"Piszczek","given":"Matthew M."},{"family":"Allen","given":"Tammy D."}],"issued":{"date-parts":[["2021"]]}}},{"id":347,"uris":["http://zotero.org/users/600134/items/TQA6DKSG"],"itemData":{"id":347,"type":"article-journal","abstract":"We investigated how people manage boundaries to negotiate the demands between work and home life. We discovered and classified four types of boundary work tactics (behavioral, temporal, physical, and communicative) that individuals utilized to help create their ideal level and style of work-home segmentation or integration. We also found important differences between the generalized state of work-home conflict and \"boundary violations,\" which we define as behaviors, events, or episodes that either breach or neglect the desired work-home boundary. We present a model based on two qualitative studies that demonstrates how boundary work tactics reduce the negative effects of work-home challenges. [ABSTRACT FROM AUTHOR]","container-title":"Academy of Management Journal","ISSN":"00014273","issue":"4","page":"704-730","source":"EBSCOhost","title":"Balancing Borders and Bridges: Negotiating the Work-Home Interface via Boundary Work Tactics","title-short":"BALANCING BORDERS AND BRIDGES","volume":"52","author":[{"family":"Kreiner","given":"Glen E."},{"family":"Hollensbe","given":"Elaine C."},{"family":"Sheep","given":"Mathew L."}],"issued":{"date-parts":[["2009"]]}}}],"schema":"https://github.com/citation-style-language/schema/raw/master/csl-citation.json"} </w:instrText>
      </w:r>
      <w:r w:rsidR="008C3F63">
        <w:fldChar w:fldCharType="separate"/>
      </w:r>
      <w:r w:rsidR="008C3F63">
        <w:rPr>
          <w:noProof/>
        </w:rPr>
        <w:t xml:space="preserve">(Kossek et al., 2021; </w:t>
      </w:r>
      <w:r w:rsidR="008C3F63">
        <w:rPr>
          <w:noProof/>
        </w:rPr>
        <w:lastRenderedPageBreak/>
        <w:t>Kreiner et al., 2009)</w:t>
      </w:r>
      <w:r w:rsidR="008C3F63">
        <w:fldChar w:fldCharType="end"/>
      </w:r>
      <w:r w:rsidRPr="00D17D77">
        <w:t xml:space="preserve">, our study highlights the nuanced and complex nature of work-nonwork boundaries </w:t>
      </w:r>
      <w:r w:rsidR="00C967EC" w:rsidRPr="00D17D77">
        <w:t xml:space="preserve">through </w:t>
      </w:r>
      <w:r w:rsidR="008C3F63">
        <w:t xml:space="preserve">the </w:t>
      </w:r>
      <w:r w:rsidR="00C967EC" w:rsidRPr="00D17D77">
        <w:t>lived experiences of consultants</w:t>
      </w:r>
      <w:r w:rsidRPr="00D17D77">
        <w:t>.</w:t>
      </w:r>
    </w:p>
    <w:p w14:paraId="242EAE5B" w14:textId="03E80D24" w:rsidR="00FC0BA3" w:rsidRPr="00D17D77" w:rsidRDefault="00981D67" w:rsidP="00D17D77">
      <w:pPr>
        <w:spacing w:before="100" w:beforeAutospacing="1" w:after="240"/>
        <w:outlineLvl w:val="3"/>
        <w:rPr>
          <w:b/>
          <w:bCs/>
        </w:rPr>
      </w:pPr>
      <w:r w:rsidRPr="00D17D77">
        <w:rPr>
          <w:b/>
          <w:bCs/>
        </w:rPr>
        <w:t xml:space="preserve">Understanding Boundaries as </w:t>
      </w:r>
      <w:r w:rsidR="00D17D77" w:rsidRPr="00D17D77">
        <w:rPr>
          <w:b/>
          <w:bCs/>
        </w:rPr>
        <w:t>Normative</w:t>
      </w:r>
      <w:r w:rsidR="00462DA5" w:rsidRPr="00D17D77">
        <w:rPr>
          <w:b/>
          <w:bCs/>
        </w:rPr>
        <w:t xml:space="preserve"> </w:t>
      </w:r>
      <w:r w:rsidR="00FC0BA3" w:rsidRPr="00D17D77">
        <w:rPr>
          <w:b/>
          <w:bCs/>
        </w:rPr>
        <w:t xml:space="preserve">Controls </w:t>
      </w:r>
    </w:p>
    <w:p w14:paraId="6AB6D2A7" w14:textId="5FC4A418" w:rsidR="00441FE2" w:rsidRPr="00D17D77" w:rsidRDefault="00FC0BA3" w:rsidP="00D17D77">
      <w:pPr>
        <w:spacing w:before="240" w:after="240"/>
        <w:rPr>
          <w:lang w:val="en-GB"/>
        </w:rPr>
      </w:pPr>
      <w:r w:rsidRPr="00D17D77">
        <w:t xml:space="preserve">A significant contribution </w:t>
      </w:r>
      <w:r w:rsidR="008C3F63">
        <w:t xml:space="preserve">of findings </w:t>
      </w:r>
      <w:r w:rsidRPr="00D17D77">
        <w:t xml:space="preserve">is the </w:t>
      </w:r>
      <w:r w:rsidR="008C3F63">
        <w:t xml:space="preserve">demonstrated </w:t>
      </w:r>
      <w:r w:rsidRPr="00D17D77">
        <w:t xml:space="preserve">importance of organisational context and power dynamics in boundary management. While previous studies have explored boundary conditions and strategies (Kossek et al., 2006, 2012; Leslie et al., 2019), our findings suggest that organisational controls and client demands play a crucial role in shaping boundary experiences. Senior leaders and clients often exert pressure, either directly or indirectly, leading to blurred boundaries and overwork. Participants reported feeling compelled to conform to an "always-on" culture due to unspoken expectations set by their leaders and clients. This </w:t>
      </w:r>
      <w:r w:rsidR="00462DA5" w:rsidRPr="00D17D77">
        <w:t>related</w:t>
      </w:r>
      <w:r w:rsidRPr="00D17D77">
        <w:t xml:space="preserve"> with </w:t>
      </w:r>
      <w:r w:rsidR="00462DA5" w:rsidRPr="00D17D77">
        <w:rPr>
          <w:bdr w:val="none" w:sz="0" w:space="0" w:color="auto" w:frame="1"/>
          <w:lang w:val="en-GB"/>
        </w:rPr>
        <w:t>the work-nonwork boundary literature</w:t>
      </w:r>
      <w:r w:rsidR="00462DA5" w:rsidRPr="00D17D77">
        <w:rPr>
          <w:bdr w:val="none" w:sz="0" w:space="0" w:color="auto" w:frame="1"/>
          <w:lang w:val="en-GB"/>
        </w:rPr>
        <w:t xml:space="preserve"> on</w:t>
      </w:r>
      <w:r w:rsidR="00462DA5" w:rsidRPr="00D17D77">
        <w:rPr>
          <w:bdr w:val="none" w:sz="0" w:space="0" w:color="auto" w:frame="1"/>
          <w:lang w:val="en-GB"/>
        </w:rPr>
        <w:t xml:space="preserve"> conceptualis</w:t>
      </w:r>
      <w:r w:rsidR="00462DA5" w:rsidRPr="00D17D77">
        <w:rPr>
          <w:bdr w:val="none" w:sz="0" w:space="0" w:color="auto" w:frame="1"/>
          <w:lang w:val="en-GB"/>
        </w:rPr>
        <w:t>ing</w:t>
      </w:r>
      <w:r w:rsidR="00462DA5" w:rsidRPr="00D17D77">
        <w:rPr>
          <w:bdr w:val="none" w:sz="0" w:space="0" w:color="auto" w:frame="1"/>
          <w:lang w:val="en-GB"/>
        </w:rPr>
        <w:t xml:space="preserve"> senior leaders' pressures as a boundary control. </w:t>
      </w:r>
      <w:r w:rsidR="00BF4781">
        <w:rPr>
          <w:bdr w:val="none" w:sz="0" w:space="0" w:color="auto" w:frame="1"/>
          <w:lang w:val="en-GB"/>
        </w:rPr>
        <w:fldChar w:fldCharType="begin"/>
      </w:r>
      <w:r w:rsidR="00BF4781">
        <w:rPr>
          <w:bdr w:val="none" w:sz="0" w:space="0" w:color="auto" w:frame="1"/>
          <w:lang w:val="en-GB"/>
        </w:rPr>
        <w:instrText xml:space="preserve"> ADDIN ZOTERO_ITEM CSL_CITATION {"citationID":"i4Sx1Vho","properties":{"formattedCitation":"(Perlow, 1998)","plainCitation":"(Perlow, 1998)","noteIndex":0},"citationItems":[{"id":2712,"uris":["http://zotero.org/users/600134/items/77BBVCN2"],"itemData":{"id":2712,"type":"article-journal","container-title":"Administrative Science Quarterly","issue":"2","page":"328–357","source":"Google Scholar","title":"Boundary control: The social ordering of work and family time in a high-tech corporation","title-short":"Boundary control","volume":"43","author":[{"family":"Perlow","given":"L. A."}],"issued":{"date-parts":[["1998"]]}}}],"schema":"https://github.com/citation-style-language/schema/raw/master/csl-citation.json"} </w:instrText>
      </w:r>
      <w:r w:rsidR="00BF4781">
        <w:rPr>
          <w:bdr w:val="none" w:sz="0" w:space="0" w:color="auto" w:frame="1"/>
          <w:lang w:val="en-GB"/>
        </w:rPr>
        <w:fldChar w:fldCharType="separate"/>
      </w:r>
      <w:r w:rsidR="00BF4781">
        <w:rPr>
          <w:noProof/>
          <w:bdr w:val="none" w:sz="0" w:space="0" w:color="auto" w:frame="1"/>
          <w:lang w:val="en-GB"/>
        </w:rPr>
        <w:t>Perlow's (1998)</w:t>
      </w:r>
      <w:r w:rsidR="00BF4781">
        <w:rPr>
          <w:bdr w:val="none" w:sz="0" w:space="0" w:color="auto" w:frame="1"/>
          <w:lang w:val="en-GB"/>
        </w:rPr>
        <w:fldChar w:fldCharType="end"/>
      </w:r>
      <w:r w:rsidR="00BF4781">
        <w:rPr>
          <w:bdr w:val="none" w:sz="0" w:space="0" w:color="auto" w:frame="1"/>
          <w:lang w:val="en-GB"/>
        </w:rPr>
        <w:t xml:space="preserve"> </w:t>
      </w:r>
      <w:proofErr w:type="spellStart"/>
      <w:r w:rsidR="00462DA5" w:rsidRPr="00D17D77">
        <w:rPr>
          <w:lang w:val="en-GB"/>
        </w:rPr>
        <w:t>(1998) qualitative</w:t>
      </w:r>
      <w:proofErr w:type="spellEnd"/>
      <w:r w:rsidR="00462DA5" w:rsidRPr="00D17D77">
        <w:rPr>
          <w:lang w:val="en-GB"/>
        </w:rPr>
        <w:t xml:space="preserve"> study of a software development group shows that managers controlled their subordinates’ time by imposing demands (e.g. setting meetings and deadlines), monitoring (e.g. checking up on them), and modelling expected behaviour (e.g. working long hours themselves). </w:t>
      </w:r>
      <w:r w:rsidR="00BF4781">
        <w:rPr>
          <w:lang w:val="en-GB"/>
        </w:rPr>
        <w:fldChar w:fldCharType="begin"/>
      </w:r>
      <w:r w:rsidR="00BF4781">
        <w:rPr>
          <w:lang w:val="en-GB"/>
        </w:rPr>
        <w:instrText xml:space="preserve"> ADDIN ZOTERO_ITEM CSL_CITATION {"citationID":"XRJEoOGM","properties":{"formattedCitation":"(Stanko &amp; Beckman, 2015)","plainCitation":"(Stanko &amp; Beckman, 2015)","noteIndex":0},"citationItems":[{"id":2839,"uris":["http://zotero.org/users/600134/items/KS5GSYQ5"],"itemData":{"id":2839,"type":"article-journal","abstract":"As information communication technologies proliferate in the workplace, organizations face unique challenges managing how and when employees engage in work and nonwork activities. Using interview and archival data from the U.S. Navy, we explore one organization’s attempts to shape individual attention in an effort to exert boundary control. We describe the organizational productivity and security problems that result from individual attention being engaged in nonwork activities while at work, and find that the organization manages these problems by monitoring employees (tracking attention), contextualizing technology use to remind people of appropriate organizational use practices (cultivating attention), and diverting, limiting, and withholding technology access (restricting attention). We bring together research on attention and control to challenge current definitions of boundary control, and we detail the understudied situational controls used by the organization to shape work–nonwork interactions in the moment. We highlight how situational control efforts must work together in order to capture attention and shape behavior, and we develop a model to explicate this ongoing process of boundary control. Our findings offer insight into the evolving challenges that organizations face in executing boundary control, as well as of organizational control more broadly, in the modern workplace.","container-title":"Academy of Management Journal","DOI":"10.5465/amj.2012.0911","ISSN":"0001-4273","issue":"3","journalAbbreviation":"AMJ","note":"publisher: Academy of Management","page":"712-738","source":"journals.aom.org (Atypon)","title":"Watching You Watching Me: Boundary Control and Capturing Attention in the Context of Ubiquitous Technology Use","title-short":"Watching You Watching Me","volume":"58","author":[{"family":"Stanko","given":"Taryn L."},{"family":"Beckman","given":"Christine M."}],"issued":{"date-parts":[["2015",6]]}}}],"schema":"https://github.com/citation-style-language/schema/raw/master/csl-citation.json"} </w:instrText>
      </w:r>
      <w:r w:rsidR="00BF4781">
        <w:rPr>
          <w:lang w:val="en-GB"/>
        </w:rPr>
        <w:fldChar w:fldCharType="separate"/>
      </w:r>
      <w:r w:rsidR="00BF4781">
        <w:rPr>
          <w:noProof/>
          <w:lang w:val="en-GB"/>
        </w:rPr>
        <w:t>Stanko and Beckman (2015)</w:t>
      </w:r>
      <w:r w:rsidR="00BF4781">
        <w:rPr>
          <w:lang w:val="en-GB"/>
        </w:rPr>
        <w:fldChar w:fldCharType="end"/>
      </w:r>
      <w:r w:rsidR="00462DA5" w:rsidRPr="00D17D77">
        <w:rPr>
          <w:lang w:val="en-GB"/>
        </w:rPr>
        <w:t xml:space="preserve"> suggested that boundary controls often </w:t>
      </w:r>
      <w:r w:rsidR="00462DA5" w:rsidRPr="00D17D77">
        <w:rPr>
          <w:lang w:val="en-GB"/>
        </w:rPr>
        <w:t>go</w:t>
      </w:r>
      <w:r w:rsidR="00462DA5" w:rsidRPr="00D17D77">
        <w:rPr>
          <w:lang w:val="en-GB"/>
        </w:rPr>
        <w:t xml:space="preserve"> beyond how much time employees spend in the workplace. The researchers suggest that boundary control attempts to control individual time spent in a physical workplace and employees’ attention at any given moment, which is more applicable in today’s workplaces and supported in my research, for example, the case of social boundaries.</w:t>
      </w:r>
      <w:r w:rsidR="00462DA5" w:rsidRPr="00D17D77">
        <w:rPr>
          <w:lang w:val="en-GB"/>
        </w:rPr>
        <w:t xml:space="preserve"> </w:t>
      </w:r>
      <w:r w:rsidR="00462DA5" w:rsidRPr="00D17D77">
        <w:rPr>
          <w:lang w:val="en-GB"/>
        </w:rPr>
        <w:t xml:space="preserve">However, the work-nonwork conceptualisation of boundary control has some limitations. The work-nonwork literature focuses on overt demands. However, </w:t>
      </w:r>
      <w:r w:rsidR="00462DA5" w:rsidRPr="00D17D77">
        <w:rPr>
          <w:lang w:val="en-GB"/>
        </w:rPr>
        <w:t>this research</w:t>
      </w:r>
      <w:r w:rsidR="00462DA5" w:rsidRPr="00D17D77">
        <w:rPr>
          <w:lang w:val="en-GB"/>
        </w:rPr>
        <w:t xml:space="preserve"> suggests management indirectly exerts pressure, involving employees’ emotions, identity work and values </w:t>
      </w:r>
      <w:r w:rsidR="00462DA5" w:rsidRPr="00D17D77">
        <w:rPr>
          <w:lang w:val="en-GB"/>
        </w:rPr>
        <w:fldChar w:fldCharType="begin"/>
      </w:r>
      <w:r w:rsidR="00462DA5" w:rsidRPr="00D17D77">
        <w:rPr>
          <w:lang w:val="en-GB"/>
        </w:rPr>
        <w:instrText xml:space="preserve"> ADDIN ZOTERO_ITEM CSL_CITATION {"citationID":"VWSQb0mC","properties":{"formattedCitation":"(Barley &amp; Kunda, 1992; Thompson &amp; van den Broek, 2010)","plainCitation":"(Barley &amp; Kunda, 1992; Thompson &amp; van den Broek, 2010)","noteIndex":0},"citationItems":[{"id":2767,"uris":["http://zotero.org/users/600134/items/4ZKDVCSM"],"itemData":{"id":2767,"type":"article-journal","abstract":"Managerial control and its wider setting in workplace and societal regimes has been an important feature of debates in Work, Employment and Society since its inception, providing some of its most highly cited articles. This Introduction to the first e-special seeks to present 10 key and diverse articles, situating them in the context of debates inside and beyond the journal. Core themes and contentious issues are identified and particular attention is paid to the nature of normative controls. After a period in the 1990s when the control debate dipped, it is argued that there are positive signs that more recent articles are rediscovering the broader focus on workplace regimes that was characteristic of earlier, classic contributions.","container-title":"Work, Employment and Society","DOI":"10.1177/0950017010384546","ISSN":"0950-0170","issue":"3","language":"en","note":"publisher: SAGE Publications Ltd","page":"1-12","source":"SAGE Journals","title":"Managerial control and workplace regimes: an introduction","title-short":"Managerial control and workplace regimes","volume":"24","author":[{"family":"Thompson","given":"Paul"},{"family":"Broek","given":"Diane","non-dropping-particle":"van den"}],"issued":{"date-parts":[["2010",9,1]]}},"label":"page"},{"id":2775,"uris":["http://zotero.org/users/600134/items/KXH9TF9J"],"itemData":{"id":2775,"type":"article-journal","abstract":"This paper challenges the prevalent notion that American managerial discourse has moved progressively from coercive to rational and, ultimately, to normative rhetorics of control. Historical data suggest that since the 1870s American managerial discourse has been elaborated in waves that have alternated between normative and rational rhetorics. We sketch out the surges and contractions in the rhetorics of industrial betterment, scientific management, welfare capitalism/human relations, systems rationalism, and organizational culture/quality. Standard theories of ideological change are shown to be inadequate for explaining either the general pattern or the timing of the surges. We propose and find preliminary support for a theory that combines cultural constraints and material forces. Specifically, the tendency for innovative surges of managerial theorizing to alternate between rational and normative rhetorics of control appears to be rooted in cultural antinomies fundamental to all Western industrial societies: the opposition between mechanistic and organic solidarity and between communalism and individualism. The timing of each new wave is shown to parallel broad cycles of economic expansion and contraction.","container-title":"Administrative Science Quarterly","DOI":"10.2307/2393449","ISSN":"0001-8392","issue":"3","note":"publisher: [Sage Publications, Inc., Johnson Graduate School of Management, Cornell University]","page":"363-399","source":"JSTOR","title":"Design and Devotion: Surges of Rational and Normative Ideologies of Control in Managerial Discourse","title-short":"Design and Devotion","volume":"37","author":[{"family":"Barley","given":"Stephen R."},{"family":"Kunda","given":"Gideon"}],"issued":{"date-parts":[["1992"]]}}}],"schema":"https://github.com/citation-style-language/schema/raw/master/csl-citation.json"} </w:instrText>
      </w:r>
      <w:r w:rsidR="00462DA5" w:rsidRPr="00D17D77">
        <w:rPr>
          <w:lang w:val="en-GB"/>
        </w:rPr>
        <w:fldChar w:fldCharType="separate"/>
      </w:r>
      <w:r w:rsidR="00462DA5" w:rsidRPr="00D17D77">
        <w:rPr>
          <w:lang w:val="en-GB"/>
        </w:rPr>
        <w:t xml:space="preserve">(Barley &amp; </w:t>
      </w:r>
      <w:proofErr w:type="spellStart"/>
      <w:r w:rsidR="00462DA5" w:rsidRPr="00D17D77">
        <w:rPr>
          <w:lang w:val="en-GB"/>
        </w:rPr>
        <w:t>Kunda</w:t>
      </w:r>
      <w:proofErr w:type="spellEnd"/>
      <w:r w:rsidR="00462DA5" w:rsidRPr="00D17D77">
        <w:rPr>
          <w:lang w:val="en-GB"/>
        </w:rPr>
        <w:t>, 1992; Thompson &amp; van den Broek, 2010)</w:t>
      </w:r>
      <w:r w:rsidR="00462DA5" w:rsidRPr="00D17D77">
        <w:rPr>
          <w:lang w:val="en-GB"/>
        </w:rPr>
        <w:fldChar w:fldCharType="end"/>
      </w:r>
      <w:r w:rsidR="00462DA5" w:rsidRPr="00D17D77">
        <w:rPr>
          <w:lang w:val="en-GB"/>
        </w:rPr>
        <w:t>.</w:t>
      </w:r>
      <w:r w:rsidR="00462DA5" w:rsidRPr="00D17D77">
        <w:rPr>
          <w:lang w:val="en-GB"/>
        </w:rPr>
        <w:t xml:space="preserve"> </w:t>
      </w:r>
      <w:r w:rsidR="00462DA5" w:rsidRPr="00D17D77">
        <w:rPr>
          <w:lang w:val="en-GB"/>
        </w:rPr>
        <w:t xml:space="preserve"> </w:t>
      </w:r>
      <w:r w:rsidR="00441FE2" w:rsidRPr="00D17D77">
        <w:rPr>
          <w:lang w:val="en-GB"/>
        </w:rPr>
        <w:t xml:space="preserve">Relying on </w:t>
      </w:r>
      <w:r w:rsidR="00441FE2" w:rsidRPr="00D17D77">
        <w:rPr>
          <w:lang w:val="en-GB"/>
        </w:rPr>
        <w:fldChar w:fldCharType="begin"/>
      </w:r>
      <w:r w:rsidR="00441FE2" w:rsidRPr="00D17D77">
        <w:rPr>
          <w:lang w:val="en-GB"/>
        </w:rPr>
        <w:instrText xml:space="preserve"> ADDIN ZOTERO_ITEM CSL_CITATION {"citationID":"cuob2Nqa","properties":{"formattedCitation":"(Thompson &amp; van den Broek, 2010)","plainCitation":"(Thompson &amp; van den Broek, 2010)","dontUpdate":true,"noteIndex":0},"citationItems":[{"id":2767,"uris":["http://zotero.org/users/600134/items/4ZKDVCSM"],"itemData":{"id":2767,"type":"article-journal","abstract":"Managerial control and its wider setting in workplace and societal regimes has been an important feature of debates in Work, Employment and Society since its inception, providing some of its most highly cited articles. This Introduction to the first e-special seeks to present 10 key and diverse articles, situating them in the context of debates inside and beyond the journal. Core themes and contentious issues are identified and particular attention is paid to the nature of normative controls. After a period in the 1990s when the control debate dipped, it is argued that there are positive signs that more recent articles are rediscovering the broader focus on workplace regimes that was characteristic of earlier, classic contributions.","container-title":"Work, Employment and Society","DOI":"10.1177/0950017010384546","ISSN":"0950-0170","issue":"3","language":"en","note":"publisher: SAGE Publications Ltd","page":"1-12","source":"SAGE Journals","title":"Managerial control and workplace regimes: an introduction","title-short":"Managerial control and workplace regimes","volume":"24","author":[{"family":"Thompson","given":"Paul"},{"family":"Broek","given":"Diane","non-dropping-particle":"van den"}],"issued":{"date-parts":[["2010",9,1]]}}}],"schema":"https://github.com/citation-style-language/schema/raw/master/csl-citation.json"} </w:instrText>
      </w:r>
      <w:r w:rsidR="00441FE2" w:rsidRPr="00D17D77">
        <w:rPr>
          <w:lang w:val="en-GB"/>
        </w:rPr>
        <w:fldChar w:fldCharType="separate"/>
      </w:r>
      <w:r w:rsidR="00441FE2" w:rsidRPr="00D17D77">
        <w:rPr>
          <w:lang w:val="en-GB"/>
        </w:rPr>
        <w:t>Thompson and van den Broek</w:t>
      </w:r>
      <w:r w:rsidR="00441FE2" w:rsidRPr="00D17D77">
        <w:rPr>
          <w:lang w:val="en-GB"/>
        </w:rPr>
        <w:t>'s</w:t>
      </w:r>
      <w:r w:rsidR="00441FE2" w:rsidRPr="00D17D77">
        <w:rPr>
          <w:lang w:val="en-GB"/>
        </w:rPr>
        <w:t xml:space="preserve"> (2010)</w:t>
      </w:r>
      <w:r w:rsidR="00441FE2" w:rsidRPr="00D17D77">
        <w:rPr>
          <w:lang w:val="en-GB"/>
        </w:rPr>
        <w:fldChar w:fldCharType="end"/>
      </w:r>
      <w:r w:rsidR="00441FE2" w:rsidRPr="00D17D77">
        <w:rPr>
          <w:lang w:val="en-GB"/>
        </w:rPr>
        <w:t xml:space="preserve"> </w:t>
      </w:r>
      <w:r w:rsidR="00441FE2" w:rsidRPr="00D17D77">
        <w:rPr>
          <w:lang w:val="en-GB"/>
        </w:rPr>
        <w:t xml:space="preserve">the </w:t>
      </w:r>
      <w:r w:rsidR="00441FE2" w:rsidRPr="00D17D77">
        <w:rPr>
          <w:lang w:val="en-GB"/>
        </w:rPr>
        <w:t>defin</w:t>
      </w:r>
      <w:r w:rsidR="00441FE2" w:rsidRPr="00D17D77">
        <w:rPr>
          <w:lang w:val="en-GB"/>
        </w:rPr>
        <w:t>ition of</w:t>
      </w:r>
      <w:r w:rsidR="00441FE2" w:rsidRPr="00D17D77">
        <w:rPr>
          <w:lang w:val="en-GB"/>
        </w:rPr>
        <w:t xml:space="preserve"> normative control as a form of managerial control aimed at engaging employees' emotions, identity or values and ​​shaping them to serve the organisation</w:t>
      </w:r>
      <w:r w:rsidR="00441FE2" w:rsidRPr="00D17D77">
        <w:rPr>
          <w:lang w:val="en-GB"/>
        </w:rPr>
        <w:t>, t</w:t>
      </w:r>
      <w:r w:rsidR="00462DA5" w:rsidRPr="00D17D77">
        <w:rPr>
          <w:lang w:val="en-GB"/>
        </w:rPr>
        <w:t>his research</w:t>
      </w:r>
      <w:r w:rsidR="00462DA5" w:rsidRPr="00D17D77">
        <w:rPr>
          <w:lang w:val="en-GB"/>
        </w:rPr>
        <w:t xml:space="preserve"> suggest</w:t>
      </w:r>
      <w:r w:rsidR="00441FE2" w:rsidRPr="00D17D77">
        <w:rPr>
          <w:lang w:val="en-GB"/>
        </w:rPr>
        <w:t>s</w:t>
      </w:r>
      <w:r w:rsidR="00462DA5" w:rsidRPr="00D17D77">
        <w:rPr>
          <w:lang w:val="en-GB"/>
        </w:rPr>
        <w:t xml:space="preserve"> </w:t>
      </w:r>
      <w:r w:rsidR="00462DA5" w:rsidRPr="00D17D77">
        <w:rPr>
          <w:lang w:val="en-GB"/>
        </w:rPr>
        <w:t xml:space="preserve">that </w:t>
      </w:r>
      <w:r w:rsidR="00462DA5" w:rsidRPr="00D17D77">
        <w:rPr>
          <w:lang w:val="en-GB"/>
        </w:rPr>
        <w:t xml:space="preserve">normative controls regulate employees’ boundary work through emotions and thoughts. </w:t>
      </w:r>
      <w:r w:rsidR="00441FE2" w:rsidRPr="00D17D77">
        <w:rPr>
          <w:lang w:val="en-GB"/>
        </w:rPr>
        <w:t xml:space="preserve">In addition to managerial controls, </w:t>
      </w:r>
      <w:r w:rsidR="00441FE2" w:rsidRPr="00D17D77">
        <w:rPr>
          <w:lang w:val="en-GB"/>
        </w:rPr>
        <w:t xml:space="preserve">the research suggests that </w:t>
      </w:r>
      <w:r w:rsidR="00441FE2" w:rsidRPr="00D17D77">
        <w:rPr>
          <w:lang w:val="en-GB"/>
        </w:rPr>
        <w:t xml:space="preserve">clients also perform a control function where the client, rather than the manager, is the primary evaluator of performance. </w:t>
      </w:r>
    </w:p>
    <w:p w14:paraId="4E695014" w14:textId="214D512C" w:rsidR="00AE5FFC" w:rsidRPr="00D17D77" w:rsidRDefault="00AE5FFC" w:rsidP="00D17D77">
      <w:pPr>
        <w:spacing w:before="100" w:beforeAutospacing="1" w:after="240"/>
        <w:outlineLvl w:val="3"/>
        <w:rPr>
          <w:b/>
          <w:bCs/>
        </w:rPr>
      </w:pPr>
      <w:r w:rsidRPr="00D17D77">
        <w:rPr>
          <w:b/>
          <w:bCs/>
        </w:rPr>
        <w:t xml:space="preserve">Understanding </w:t>
      </w:r>
      <w:r w:rsidR="007F70CB" w:rsidRPr="00D17D77">
        <w:rPr>
          <w:b/>
          <w:bCs/>
        </w:rPr>
        <w:t>Boundaries as Coping and Belief Systems</w:t>
      </w:r>
    </w:p>
    <w:p w14:paraId="4A5B4765" w14:textId="2AF38489" w:rsidR="00AE5FFC" w:rsidRPr="00D17D77" w:rsidRDefault="008C36DC" w:rsidP="00D17D77">
      <w:pPr>
        <w:spacing w:before="120" w:after="240"/>
      </w:pPr>
      <w:r w:rsidRPr="00D17D77">
        <w:t>T</w:t>
      </w:r>
      <w:r w:rsidR="00AE5FFC" w:rsidRPr="00D17D77">
        <w:t xml:space="preserve">his study </w:t>
      </w:r>
      <w:r w:rsidRPr="00D17D77">
        <w:t xml:space="preserve">goes beyond discussing </w:t>
      </w:r>
      <w:r w:rsidR="00AE5FFC" w:rsidRPr="00D17D77">
        <w:t xml:space="preserve">boundaries </w:t>
      </w:r>
      <w:r w:rsidRPr="00D17D77">
        <w:t xml:space="preserve">as </w:t>
      </w:r>
      <w:r w:rsidR="00FC0BA3" w:rsidRPr="00D17D77">
        <w:t xml:space="preserve">a </w:t>
      </w:r>
      <w:r w:rsidRPr="00D17D77">
        <w:t xml:space="preserve">behavioural dimension </w:t>
      </w:r>
      <w:r w:rsidR="00AE5FFC" w:rsidRPr="00D17D77">
        <w:t>(Nippert-Eng, 1996)</w:t>
      </w:r>
      <w:r w:rsidR="009A6EB1" w:rsidRPr="00D17D77">
        <w:t>. Th</w:t>
      </w:r>
      <w:r w:rsidR="009A6EB1" w:rsidRPr="00D17D77">
        <w:rPr>
          <w:lang w:val="en-GB"/>
        </w:rPr>
        <w:t>e work-nonwork interface, in general, focus</w:t>
      </w:r>
      <w:r w:rsidR="00FC0BA3" w:rsidRPr="00D17D77">
        <w:rPr>
          <w:lang w:val="en-GB"/>
        </w:rPr>
        <w:t>es</w:t>
      </w:r>
      <w:r w:rsidR="009A6EB1" w:rsidRPr="00D17D77">
        <w:rPr>
          <w:lang w:val="en-GB"/>
        </w:rPr>
        <w:t xml:space="preserve"> on what people physically do regarding boundaries or how they shape them </w:t>
      </w:r>
      <w:r w:rsidR="009A6EB1" w:rsidRPr="00D17D77">
        <w:rPr>
          <w:lang w:val="en-GB"/>
        </w:rPr>
        <w:fldChar w:fldCharType="begin"/>
      </w:r>
      <w:r w:rsidR="00462DA5" w:rsidRPr="00D17D77">
        <w:rPr>
          <w:lang w:val="en-GB"/>
        </w:rPr>
        <w:instrText xml:space="preserve"> ADDIN ZOTERO_ITEM CSL_CITATION {"citationID":"hN7EPTeA","properties":{"formattedCitation":"(Kossek et al., 2012b; Kreiner et al., 2009)","plainCitation":"(Kossek et al., 2012b; Kreiner et al., 2009)","noteIndex":0},"citationItems":[{"id":323,"uris":["http://zotero.org/users/600134/items/TEBQ5GVA"],"itemData":{"id":323,"type":"article-journal","abstract":"The goal of this paper is to advance the measurement and theory of work–nonwork boundary management styles. Boundary management styles are defined as the approaches individuals use to demarcate boundaries and attend to work and family and other nonwork roles, given identity centralities and perceived boundary control. We argue that research should be augmented with a person-centered approach, which examines how psychological measures are integrated into configurations. Integrating role and boundary theories, we identify three main characteristics of work-nonwork boundary management: (1) cross-role interruption behaviors (work to nonwork, and nonwork to work interruptions); (2) identity centrality of work and family roles, and (3) perceived control of boundaries. Using a variable-centered approach, we refined and validated these measures to create an assessment (Work–Life Indicator) that captured boundary management profiles. The profiles reflect how interruption behaviors, identity centralities, and boundary control interrelate to cluster into profiles, a set of psychological characteristics organized into a pattern of work–nonwork boundary functioning. We identify boundary management profiles and examine their relationships to key work-family outcomes. Regardless of the level and direction of interruption behaviors and centrality of work–family identities, we found that low control boundary management profiles (reactors, job warriors) tended to experience more negative work and family outcomes than did high control profiles (fusion lovers, dividers, family guardians, eclectics).","container-title":"Journal of Vocational Behavior","DOI":"10.1016/j.jvb.2012.04.003","ISSN":"0001-8791","issue":"1","journalAbbreviation":"Journal of Vocational Behavior","page":"112-128","source":"ScienceDirect","title":"Work–nonwork boundary management profiles: A person-centered approach","title-short":"Work–nonwork boundary management profiles","volume":"81","author":[{"family":"Kossek","given":"Ellen Ernst"},{"family":"Ruderman","given":"Marian N."},{"family":"Braddy","given":"Phillip W."},{"family":"Hannum","given":"Kelly M."}],"issued":{"date-parts":[["2012",8]]}}},{"id":347,"uris":["http://zotero.org/users/600134/items/TQA6DKSG"],"itemData":{"id":347,"type":"article-journal","abstract":"We investigated how people manage boundaries to negotiate the demands between work and home life. We discovered and classified four types of boundary work tactics (behavioral, temporal, physical, and communicative) that individuals utilized to help create their ideal level and style of work-home segmentation or integration. We also found important differences between the generalized state of work-home conflict and \"boundary violations,\" which we define as behaviors, events, or episodes that either breach or neglect the desired work-home boundary. We present a model based on two qualitative studies that demonstrates how boundary work tactics reduce the negative effects of work-home challenges. [ABSTRACT FROM AUTHOR]","container-title":"Academy of Management Journal","ISSN":"00014273","issue":"4","page":"704-730","source":"EBSCOhost","title":"Balancing Borders and Bridges: Negotiating the Work-Home Interface via Boundary Work Tactics","title-short":"BALANCING BORDERS AND BRIDGES","volume":"52","author":[{"family":"Kreiner","given":"Glen E."},{"family":"Hollensbe","given":"Elaine C."},{"family":"Sheep","given":"Mathew L."}],"issued":{"date-parts":[["2009"]]}}}],"schema":"https://github.com/citation-style-language/schema/raw/master/csl-citation.json"} </w:instrText>
      </w:r>
      <w:r w:rsidR="009A6EB1" w:rsidRPr="00D17D77">
        <w:rPr>
          <w:lang w:val="en-GB"/>
        </w:rPr>
        <w:fldChar w:fldCharType="separate"/>
      </w:r>
      <w:r w:rsidR="00462DA5" w:rsidRPr="00D17D77">
        <w:rPr>
          <w:lang w:val="en-GB"/>
        </w:rPr>
        <w:t>(</w:t>
      </w:r>
      <w:proofErr w:type="spellStart"/>
      <w:r w:rsidR="00462DA5" w:rsidRPr="00D17D77">
        <w:rPr>
          <w:lang w:val="en-GB"/>
        </w:rPr>
        <w:t>Kossek</w:t>
      </w:r>
      <w:proofErr w:type="spellEnd"/>
      <w:r w:rsidR="00462DA5" w:rsidRPr="00D17D77">
        <w:rPr>
          <w:lang w:val="en-GB"/>
        </w:rPr>
        <w:t xml:space="preserve"> et al., 2012b; </w:t>
      </w:r>
      <w:proofErr w:type="spellStart"/>
      <w:r w:rsidR="00462DA5" w:rsidRPr="00D17D77">
        <w:rPr>
          <w:lang w:val="en-GB"/>
        </w:rPr>
        <w:t>Kreiner</w:t>
      </w:r>
      <w:proofErr w:type="spellEnd"/>
      <w:r w:rsidR="00462DA5" w:rsidRPr="00D17D77">
        <w:rPr>
          <w:lang w:val="en-GB"/>
        </w:rPr>
        <w:t xml:space="preserve"> et al., 2009)</w:t>
      </w:r>
      <w:r w:rsidR="009A6EB1" w:rsidRPr="00D17D77">
        <w:rPr>
          <w:lang w:val="en-GB"/>
        </w:rPr>
        <w:fldChar w:fldCharType="end"/>
      </w:r>
      <w:r w:rsidR="009A6EB1" w:rsidRPr="00D17D77">
        <w:rPr>
          <w:lang w:val="en-GB"/>
        </w:rPr>
        <w:t>, with little attention to mental boundary work</w:t>
      </w:r>
      <w:r w:rsidR="00AE5FFC" w:rsidRPr="00D17D77">
        <w:t>. Participants in our study described boundaries as deeply intertwined with their personal identities and professional roles, highlighting the subjective nature of these boundaries.</w:t>
      </w:r>
      <w:r w:rsidR="00C967EC" w:rsidRPr="00D17D77">
        <w:t xml:space="preserve"> </w:t>
      </w:r>
      <w:r w:rsidR="009A6EB1" w:rsidRPr="00D17D77">
        <w:t>T</w:t>
      </w:r>
      <w:r w:rsidR="00AE5FFC" w:rsidRPr="00D17D77">
        <w:t>he concept of "mental boundary work" emerged as consultants normalized and justified the pervasive overwork culture as an unavoidable aspect of their job</w:t>
      </w:r>
      <w:r w:rsidR="009A6EB1" w:rsidRPr="00D17D77">
        <w:t xml:space="preserve"> and constructed their belief system around work-nonwork</w:t>
      </w:r>
      <w:r w:rsidR="00AE5FFC" w:rsidRPr="00D17D77">
        <w:t xml:space="preserve">. This aligns with </w:t>
      </w:r>
      <w:r w:rsidR="00317B67" w:rsidRPr="00D17D77">
        <w:t>Nippert-Eng (</w:t>
      </w:r>
      <w:r w:rsidR="00317B67" w:rsidRPr="00D17D77">
        <w:rPr>
          <w:lang w:val="en-US"/>
        </w:rPr>
        <w:t>1996</w:t>
      </w:r>
      <w:r w:rsidR="00AE5FFC" w:rsidRPr="00D17D77">
        <w:t>), who describe</w:t>
      </w:r>
      <w:r w:rsidR="00317B67" w:rsidRPr="00D17D77">
        <w:t>s</w:t>
      </w:r>
      <w:r w:rsidR="00AE5FFC" w:rsidRPr="00D17D77">
        <w:t xml:space="preserve"> boundaries as mental </w:t>
      </w:r>
      <w:r w:rsidR="00317B67" w:rsidRPr="00D17D77">
        <w:t>work</w:t>
      </w:r>
      <w:r w:rsidR="00AE5FFC" w:rsidRPr="00D17D77">
        <w:t xml:space="preserve"> that individuals continuously </w:t>
      </w:r>
      <w:r w:rsidR="00317B67" w:rsidRPr="00D17D77">
        <w:t>undertake</w:t>
      </w:r>
      <w:r w:rsidR="00AE5FFC" w:rsidRPr="00D17D77">
        <w:t xml:space="preserve">. </w:t>
      </w:r>
      <w:r w:rsidR="009A6EB1" w:rsidRPr="00D17D77">
        <w:rPr>
          <w:lang w:val="en-GB"/>
        </w:rPr>
        <w:t xml:space="preserve"> Other researchers also emphasise the importance of understanding mental boundary work. For example, </w:t>
      </w:r>
      <w:r w:rsidR="00BF4781">
        <w:rPr>
          <w:lang w:val="en-GB"/>
        </w:rPr>
        <w:fldChar w:fldCharType="begin"/>
      </w:r>
      <w:r w:rsidR="00BF4781">
        <w:rPr>
          <w:lang w:val="en-GB"/>
        </w:rPr>
        <w:instrText xml:space="preserve"> ADDIN ZOTERO_ITEM CSL_CITATION {"citationID":"534Eafzg","properties":{"formattedCitation":"(Izak et al., 2023)","plainCitation":"(Izak et al., 2023)","noteIndex":0},"citationItems":[{"id":2675,"uris":["http://zotero.org/users/600134/items/EKKJVEEA"],"itemData":{"id":2675,"type":"article-journal","abstract":"This article explores a conceptually modified notion of liminality in order to make better sense of contemporary ?flexible? working life. Previous conceptualizations of liminality rely on the assumed existence of socially sustained boundaries and the possibility of boundary spanning. Under conditions of liquid modernity, however, boundaries or thresholds have been destabilized to the point of collapse. Nonetheless, individuals still feel the need to establish and maintain intersubjective boundaries to preserve their own sense of well-being. To understand the new predicament faced by employees, we reconceptualise liminality for liquid times ? through the notion of liquid liminality ? and, simultaneously, problematize dominant conceptions of work-life balance. The implications that liquid liminality carries for the notion of flexible knowledge work are discussed. Our auto-ethnographic visual study of an academic returning from maternity leave uses a socio-material lens to exemplify the struggles of the contemporary flexible knowledge worker. It also demonstrates how the constant transition between workplace and home life is freighted with anxiety and exhaustion. We also outline opportunities for establishing new learning habits that follow from our theoretical framing and empirical analysis.","container-title":"Management Learning","DOI":"10.1177/13505076211070359","ISSN":"1350-5076","language":"en","note":"publisher: SAGE Publications Ltd","page":"198-222","source":"SAGE Journals","title":"Learning to inhabit the liquid liminal world of work: An auto-ethnographic visual study of work-life boundary transitions","title-short":"Learning to inhabit the liquid liminal world of work","volume":"54","author":[{"family":"Izak","given":"Michal"},{"family":"Shortt","given":"Harriet"},{"family":"Case","given":"Peter"}],"issued":{"date-parts":[["2023"]]}}}],"schema":"https://github.com/citation-style-language/schema/raw/master/csl-citation.json"} </w:instrText>
      </w:r>
      <w:r w:rsidR="00BF4781">
        <w:rPr>
          <w:lang w:val="en-GB"/>
        </w:rPr>
        <w:fldChar w:fldCharType="separate"/>
      </w:r>
      <w:r w:rsidR="00BF4781">
        <w:rPr>
          <w:noProof/>
          <w:lang w:val="en-GB"/>
        </w:rPr>
        <w:t>Izak et al. (2023</w:t>
      </w:r>
      <w:r w:rsidR="00BF4781">
        <w:rPr>
          <w:lang w:val="en-GB"/>
        </w:rPr>
        <w:fldChar w:fldCharType="end"/>
      </w:r>
      <w:r w:rsidR="009A6EB1" w:rsidRPr="00D17D77">
        <w:rPr>
          <w:lang w:val="en-GB"/>
        </w:rPr>
        <w:t xml:space="preserve">, p.19) define ‘intersubjective boundary-work’ as the mental labour of boundary-making that underpins modern work without any objective boundaries between work and personal life. Boundaryless career literature similarly defines boundaries, e.g. </w:t>
      </w:r>
      <w:r w:rsidR="009A6EB1" w:rsidRPr="00D17D77">
        <w:rPr>
          <w:lang w:val="en-GB"/>
        </w:rPr>
        <w:fldChar w:fldCharType="begin"/>
      </w:r>
      <w:r w:rsidR="009A6EB1" w:rsidRPr="00D17D77">
        <w:rPr>
          <w:lang w:val="en-GB"/>
        </w:rPr>
        <w:instrText xml:space="preserve"> ADDIN ZOTERO_ITEM CSL_CITATION {"citationID":"aeqvcvm9t8","properties":{"formattedCitation":"\\uldash{(Gunz et al., 2007)}","plainCitation":"(Gunz et al., 2007)","dontUpdate":true,"noteIndex":0},"citationItems":[{"id":2670,"uris":["http://zotero.org/users/600134/items/ZWIIK9UH"],"itemData":{"id":2670,"type":"chapter","abstract":"Boundaries in the study of career Before I built a wall I'd ask to know What I was walling in or walling out In a world imagined by apostles of self-help such as Horatio Alger, Samuel Smiles (Smiles, 1958), or Hollywood, anyone can do anything; there are no limits to the life that can be led. Yet casual empiricism shows that if there is any truth in this assertion, it applies to a remarkable few. We watch the careers of those who start from humble beginnings and rise to dizzy heights with a mixture of awe and suspicion, perhaps animated by a tinge of jealousy. Awe, because the achievements are so remarkable; suspicion, just because the achievements are so remarkable. It might be that if we can attribute these paragons' rise to anything other than ability and hard work—for example, to a wise choice of parent or good social of ...","container-title":"Handbook of Career Studies","event-place":"London","page":"471-494","publisher":"Sage","publisher-place":"London","source":"ResearchGate","title":"Boundaries in the study of career","author":[{"family":"Gunz","given":"Hugh"},{"family":"Peiperl","given":"M.A."},{"family":"Tzabbar","given":"Daniel"}],"editor":[{"family":"Gunz","given":"Hugh"},{"family":"Peiperl","given":"Maury"}],"issued":{"date-parts":[["2007",1,1]]}}}],"schema":"https://github.com/citation-style-language/schema/raw/master/csl-citation.json"} </w:instrText>
      </w:r>
      <w:r w:rsidR="009A6EB1" w:rsidRPr="00D17D77">
        <w:rPr>
          <w:lang w:val="en-GB"/>
        </w:rPr>
        <w:fldChar w:fldCharType="separate"/>
      </w:r>
      <w:r w:rsidR="009A6EB1" w:rsidRPr="00D17D77">
        <w:rPr>
          <w:lang w:val="en-GB"/>
        </w:rPr>
        <w:t>Gunz et al. (2007, p.478)</w:t>
      </w:r>
      <w:r w:rsidR="009A6EB1" w:rsidRPr="00D17D77">
        <w:rPr>
          <w:lang w:val="en-GB"/>
        </w:rPr>
        <w:fldChar w:fldCharType="end"/>
      </w:r>
      <w:r w:rsidR="009A6EB1" w:rsidRPr="00D17D77">
        <w:rPr>
          <w:lang w:val="en-GB"/>
        </w:rPr>
        <w:t xml:space="preserve"> state</w:t>
      </w:r>
      <w:r w:rsidR="009A6EB1" w:rsidRPr="00D17D77">
        <w:rPr>
          <w:lang w:val="en-GB"/>
        </w:rPr>
        <w:t>s</w:t>
      </w:r>
      <w:r w:rsidR="009A6EB1" w:rsidRPr="00D17D77">
        <w:rPr>
          <w:lang w:val="en-GB"/>
        </w:rPr>
        <w:t xml:space="preserve"> that boundaries are ‘constructed in the heads of the people experiencing them.’</w:t>
      </w:r>
      <w:r w:rsidR="00C967EC" w:rsidRPr="00D17D77">
        <w:t xml:space="preserve"> Our research contributes to mental boundary work </w:t>
      </w:r>
      <w:r w:rsidR="00FC0BA3" w:rsidRPr="00D17D77">
        <w:lastRenderedPageBreak/>
        <w:t xml:space="preserve">literature </w:t>
      </w:r>
      <w:r w:rsidR="00C967EC" w:rsidRPr="00D17D77">
        <w:t xml:space="preserve">by </w:t>
      </w:r>
      <w:r w:rsidR="00FC0BA3" w:rsidRPr="00D17D77">
        <w:t>unveiling</w:t>
      </w:r>
      <w:r w:rsidR="00C967EC" w:rsidRPr="00D17D77">
        <w:t xml:space="preserve"> how consultants come to terms with</w:t>
      </w:r>
      <w:r w:rsidR="009A6EB1" w:rsidRPr="00D17D77">
        <w:t xml:space="preserve"> </w:t>
      </w:r>
      <w:r w:rsidR="00C967EC" w:rsidRPr="00D17D77">
        <w:t xml:space="preserve">work-nonwork boundary integration </w:t>
      </w:r>
      <w:r w:rsidR="009A6EB1" w:rsidRPr="00D17D77">
        <w:t>and</w:t>
      </w:r>
      <w:r w:rsidR="00C967EC" w:rsidRPr="00D17D77">
        <w:t xml:space="preserve"> overwork culture in consulting</w:t>
      </w:r>
      <w:r w:rsidR="00FC0BA3" w:rsidRPr="00D17D77">
        <w:t>, namely, by creating coping strategies such as normalizing and justifying overwork and compensating themselves, as well as constructing broader belief systems, such as the integrated self</w:t>
      </w:r>
      <w:r w:rsidR="00C967EC" w:rsidRPr="00D17D77">
        <w:t xml:space="preserve">. </w:t>
      </w:r>
    </w:p>
    <w:p w14:paraId="70DD12DF" w14:textId="77777777" w:rsidR="00981D67" w:rsidRPr="00D17D77" w:rsidRDefault="00981D67" w:rsidP="00D17D77">
      <w:pPr>
        <w:spacing w:before="100" w:beforeAutospacing="1" w:after="240"/>
        <w:outlineLvl w:val="3"/>
        <w:rPr>
          <w:b/>
          <w:bCs/>
        </w:rPr>
      </w:pPr>
      <w:r w:rsidRPr="00D17D77">
        <w:rPr>
          <w:b/>
          <w:bCs/>
        </w:rPr>
        <w:t>Impact of COVID-19 on Boundary Dynamics</w:t>
      </w:r>
    </w:p>
    <w:p w14:paraId="29CE77F7" w14:textId="780CB713" w:rsidR="00981D67" w:rsidRPr="00D17D77" w:rsidRDefault="00981D67" w:rsidP="00D17D77">
      <w:pPr>
        <w:spacing w:before="100" w:beforeAutospacing="1" w:after="240"/>
      </w:pPr>
      <w:r w:rsidRPr="00D17D77">
        <w:t xml:space="preserve">The COVID-19 pandemic has further complicated work-nonwork boundaries by making work from home (WFH) a necessity (Alfes et al., 2022). Although our data were collected pre-pandemic, the findings resonate with post-pandemic studies that highlight increased workload and blurred boundaries during WFH </w:t>
      </w:r>
      <w:r w:rsidR="007E6D5A">
        <w:fldChar w:fldCharType="begin"/>
      </w:r>
      <w:r w:rsidR="007E6D5A">
        <w:instrText xml:space="preserve"> ADDIN ZOTERO_ITEM CSL_CITATION {"citationID":"U5UeHXV8","properties":{"formattedCitation":"(Adisa et al., 2022; Allen et al., 2021; Kossek et al., 2021)","plainCitation":"(Adisa et al., 2022; Allen et al., 2021; Kossek et al., 2021)","noteIndex":0},"citationItems":[{"id":2743,"uris":["http://zotero.org/users/600134/items/LDHWIA9C"],"itemData":{"id":2743,"type":"article-journal","abstract":"The COVID-19 pandemic altered the ways academics work and live by creating a context during the spring of 2020 when working from home was largely mandatory and where, for cohabiting workers, the home as workplace was simultaneously occupied by all household members during working hours (and beyond). Using a multi-method qualitative approach, we examine how academics experienced working from home during the unprecedented circumstances imposed by the first UK lockdown and social distancing measures. Our findings show that a working arrangement commonly termed ‘flexible’ – working from home – can actually reduce flexibility in a context of mandatory implementation, accompanied by the removal of instrumental and emotional support structures such as childcare and face-to-face (physical) social gatherings. Intensified workloads, increased employer monitoring, social disconnection and blurred boundaries between work and personal life collectively generate the reduction of employees’ perceived flexibility-ability. Experiences may be particularly negative for those with low flexibility-willingness, whose pre-pandemic preference was to separate work and home as much as possible. Employee efforts to assert agency in this context include establishing ‘micro-borders’ and using time-based strategies to create ‘controlled integration’. We discuss implications for border theory and outline directions for future research.","container-title":"British Journal of Management","DOI":"10.1111/1467-8551.12643","ISSN":"1467-8551","issue":"4","language":"en","note":"_eprint: https://onlinelibrary.wiley.com/doi/pdf/10.1111/1467-8551.12643","page":"1694-1709","source":"Wiley Online Library","title":"Exploring the Impact of COVID-19 on Employees’ Boundary Management and Work–Life Balance","volume":"33","author":[{"family":"Adisa","given":"Toyin Ajibade"},{"family":"Antonacopoulou","given":"Elena"},{"family":"Beauregard","given":"T. Alexandra"},{"family":"Dickmann","given":"Michael"},{"family":"Adekoya","given":"Olatunji David"}],"issued":{"date-parts":[["2022"]]}}},{"id":2837,"uris":["http://zotero.org/users/600134/items/DK8QHHA5"],"itemData":{"id":2837,"type":"article-journal","abstract":"Within the wake of the COVID-19 pandemic, we investigate work-nonwork boundary management among workers who transitioned to remote work. Based on five waves of data and a sample of 155 remote workers, we find that the preference for segmentation was associated with greater work-nonwork balance. We also found that having a dedicated office space within the home and fewer household members was associated with greater work-nonwork balance. However, these variables did not moderate the relationship between segmentation preferences and work-nonwork balance as expected. We discuss implications for future research on boundary management processes and practices.","container-title":"Applied Psychology","DOI":"10.1111/apps.12300","ISSN":"1464-0597","issue":"1","language":"en","note":"_eprint: https://onlinelibrary.wiley.com/doi/pdf/10.1111/apps.12300","page":"60-84","source":"Wiley Online Library","title":"Boundary Management and Work-Nonwork Balance While Working from Home","volume":"70","author":[{"family":"Allen","given":"Tammy D."},{"family":"Merlo","given":"Kelsey"},{"family":"Lawrence","given":"Roxanne C."},{"family":"Slutsky","given":"Jeremiah"},{"family":"Gray","given":"Cheryl E."}],"issued":{"date-parts":[["2021"]]}}},{"id":2682,"uris":["http://zotero.org/users/600134/items/5Y7FA8HX"],"itemData":{"id":2682,"type":"article-journal","container-title":"Journal of Applied Psychology","DOI":"10.1037/apl0000982","ISSN":"1939-1854","issue":"11","note":"publisher: US: American Psychological Association","page":"1615-1629","source":"psycnet.apa.org","title":"Pushing the boundaries: A qualitative study of how STEM women adapted to disrupted work–nonwork boundaries during the COVID-19 pandemic.","title-short":"Pushing the boundaries","volume":"106","author":[{"family":"Kossek","given":"Ellen Ernst"},{"family":"Dumas","given":"Tracy L."},{"family":"Piszczek","given":"Matthew M."},{"family":"Allen","given":"Tammy D."}],"issued":{"date-parts":[["2021"]]}}}],"schema":"https://github.com/citation-style-language/schema/raw/master/csl-citation.json"} </w:instrText>
      </w:r>
      <w:r w:rsidR="007E6D5A">
        <w:fldChar w:fldCharType="separate"/>
      </w:r>
      <w:r w:rsidR="007E6D5A">
        <w:rPr>
          <w:noProof/>
        </w:rPr>
        <w:t>(Adisa et al., 2022; Allen et al., 2021; Kossek et al., 2021)</w:t>
      </w:r>
      <w:r w:rsidR="007E6D5A">
        <w:fldChar w:fldCharType="end"/>
      </w:r>
      <w:r w:rsidRPr="00D17D77">
        <w:t>. The pandemic context underscores the relevance of our study, as the issues of boundary blurring and its impact on well-being have become even more pronounced. Participants in our study described experiences similar to those reported during the pandemic, such as the constant intrusion of work into personal time and the pressure to be constantly available. This suggests that the challenges of blurred boundaries are not new but have been exacerbated by the shift to remote work. Understanding these dynamics is crucial for developing effective boundary management strategies that can address both pre-existing and emerging challenges.</w:t>
      </w:r>
    </w:p>
    <w:p w14:paraId="176CB16E" w14:textId="77777777" w:rsidR="00AE5FFC" w:rsidRPr="00D17D77" w:rsidRDefault="00AE5FFC" w:rsidP="00D17D77">
      <w:pPr>
        <w:spacing w:before="100" w:beforeAutospacing="1" w:after="240"/>
        <w:outlineLvl w:val="2"/>
        <w:rPr>
          <w:b/>
          <w:bCs/>
        </w:rPr>
      </w:pPr>
      <w:r w:rsidRPr="00D17D77">
        <w:rPr>
          <w:b/>
          <w:bCs/>
        </w:rPr>
        <w:t>Conclusion</w:t>
      </w:r>
    </w:p>
    <w:p w14:paraId="3FDF9803" w14:textId="05A299C4" w:rsidR="00AE5FFC" w:rsidRPr="00D17D77" w:rsidRDefault="00AE5FFC" w:rsidP="00D17D77">
      <w:pPr>
        <w:spacing w:before="100" w:beforeAutospacing="1" w:after="240"/>
      </w:pPr>
      <w:r w:rsidRPr="00D17D77">
        <w:t>In conclusion, this study addresses several gaps in the existing literature by offering a nuanced and contextualized understanding of work-nonwork boundaries in PS</w:t>
      </w:r>
      <w:r w:rsidR="001C3095" w:rsidRPr="00D17D77">
        <w:t>F</w:t>
      </w:r>
      <w:r w:rsidRPr="00D17D77">
        <w:t>s. By highlighting the subjective, dynamic, and complex nature of these boundaries, as well as the significant influence of organisational context and power dynamics, this research contributes to a more comprehensive understanding of boundary experiences. The findings underscore the importance of considering the physical and mental health implications of blurred boundaries and the potential for personal transformation in response to boundary challenges. Future research should continue to explore these dimensions, particularly in the context of evolving work practices and the ongoing impact of the COVID-19 pandemic.</w:t>
      </w:r>
    </w:p>
    <w:p w14:paraId="1A761868" w14:textId="77777777" w:rsidR="00064D07" w:rsidRPr="00D17D77" w:rsidRDefault="00064D07" w:rsidP="00D17D77">
      <w:pPr>
        <w:pStyle w:val="Heading3"/>
        <w:spacing w:after="240"/>
        <w:rPr>
          <w:rFonts w:ascii="Times New Roman" w:hAnsi="Times New Roman" w:cs="Times New Roman"/>
          <w:b/>
          <w:bCs/>
          <w:color w:val="000000" w:themeColor="text1"/>
        </w:rPr>
      </w:pPr>
      <w:r w:rsidRPr="00D17D77">
        <w:rPr>
          <w:rFonts w:ascii="Times New Roman" w:hAnsi="Times New Roman" w:cs="Times New Roman"/>
          <w:b/>
          <w:bCs/>
          <w:color w:val="000000" w:themeColor="text1"/>
        </w:rPr>
        <w:t>Implications</w:t>
      </w:r>
    </w:p>
    <w:p w14:paraId="3F930F45" w14:textId="77777777" w:rsidR="00064D07" w:rsidRPr="00D17D77" w:rsidRDefault="00064D07" w:rsidP="00D17D77">
      <w:pPr>
        <w:pStyle w:val="NormalWeb"/>
        <w:spacing w:after="240" w:afterAutospacing="0"/>
      </w:pPr>
      <w:r w:rsidRPr="00D17D77">
        <w:t>This research contributes to the understanding of boundary management by highlighting the complex and nuanced nature of work-nonwork boundaries in the context of professional services firms. The findings underscore the importance of addressing organisational and client controls, cultural norms, physical manifestations, and the dynamic nature of boundaries in promoting healthier work-life integration. These insights have practical implications for organisations seeking to improve employee well-being and support sustainable boundary management practices. By adopting flexible policies, recognising the role of physical elements, and fostering a culture that values work-life balance, organisations can create a more supportive and conducive environment for their employees. Future research should continue to explore these dimensions, advocating for organisational changes that promote employee well-being and sustainable boundary management.</w:t>
      </w:r>
    </w:p>
    <w:p w14:paraId="1A44DDB7" w14:textId="77777777" w:rsidR="003E39BF" w:rsidRPr="00D17D77" w:rsidRDefault="003E39BF" w:rsidP="00D17D77">
      <w:pPr>
        <w:pStyle w:val="Heading3"/>
        <w:spacing w:after="240"/>
        <w:rPr>
          <w:rFonts w:ascii="Times New Roman" w:hAnsi="Times New Roman" w:cs="Times New Roman"/>
          <w:b/>
          <w:bCs/>
        </w:rPr>
      </w:pPr>
      <w:r w:rsidRPr="00D17D77">
        <w:rPr>
          <w:rFonts w:ascii="Times New Roman" w:hAnsi="Times New Roman" w:cs="Times New Roman"/>
          <w:b/>
          <w:bCs/>
          <w:color w:val="000000" w:themeColor="text1"/>
        </w:rPr>
        <w:t>Limitations and Future Research</w:t>
      </w:r>
    </w:p>
    <w:p w14:paraId="4865677E" w14:textId="0492E921" w:rsidR="003E39BF" w:rsidRPr="00D17D77" w:rsidRDefault="003E39BF" w:rsidP="00D17D77">
      <w:pPr>
        <w:pStyle w:val="NormalWeb"/>
        <w:spacing w:after="240" w:afterAutospacing="0"/>
      </w:pPr>
      <w:r w:rsidRPr="00D17D77">
        <w:t xml:space="preserve">This study has several limitations that suggest avenues for future research. One limitation is the study's retrospective approach to understanding long-term boundary changes. Future </w:t>
      </w:r>
      <w:r w:rsidRPr="00D17D77">
        <w:lastRenderedPageBreak/>
        <w:t>research could employ longitudinal designs to track changes over time, offering more detailed accounts of boundary management. Second limitation is that this study's data was collected before the COVID-19 pandemic, and post-pandemic data might reveal different insights. Future research should explore how new work arrangements shape consultants' experiences. Although this study broadly explored work/nonwork boundaries, future research could delve deeper into specific aspects, such as the embodied nature of boundaries, and explore these experiences in other professional contexts.</w:t>
      </w:r>
    </w:p>
    <w:p w14:paraId="754A30AE" w14:textId="77777777" w:rsidR="003E39BF" w:rsidRPr="00D17D77" w:rsidRDefault="003E39BF" w:rsidP="00D17D77">
      <w:pPr>
        <w:pStyle w:val="NormalWeb"/>
        <w:spacing w:after="240" w:afterAutospacing="0"/>
      </w:pPr>
    </w:p>
    <w:p w14:paraId="6CA34A56" w14:textId="77777777" w:rsidR="00064D07" w:rsidRPr="00D17D77" w:rsidRDefault="00064D07" w:rsidP="00D17D77">
      <w:pPr>
        <w:spacing w:after="240"/>
        <w:rPr>
          <w:lang w:val="en-GB"/>
        </w:rPr>
      </w:pPr>
    </w:p>
    <w:p w14:paraId="7FB23E2A" w14:textId="6ACDB43E" w:rsidR="006050DD" w:rsidRPr="00D17D77" w:rsidRDefault="006050DD" w:rsidP="00D17D77">
      <w:pPr>
        <w:spacing w:after="240"/>
      </w:pPr>
      <w:r w:rsidRPr="00D17D77">
        <w:br w:type="page"/>
      </w:r>
    </w:p>
    <w:p w14:paraId="70888BBB" w14:textId="0CAF0B0F" w:rsidR="00CD0861" w:rsidRPr="00D17D77" w:rsidRDefault="006050DD" w:rsidP="00BF4781">
      <w:pPr>
        <w:spacing w:after="240"/>
        <w:rPr>
          <w:b/>
          <w:bCs/>
        </w:rPr>
      </w:pPr>
      <w:r w:rsidRPr="00D17D77">
        <w:rPr>
          <w:b/>
          <w:bCs/>
        </w:rPr>
        <w:lastRenderedPageBreak/>
        <w:t>References</w:t>
      </w:r>
    </w:p>
    <w:p w14:paraId="017741C1" w14:textId="77777777" w:rsidR="00BF4781" w:rsidRPr="00BF4781" w:rsidRDefault="007045C7" w:rsidP="00BF4781">
      <w:pPr>
        <w:pStyle w:val="Bibliography"/>
        <w:spacing w:after="240" w:line="240" w:lineRule="auto"/>
        <w:rPr>
          <w:lang w:val="en-GB"/>
        </w:rPr>
      </w:pPr>
      <w:r w:rsidRPr="00D17D77">
        <w:fldChar w:fldCharType="begin"/>
      </w:r>
      <w:r w:rsidRPr="00D17D77">
        <w:instrText xml:space="preserve"> ADDIN ZOTERO_BIBL {"uncited":[],"omitted":[],"custom":[]} CSL_BIBLIOGRAPHY </w:instrText>
      </w:r>
      <w:r w:rsidRPr="00D17D77">
        <w:fldChar w:fldCharType="separate"/>
      </w:r>
      <w:proofErr w:type="spellStart"/>
      <w:r w:rsidR="00BF4781" w:rsidRPr="00BF4781">
        <w:rPr>
          <w:lang w:val="en-GB"/>
        </w:rPr>
        <w:t>Adisa</w:t>
      </w:r>
      <w:proofErr w:type="spellEnd"/>
      <w:r w:rsidR="00BF4781" w:rsidRPr="00BF4781">
        <w:rPr>
          <w:lang w:val="en-GB"/>
        </w:rPr>
        <w:t xml:space="preserve">, T. A., </w:t>
      </w:r>
      <w:proofErr w:type="spellStart"/>
      <w:r w:rsidR="00BF4781" w:rsidRPr="00BF4781">
        <w:rPr>
          <w:lang w:val="en-GB"/>
        </w:rPr>
        <w:t>Antonacopoulou</w:t>
      </w:r>
      <w:proofErr w:type="spellEnd"/>
      <w:r w:rsidR="00BF4781" w:rsidRPr="00BF4781">
        <w:rPr>
          <w:lang w:val="en-GB"/>
        </w:rPr>
        <w:t xml:space="preserve">, E., Beauregard, T. A., </w:t>
      </w:r>
      <w:proofErr w:type="spellStart"/>
      <w:r w:rsidR="00BF4781" w:rsidRPr="00BF4781">
        <w:rPr>
          <w:lang w:val="en-GB"/>
        </w:rPr>
        <w:t>Dickmann</w:t>
      </w:r>
      <w:proofErr w:type="spellEnd"/>
      <w:r w:rsidR="00BF4781" w:rsidRPr="00BF4781">
        <w:rPr>
          <w:lang w:val="en-GB"/>
        </w:rPr>
        <w:t xml:space="preserve">, M., &amp; Adekoya, O. D. (2022). Exploring the Impact of COVID-19 on Employees’ Boundary Management and Work–Life Balance. </w:t>
      </w:r>
      <w:r w:rsidR="00BF4781" w:rsidRPr="00BF4781">
        <w:rPr>
          <w:i/>
          <w:iCs/>
          <w:lang w:val="en-GB"/>
        </w:rPr>
        <w:t>British Journal of Management</w:t>
      </w:r>
      <w:r w:rsidR="00BF4781" w:rsidRPr="00BF4781">
        <w:rPr>
          <w:lang w:val="en-GB"/>
        </w:rPr>
        <w:t xml:space="preserve">, </w:t>
      </w:r>
      <w:r w:rsidR="00BF4781" w:rsidRPr="00BF4781">
        <w:rPr>
          <w:i/>
          <w:iCs/>
          <w:lang w:val="en-GB"/>
        </w:rPr>
        <w:t>33</w:t>
      </w:r>
      <w:r w:rsidR="00BF4781" w:rsidRPr="00BF4781">
        <w:rPr>
          <w:lang w:val="en-GB"/>
        </w:rPr>
        <w:t>(4), 1694–1709. https://doi.org/10.1111/1467-8551.12643</w:t>
      </w:r>
    </w:p>
    <w:p w14:paraId="572234B8" w14:textId="77777777" w:rsidR="00BF4781" w:rsidRPr="00BF4781" w:rsidRDefault="00BF4781" w:rsidP="00BF4781">
      <w:pPr>
        <w:pStyle w:val="Bibliography"/>
        <w:spacing w:after="240" w:line="240" w:lineRule="auto"/>
        <w:rPr>
          <w:lang w:val="en-GB"/>
        </w:rPr>
      </w:pPr>
      <w:proofErr w:type="spellStart"/>
      <w:r w:rsidRPr="00BF4781">
        <w:rPr>
          <w:lang w:val="en-GB"/>
        </w:rPr>
        <w:t>Alfes</w:t>
      </w:r>
      <w:proofErr w:type="spellEnd"/>
      <w:r w:rsidRPr="00BF4781">
        <w:rPr>
          <w:lang w:val="en-GB"/>
        </w:rPr>
        <w:t xml:space="preserve">, K., </w:t>
      </w:r>
      <w:proofErr w:type="spellStart"/>
      <w:r w:rsidRPr="00BF4781">
        <w:rPr>
          <w:lang w:val="en-GB"/>
        </w:rPr>
        <w:t>Avgoustaki</w:t>
      </w:r>
      <w:proofErr w:type="spellEnd"/>
      <w:r w:rsidRPr="00BF4781">
        <w:rPr>
          <w:lang w:val="en-GB"/>
        </w:rPr>
        <w:t xml:space="preserve">, A., Beauregard, T. A., </w:t>
      </w:r>
      <w:proofErr w:type="spellStart"/>
      <w:r w:rsidRPr="00BF4781">
        <w:rPr>
          <w:lang w:val="en-GB"/>
        </w:rPr>
        <w:t>Cañibano</w:t>
      </w:r>
      <w:proofErr w:type="spellEnd"/>
      <w:r w:rsidRPr="00BF4781">
        <w:rPr>
          <w:lang w:val="en-GB"/>
        </w:rPr>
        <w:t xml:space="preserve">, A., &amp; </w:t>
      </w:r>
      <w:proofErr w:type="spellStart"/>
      <w:r w:rsidRPr="00BF4781">
        <w:rPr>
          <w:lang w:val="en-GB"/>
        </w:rPr>
        <w:t>Muratbekova-Touron</w:t>
      </w:r>
      <w:proofErr w:type="spellEnd"/>
      <w:r w:rsidRPr="00BF4781">
        <w:rPr>
          <w:lang w:val="en-GB"/>
        </w:rPr>
        <w:t xml:space="preserve">, M. (2022). New ways of working and the implications for employees: A systematic framework and suggestions for future research. </w:t>
      </w:r>
      <w:r w:rsidRPr="00BF4781">
        <w:rPr>
          <w:i/>
          <w:iCs/>
          <w:lang w:val="en-GB"/>
        </w:rPr>
        <w:t>The International Journal of Human Resource Management</w:t>
      </w:r>
      <w:r w:rsidRPr="00BF4781">
        <w:rPr>
          <w:lang w:val="en-GB"/>
        </w:rPr>
        <w:t xml:space="preserve">, </w:t>
      </w:r>
      <w:r w:rsidRPr="00BF4781">
        <w:rPr>
          <w:i/>
          <w:iCs/>
          <w:lang w:val="en-GB"/>
        </w:rPr>
        <w:t>33</w:t>
      </w:r>
      <w:r w:rsidRPr="00BF4781">
        <w:rPr>
          <w:lang w:val="en-GB"/>
        </w:rPr>
        <w:t>(22), 4361–4385. https://doi.org/10.1080/09585192.2022.2149151</w:t>
      </w:r>
    </w:p>
    <w:p w14:paraId="564D6C1B" w14:textId="77777777" w:rsidR="00BF4781" w:rsidRPr="00BF4781" w:rsidRDefault="00BF4781" w:rsidP="00BF4781">
      <w:pPr>
        <w:pStyle w:val="Bibliography"/>
        <w:spacing w:after="240" w:line="240" w:lineRule="auto"/>
        <w:rPr>
          <w:lang w:val="en-GB"/>
        </w:rPr>
      </w:pPr>
      <w:r w:rsidRPr="00BF4781">
        <w:rPr>
          <w:lang w:val="en-GB"/>
        </w:rPr>
        <w:t xml:space="preserve">Allen, T. D., Merlo, K., Lawrence, R. C., Slutsky, J., &amp; Gray, C. E. (2021). Boundary Management and Work-Nonwork Balance While Working from Home. </w:t>
      </w:r>
      <w:r w:rsidRPr="00BF4781">
        <w:rPr>
          <w:i/>
          <w:iCs/>
          <w:lang w:val="en-GB"/>
        </w:rPr>
        <w:t>Applied Psychology</w:t>
      </w:r>
      <w:r w:rsidRPr="00BF4781">
        <w:rPr>
          <w:lang w:val="en-GB"/>
        </w:rPr>
        <w:t xml:space="preserve">, </w:t>
      </w:r>
      <w:r w:rsidRPr="00BF4781">
        <w:rPr>
          <w:i/>
          <w:iCs/>
          <w:lang w:val="en-GB"/>
        </w:rPr>
        <w:t>70</w:t>
      </w:r>
      <w:r w:rsidRPr="00BF4781">
        <w:rPr>
          <w:lang w:val="en-GB"/>
        </w:rPr>
        <w:t>(1), 60–84. https://doi.org/10.1111/apps.12300</w:t>
      </w:r>
    </w:p>
    <w:p w14:paraId="73393760" w14:textId="77777777" w:rsidR="00BF4781" w:rsidRPr="00BF4781" w:rsidRDefault="00BF4781" w:rsidP="00BF4781">
      <w:pPr>
        <w:pStyle w:val="Bibliography"/>
        <w:spacing w:after="240" w:line="240" w:lineRule="auto"/>
        <w:rPr>
          <w:lang w:val="en-GB"/>
        </w:rPr>
      </w:pPr>
      <w:r w:rsidRPr="00BF4781">
        <w:rPr>
          <w:lang w:val="en-GB"/>
        </w:rPr>
        <w:t xml:space="preserve">Alvesson, M. (2004). </w:t>
      </w:r>
      <w:r w:rsidRPr="00BF4781">
        <w:rPr>
          <w:i/>
          <w:iCs/>
          <w:lang w:val="en-GB"/>
        </w:rPr>
        <w:t>Knowledge work and knowledge-intensive firms</w:t>
      </w:r>
      <w:r w:rsidRPr="00BF4781">
        <w:rPr>
          <w:lang w:val="en-GB"/>
        </w:rPr>
        <w:t>. Oxford University Press. http://www.loc.gov/catdir/toc/fy045/2004300659.html</w:t>
      </w:r>
    </w:p>
    <w:p w14:paraId="750E4978" w14:textId="77777777" w:rsidR="00BF4781" w:rsidRPr="00BF4781" w:rsidRDefault="00BF4781" w:rsidP="00BF4781">
      <w:pPr>
        <w:pStyle w:val="Bibliography"/>
        <w:spacing w:after="240" w:line="240" w:lineRule="auto"/>
        <w:rPr>
          <w:lang w:val="en-GB"/>
        </w:rPr>
      </w:pPr>
      <w:r w:rsidRPr="00BF4781">
        <w:rPr>
          <w:lang w:val="en-GB"/>
        </w:rPr>
        <w:t xml:space="preserve">Ammons, S. K. (2013). Work-family boundary strategies: Stability and alignment between preferred and enacted boundaries. </w:t>
      </w:r>
      <w:r w:rsidRPr="00BF4781">
        <w:rPr>
          <w:i/>
          <w:iCs/>
          <w:lang w:val="en-GB"/>
        </w:rPr>
        <w:t xml:space="preserve">Journal of Vocational </w:t>
      </w:r>
      <w:proofErr w:type="spellStart"/>
      <w:r w:rsidRPr="00BF4781">
        <w:rPr>
          <w:i/>
          <w:iCs/>
          <w:lang w:val="en-GB"/>
        </w:rPr>
        <w:t>Behavior</w:t>
      </w:r>
      <w:proofErr w:type="spellEnd"/>
      <w:r w:rsidRPr="00BF4781">
        <w:rPr>
          <w:lang w:val="en-GB"/>
        </w:rPr>
        <w:t xml:space="preserve">, </w:t>
      </w:r>
      <w:r w:rsidRPr="00BF4781">
        <w:rPr>
          <w:i/>
          <w:iCs/>
          <w:lang w:val="en-GB"/>
        </w:rPr>
        <w:t>82</w:t>
      </w:r>
      <w:r w:rsidRPr="00BF4781">
        <w:rPr>
          <w:lang w:val="en-GB"/>
        </w:rPr>
        <w:t>(1), 49–58.</w:t>
      </w:r>
    </w:p>
    <w:p w14:paraId="40257A81" w14:textId="77777777" w:rsidR="00BF4781" w:rsidRPr="00BF4781" w:rsidRDefault="00BF4781" w:rsidP="00BF4781">
      <w:pPr>
        <w:pStyle w:val="Bibliography"/>
        <w:spacing w:after="240" w:line="240" w:lineRule="auto"/>
        <w:rPr>
          <w:lang w:val="en-GB"/>
        </w:rPr>
      </w:pPr>
      <w:proofErr w:type="spellStart"/>
      <w:r w:rsidRPr="00BF4781">
        <w:rPr>
          <w:lang w:val="en-GB"/>
        </w:rPr>
        <w:t>Ashforth</w:t>
      </w:r>
      <w:proofErr w:type="spellEnd"/>
      <w:r w:rsidRPr="00BF4781">
        <w:rPr>
          <w:lang w:val="en-GB"/>
        </w:rPr>
        <w:t xml:space="preserve">, B., </w:t>
      </w:r>
      <w:proofErr w:type="spellStart"/>
      <w:r w:rsidRPr="00BF4781">
        <w:rPr>
          <w:lang w:val="en-GB"/>
        </w:rPr>
        <w:t>Kreiner</w:t>
      </w:r>
      <w:proofErr w:type="spellEnd"/>
      <w:r w:rsidRPr="00BF4781">
        <w:rPr>
          <w:lang w:val="en-GB"/>
        </w:rPr>
        <w:t xml:space="preserve">, G. E., &amp; Fugate, M. (2000). All in a Day’s Work: Boundaries and Micro Role Transitions. </w:t>
      </w:r>
      <w:r w:rsidRPr="00BF4781">
        <w:rPr>
          <w:i/>
          <w:iCs/>
          <w:lang w:val="en-GB"/>
        </w:rPr>
        <w:t>The Academy of Management Review</w:t>
      </w:r>
      <w:r w:rsidRPr="00BF4781">
        <w:rPr>
          <w:lang w:val="en-GB"/>
        </w:rPr>
        <w:t xml:space="preserve">, </w:t>
      </w:r>
      <w:r w:rsidRPr="00BF4781">
        <w:rPr>
          <w:i/>
          <w:iCs/>
          <w:lang w:val="en-GB"/>
        </w:rPr>
        <w:t>25</w:t>
      </w:r>
      <w:r w:rsidRPr="00BF4781">
        <w:rPr>
          <w:lang w:val="en-GB"/>
        </w:rPr>
        <w:t>(3), 472–491.</w:t>
      </w:r>
    </w:p>
    <w:p w14:paraId="78D96EB7" w14:textId="77777777" w:rsidR="00BF4781" w:rsidRPr="00BF4781" w:rsidRDefault="00BF4781" w:rsidP="00BF4781">
      <w:pPr>
        <w:pStyle w:val="Bibliography"/>
        <w:spacing w:after="240" w:line="240" w:lineRule="auto"/>
        <w:rPr>
          <w:lang w:val="en-GB"/>
        </w:rPr>
      </w:pPr>
      <w:r w:rsidRPr="00BF4781">
        <w:rPr>
          <w:lang w:val="en-GB"/>
        </w:rPr>
        <w:t xml:space="preserve">Barley, S. R., &amp; </w:t>
      </w:r>
      <w:proofErr w:type="spellStart"/>
      <w:r w:rsidRPr="00BF4781">
        <w:rPr>
          <w:lang w:val="en-GB"/>
        </w:rPr>
        <w:t>Kunda</w:t>
      </w:r>
      <w:proofErr w:type="spellEnd"/>
      <w:r w:rsidRPr="00BF4781">
        <w:rPr>
          <w:lang w:val="en-GB"/>
        </w:rPr>
        <w:t xml:space="preserve">, G. (1992). Design and Devotion: Surges of Rational and Normative Ideologies of Control in Managerial Discourse. </w:t>
      </w:r>
      <w:r w:rsidRPr="00BF4781">
        <w:rPr>
          <w:i/>
          <w:iCs/>
          <w:lang w:val="en-GB"/>
        </w:rPr>
        <w:t>Administrative Science Quarterly</w:t>
      </w:r>
      <w:r w:rsidRPr="00BF4781">
        <w:rPr>
          <w:lang w:val="en-GB"/>
        </w:rPr>
        <w:t xml:space="preserve">, </w:t>
      </w:r>
      <w:r w:rsidRPr="00BF4781">
        <w:rPr>
          <w:i/>
          <w:iCs/>
          <w:lang w:val="en-GB"/>
        </w:rPr>
        <w:t>37</w:t>
      </w:r>
      <w:r w:rsidRPr="00BF4781">
        <w:rPr>
          <w:lang w:val="en-GB"/>
        </w:rPr>
        <w:t>(3), 363–399. https://doi.org/10.2307/2393449</w:t>
      </w:r>
    </w:p>
    <w:p w14:paraId="48796A1A" w14:textId="77777777" w:rsidR="00BF4781" w:rsidRPr="00BF4781" w:rsidRDefault="00BF4781" w:rsidP="00BF4781">
      <w:pPr>
        <w:pStyle w:val="Bibliography"/>
        <w:spacing w:after="240" w:line="240" w:lineRule="auto"/>
        <w:rPr>
          <w:lang w:val="en-GB"/>
        </w:rPr>
      </w:pPr>
      <w:r w:rsidRPr="00BF4781">
        <w:rPr>
          <w:lang w:val="en-GB"/>
        </w:rPr>
        <w:t xml:space="preserve">Braun, V., &amp; Clarke, V. (2006). Using thematic analysis in psychology. </w:t>
      </w:r>
      <w:r w:rsidRPr="00BF4781">
        <w:rPr>
          <w:i/>
          <w:iCs/>
          <w:lang w:val="en-GB"/>
        </w:rPr>
        <w:t>Qualitative Research in Psychology</w:t>
      </w:r>
      <w:r w:rsidRPr="00BF4781">
        <w:rPr>
          <w:lang w:val="en-GB"/>
        </w:rPr>
        <w:t xml:space="preserve">, </w:t>
      </w:r>
      <w:r w:rsidRPr="00BF4781">
        <w:rPr>
          <w:i/>
          <w:iCs/>
          <w:lang w:val="en-GB"/>
        </w:rPr>
        <w:t>3</w:t>
      </w:r>
      <w:r w:rsidRPr="00BF4781">
        <w:rPr>
          <w:lang w:val="en-GB"/>
        </w:rPr>
        <w:t>(2), 77–101. https://doi.org/10.1191/1478088706qp063oa</w:t>
      </w:r>
    </w:p>
    <w:p w14:paraId="74E83871" w14:textId="77777777" w:rsidR="00BF4781" w:rsidRPr="00BF4781" w:rsidRDefault="00BF4781" w:rsidP="00BF4781">
      <w:pPr>
        <w:pStyle w:val="Bibliography"/>
        <w:spacing w:after="240" w:line="240" w:lineRule="auto"/>
        <w:rPr>
          <w:lang w:val="en-GB"/>
        </w:rPr>
      </w:pPr>
      <w:r w:rsidRPr="00BF4781">
        <w:rPr>
          <w:lang w:val="en-GB"/>
        </w:rPr>
        <w:t xml:space="preserve">Braun, V., &amp; Clarke, V. (2022). </w:t>
      </w:r>
      <w:r w:rsidRPr="00BF4781">
        <w:rPr>
          <w:i/>
          <w:iCs/>
          <w:lang w:val="en-GB"/>
        </w:rPr>
        <w:t>Thematic Analysis: A Practical Guide</w:t>
      </w:r>
      <w:r w:rsidRPr="00BF4781">
        <w:rPr>
          <w:lang w:val="en-GB"/>
        </w:rPr>
        <w:t>. SAGE.</w:t>
      </w:r>
    </w:p>
    <w:p w14:paraId="0BCA2E75" w14:textId="77777777" w:rsidR="00BF4781" w:rsidRPr="00BF4781" w:rsidRDefault="00BF4781" w:rsidP="00BF4781">
      <w:pPr>
        <w:pStyle w:val="Bibliography"/>
        <w:spacing w:after="240" w:line="240" w:lineRule="auto"/>
        <w:rPr>
          <w:lang w:val="en-GB"/>
        </w:rPr>
      </w:pPr>
      <w:r w:rsidRPr="00BF4781">
        <w:rPr>
          <w:lang w:val="en-GB"/>
        </w:rPr>
        <w:t xml:space="preserve">Bulger, C. A., Matthews, R. A., &amp; Hoffman, M. E. (2007). Work and Personal Life Boundary Management: Boundary Strength, Work/Personal Life Balance, and the Segmentation-Integration Continuum. </w:t>
      </w:r>
      <w:r w:rsidRPr="00BF4781">
        <w:rPr>
          <w:i/>
          <w:iCs/>
          <w:lang w:val="en-GB"/>
        </w:rPr>
        <w:t>Journal of Occupational Health Psychology</w:t>
      </w:r>
      <w:r w:rsidRPr="00BF4781">
        <w:rPr>
          <w:lang w:val="en-GB"/>
        </w:rPr>
        <w:t xml:space="preserve">, </w:t>
      </w:r>
      <w:r w:rsidRPr="00BF4781">
        <w:rPr>
          <w:i/>
          <w:iCs/>
          <w:lang w:val="en-GB"/>
        </w:rPr>
        <w:t>12</w:t>
      </w:r>
      <w:r w:rsidRPr="00BF4781">
        <w:rPr>
          <w:lang w:val="en-GB"/>
        </w:rPr>
        <w:t>(4), 365–375. https://doi.org/10.1037/1076-8998.12.4.365</w:t>
      </w:r>
    </w:p>
    <w:p w14:paraId="6664E517" w14:textId="77777777" w:rsidR="00BF4781" w:rsidRPr="00BF4781" w:rsidRDefault="00BF4781" w:rsidP="00BF4781">
      <w:pPr>
        <w:pStyle w:val="Bibliography"/>
        <w:spacing w:after="240" w:line="240" w:lineRule="auto"/>
        <w:rPr>
          <w:lang w:val="en-GB"/>
        </w:rPr>
      </w:pPr>
      <w:r w:rsidRPr="00BF4781">
        <w:rPr>
          <w:lang w:val="en-GB"/>
        </w:rPr>
        <w:t xml:space="preserve">Dee, A. D. A., Dizon, L. C. T., </w:t>
      </w:r>
      <w:proofErr w:type="spellStart"/>
      <w:r w:rsidRPr="00BF4781">
        <w:rPr>
          <w:lang w:val="en-GB"/>
        </w:rPr>
        <w:t>Aldaba</w:t>
      </w:r>
      <w:proofErr w:type="spellEnd"/>
      <w:r w:rsidRPr="00BF4781">
        <w:rPr>
          <w:lang w:val="en-GB"/>
        </w:rPr>
        <w:t xml:space="preserve">, J. R. M., &amp; Teng-Calleja, M. (2020). “Work is life”: An interpretative phenomenological analysis of the experiences of work–life balance among nongovernment workers. </w:t>
      </w:r>
      <w:r w:rsidRPr="00BF4781">
        <w:rPr>
          <w:i/>
          <w:iCs/>
          <w:lang w:val="en-GB"/>
        </w:rPr>
        <w:t>International Perspectives in Psychology: Research, Practice, Consultation</w:t>
      </w:r>
      <w:r w:rsidRPr="00BF4781">
        <w:rPr>
          <w:lang w:val="en-GB"/>
        </w:rPr>
        <w:t xml:space="preserve">, </w:t>
      </w:r>
      <w:r w:rsidRPr="00BF4781">
        <w:rPr>
          <w:i/>
          <w:iCs/>
          <w:lang w:val="en-GB"/>
        </w:rPr>
        <w:t>9</w:t>
      </w:r>
      <w:r w:rsidRPr="00BF4781">
        <w:rPr>
          <w:lang w:val="en-GB"/>
        </w:rPr>
        <w:t>(4), 230–246. https://doi.org/10.1037/ipp0000147</w:t>
      </w:r>
    </w:p>
    <w:p w14:paraId="47B59219" w14:textId="77777777" w:rsidR="00BF4781" w:rsidRPr="00BF4781" w:rsidRDefault="00BF4781" w:rsidP="00BF4781">
      <w:pPr>
        <w:pStyle w:val="Bibliography"/>
        <w:spacing w:after="240" w:line="240" w:lineRule="auto"/>
        <w:rPr>
          <w:lang w:val="en-GB"/>
        </w:rPr>
      </w:pPr>
      <w:r w:rsidRPr="00BF4781">
        <w:rPr>
          <w:lang w:val="en-GB"/>
        </w:rPr>
        <w:t xml:space="preserve">Gunz, H., Peiperl, M. A., &amp; </w:t>
      </w:r>
      <w:proofErr w:type="spellStart"/>
      <w:r w:rsidRPr="00BF4781">
        <w:rPr>
          <w:lang w:val="en-GB"/>
        </w:rPr>
        <w:t>Tzabbar</w:t>
      </w:r>
      <w:proofErr w:type="spellEnd"/>
      <w:r w:rsidRPr="00BF4781">
        <w:rPr>
          <w:lang w:val="en-GB"/>
        </w:rPr>
        <w:t xml:space="preserve">, D. (2007). Boundaries in the study of career. In H. Gunz &amp; M. Peiperl (Eds.), </w:t>
      </w:r>
      <w:r w:rsidRPr="00BF4781">
        <w:rPr>
          <w:i/>
          <w:iCs/>
          <w:lang w:val="en-GB"/>
        </w:rPr>
        <w:t>Handbook of Career Studies</w:t>
      </w:r>
      <w:r w:rsidRPr="00BF4781">
        <w:rPr>
          <w:lang w:val="en-GB"/>
        </w:rPr>
        <w:t xml:space="preserve"> (pp. 471–494). Sage.</w:t>
      </w:r>
    </w:p>
    <w:p w14:paraId="1BB2B4C2" w14:textId="77777777" w:rsidR="00BF4781" w:rsidRPr="00BF4781" w:rsidRDefault="00BF4781" w:rsidP="00BF4781">
      <w:pPr>
        <w:pStyle w:val="Bibliography"/>
        <w:spacing w:after="240" w:line="240" w:lineRule="auto"/>
        <w:rPr>
          <w:lang w:val="en-GB"/>
        </w:rPr>
      </w:pPr>
      <w:proofErr w:type="spellStart"/>
      <w:r w:rsidRPr="00BF4781">
        <w:rPr>
          <w:lang w:val="en-GB"/>
        </w:rPr>
        <w:t>Izak</w:t>
      </w:r>
      <w:proofErr w:type="spellEnd"/>
      <w:r w:rsidRPr="00BF4781">
        <w:rPr>
          <w:lang w:val="en-GB"/>
        </w:rPr>
        <w:t xml:space="preserve">, M., </w:t>
      </w:r>
      <w:proofErr w:type="spellStart"/>
      <w:r w:rsidRPr="00BF4781">
        <w:rPr>
          <w:lang w:val="en-GB"/>
        </w:rPr>
        <w:t>Shortt</w:t>
      </w:r>
      <w:proofErr w:type="spellEnd"/>
      <w:r w:rsidRPr="00BF4781">
        <w:rPr>
          <w:lang w:val="en-GB"/>
        </w:rPr>
        <w:t xml:space="preserve">, H., &amp; Case, P. (2023). Learning to inhabit the liquid liminal world of work: An auto-ethnographic visual study of work-life boundary transitions. </w:t>
      </w:r>
      <w:r w:rsidRPr="00BF4781">
        <w:rPr>
          <w:i/>
          <w:iCs/>
          <w:lang w:val="en-GB"/>
        </w:rPr>
        <w:t>Management Learning</w:t>
      </w:r>
      <w:r w:rsidRPr="00BF4781">
        <w:rPr>
          <w:lang w:val="en-GB"/>
        </w:rPr>
        <w:t xml:space="preserve">, </w:t>
      </w:r>
      <w:r w:rsidRPr="00BF4781">
        <w:rPr>
          <w:i/>
          <w:iCs/>
          <w:lang w:val="en-GB"/>
        </w:rPr>
        <w:t>54</w:t>
      </w:r>
      <w:r w:rsidRPr="00BF4781">
        <w:rPr>
          <w:lang w:val="en-GB"/>
        </w:rPr>
        <w:t>, 198–222. https://doi.org/10.1177/13505076211070359</w:t>
      </w:r>
    </w:p>
    <w:p w14:paraId="31CD2AA1" w14:textId="77777777" w:rsidR="00BF4781" w:rsidRPr="00BF4781" w:rsidRDefault="00BF4781" w:rsidP="00BF4781">
      <w:pPr>
        <w:pStyle w:val="Bibliography"/>
        <w:spacing w:after="240" w:line="240" w:lineRule="auto"/>
        <w:rPr>
          <w:lang w:val="en-GB"/>
        </w:rPr>
      </w:pPr>
      <w:proofErr w:type="spellStart"/>
      <w:r w:rsidRPr="00BF4781">
        <w:rPr>
          <w:lang w:val="en-GB"/>
        </w:rPr>
        <w:lastRenderedPageBreak/>
        <w:t>Kossek</w:t>
      </w:r>
      <w:proofErr w:type="spellEnd"/>
      <w:r w:rsidRPr="00BF4781">
        <w:rPr>
          <w:lang w:val="en-GB"/>
        </w:rPr>
        <w:t xml:space="preserve">, E. E., Dumas, T. L., </w:t>
      </w:r>
      <w:proofErr w:type="spellStart"/>
      <w:r w:rsidRPr="00BF4781">
        <w:rPr>
          <w:lang w:val="en-GB"/>
        </w:rPr>
        <w:t>Piszczek</w:t>
      </w:r>
      <w:proofErr w:type="spellEnd"/>
      <w:r w:rsidRPr="00BF4781">
        <w:rPr>
          <w:lang w:val="en-GB"/>
        </w:rPr>
        <w:t xml:space="preserve">, M. M., &amp; Allen, T. D. (2021). Pushing the boundaries: A qualitative study of how STEM women adapted to disrupted work–nonwork boundaries during the COVID-19 pandemic. </w:t>
      </w:r>
      <w:r w:rsidRPr="00BF4781">
        <w:rPr>
          <w:i/>
          <w:iCs/>
          <w:lang w:val="en-GB"/>
        </w:rPr>
        <w:t>Journal of Applied Psychology</w:t>
      </w:r>
      <w:r w:rsidRPr="00BF4781">
        <w:rPr>
          <w:lang w:val="en-GB"/>
        </w:rPr>
        <w:t xml:space="preserve">, </w:t>
      </w:r>
      <w:r w:rsidRPr="00BF4781">
        <w:rPr>
          <w:i/>
          <w:iCs/>
          <w:lang w:val="en-GB"/>
        </w:rPr>
        <w:t>106</w:t>
      </w:r>
      <w:r w:rsidRPr="00BF4781">
        <w:rPr>
          <w:lang w:val="en-GB"/>
        </w:rPr>
        <w:t>(11), 1615–1629. https://doi.org/10.1037/apl0000982</w:t>
      </w:r>
    </w:p>
    <w:p w14:paraId="26E92626" w14:textId="77777777" w:rsidR="00BF4781" w:rsidRPr="00BF4781" w:rsidRDefault="00BF4781" w:rsidP="00BF4781">
      <w:pPr>
        <w:pStyle w:val="Bibliography"/>
        <w:spacing w:after="240" w:line="240" w:lineRule="auto"/>
        <w:rPr>
          <w:lang w:val="en-GB"/>
        </w:rPr>
      </w:pPr>
      <w:proofErr w:type="spellStart"/>
      <w:r w:rsidRPr="00BF4781">
        <w:rPr>
          <w:lang w:val="en-GB"/>
        </w:rPr>
        <w:t>Kossek</w:t>
      </w:r>
      <w:proofErr w:type="spellEnd"/>
      <w:r w:rsidRPr="00BF4781">
        <w:rPr>
          <w:lang w:val="en-GB"/>
        </w:rPr>
        <w:t xml:space="preserve">, E. E., &amp; </w:t>
      </w:r>
      <w:proofErr w:type="spellStart"/>
      <w:r w:rsidRPr="00BF4781">
        <w:rPr>
          <w:lang w:val="en-GB"/>
        </w:rPr>
        <w:t>Lautsch</w:t>
      </w:r>
      <w:proofErr w:type="spellEnd"/>
      <w:r w:rsidRPr="00BF4781">
        <w:rPr>
          <w:lang w:val="en-GB"/>
        </w:rPr>
        <w:t xml:space="preserve">, B. A. (2008). </w:t>
      </w:r>
      <w:r w:rsidRPr="00BF4781">
        <w:rPr>
          <w:i/>
          <w:iCs/>
          <w:lang w:val="en-GB"/>
        </w:rPr>
        <w:t>CEO of Me: Creating a Life that Works in the Flexible Job Age</w:t>
      </w:r>
      <w:r w:rsidRPr="00BF4781">
        <w:rPr>
          <w:lang w:val="en-GB"/>
        </w:rPr>
        <w:t>. PA: Pearson/Wharton School Publishing. https://books.google.lt/books/about/CEO_of_Me.html?id=4WZ6LtBSVXAC&amp;redir_esc=y</w:t>
      </w:r>
    </w:p>
    <w:p w14:paraId="59695A77" w14:textId="77777777" w:rsidR="00BF4781" w:rsidRPr="00BF4781" w:rsidRDefault="00BF4781" w:rsidP="00BF4781">
      <w:pPr>
        <w:pStyle w:val="Bibliography"/>
        <w:spacing w:after="240" w:line="240" w:lineRule="auto"/>
        <w:rPr>
          <w:lang w:val="en-GB"/>
        </w:rPr>
      </w:pPr>
      <w:proofErr w:type="spellStart"/>
      <w:r w:rsidRPr="00BF4781">
        <w:rPr>
          <w:lang w:val="en-GB"/>
        </w:rPr>
        <w:t>Kossek</w:t>
      </w:r>
      <w:proofErr w:type="spellEnd"/>
      <w:r w:rsidRPr="00BF4781">
        <w:rPr>
          <w:lang w:val="en-GB"/>
        </w:rPr>
        <w:t xml:space="preserve">, E. E., Ruderman, M. N., </w:t>
      </w:r>
      <w:proofErr w:type="spellStart"/>
      <w:r w:rsidRPr="00BF4781">
        <w:rPr>
          <w:lang w:val="en-GB"/>
        </w:rPr>
        <w:t>Braddy</w:t>
      </w:r>
      <w:proofErr w:type="spellEnd"/>
      <w:r w:rsidRPr="00BF4781">
        <w:rPr>
          <w:lang w:val="en-GB"/>
        </w:rPr>
        <w:t>, P. W., &amp; Hannum, K. M. (2012a). Work–nonwork boundary management profiles: A person-</w:t>
      </w:r>
      <w:proofErr w:type="spellStart"/>
      <w:r w:rsidRPr="00BF4781">
        <w:rPr>
          <w:lang w:val="en-GB"/>
        </w:rPr>
        <w:t>centered</w:t>
      </w:r>
      <w:proofErr w:type="spellEnd"/>
      <w:r w:rsidRPr="00BF4781">
        <w:rPr>
          <w:lang w:val="en-GB"/>
        </w:rPr>
        <w:t xml:space="preserve"> approach. </w:t>
      </w:r>
      <w:r w:rsidRPr="00BF4781">
        <w:rPr>
          <w:i/>
          <w:iCs/>
          <w:lang w:val="en-GB"/>
        </w:rPr>
        <w:t xml:space="preserve">Journal of Vocational </w:t>
      </w:r>
      <w:proofErr w:type="spellStart"/>
      <w:r w:rsidRPr="00BF4781">
        <w:rPr>
          <w:i/>
          <w:iCs/>
          <w:lang w:val="en-GB"/>
        </w:rPr>
        <w:t>Behavior</w:t>
      </w:r>
      <w:proofErr w:type="spellEnd"/>
      <w:r w:rsidRPr="00BF4781">
        <w:rPr>
          <w:lang w:val="en-GB"/>
        </w:rPr>
        <w:t xml:space="preserve">, </w:t>
      </w:r>
      <w:r w:rsidRPr="00BF4781">
        <w:rPr>
          <w:i/>
          <w:iCs/>
          <w:lang w:val="en-GB"/>
        </w:rPr>
        <w:t>81</w:t>
      </w:r>
      <w:r w:rsidRPr="00BF4781">
        <w:rPr>
          <w:lang w:val="en-GB"/>
        </w:rPr>
        <w:t>(1), 112–128. https://doi.org/10.1016/j.jvb.2012.04.003</w:t>
      </w:r>
    </w:p>
    <w:p w14:paraId="39C07F31" w14:textId="77777777" w:rsidR="00BF4781" w:rsidRPr="00BF4781" w:rsidRDefault="00BF4781" w:rsidP="00BF4781">
      <w:pPr>
        <w:pStyle w:val="Bibliography"/>
        <w:spacing w:after="240" w:line="240" w:lineRule="auto"/>
        <w:rPr>
          <w:lang w:val="en-GB"/>
        </w:rPr>
      </w:pPr>
      <w:proofErr w:type="spellStart"/>
      <w:r w:rsidRPr="00BF4781">
        <w:rPr>
          <w:lang w:val="en-GB"/>
        </w:rPr>
        <w:t>Kossek</w:t>
      </w:r>
      <w:proofErr w:type="spellEnd"/>
      <w:r w:rsidRPr="00BF4781">
        <w:rPr>
          <w:lang w:val="en-GB"/>
        </w:rPr>
        <w:t xml:space="preserve">, E. E., Ruderman, M. N., </w:t>
      </w:r>
      <w:proofErr w:type="spellStart"/>
      <w:r w:rsidRPr="00BF4781">
        <w:rPr>
          <w:lang w:val="en-GB"/>
        </w:rPr>
        <w:t>Braddy</w:t>
      </w:r>
      <w:proofErr w:type="spellEnd"/>
      <w:r w:rsidRPr="00BF4781">
        <w:rPr>
          <w:lang w:val="en-GB"/>
        </w:rPr>
        <w:t>, P. W., &amp; Hannum, K. M. (2012b). Work–nonwork boundary management profiles: A person-</w:t>
      </w:r>
      <w:proofErr w:type="spellStart"/>
      <w:r w:rsidRPr="00BF4781">
        <w:rPr>
          <w:lang w:val="en-GB"/>
        </w:rPr>
        <w:t>centered</w:t>
      </w:r>
      <w:proofErr w:type="spellEnd"/>
      <w:r w:rsidRPr="00BF4781">
        <w:rPr>
          <w:lang w:val="en-GB"/>
        </w:rPr>
        <w:t xml:space="preserve"> approach. </w:t>
      </w:r>
      <w:r w:rsidRPr="00BF4781">
        <w:rPr>
          <w:i/>
          <w:iCs/>
          <w:lang w:val="en-GB"/>
        </w:rPr>
        <w:t xml:space="preserve">Journal of Vocational </w:t>
      </w:r>
      <w:proofErr w:type="spellStart"/>
      <w:r w:rsidRPr="00BF4781">
        <w:rPr>
          <w:i/>
          <w:iCs/>
          <w:lang w:val="en-GB"/>
        </w:rPr>
        <w:t>Behavior</w:t>
      </w:r>
      <w:proofErr w:type="spellEnd"/>
      <w:r w:rsidRPr="00BF4781">
        <w:rPr>
          <w:lang w:val="en-GB"/>
        </w:rPr>
        <w:t xml:space="preserve">, </w:t>
      </w:r>
      <w:r w:rsidRPr="00BF4781">
        <w:rPr>
          <w:i/>
          <w:iCs/>
          <w:lang w:val="en-GB"/>
        </w:rPr>
        <w:t>81</w:t>
      </w:r>
      <w:r w:rsidRPr="00BF4781">
        <w:rPr>
          <w:lang w:val="en-GB"/>
        </w:rPr>
        <w:t>(1), 112–128. https://doi.org/10.1016/j.jvb.2012.04.003</w:t>
      </w:r>
    </w:p>
    <w:p w14:paraId="28DC4D39" w14:textId="77777777" w:rsidR="00BF4781" w:rsidRPr="00BF4781" w:rsidRDefault="00BF4781" w:rsidP="00BF4781">
      <w:pPr>
        <w:pStyle w:val="Bibliography"/>
        <w:spacing w:after="240" w:line="240" w:lineRule="auto"/>
        <w:rPr>
          <w:lang w:val="en-GB"/>
        </w:rPr>
      </w:pPr>
      <w:proofErr w:type="spellStart"/>
      <w:r w:rsidRPr="00BF4781">
        <w:rPr>
          <w:lang w:val="en-GB"/>
        </w:rPr>
        <w:t>Kreiner</w:t>
      </w:r>
      <w:proofErr w:type="spellEnd"/>
      <w:r w:rsidRPr="00BF4781">
        <w:rPr>
          <w:lang w:val="en-GB"/>
        </w:rPr>
        <w:t xml:space="preserve">, G. E., </w:t>
      </w:r>
      <w:proofErr w:type="spellStart"/>
      <w:r w:rsidRPr="00BF4781">
        <w:rPr>
          <w:lang w:val="en-GB"/>
        </w:rPr>
        <w:t>Hollensbe</w:t>
      </w:r>
      <w:proofErr w:type="spellEnd"/>
      <w:r w:rsidRPr="00BF4781">
        <w:rPr>
          <w:lang w:val="en-GB"/>
        </w:rPr>
        <w:t xml:space="preserve">, E. C., &amp; Sheep, M. L. (2009). Balancing Borders and Bridges: Negotiating the Work-Home Interface via Boundary Work Tactics. </w:t>
      </w:r>
      <w:r w:rsidRPr="00BF4781">
        <w:rPr>
          <w:i/>
          <w:iCs/>
          <w:lang w:val="en-GB"/>
        </w:rPr>
        <w:t>Academy of Management Journal</w:t>
      </w:r>
      <w:r w:rsidRPr="00BF4781">
        <w:rPr>
          <w:lang w:val="en-GB"/>
        </w:rPr>
        <w:t xml:space="preserve">, </w:t>
      </w:r>
      <w:r w:rsidRPr="00BF4781">
        <w:rPr>
          <w:i/>
          <w:iCs/>
          <w:lang w:val="en-GB"/>
        </w:rPr>
        <w:t>52</w:t>
      </w:r>
      <w:r w:rsidRPr="00BF4781">
        <w:rPr>
          <w:lang w:val="en-GB"/>
        </w:rPr>
        <w:t>(4), 704–730.</w:t>
      </w:r>
    </w:p>
    <w:p w14:paraId="268B560E" w14:textId="77777777" w:rsidR="00BF4781" w:rsidRPr="00BF4781" w:rsidRDefault="00BF4781" w:rsidP="00BF4781">
      <w:pPr>
        <w:pStyle w:val="Bibliography"/>
        <w:spacing w:after="240" w:line="240" w:lineRule="auto"/>
        <w:rPr>
          <w:lang w:val="en-GB"/>
        </w:rPr>
      </w:pPr>
      <w:proofErr w:type="spellStart"/>
      <w:r w:rsidRPr="00BF4781">
        <w:rPr>
          <w:lang w:val="en-GB"/>
        </w:rPr>
        <w:t>Languilaire</w:t>
      </w:r>
      <w:proofErr w:type="spellEnd"/>
      <w:r w:rsidRPr="00BF4781">
        <w:rPr>
          <w:lang w:val="en-GB"/>
        </w:rPr>
        <w:t xml:space="preserve">, J.-C. (2009). </w:t>
      </w:r>
      <w:r w:rsidRPr="00BF4781">
        <w:rPr>
          <w:i/>
          <w:iCs/>
          <w:lang w:val="en-GB"/>
        </w:rPr>
        <w:t>Experiencing work/non-work: Theorising individuals’ process of integrating and segmenting work, family, social and private</w:t>
      </w:r>
      <w:r w:rsidRPr="00BF4781">
        <w:rPr>
          <w:lang w:val="en-GB"/>
        </w:rPr>
        <w:t xml:space="preserve"> [PhD Thesis]. Jönköping University, Jönköping International Business School.</w:t>
      </w:r>
    </w:p>
    <w:p w14:paraId="4A712277" w14:textId="77777777" w:rsidR="00BF4781" w:rsidRPr="00BF4781" w:rsidRDefault="00BF4781" w:rsidP="00BF4781">
      <w:pPr>
        <w:pStyle w:val="Bibliography"/>
        <w:spacing w:after="240" w:line="240" w:lineRule="auto"/>
        <w:rPr>
          <w:lang w:val="en-GB"/>
        </w:rPr>
      </w:pPr>
      <w:r w:rsidRPr="00BF4781">
        <w:rPr>
          <w:lang w:val="en-GB"/>
        </w:rPr>
        <w:t xml:space="preserve">Leslie, L. M., King, E. B., &amp; Clair, J. A. (2019). Work-Life Ideologies: The Contextual Basis and Consequences of Beliefs About Work and Life. </w:t>
      </w:r>
      <w:r w:rsidRPr="00BF4781">
        <w:rPr>
          <w:i/>
          <w:iCs/>
          <w:lang w:val="en-GB"/>
        </w:rPr>
        <w:t>Academy of Management Review</w:t>
      </w:r>
      <w:r w:rsidRPr="00BF4781">
        <w:rPr>
          <w:lang w:val="en-GB"/>
        </w:rPr>
        <w:t xml:space="preserve">, </w:t>
      </w:r>
      <w:r w:rsidRPr="00BF4781">
        <w:rPr>
          <w:i/>
          <w:iCs/>
          <w:lang w:val="en-GB"/>
        </w:rPr>
        <w:t>44</w:t>
      </w:r>
      <w:r w:rsidRPr="00BF4781">
        <w:rPr>
          <w:lang w:val="en-GB"/>
        </w:rPr>
        <w:t>(1), 72–98. https://doi.org/10.5465/amr.2016.0410</w:t>
      </w:r>
    </w:p>
    <w:p w14:paraId="7143FEBA" w14:textId="77777777" w:rsidR="00BF4781" w:rsidRPr="00BF4781" w:rsidRDefault="00BF4781" w:rsidP="00BF4781">
      <w:pPr>
        <w:pStyle w:val="Bibliography"/>
        <w:spacing w:after="240" w:line="240" w:lineRule="auto"/>
        <w:rPr>
          <w:lang w:val="en-GB"/>
        </w:rPr>
      </w:pPr>
      <w:r w:rsidRPr="00BF4781">
        <w:rPr>
          <w:lang w:val="en-GB"/>
        </w:rPr>
        <w:t xml:space="preserve">Madill, A., Jordan, A., &amp; Shirley, C. (2000). Objectivity and reliability in qualitative analysis: Realist, contextualist and radical constructionist epistemologies. </w:t>
      </w:r>
      <w:r w:rsidRPr="00BF4781">
        <w:rPr>
          <w:i/>
          <w:iCs/>
          <w:lang w:val="en-GB"/>
        </w:rPr>
        <w:t>British Journal of Psychology (London, England: 1953)</w:t>
      </w:r>
      <w:r w:rsidRPr="00BF4781">
        <w:rPr>
          <w:lang w:val="en-GB"/>
        </w:rPr>
        <w:t xml:space="preserve">, </w:t>
      </w:r>
      <w:r w:rsidRPr="00BF4781">
        <w:rPr>
          <w:i/>
          <w:iCs/>
          <w:lang w:val="en-GB"/>
        </w:rPr>
        <w:t>91 ( Pt 1)</w:t>
      </w:r>
      <w:r w:rsidRPr="00BF4781">
        <w:rPr>
          <w:lang w:val="en-GB"/>
        </w:rPr>
        <w:t>, 1–20. https://doi.org/10.1348/000712600161646</w:t>
      </w:r>
    </w:p>
    <w:p w14:paraId="58901B0F" w14:textId="77777777" w:rsidR="00BF4781" w:rsidRPr="00BF4781" w:rsidRDefault="00BF4781" w:rsidP="00BF4781">
      <w:pPr>
        <w:pStyle w:val="Bibliography"/>
        <w:spacing w:after="240" w:line="240" w:lineRule="auto"/>
        <w:rPr>
          <w:lang w:val="en-GB"/>
        </w:rPr>
      </w:pPr>
      <w:proofErr w:type="spellStart"/>
      <w:r w:rsidRPr="00BF4781">
        <w:rPr>
          <w:lang w:val="en-GB"/>
        </w:rPr>
        <w:t>Malterud</w:t>
      </w:r>
      <w:proofErr w:type="spellEnd"/>
      <w:r w:rsidRPr="00BF4781">
        <w:rPr>
          <w:lang w:val="en-GB"/>
        </w:rPr>
        <w:t xml:space="preserve">, K., </w:t>
      </w:r>
      <w:proofErr w:type="spellStart"/>
      <w:r w:rsidRPr="00BF4781">
        <w:rPr>
          <w:lang w:val="en-GB"/>
        </w:rPr>
        <w:t>Siersma</w:t>
      </w:r>
      <w:proofErr w:type="spellEnd"/>
      <w:r w:rsidRPr="00BF4781">
        <w:rPr>
          <w:lang w:val="en-GB"/>
        </w:rPr>
        <w:t xml:space="preserve">, V. D., &amp; </w:t>
      </w:r>
      <w:proofErr w:type="spellStart"/>
      <w:r w:rsidRPr="00BF4781">
        <w:rPr>
          <w:lang w:val="en-GB"/>
        </w:rPr>
        <w:t>Guassora</w:t>
      </w:r>
      <w:proofErr w:type="spellEnd"/>
      <w:r w:rsidRPr="00BF4781">
        <w:rPr>
          <w:lang w:val="en-GB"/>
        </w:rPr>
        <w:t xml:space="preserve">, A. D. (2016). Sample Size in Qualitative Interview Studies: Guided by Information Power. </w:t>
      </w:r>
      <w:r w:rsidRPr="00BF4781">
        <w:rPr>
          <w:i/>
          <w:iCs/>
          <w:lang w:val="en-GB"/>
        </w:rPr>
        <w:t>Qualitative Health Research</w:t>
      </w:r>
      <w:r w:rsidRPr="00BF4781">
        <w:rPr>
          <w:lang w:val="en-GB"/>
        </w:rPr>
        <w:t xml:space="preserve">, </w:t>
      </w:r>
      <w:r w:rsidRPr="00BF4781">
        <w:rPr>
          <w:i/>
          <w:iCs/>
          <w:lang w:val="en-GB"/>
        </w:rPr>
        <w:t>26</w:t>
      </w:r>
      <w:r w:rsidRPr="00BF4781">
        <w:rPr>
          <w:lang w:val="en-GB"/>
        </w:rPr>
        <w:t>(13), 1753–1760. https://doi.org/10.1177/1049732315617444</w:t>
      </w:r>
    </w:p>
    <w:p w14:paraId="2B6AE119" w14:textId="77777777" w:rsidR="00BF4781" w:rsidRPr="00BF4781" w:rsidRDefault="00BF4781" w:rsidP="00BF4781">
      <w:pPr>
        <w:pStyle w:val="Bibliography"/>
        <w:spacing w:after="240" w:line="240" w:lineRule="auto"/>
        <w:rPr>
          <w:lang w:val="en-GB"/>
        </w:rPr>
      </w:pPr>
      <w:proofErr w:type="spellStart"/>
      <w:r w:rsidRPr="00BF4781">
        <w:rPr>
          <w:lang w:val="en-GB"/>
        </w:rPr>
        <w:t>Nippert</w:t>
      </w:r>
      <w:proofErr w:type="spellEnd"/>
      <w:r w:rsidRPr="00BF4781">
        <w:rPr>
          <w:lang w:val="en-GB"/>
        </w:rPr>
        <w:t xml:space="preserve">-Eng, C. E. (1996). </w:t>
      </w:r>
      <w:r w:rsidRPr="00BF4781">
        <w:rPr>
          <w:i/>
          <w:iCs/>
          <w:lang w:val="en-GB"/>
        </w:rPr>
        <w:t>Home and Work: Negotiating Boundaries through Everyday Life</w:t>
      </w:r>
      <w:r w:rsidRPr="00BF4781">
        <w:rPr>
          <w:lang w:val="en-GB"/>
        </w:rPr>
        <w:t>. University of Chicago Press.</w:t>
      </w:r>
    </w:p>
    <w:p w14:paraId="3E4A3CF8" w14:textId="77777777" w:rsidR="00BF4781" w:rsidRPr="00BF4781" w:rsidRDefault="00BF4781" w:rsidP="00BF4781">
      <w:pPr>
        <w:pStyle w:val="Bibliography"/>
        <w:spacing w:after="240" w:line="240" w:lineRule="auto"/>
        <w:rPr>
          <w:lang w:val="en-GB"/>
        </w:rPr>
      </w:pPr>
      <w:r w:rsidRPr="00BF4781">
        <w:rPr>
          <w:lang w:val="en-GB"/>
        </w:rPr>
        <w:t xml:space="preserve">Patton, M. Q. (1990). </w:t>
      </w:r>
      <w:r w:rsidRPr="00BF4781">
        <w:rPr>
          <w:i/>
          <w:iCs/>
          <w:lang w:val="en-GB"/>
        </w:rPr>
        <w:t>Qualitative Evaluation and Research Methods</w:t>
      </w:r>
      <w:r w:rsidRPr="00BF4781">
        <w:rPr>
          <w:lang w:val="en-GB"/>
        </w:rPr>
        <w:t xml:space="preserve"> (Second Edition edition). SAGE Publications, Inc.</w:t>
      </w:r>
    </w:p>
    <w:p w14:paraId="4111DB79" w14:textId="77777777" w:rsidR="00BF4781" w:rsidRPr="00BF4781" w:rsidRDefault="00BF4781" w:rsidP="00BF4781">
      <w:pPr>
        <w:pStyle w:val="Bibliography"/>
        <w:spacing w:after="240" w:line="240" w:lineRule="auto"/>
        <w:rPr>
          <w:lang w:val="en-GB"/>
        </w:rPr>
      </w:pPr>
      <w:proofErr w:type="spellStart"/>
      <w:r w:rsidRPr="00BF4781">
        <w:rPr>
          <w:lang w:val="en-GB"/>
        </w:rPr>
        <w:t>Perlow</w:t>
      </w:r>
      <w:proofErr w:type="spellEnd"/>
      <w:r w:rsidRPr="00BF4781">
        <w:rPr>
          <w:lang w:val="en-GB"/>
        </w:rPr>
        <w:t xml:space="preserve">, L. A. (1998). Boundary control: The social ordering of work and family time in a high-tech corporation. </w:t>
      </w:r>
      <w:r w:rsidRPr="00BF4781">
        <w:rPr>
          <w:i/>
          <w:iCs/>
          <w:lang w:val="en-GB"/>
        </w:rPr>
        <w:t>Administrative Science Quarterly</w:t>
      </w:r>
      <w:r w:rsidRPr="00BF4781">
        <w:rPr>
          <w:lang w:val="en-GB"/>
        </w:rPr>
        <w:t xml:space="preserve">, </w:t>
      </w:r>
      <w:r w:rsidRPr="00BF4781">
        <w:rPr>
          <w:i/>
          <w:iCs/>
          <w:lang w:val="en-GB"/>
        </w:rPr>
        <w:t>43</w:t>
      </w:r>
      <w:r w:rsidRPr="00BF4781">
        <w:rPr>
          <w:lang w:val="en-GB"/>
        </w:rPr>
        <w:t>(2), 328–357.</w:t>
      </w:r>
    </w:p>
    <w:p w14:paraId="651D8194" w14:textId="77777777" w:rsidR="00BF4781" w:rsidRPr="00BF4781" w:rsidRDefault="00BF4781" w:rsidP="00BF4781">
      <w:pPr>
        <w:pStyle w:val="Bibliography"/>
        <w:spacing w:after="240" w:line="240" w:lineRule="auto"/>
        <w:rPr>
          <w:lang w:val="en-GB"/>
        </w:rPr>
      </w:pPr>
      <w:r w:rsidRPr="00BF4781">
        <w:rPr>
          <w:lang w:val="en-GB"/>
        </w:rPr>
        <w:t xml:space="preserve">Poppleton, S., Briner, R. B., &amp; Kiefer, T. (2008). The roles of context and everyday experience in understanding work-non-work relationships: A qualitative diary study of white- and blue-collar workers. </w:t>
      </w:r>
      <w:r w:rsidRPr="00BF4781">
        <w:rPr>
          <w:i/>
          <w:iCs/>
          <w:lang w:val="en-GB"/>
        </w:rPr>
        <w:t>Journal of Occupational and Organizational Psychology</w:t>
      </w:r>
      <w:r w:rsidRPr="00BF4781">
        <w:rPr>
          <w:lang w:val="en-GB"/>
        </w:rPr>
        <w:t xml:space="preserve">, </w:t>
      </w:r>
      <w:r w:rsidRPr="00BF4781">
        <w:rPr>
          <w:i/>
          <w:iCs/>
          <w:lang w:val="en-GB"/>
        </w:rPr>
        <w:t>81</w:t>
      </w:r>
      <w:r w:rsidRPr="00BF4781">
        <w:rPr>
          <w:lang w:val="en-GB"/>
        </w:rPr>
        <w:t>(3), 481–502. https://doi.org/10.1348/096317908X295182</w:t>
      </w:r>
    </w:p>
    <w:p w14:paraId="3800F5B0" w14:textId="77777777" w:rsidR="00BF4781" w:rsidRPr="00BF4781" w:rsidRDefault="00BF4781" w:rsidP="00BF4781">
      <w:pPr>
        <w:pStyle w:val="Bibliography"/>
        <w:spacing w:after="240" w:line="240" w:lineRule="auto"/>
        <w:rPr>
          <w:lang w:val="en-GB"/>
        </w:rPr>
      </w:pPr>
      <w:r w:rsidRPr="00BF4781">
        <w:rPr>
          <w:lang w:val="en-GB"/>
        </w:rPr>
        <w:lastRenderedPageBreak/>
        <w:t xml:space="preserve">Stanko, T. L., &amp; Beckman, C. M. (2015). Watching You Watching Me: Boundary Control and Capturing Attention in the Context of Ubiquitous Technology Use. </w:t>
      </w:r>
      <w:r w:rsidRPr="00BF4781">
        <w:rPr>
          <w:i/>
          <w:iCs/>
          <w:lang w:val="en-GB"/>
        </w:rPr>
        <w:t>Academy of Management Journal</w:t>
      </w:r>
      <w:r w:rsidRPr="00BF4781">
        <w:rPr>
          <w:lang w:val="en-GB"/>
        </w:rPr>
        <w:t xml:space="preserve">, </w:t>
      </w:r>
      <w:r w:rsidRPr="00BF4781">
        <w:rPr>
          <w:i/>
          <w:iCs/>
          <w:lang w:val="en-GB"/>
        </w:rPr>
        <w:t>58</w:t>
      </w:r>
      <w:r w:rsidRPr="00BF4781">
        <w:rPr>
          <w:lang w:val="en-GB"/>
        </w:rPr>
        <w:t>(3), 712–738. https://doi.org/10.5465/amj.2012.0911</w:t>
      </w:r>
    </w:p>
    <w:p w14:paraId="17DE427F" w14:textId="77777777" w:rsidR="00BF4781" w:rsidRPr="00BF4781" w:rsidRDefault="00BF4781" w:rsidP="00BF4781">
      <w:pPr>
        <w:pStyle w:val="Bibliography"/>
        <w:spacing w:after="240" w:line="240" w:lineRule="auto"/>
        <w:rPr>
          <w:lang w:val="en-GB"/>
        </w:rPr>
      </w:pPr>
      <w:r w:rsidRPr="00BF4781">
        <w:rPr>
          <w:lang w:val="en-GB"/>
        </w:rPr>
        <w:t xml:space="preserve">Thompson, P., &amp; van den Broek, D. (2010). Managerial control and workplace regimes: An introduction. </w:t>
      </w:r>
      <w:r w:rsidRPr="00BF4781">
        <w:rPr>
          <w:i/>
          <w:iCs/>
          <w:lang w:val="en-GB"/>
        </w:rPr>
        <w:t>Work, Employment and Society</w:t>
      </w:r>
      <w:r w:rsidRPr="00BF4781">
        <w:rPr>
          <w:lang w:val="en-GB"/>
        </w:rPr>
        <w:t xml:space="preserve">, </w:t>
      </w:r>
      <w:r w:rsidRPr="00BF4781">
        <w:rPr>
          <w:i/>
          <w:iCs/>
          <w:lang w:val="en-GB"/>
        </w:rPr>
        <w:t>24</w:t>
      </w:r>
      <w:r w:rsidRPr="00BF4781">
        <w:rPr>
          <w:lang w:val="en-GB"/>
        </w:rPr>
        <w:t>(3), 1–12. https://doi.org/10.1177/0950017010384546</w:t>
      </w:r>
    </w:p>
    <w:p w14:paraId="44A9C8A5" w14:textId="77777777" w:rsidR="00BF4781" w:rsidRPr="00BF4781" w:rsidRDefault="00BF4781" w:rsidP="00BF4781">
      <w:pPr>
        <w:pStyle w:val="Bibliography"/>
        <w:spacing w:after="240" w:line="240" w:lineRule="auto"/>
        <w:rPr>
          <w:lang w:val="en-GB"/>
        </w:rPr>
      </w:pPr>
      <w:r w:rsidRPr="00BF4781">
        <w:rPr>
          <w:lang w:val="en-GB"/>
        </w:rPr>
        <w:t xml:space="preserve">Tomkins, L., &amp; </w:t>
      </w:r>
      <w:proofErr w:type="spellStart"/>
      <w:r w:rsidRPr="00BF4781">
        <w:rPr>
          <w:lang w:val="en-GB"/>
        </w:rPr>
        <w:t>Eatough</w:t>
      </w:r>
      <w:proofErr w:type="spellEnd"/>
      <w:r w:rsidRPr="00BF4781">
        <w:rPr>
          <w:lang w:val="en-GB"/>
        </w:rPr>
        <w:t xml:space="preserve">, V. (2014). Stop ‘helping’ me! Identity, recognition and agency in the nexus of work and care. </w:t>
      </w:r>
      <w:r w:rsidRPr="00BF4781">
        <w:rPr>
          <w:i/>
          <w:iCs/>
          <w:lang w:val="en-GB"/>
        </w:rPr>
        <w:t>Organization</w:t>
      </w:r>
      <w:r w:rsidRPr="00BF4781">
        <w:rPr>
          <w:lang w:val="en-GB"/>
        </w:rPr>
        <w:t xml:space="preserve">, </w:t>
      </w:r>
      <w:r w:rsidRPr="00BF4781">
        <w:rPr>
          <w:i/>
          <w:iCs/>
          <w:lang w:val="en-GB"/>
        </w:rPr>
        <w:t>21</w:t>
      </w:r>
      <w:r w:rsidRPr="00BF4781">
        <w:rPr>
          <w:lang w:val="en-GB"/>
        </w:rPr>
        <w:t>(1), 3–21. https://doi.org/10.1177/1350508412461293</w:t>
      </w:r>
    </w:p>
    <w:p w14:paraId="0DF07913" w14:textId="3304C597" w:rsidR="006050DD" w:rsidRPr="00D17D77" w:rsidRDefault="007045C7" w:rsidP="00BF4781">
      <w:pPr>
        <w:spacing w:after="240"/>
      </w:pPr>
      <w:r w:rsidRPr="00D17D77">
        <w:fldChar w:fldCharType="end"/>
      </w:r>
    </w:p>
    <w:sectPr w:rsidR="006050DD" w:rsidRPr="00D17D77">
      <w:headerReference w:type="default" r:id="rId9"/>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2AD999" w14:textId="77777777" w:rsidR="0028732D" w:rsidRDefault="0028732D" w:rsidP="00ED1A95">
      <w:r>
        <w:separator/>
      </w:r>
    </w:p>
  </w:endnote>
  <w:endnote w:type="continuationSeparator" w:id="0">
    <w:p w14:paraId="65260E62" w14:textId="77777777" w:rsidR="0028732D" w:rsidRDefault="0028732D" w:rsidP="00ED1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97214811"/>
      <w:docPartObj>
        <w:docPartGallery w:val="Page Numbers (Bottom of Page)"/>
        <w:docPartUnique/>
      </w:docPartObj>
    </w:sdtPr>
    <w:sdtContent>
      <w:p w14:paraId="30F8B391" w14:textId="31035771" w:rsidR="00ED1A95" w:rsidRDefault="00ED1A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B3D4D4" w14:textId="77777777" w:rsidR="00ED1A95" w:rsidRDefault="00ED1A95" w:rsidP="00ED1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76329676"/>
      <w:docPartObj>
        <w:docPartGallery w:val="Page Numbers (Bottom of Page)"/>
        <w:docPartUnique/>
      </w:docPartObj>
    </w:sdtPr>
    <w:sdtContent>
      <w:p w14:paraId="7BBEC038" w14:textId="55956EF5" w:rsidR="00ED1A95" w:rsidRDefault="00ED1A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F474213" w14:textId="77777777" w:rsidR="00ED1A95" w:rsidRDefault="00ED1A95" w:rsidP="00ED1A9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0A9649" w14:textId="77777777" w:rsidR="0028732D" w:rsidRDefault="0028732D" w:rsidP="00ED1A95">
      <w:r>
        <w:separator/>
      </w:r>
    </w:p>
  </w:footnote>
  <w:footnote w:type="continuationSeparator" w:id="0">
    <w:p w14:paraId="0C5BDF08" w14:textId="77777777" w:rsidR="0028732D" w:rsidRDefault="0028732D" w:rsidP="00ED1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9067" w14:textId="621AD6D1" w:rsidR="00ED1A95" w:rsidRDefault="00ED1A95">
    <w:pPr>
      <w:pStyle w:val="Header"/>
    </w:pPr>
    <w:r>
      <w:t>Meanings of Work-Nonwork Boundaries</w:t>
    </w:r>
    <w:r w:rsidR="008B06E2">
      <w:t xml:space="preserve">  </w:t>
    </w:r>
  </w:p>
  <w:p w14:paraId="320BBC71" w14:textId="77777777" w:rsidR="00ED1A95" w:rsidRDefault="00ED1A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8F6856"/>
    <w:multiLevelType w:val="hybridMultilevel"/>
    <w:tmpl w:val="482C4B0E"/>
    <w:lvl w:ilvl="0" w:tplc="D6900F1C">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8550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D2B"/>
    <w:rsid w:val="00002784"/>
    <w:rsid w:val="00010EF7"/>
    <w:rsid w:val="00032688"/>
    <w:rsid w:val="00035BF2"/>
    <w:rsid w:val="00052500"/>
    <w:rsid w:val="00061F74"/>
    <w:rsid w:val="00062834"/>
    <w:rsid w:val="00064D07"/>
    <w:rsid w:val="000B009B"/>
    <w:rsid w:val="000C3D8E"/>
    <w:rsid w:val="000F5F51"/>
    <w:rsid w:val="001016B2"/>
    <w:rsid w:val="00102737"/>
    <w:rsid w:val="00113562"/>
    <w:rsid w:val="001163AC"/>
    <w:rsid w:val="00141953"/>
    <w:rsid w:val="00147423"/>
    <w:rsid w:val="00151C9D"/>
    <w:rsid w:val="001544CC"/>
    <w:rsid w:val="00155FDE"/>
    <w:rsid w:val="00170F31"/>
    <w:rsid w:val="001852D7"/>
    <w:rsid w:val="00193FFB"/>
    <w:rsid w:val="001A7E3A"/>
    <w:rsid w:val="001B621B"/>
    <w:rsid w:val="001B69F8"/>
    <w:rsid w:val="001C3095"/>
    <w:rsid w:val="001D04C4"/>
    <w:rsid w:val="00207FDB"/>
    <w:rsid w:val="002176D7"/>
    <w:rsid w:val="0022139E"/>
    <w:rsid w:val="00225F8E"/>
    <w:rsid w:val="0026624A"/>
    <w:rsid w:val="0028732D"/>
    <w:rsid w:val="00305B12"/>
    <w:rsid w:val="00307EA5"/>
    <w:rsid w:val="00314D78"/>
    <w:rsid w:val="00317B67"/>
    <w:rsid w:val="0032316F"/>
    <w:rsid w:val="00323D0F"/>
    <w:rsid w:val="00333754"/>
    <w:rsid w:val="00360C97"/>
    <w:rsid w:val="00366BB2"/>
    <w:rsid w:val="003B3EFB"/>
    <w:rsid w:val="003B73C5"/>
    <w:rsid w:val="003C440C"/>
    <w:rsid w:val="003D3B35"/>
    <w:rsid w:val="003D4EBA"/>
    <w:rsid w:val="003E39BF"/>
    <w:rsid w:val="003E47F6"/>
    <w:rsid w:val="004141D8"/>
    <w:rsid w:val="00422F72"/>
    <w:rsid w:val="00441FE2"/>
    <w:rsid w:val="00462DA5"/>
    <w:rsid w:val="004764D2"/>
    <w:rsid w:val="004950AC"/>
    <w:rsid w:val="004B3789"/>
    <w:rsid w:val="004C0593"/>
    <w:rsid w:val="004D79DC"/>
    <w:rsid w:val="004E5278"/>
    <w:rsid w:val="004E719F"/>
    <w:rsid w:val="004F6876"/>
    <w:rsid w:val="005071CE"/>
    <w:rsid w:val="00521D7A"/>
    <w:rsid w:val="00540F48"/>
    <w:rsid w:val="00544A8C"/>
    <w:rsid w:val="00545616"/>
    <w:rsid w:val="00550F23"/>
    <w:rsid w:val="00551712"/>
    <w:rsid w:val="00563B6F"/>
    <w:rsid w:val="005A064E"/>
    <w:rsid w:val="005A5A1A"/>
    <w:rsid w:val="005B603F"/>
    <w:rsid w:val="005E4938"/>
    <w:rsid w:val="00600CBD"/>
    <w:rsid w:val="006050DD"/>
    <w:rsid w:val="00615B4D"/>
    <w:rsid w:val="006207BD"/>
    <w:rsid w:val="00623424"/>
    <w:rsid w:val="0062700B"/>
    <w:rsid w:val="00645B93"/>
    <w:rsid w:val="00666C26"/>
    <w:rsid w:val="006701A0"/>
    <w:rsid w:val="00683E10"/>
    <w:rsid w:val="006B0FD2"/>
    <w:rsid w:val="006C7D2B"/>
    <w:rsid w:val="006D689D"/>
    <w:rsid w:val="007045C7"/>
    <w:rsid w:val="007046D1"/>
    <w:rsid w:val="00735416"/>
    <w:rsid w:val="007434EE"/>
    <w:rsid w:val="007545BA"/>
    <w:rsid w:val="0076776B"/>
    <w:rsid w:val="00771CF8"/>
    <w:rsid w:val="0077570F"/>
    <w:rsid w:val="007811DD"/>
    <w:rsid w:val="00782915"/>
    <w:rsid w:val="0078652A"/>
    <w:rsid w:val="00793D67"/>
    <w:rsid w:val="007B4707"/>
    <w:rsid w:val="007B6FD2"/>
    <w:rsid w:val="007C6B59"/>
    <w:rsid w:val="007D22DF"/>
    <w:rsid w:val="007E076E"/>
    <w:rsid w:val="007E293D"/>
    <w:rsid w:val="007E6D5A"/>
    <w:rsid w:val="007F70CB"/>
    <w:rsid w:val="008025E0"/>
    <w:rsid w:val="0083699C"/>
    <w:rsid w:val="00836AE1"/>
    <w:rsid w:val="00840E1A"/>
    <w:rsid w:val="0084114D"/>
    <w:rsid w:val="00854187"/>
    <w:rsid w:val="008617CB"/>
    <w:rsid w:val="00873609"/>
    <w:rsid w:val="008A16F4"/>
    <w:rsid w:val="008A41F9"/>
    <w:rsid w:val="008B06E2"/>
    <w:rsid w:val="008C36DC"/>
    <w:rsid w:val="008C3F63"/>
    <w:rsid w:val="008F0955"/>
    <w:rsid w:val="008F69A8"/>
    <w:rsid w:val="00941782"/>
    <w:rsid w:val="00950CEC"/>
    <w:rsid w:val="00954322"/>
    <w:rsid w:val="009765E2"/>
    <w:rsid w:val="00981D67"/>
    <w:rsid w:val="00997B88"/>
    <w:rsid w:val="009A6EB1"/>
    <w:rsid w:val="009F2D65"/>
    <w:rsid w:val="009F7317"/>
    <w:rsid w:val="00A0247B"/>
    <w:rsid w:val="00A03AE8"/>
    <w:rsid w:val="00A44EE9"/>
    <w:rsid w:val="00A55676"/>
    <w:rsid w:val="00A92D0D"/>
    <w:rsid w:val="00AA5AA2"/>
    <w:rsid w:val="00AE355C"/>
    <w:rsid w:val="00AE5FFC"/>
    <w:rsid w:val="00B06241"/>
    <w:rsid w:val="00B276FD"/>
    <w:rsid w:val="00B31121"/>
    <w:rsid w:val="00B36C3A"/>
    <w:rsid w:val="00B37FB0"/>
    <w:rsid w:val="00B52A50"/>
    <w:rsid w:val="00B64EF4"/>
    <w:rsid w:val="00B76DEE"/>
    <w:rsid w:val="00B804C7"/>
    <w:rsid w:val="00B95FFE"/>
    <w:rsid w:val="00BA657E"/>
    <w:rsid w:val="00BE1703"/>
    <w:rsid w:val="00BF4781"/>
    <w:rsid w:val="00C30243"/>
    <w:rsid w:val="00C5390F"/>
    <w:rsid w:val="00C55221"/>
    <w:rsid w:val="00C967EC"/>
    <w:rsid w:val="00CB0CC4"/>
    <w:rsid w:val="00CB6CED"/>
    <w:rsid w:val="00CD0861"/>
    <w:rsid w:val="00CF1A8E"/>
    <w:rsid w:val="00CF75C4"/>
    <w:rsid w:val="00D17D77"/>
    <w:rsid w:val="00D31993"/>
    <w:rsid w:val="00D46428"/>
    <w:rsid w:val="00DA034B"/>
    <w:rsid w:val="00DF5653"/>
    <w:rsid w:val="00E02AB5"/>
    <w:rsid w:val="00E26251"/>
    <w:rsid w:val="00E3531F"/>
    <w:rsid w:val="00E47CC5"/>
    <w:rsid w:val="00E53154"/>
    <w:rsid w:val="00E6583F"/>
    <w:rsid w:val="00E71644"/>
    <w:rsid w:val="00E727F7"/>
    <w:rsid w:val="00E85BE9"/>
    <w:rsid w:val="00E86D22"/>
    <w:rsid w:val="00E91027"/>
    <w:rsid w:val="00E97048"/>
    <w:rsid w:val="00EB27C1"/>
    <w:rsid w:val="00EB5AC6"/>
    <w:rsid w:val="00EC2690"/>
    <w:rsid w:val="00EC718F"/>
    <w:rsid w:val="00ED1A95"/>
    <w:rsid w:val="00EF019D"/>
    <w:rsid w:val="00F027DA"/>
    <w:rsid w:val="00F04ADE"/>
    <w:rsid w:val="00F35A29"/>
    <w:rsid w:val="00F54B99"/>
    <w:rsid w:val="00F657A2"/>
    <w:rsid w:val="00F912EB"/>
    <w:rsid w:val="00F923C7"/>
    <w:rsid w:val="00F96AFF"/>
    <w:rsid w:val="00FA669C"/>
    <w:rsid w:val="00FB47ED"/>
    <w:rsid w:val="00FC0BA3"/>
    <w:rsid w:val="00FD0F0A"/>
    <w:rsid w:val="00FD4AD5"/>
    <w:rsid w:val="00FF2BC1"/>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19FEF"/>
  <w15:chartTrackingRefBased/>
  <w15:docId w15:val="{6593B4C8-9B45-B443-8757-6E6AB264C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D2B"/>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6C7D2B"/>
    <w:pPr>
      <w:spacing w:line="360" w:lineRule="auto"/>
      <w:outlineLvl w:val="0"/>
    </w:pPr>
    <w:rPr>
      <w:b/>
      <w:sz w:val="28"/>
      <w:lang w:val="en-GB"/>
    </w:rPr>
  </w:style>
  <w:style w:type="paragraph" w:styleId="Heading3">
    <w:name w:val="heading 3"/>
    <w:basedOn w:val="Normal"/>
    <w:next w:val="Normal"/>
    <w:link w:val="Heading3Char"/>
    <w:uiPriority w:val="9"/>
    <w:unhideWhenUsed/>
    <w:qFormat/>
    <w:rsid w:val="004F687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544A8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7046D1"/>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D2B"/>
    <w:rPr>
      <w:rFonts w:ascii="Times New Roman" w:eastAsia="Times New Roman" w:hAnsi="Times New Roman" w:cs="Times New Roman"/>
      <w:b/>
      <w:kern w:val="0"/>
      <w:sz w:val="28"/>
      <w:lang w:val="en-GB" w:eastAsia="en-GB"/>
      <w14:ligatures w14:val="none"/>
    </w:rPr>
  </w:style>
  <w:style w:type="paragraph" w:customStyle="1" w:styleId="APA">
    <w:name w:val="APA"/>
    <w:basedOn w:val="Normal"/>
    <w:qFormat/>
    <w:rsid w:val="006C7D2B"/>
    <w:pPr>
      <w:spacing w:line="360" w:lineRule="auto"/>
    </w:pPr>
    <w:rPr>
      <w:lang w:val="en-GB"/>
    </w:rPr>
  </w:style>
  <w:style w:type="character" w:customStyle="1" w:styleId="rynqvb">
    <w:name w:val="rynqvb"/>
    <w:basedOn w:val="DefaultParagraphFont"/>
    <w:rsid w:val="006C7D2B"/>
  </w:style>
  <w:style w:type="paragraph" w:styleId="NormalWeb">
    <w:name w:val="Normal (Web)"/>
    <w:basedOn w:val="Normal"/>
    <w:uiPriority w:val="99"/>
    <w:unhideWhenUsed/>
    <w:rsid w:val="005B603F"/>
    <w:pPr>
      <w:spacing w:before="100" w:beforeAutospacing="1" w:after="100" w:afterAutospacing="1"/>
    </w:pPr>
  </w:style>
  <w:style w:type="character" w:customStyle="1" w:styleId="Heading3Char">
    <w:name w:val="Heading 3 Char"/>
    <w:basedOn w:val="DefaultParagraphFont"/>
    <w:link w:val="Heading3"/>
    <w:uiPriority w:val="9"/>
    <w:rsid w:val="004F6876"/>
    <w:rPr>
      <w:rFonts w:asciiTheme="majorHAnsi" w:eastAsiaTheme="majorEastAsia" w:hAnsiTheme="majorHAnsi" w:cstheme="majorBidi"/>
      <w:color w:val="1F3763" w:themeColor="accent1" w:themeShade="7F"/>
      <w:kern w:val="0"/>
      <w:lang w:eastAsia="en-GB"/>
      <w14:ligatures w14:val="none"/>
    </w:rPr>
  </w:style>
  <w:style w:type="paragraph" w:styleId="ListParagraph">
    <w:name w:val="List Paragraph"/>
    <w:basedOn w:val="Normal"/>
    <w:uiPriority w:val="34"/>
    <w:qFormat/>
    <w:rsid w:val="004B3789"/>
    <w:pPr>
      <w:ind w:left="720"/>
      <w:contextualSpacing/>
    </w:pPr>
  </w:style>
  <w:style w:type="character" w:customStyle="1" w:styleId="Heading4Char">
    <w:name w:val="Heading 4 Char"/>
    <w:basedOn w:val="DefaultParagraphFont"/>
    <w:link w:val="Heading4"/>
    <w:uiPriority w:val="9"/>
    <w:rsid w:val="00544A8C"/>
    <w:rPr>
      <w:rFonts w:asciiTheme="majorHAnsi" w:eastAsiaTheme="majorEastAsia" w:hAnsiTheme="majorHAnsi" w:cstheme="majorBidi"/>
      <w:i/>
      <w:iCs/>
      <w:color w:val="2F5496" w:themeColor="accent1" w:themeShade="BF"/>
      <w:kern w:val="0"/>
      <w:lang w:eastAsia="en-GB"/>
      <w14:ligatures w14:val="none"/>
    </w:rPr>
  </w:style>
  <w:style w:type="character" w:customStyle="1" w:styleId="Heading5Char">
    <w:name w:val="Heading 5 Char"/>
    <w:basedOn w:val="DefaultParagraphFont"/>
    <w:link w:val="Heading5"/>
    <w:uiPriority w:val="9"/>
    <w:rsid w:val="007046D1"/>
    <w:rPr>
      <w:rFonts w:asciiTheme="majorHAnsi" w:eastAsiaTheme="majorEastAsia" w:hAnsiTheme="majorHAnsi" w:cstheme="majorBidi"/>
      <w:color w:val="2F5496" w:themeColor="accent1" w:themeShade="BF"/>
      <w:kern w:val="0"/>
      <w:lang w:eastAsia="en-GB"/>
      <w14:ligatures w14:val="none"/>
    </w:rPr>
  </w:style>
  <w:style w:type="character" w:customStyle="1" w:styleId="fontstyle01">
    <w:name w:val="fontstyle01"/>
    <w:basedOn w:val="DefaultParagraphFont"/>
    <w:rsid w:val="007046D1"/>
    <w:rPr>
      <w:rFonts w:ascii="TimesNewRoman" w:hAnsi="TimesNewRoman" w:hint="default"/>
      <w:b w:val="0"/>
      <w:bCs w:val="0"/>
      <w:i w:val="0"/>
      <w:iCs w:val="0"/>
      <w:color w:val="000000"/>
      <w:sz w:val="24"/>
      <w:szCs w:val="24"/>
    </w:rPr>
  </w:style>
  <w:style w:type="paragraph" w:styleId="NoSpacing">
    <w:name w:val="No Spacing"/>
    <w:uiPriority w:val="1"/>
    <w:qFormat/>
    <w:rsid w:val="007046D1"/>
    <w:rPr>
      <w:rFonts w:eastAsiaTheme="minorEastAsia"/>
      <w:kern w:val="0"/>
      <w:sz w:val="22"/>
      <w:szCs w:val="22"/>
      <w:lang w:val="en-GB"/>
      <w14:ligatures w14:val="none"/>
    </w:rPr>
  </w:style>
  <w:style w:type="paragraph" w:customStyle="1" w:styleId="paragraph">
    <w:name w:val="paragraph"/>
    <w:basedOn w:val="Normal"/>
    <w:rsid w:val="007046D1"/>
    <w:pPr>
      <w:spacing w:before="100" w:beforeAutospacing="1" w:after="100" w:afterAutospacing="1"/>
    </w:pPr>
    <w:rPr>
      <w:lang w:val="en-US"/>
    </w:rPr>
  </w:style>
  <w:style w:type="character" w:customStyle="1" w:styleId="eop">
    <w:name w:val="eop"/>
    <w:basedOn w:val="DefaultParagraphFont"/>
    <w:rsid w:val="007046D1"/>
  </w:style>
  <w:style w:type="character" w:customStyle="1" w:styleId="normaltextrun">
    <w:name w:val="normaltextrun"/>
    <w:basedOn w:val="DefaultParagraphFont"/>
    <w:rsid w:val="007046D1"/>
  </w:style>
  <w:style w:type="paragraph" w:customStyle="1" w:styleId="pedit">
    <w:name w:val="p_edit"/>
    <w:basedOn w:val="Normal"/>
    <w:rsid w:val="00873609"/>
    <w:pPr>
      <w:spacing w:before="100" w:beforeAutospacing="1" w:after="100" w:afterAutospacing="1"/>
    </w:pPr>
  </w:style>
  <w:style w:type="paragraph" w:styleId="Header">
    <w:name w:val="header"/>
    <w:basedOn w:val="Normal"/>
    <w:link w:val="HeaderChar"/>
    <w:uiPriority w:val="99"/>
    <w:unhideWhenUsed/>
    <w:rsid w:val="00ED1A95"/>
    <w:pPr>
      <w:tabs>
        <w:tab w:val="center" w:pos="4513"/>
        <w:tab w:val="right" w:pos="9026"/>
      </w:tabs>
    </w:pPr>
  </w:style>
  <w:style w:type="character" w:customStyle="1" w:styleId="HeaderChar">
    <w:name w:val="Header Char"/>
    <w:basedOn w:val="DefaultParagraphFont"/>
    <w:link w:val="Header"/>
    <w:uiPriority w:val="99"/>
    <w:rsid w:val="00ED1A95"/>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ED1A95"/>
    <w:pPr>
      <w:tabs>
        <w:tab w:val="center" w:pos="4513"/>
        <w:tab w:val="right" w:pos="9026"/>
      </w:tabs>
    </w:pPr>
  </w:style>
  <w:style w:type="character" w:customStyle="1" w:styleId="FooterChar">
    <w:name w:val="Footer Char"/>
    <w:basedOn w:val="DefaultParagraphFont"/>
    <w:link w:val="Footer"/>
    <w:uiPriority w:val="99"/>
    <w:rsid w:val="00ED1A95"/>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ED1A95"/>
  </w:style>
  <w:style w:type="character" w:styleId="Strong">
    <w:name w:val="Strong"/>
    <w:basedOn w:val="DefaultParagraphFont"/>
    <w:uiPriority w:val="22"/>
    <w:qFormat/>
    <w:rsid w:val="003C440C"/>
    <w:rPr>
      <w:b/>
      <w:bCs/>
    </w:rPr>
  </w:style>
  <w:style w:type="paragraph" w:styleId="Bibliography">
    <w:name w:val="Bibliography"/>
    <w:basedOn w:val="Normal"/>
    <w:next w:val="Normal"/>
    <w:uiPriority w:val="37"/>
    <w:unhideWhenUsed/>
    <w:rsid w:val="007045C7"/>
    <w:pPr>
      <w:spacing w:line="480" w:lineRule="auto"/>
      <w:ind w:left="720" w:hanging="720"/>
    </w:pPr>
  </w:style>
  <w:style w:type="character" w:styleId="Hyperlink">
    <w:name w:val="Hyperlink"/>
    <w:basedOn w:val="DefaultParagraphFont"/>
    <w:uiPriority w:val="99"/>
    <w:unhideWhenUsed/>
    <w:rsid w:val="00D17D77"/>
    <w:rPr>
      <w:color w:val="0000FF"/>
      <w:u w:val="single"/>
    </w:rPr>
  </w:style>
  <w:style w:type="character" w:styleId="FollowedHyperlink">
    <w:name w:val="FollowedHyperlink"/>
    <w:basedOn w:val="DefaultParagraphFont"/>
    <w:uiPriority w:val="99"/>
    <w:semiHidden/>
    <w:unhideWhenUsed/>
    <w:rsid w:val="00D17D77"/>
    <w:rPr>
      <w:color w:val="954F72" w:themeColor="followedHyperlink"/>
      <w:u w:val="single"/>
    </w:rPr>
  </w:style>
  <w:style w:type="character" w:styleId="UnresolvedMention">
    <w:name w:val="Unresolved Mention"/>
    <w:basedOn w:val="DefaultParagraphFont"/>
    <w:uiPriority w:val="99"/>
    <w:semiHidden/>
    <w:unhideWhenUsed/>
    <w:rsid w:val="00D17D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6155250">
      <w:bodyDiv w:val="1"/>
      <w:marLeft w:val="0"/>
      <w:marRight w:val="0"/>
      <w:marTop w:val="0"/>
      <w:marBottom w:val="0"/>
      <w:divBdr>
        <w:top w:val="none" w:sz="0" w:space="0" w:color="auto"/>
        <w:left w:val="none" w:sz="0" w:space="0" w:color="auto"/>
        <w:bottom w:val="none" w:sz="0" w:space="0" w:color="auto"/>
        <w:right w:val="none" w:sz="0" w:space="0" w:color="auto"/>
      </w:divBdr>
    </w:div>
    <w:div w:id="267276622">
      <w:bodyDiv w:val="1"/>
      <w:marLeft w:val="0"/>
      <w:marRight w:val="0"/>
      <w:marTop w:val="0"/>
      <w:marBottom w:val="0"/>
      <w:divBdr>
        <w:top w:val="none" w:sz="0" w:space="0" w:color="auto"/>
        <w:left w:val="none" w:sz="0" w:space="0" w:color="auto"/>
        <w:bottom w:val="none" w:sz="0" w:space="0" w:color="auto"/>
        <w:right w:val="none" w:sz="0" w:space="0" w:color="auto"/>
      </w:divBdr>
      <w:divsChild>
        <w:div w:id="1065449451">
          <w:marLeft w:val="0"/>
          <w:marRight w:val="0"/>
          <w:marTop w:val="0"/>
          <w:marBottom w:val="0"/>
          <w:divBdr>
            <w:top w:val="none" w:sz="0" w:space="0" w:color="auto"/>
            <w:left w:val="none" w:sz="0" w:space="0" w:color="auto"/>
            <w:bottom w:val="none" w:sz="0" w:space="0" w:color="auto"/>
            <w:right w:val="none" w:sz="0" w:space="0" w:color="auto"/>
          </w:divBdr>
          <w:divsChild>
            <w:div w:id="1300768472">
              <w:marLeft w:val="0"/>
              <w:marRight w:val="0"/>
              <w:marTop w:val="0"/>
              <w:marBottom w:val="0"/>
              <w:divBdr>
                <w:top w:val="none" w:sz="0" w:space="0" w:color="auto"/>
                <w:left w:val="none" w:sz="0" w:space="0" w:color="auto"/>
                <w:bottom w:val="none" w:sz="0" w:space="0" w:color="auto"/>
                <w:right w:val="none" w:sz="0" w:space="0" w:color="auto"/>
              </w:divBdr>
              <w:divsChild>
                <w:div w:id="1304391730">
                  <w:marLeft w:val="0"/>
                  <w:marRight w:val="0"/>
                  <w:marTop w:val="0"/>
                  <w:marBottom w:val="0"/>
                  <w:divBdr>
                    <w:top w:val="none" w:sz="0" w:space="0" w:color="auto"/>
                    <w:left w:val="none" w:sz="0" w:space="0" w:color="auto"/>
                    <w:bottom w:val="none" w:sz="0" w:space="0" w:color="auto"/>
                    <w:right w:val="none" w:sz="0" w:space="0" w:color="auto"/>
                  </w:divBdr>
                  <w:divsChild>
                    <w:div w:id="175986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767045">
      <w:bodyDiv w:val="1"/>
      <w:marLeft w:val="0"/>
      <w:marRight w:val="0"/>
      <w:marTop w:val="0"/>
      <w:marBottom w:val="0"/>
      <w:divBdr>
        <w:top w:val="none" w:sz="0" w:space="0" w:color="auto"/>
        <w:left w:val="none" w:sz="0" w:space="0" w:color="auto"/>
        <w:bottom w:val="none" w:sz="0" w:space="0" w:color="auto"/>
        <w:right w:val="none" w:sz="0" w:space="0" w:color="auto"/>
      </w:divBdr>
    </w:div>
    <w:div w:id="771048971">
      <w:bodyDiv w:val="1"/>
      <w:marLeft w:val="0"/>
      <w:marRight w:val="0"/>
      <w:marTop w:val="0"/>
      <w:marBottom w:val="0"/>
      <w:divBdr>
        <w:top w:val="none" w:sz="0" w:space="0" w:color="auto"/>
        <w:left w:val="none" w:sz="0" w:space="0" w:color="auto"/>
        <w:bottom w:val="none" w:sz="0" w:space="0" w:color="auto"/>
        <w:right w:val="none" w:sz="0" w:space="0" w:color="auto"/>
      </w:divBdr>
    </w:div>
    <w:div w:id="778794134">
      <w:bodyDiv w:val="1"/>
      <w:marLeft w:val="0"/>
      <w:marRight w:val="0"/>
      <w:marTop w:val="0"/>
      <w:marBottom w:val="0"/>
      <w:divBdr>
        <w:top w:val="none" w:sz="0" w:space="0" w:color="auto"/>
        <w:left w:val="none" w:sz="0" w:space="0" w:color="auto"/>
        <w:bottom w:val="none" w:sz="0" w:space="0" w:color="auto"/>
        <w:right w:val="none" w:sz="0" w:space="0" w:color="auto"/>
      </w:divBdr>
    </w:div>
    <w:div w:id="805709014">
      <w:bodyDiv w:val="1"/>
      <w:marLeft w:val="0"/>
      <w:marRight w:val="0"/>
      <w:marTop w:val="0"/>
      <w:marBottom w:val="0"/>
      <w:divBdr>
        <w:top w:val="none" w:sz="0" w:space="0" w:color="auto"/>
        <w:left w:val="none" w:sz="0" w:space="0" w:color="auto"/>
        <w:bottom w:val="none" w:sz="0" w:space="0" w:color="auto"/>
        <w:right w:val="none" w:sz="0" w:space="0" w:color="auto"/>
      </w:divBdr>
    </w:div>
    <w:div w:id="985087035">
      <w:bodyDiv w:val="1"/>
      <w:marLeft w:val="0"/>
      <w:marRight w:val="0"/>
      <w:marTop w:val="0"/>
      <w:marBottom w:val="0"/>
      <w:divBdr>
        <w:top w:val="none" w:sz="0" w:space="0" w:color="auto"/>
        <w:left w:val="none" w:sz="0" w:space="0" w:color="auto"/>
        <w:bottom w:val="none" w:sz="0" w:space="0" w:color="auto"/>
        <w:right w:val="none" w:sz="0" w:space="0" w:color="auto"/>
      </w:divBdr>
    </w:div>
    <w:div w:id="1161971360">
      <w:bodyDiv w:val="1"/>
      <w:marLeft w:val="0"/>
      <w:marRight w:val="0"/>
      <w:marTop w:val="0"/>
      <w:marBottom w:val="0"/>
      <w:divBdr>
        <w:top w:val="none" w:sz="0" w:space="0" w:color="auto"/>
        <w:left w:val="none" w:sz="0" w:space="0" w:color="auto"/>
        <w:bottom w:val="none" w:sz="0" w:space="0" w:color="auto"/>
        <w:right w:val="none" w:sz="0" w:space="0" w:color="auto"/>
      </w:divBdr>
    </w:div>
    <w:div w:id="1653872610">
      <w:bodyDiv w:val="1"/>
      <w:marLeft w:val="0"/>
      <w:marRight w:val="0"/>
      <w:marTop w:val="0"/>
      <w:marBottom w:val="0"/>
      <w:divBdr>
        <w:top w:val="none" w:sz="0" w:space="0" w:color="auto"/>
        <w:left w:val="none" w:sz="0" w:space="0" w:color="auto"/>
        <w:bottom w:val="none" w:sz="0" w:space="0" w:color="auto"/>
        <w:right w:val="none" w:sz="0" w:space="0" w:color="auto"/>
      </w:divBdr>
    </w:div>
    <w:div w:id="1805811588">
      <w:bodyDiv w:val="1"/>
      <w:marLeft w:val="0"/>
      <w:marRight w:val="0"/>
      <w:marTop w:val="0"/>
      <w:marBottom w:val="0"/>
      <w:divBdr>
        <w:top w:val="none" w:sz="0" w:space="0" w:color="auto"/>
        <w:left w:val="none" w:sz="0" w:space="0" w:color="auto"/>
        <w:bottom w:val="none" w:sz="0" w:space="0" w:color="auto"/>
        <w:right w:val="none" w:sz="0" w:space="0" w:color="auto"/>
      </w:divBdr>
    </w:div>
    <w:div w:id="2017881092">
      <w:bodyDiv w:val="1"/>
      <w:marLeft w:val="0"/>
      <w:marRight w:val="0"/>
      <w:marTop w:val="0"/>
      <w:marBottom w:val="0"/>
      <w:divBdr>
        <w:top w:val="none" w:sz="0" w:space="0" w:color="auto"/>
        <w:left w:val="none" w:sz="0" w:space="0" w:color="auto"/>
        <w:bottom w:val="none" w:sz="0" w:space="0" w:color="auto"/>
        <w:right w:val="none" w:sz="0" w:space="0" w:color="auto"/>
      </w:divBdr>
    </w:div>
    <w:div w:id="2128885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ate.cingiene@smk.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D8B9D-F4DB-8A49-BE56-E8C6AF9ED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16820</Words>
  <Characters>95880</Characters>
  <Application>Microsoft Office Word</Application>
  <DocSecurity>0</DocSecurity>
  <Lines>799</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2024-08-02T11:26:00Z</cp:lastPrinted>
  <dcterms:created xsi:type="dcterms:W3CDTF">2024-08-02T12:19:00Z</dcterms:created>
  <dcterms:modified xsi:type="dcterms:W3CDTF">2024-08-02T12:19:00Z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id="RXQZ2wWt"/&gt;&lt;style id="http://www.zotero.org/styles/apa" locale="en-GB"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