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8C4029" w14:textId="77777777" w:rsidR="000064D4" w:rsidRPr="00AE4E03" w:rsidRDefault="000064D4" w:rsidP="000064D4">
      <w:pPr>
        <w:pStyle w:val="Heading1"/>
        <w:spacing w:line="240" w:lineRule="auto"/>
        <w:jc w:val="center"/>
        <w:rPr>
          <w:rFonts w:ascii="Times New Roman" w:eastAsia="Times New Roman" w:hAnsi="Times New Roman" w:cs="Times New Roman"/>
          <w:b/>
          <w:bCs/>
          <w:color w:val="000000" w:themeColor="text1"/>
          <w:lang w:eastAsia="en-IN" w:bidi="ml-IN"/>
        </w:rPr>
      </w:pPr>
      <w:r w:rsidRPr="00AE4E03">
        <w:rPr>
          <w:rFonts w:ascii="Times New Roman" w:eastAsia="Times New Roman" w:hAnsi="Times New Roman" w:cs="Times New Roman"/>
          <w:b/>
          <w:bCs/>
          <w:color w:val="000000" w:themeColor="text1"/>
          <w:lang w:eastAsia="en-IN" w:bidi="ml-IN"/>
        </w:rPr>
        <w:t>Beyond the Call of Duty: Exploring Early Career Nurses' Resilience and Commitment in the Face of Workplace Challenges</w:t>
      </w:r>
    </w:p>
    <w:p w14:paraId="25862BDB" w14:textId="77777777" w:rsidR="000064D4" w:rsidRPr="00AE4E03" w:rsidRDefault="000064D4" w:rsidP="000064D4">
      <w:pPr>
        <w:rPr>
          <w:color w:val="000000" w:themeColor="text1"/>
          <w:lang w:eastAsia="en-IN" w:bidi="ml-IN"/>
        </w:rPr>
      </w:pPr>
    </w:p>
    <w:p w14:paraId="274D2490" w14:textId="77777777" w:rsidR="000064D4" w:rsidRPr="00AE4E03" w:rsidRDefault="000064D4" w:rsidP="000064D4">
      <w:pPr>
        <w:jc w:val="center"/>
        <w:rPr>
          <w:rFonts w:ascii="Times New Roman" w:eastAsia="Times New Roman" w:hAnsi="Times New Roman" w:cs="Times New Roman"/>
          <w:color w:val="000000" w:themeColor="text1"/>
          <w:kern w:val="0"/>
          <w:sz w:val="24"/>
          <w:szCs w:val="24"/>
          <w:lang w:eastAsia="en-IN" w:bidi="ml-IN"/>
          <w14:ligatures w14:val="none"/>
        </w:rPr>
      </w:pPr>
    </w:p>
    <w:p w14:paraId="55805E09" w14:textId="77777777" w:rsidR="000064D4" w:rsidRPr="00AE4E03" w:rsidRDefault="000064D4" w:rsidP="000064D4">
      <w:pPr>
        <w:jc w:val="center"/>
        <w:rPr>
          <w:rFonts w:ascii="Times New Roman" w:eastAsia="Times New Roman" w:hAnsi="Times New Roman" w:cs="Times New Roman"/>
          <w:color w:val="000000" w:themeColor="text1"/>
          <w:kern w:val="0"/>
          <w:sz w:val="24"/>
          <w:szCs w:val="24"/>
          <w:lang w:eastAsia="en-IN" w:bidi="ml-IN"/>
          <w14:ligatures w14:val="none"/>
        </w:rPr>
      </w:pPr>
    </w:p>
    <w:p w14:paraId="38A4622D" w14:textId="77777777" w:rsidR="000064D4" w:rsidRPr="00AE4E03" w:rsidRDefault="000064D4" w:rsidP="000064D4">
      <w:pPr>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Rahul Sivarajan,</w:t>
      </w:r>
    </w:p>
    <w:p w14:paraId="15572933" w14:textId="77777777" w:rsidR="000064D4" w:rsidRPr="00AE4E03" w:rsidRDefault="000064D4" w:rsidP="000064D4">
      <w:pPr>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Assistant Professor, School of Humanities, Social Sciences and Management,</w:t>
      </w:r>
    </w:p>
    <w:p w14:paraId="4BD43CA1" w14:textId="77777777" w:rsidR="000064D4" w:rsidRPr="00AE4E03" w:rsidRDefault="000064D4" w:rsidP="000064D4">
      <w:pPr>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National Institute of Technology Karnataka, Surathkal</w:t>
      </w:r>
    </w:p>
    <w:p w14:paraId="2826C1AF" w14:textId="77777777" w:rsidR="000064D4" w:rsidRPr="00AE4E03" w:rsidRDefault="000064D4" w:rsidP="000064D4">
      <w:pPr>
        <w:jc w:val="center"/>
        <w:rPr>
          <w:rFonts w:ascii="Times New Roman" w:eastAsia="Times New Roman" w:hAnsi="Times New Roman" w:cs="Times New Roman"/>
          <w:color w:val="000000" w:themeColor="text1"/>
          <w:kern w:val="0"/>
          <w:sz w:val="24"/>
          <w:szCs w:val="24"/>
          <w:lang w:eastAsia="en-IN" w:bidi="ml-IN"/>
          <w14:ligatures w14:val="none"/>
        </w:rPr>
      </w:pPr>
      <w:hyperlink r:id="rId4" w:history="1">
        <w:r w:rsidRPr="00AE4E03">
          <w:rPr>
            <w:rStyle w:val="Hyperlink"/>
            <w:rFonts w:ascii="Times New Roman" w:eastAsia="Times New Roman" w:hAnsi="Times New Roman" w:cs="Times New Roman"/>
            <w:color w:val="000000" w:themeColor="text1"/>
            <w:kern w:val="0"/>
            <w:sz w:val="24"/>
            <w:szCs w:val="24"/>
            <w:lang w:eastAsia="en-IN" w:bidi="ml-IN"/>
            <w14:ligatures w14:val="none"/>
          </w:rPr>
          <w:t>rahul.skn@nitk.edu.in</w:t>
        </w:r>
      </w:hyperlink>
    </w:p>
    <w:p w14:paraId="71E11E34" w14:textId="77777777" w:rsidR="000064D4" w:rsidRPr="00AE4E03" w:rsidRDefault="000064D4" w:rsidP="000064D4">
      <w:pPr>
        <w:jc w:val="center"/>
        <w:rPr>
          <w:rFonts w:ascii="Times New Roman" w:eastAsia="Times New Roman" w:hAnsi="Times New Roman" w:cs="Times New Roman"/>
          <w:color w:val="000000" w:themeColor="text1"/>
          <w:kern w:val="0"/>
          <w:sz w:val="24"/>
          <w:szCs w:val="24"/>
          <w:lang w:eastAsia="en-IN" w:bidi="ml-IN"/>
          <w14:ligatures w14:val="none"/>
        </w:rPr>
      </w:pPr>
    </w:p>
    <w:p w14:paraId="6450A39B" w14:textId="77777777" w:rsidR="000064D4" w:rsidRPr="00AE4E03" w:rsidRDefault="000064D4" w:rsidP="000064D4">
      <w:pPr>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Aparna M Varma</w:t>
      </w:r>
    </w:p>
    <w:p w14:paraId="04A14EC0" w14:textId="77777777" w:rsidR="000064D4" w:rsidRPr="00AE4E03" w:rsidRDefault="000064D4" w:rsidP="000064D4">
      <w:pPr>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Doctoral Scholar, OBHRM Area,</w:t>
      </w:r>
    </w:p>
    <w:p w14:paraId="3B56BC45" w14:textId="77777777" w:rsidR="000064D4" w:rsidRPr="00AE4E03" w:rsidRDefault="000064D4" w:rsidP="000064D4">
      <w:pPr>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Indian Institute of Management Kozhikode,</w:t>
      </w:r>
    </w:p>
    <w:p w14:paraId="09817677" w14:textId="77777777" w:rsidR="000064D4" w:rsidRPr="00AE4E03" w:rsidRDefault="000064D4" w:rsidP="000064D4">
      <w:pPr>
        <w:jc w:val="center"/>
        <w:rPr>
          <w:rFonts w:ascii="Times New Roman" w:eastAsia="Times New Roman" w:hAnsi="Times New Roman" w:cs="Times New Roman"/>
          <w:color w:val="000000" w:themeColor="text1"/>
          <w:kern w:val="0"/>
          <w:sz w:val="24"/>
          <w:szCs w:val="24"/>
          <w:lang w:eastAsia="en-IN" w:bidi="ml-IN"/>
          <w14:ligatures w14:val="none"/>
        </w:rPr>
      </w:pPr>
      <w:hyperlink r:id="rId5" w:history="1">
        <w:r w:rsidRPr="00AE4E03">
          <w:rPr>
            <w:rStyle w:val="Hyperlink"/>
            <w:rFonts w:ascii="Times New Roman" w:eastAsia="Times New Roman" w:hAnsi="Times New Roman" w:cs="Times New Roman"/>
            <w:color w:val="000000" w:themeColor="text1"/>
            <w:kern w:val="0"/>
            <w:sz w:val="24"/>
            <w:szCs w:val="24"/>
            <w:lang w:eastAsia="en-IN" w:bidi="ml-IN"/>
            <w14:ligatures w14:val="none"/>
          </w:rPr>
          <w:t>aparnam14phd@iimk.ac.in</w:t>
        </w:r>
      </w:hyperlink>
    </w:p>
    <w:p w14:paraId="46AA6D13" w14:textId="77777777" w:rsidR="000064D4" w:rsidRPr="00AE4E03" w:rsidRDefault="000064D4" w:rsidP="000064D4">
      <w:pPr>
        <w:rPr>
          <w:rFonts w:ascii="Times New Roman" w:eastAsia="Times New Roman" w:hAnsi="Times New Roman" w:cs="Times New Roman"/>
          <w:color w:val="000000" w:themeColor="text1"/>
          <w:kern w:val="0"/>
          <w:sz w:val="24"/>
          <w:szCs w:val="24"/>
          <w:lang w:eastAsia="en-IN" w:bidi="ml-IN"/>
          <w14:ligatures w14:val="none"/>
        </w:rPr>
      </w:pPr>
    </w:p>
    <w:p w14:paraId="13275470" w14:textId="77777777" w:rsidR="000064D4" w:rsidRPr="00AE4E03" w:rsidRDefault="000064D4" w:rsidP="000064D4">
      <w:pPr>
        <w:spacing w:line="240" w:lineRule="auto"/>
        <w:rPr>
          <w:color w:val="000000" w:themeColor="text1"/>
          <w:lang w:eastAsia="en-IN" w:bidi="ml-IN"/>
        </w:rPr>
      </w:pPr>
    </w:p>
    <w:p w14:paraId="66DEFAB1" w14:textId="77777777" w:rsidR="000064D4" w:rsidRPr="00AE4E03" w:rsidRDefault="000064D4" w:rsidP="000064D4">
      <w:pPr>
        <w:pStyle w:val="Heading2"/>
        <w:spacing w:line="240" w:lineRule="auto"/>
        <w:jc w:val="center"/>
        <w:rPr>
          <w:rFonts w:ascii="Times New Roman" w:eastAsia="Times New Roman" w:hAnsi="Times New Roman" w:cs="Times New Roman"/>
          <w:b/>
          <w:bCs/>
          <w:color w:val="000000" w:themeColor="text1"/>
          <w:lang w:eastAsia="en-IN" w:bidi="ml-IN"/>
        </w:rPr>
      </w:pPr>
    </w:p>
    <w:p w14:paraId="13444660" w14:textId="77777777" w:rsidR="000064D4" w:rsidRPr="00AE4E03" w:rsidRDefault="000064D4" w:rsidP="000064D4">
      <w:pPr>
        <w:pStyle w:val="Heading2"/>
        <w:spacing w:line="240" w:lineRule="auto"/>
        <w:jc w:val="center"/>
        <w:rPr>
          <w:rFonts w:ascii="Times New Roman" w:eastAsia="Times New Roman" w:hAnsi="Times New Roman" w:cs="Times New Roman"/>
          <w:b/>
          <w:bCs/>
          <w:color w:val="000000" w:themeColor="text1"/>
          <w:lang w:eastAsia="en-IN" w:bidi="ml-IN"/>
        </w:rPr>
      </w:pPr>
    </w:p>
    <w:p w14:paraId="3D4C7DD5" w14:textId="77777777" w:rsidR="000064D4" w:rsidRPr="00AE4E03" w:rsidRDefault="000064D4" w:rsidP="000064D4">
      <w:pPr>
        <w:pStyle w:val="Heading2"/>
        <w:spacing w:line="240" w:lineRule="auto"/>
        <w:jc w:val="center"/>
        <w:rPr>
          <w:rFonts w:ascii="Times New Roman" w:eastAsia="Times New Roman" w:hAnsi="Times New Roman" w:cs="Times New Roman"/>
          <w:b/>
          <w:bCs/>
          <w:color w:val="000000" w:themeColor="text1"/>
          <w:lang w:eastAsia="en-IN" w:bidi="ml-IN"/>
        </w:rPr>
      </w:pPr>
    </w:p>
    <w:p w14:paraId="3A842D9F" w14:textId="77777777" w:rsidR="000064D4" w:rsidRPr="00AE4E03" w:rsidRDefault="000064D4" w:rsidP="000064D4">
      <w:pPr>
        <w:pStyle w:val="Heading2"/>
        <w:spacing w:line="240" w:lineRule="auto"/>
        <w:jc w:val="center"/>
        <w:rPr>
          <w:rFonts w:ascii="Times New Roman" w:eastAsia="Times New Roman" w:hAnsi="Times New Roman" w:cs="Times New Roman"/>
          <w:b/>
          <w:bCs/>
          <w:color w:val="000000" w:themeColor="text1"/>
          <w:lang w:eastAsia="en-IN" w:bidi="ml-IN"/>
        </w:rPr>
      </w:pPr>
    </w:p>
    <w:p w14:paraId="7BD6ED0C" w14:textId="77777777" w:rsidR="000064D4" w:rsidRPr="00AE4E03" w:rsidRDefault="000064D4" w:rsidP="000064D4">
      <w:pPr>
        <w:pStyle w:val="Heading2"/>
        <w:spacing w:line="240" w:lineRule="auto"/>
        <w:jc w:val="center"/>
        <w:rPr>
          <w:rFonts w:ascii="Times New Roman" w:eastAsia="Times New Roman" w:hAnsi="Times New Roman" w:cs="Times New Roman"/>
          <w:b/>
          <w:bCs/>
          <w:color w:val="000000" w:themeColor="text1"/>
          <w:lang w:eastAsia="en-IN" w:bidi="ml-IN"/>
        </w:rPr>
      </w:pPr>
    </w:p>
    <w:p w14:paraId="7F50DFB7" w14:textId="77777777" w:rsidR="000064D4" w:rsidRPr="00AE4E03" w:rsidRDefault="000064D4" w:rsidP="000064D4">
      <w:pPr>
        <w:pStyle w:val="Heading2"/>
        <w:spacing w:line="240" w:lineRule="auto"/>
        <w:jc w:val="center"/>
        <w:rPr>
          <w:rFonts w:ascii="Times New Roman" w:eastAsia="Times New Roman" w:hAnsi="Times New Roman" w:cs="Times New Roman"/>
          <w:b/>
          <w:bCs/>
          <w:color w:val="000000" w:themeColor="text1"/>
          <w:lang w:eastAsia="en-IN" w:bidi="ml-IN"/>
        </w:rPr>
      </w:pPr>
    </w:p>
    <w:p w14:paraId="5CA36125" w14:textId="77777777" w:rsidR="000064D4" w:rsidRPr="00AE4E03" w:rsidRDefault="000064D4" w:rsidP="000064D4">
      <w:pPr>
        <w:pStyle w:val="Heading2"/>
        <w:spacing w:line="240" w:lineRule="auto"/>
        <w:jc w:val="center"/>
        <w:rPr>
          <w:rFonts w:ascii="Times New Roman" w:eastAsia="Times New Roman" w:hAnsi="Times New Roman" w:cs="Times New Roman"/>
          <w:b/>
          <w:bCs/>
          <w:color w:val="000000" w:themeColor="text1"/>
          <w:lang w:eastAsia="en-IN" w:bidi="ml-IN"/>
        </w:rPr>
      </w:pPr>
    </w:p>
    <w:p w14:paraId="02D2B76A" w14:textId="77777777" w:rsidR="000064D4" w:rsidRPr="00AE4E03" w:rsidRDefault="000064D4" w:rsidP="000064D4">
      <w:pPr>
        <w:rPr>
          <w:color w:val="000000" w:themeColor="text1"/>
          <w:lang w:eastAsia="en-IN" w:bidi="ml-IN"/>
        </w:rPr>
      </w:pPr>
    </w:p>
    <w:p w14:paraId="68D3115B" w14:textId="77777777" w:rsidR="000064D4" w:rsidRPr="00AE4E03" w:rsidRDefault="000064D4" w:rsidP="000064D4">
      <w:pPr>
        <w:rPr>
          <w:color w:val="000000" w:themeColor="text1"/>
          <w:lang w:eastAsia="en-IN" w:bidi="ml-IN"/>
        </w:rPr>
      </w:pPr>
    </w:p>
    <w:p w14:paraId="044DC494" w14:textId="77777777" w:rsidR="000064D4" w:rsidRPr="00AE4E03" w:rsidRDefault="000064D4" w:rsidP="000064D4">
      <w:pPr>
        <w:rPr>
          <w:color w:val="000000" w:themeColor="text1"/>
          <w:lang w:eastAsia="en-IN" w:bidi="ml-IN"/>
        </w:rPr>
      </w:pPr>
    </w:p>
    <w:p w14:paraId="367B1731" w14:textId="77777777" w:rsidR="000064D4" w:rsidRPr="00AE4E03" w:rsidRDefault="000064D4" w:rsidP="000064D4">
      <w:pPr>
        <w:rPr>
          <w:color w:val="000000" w:themeColor="text1"/>
          <w:lang w:eastAsia="en-IN" w:bidi="ml-IN"/>
        </w:rPr>
      </w:pPr>
    </w:p>
    <w:p w14:paraId="2B3579D6" w14:textId="77777777" w:rsidR="000064D4" w:rsidRPr="00AE4E03" w:rsidRDefault="000064D4" w:rsidP="000064D4">
      <w:pPr>
        <w:rPr>
          <w:color w:val="000000" w:themeColor="text1"/>
          <w:lang w:eastAsia="en-IN" w:bidi="ml-IN"/>
        </w:rPr>
      </w:pPr>
    </w:p>
    <w:p w14:paraId="3D8FC1B6" w14:textId="77777777" w:rsidR="000064D4" w:rsidRPr="00AE4E03" w:rsidRDefault="000064D4" w:rsidP="000064D4">
      <w:pPr>
        <w:rPr>
          <w:color w:val="000000" w:themeColor="text1"/>
          <w:lang w:eastAsia="en-IN" w:bidi="ml-IN"/>
        </w:rPr>
      </w:pPr>
    </w:p>
    <w:p w14:paraId="4F073B15" w14:textId="77777777" w:rsidR="000064D4" w:rsidRPr="00AE4E03" w:rsidRDefault="000064D4" w:rsidP="000064D4">
      <w:pPr>
        <w:pStyle w:val="Heading2"/>
        <w:spacing w:line="240" w:lineRule="auto"/>
        <w:jc w:val="center"/>
        <w:rPr>
          <w:rFonts w:ascii="Times New Roman" w:eastAsia="Times New Roman" w:hAnsi="Times New Roman" w:cs="Times New Roman"/>
          <w:b/>
          <w:bCs/>
          <w:color w:val="000000" w:themeColor="text1"/>
          <w:lang w:eastAsia="en-IN" w:bidi="ml-IN"/>
        </w:rPr>
      </w:pPr>
      <w:r w:rsidRPr="00AE4E03">
        <w:rPr>
          <w:rFonts w:ascii="Times New Roman" w:eastAsia="Times New Roman" w:hAnsi="Times New Roman" w:cs="Times New Roman"/>
          <w:b/>
          <w:bCs/>
          <w:color w:val="000000" w:themeColor="text1"/>
          <w:lang w:eastAsia="en-IN" w:bidi="ml-IN"/>
        </w:rPr>
        <w:lastRenderedPageBreak/>
        <w:t>Abstract</w:t>
      </w:r>
    </w:p>
    <w:p w14:paraId="637277E8"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bookmarkStart w:id="0" w:name="_Hlk170646375"/>
      <w:r w:rsidRPr="00AE4E03">
        <w:rPr>
          <w:rFonts w:ascii="Times New Roman" w:eastAsia="Times New Roman" w:hAnsi="Times New Roman" w:cs="Times New Roman"/>
          <w:color w:val="000000" w:themeColor="text1"/>
          <w:kern w:val="0"/>
          <w:sz w:val="24"/>
          <w:szCs w:val="24"/>
          <w:lang w:eastAsia="en-IN" w:bidi="ml-IN"/>
          <w14:ligatures w14:val="none"/>
        </w:rPr>
        <w:t xml:space="preserve">In healthcare management, the role of nurses is pivotal in ensuring high-quality care and patient well-being. This study explores the complex relationship between nurses' organizational commitment </w:t>
      </w:r>
      <w:bookmarkEnd w:id="0"/>
      <w:r w:rsidRPr="00AE4E03">
        <w:rPr>
          <w:rFonts w:ascii="Times New Roman" w:eastAsia="Times New Roman" w:hAnsi="Times New Roman" w:cs="Times New Roman"/>
          <w:color w:val="000000" w:themeColor="text1"/>
          <w:kern w:val="0"/>
          <w:sz w:val="24"/>
          <w:szCs w:val="24"/>
          <w:lang w:eastAsia="en-IN" w:bidi="ml-IN"/>
          <w14:ligatures w14:val="none"/>
        </w:rPr>
        <w:t>and their resilience, spotlighting the crucial role of family and external support. Through qualitative interviews across varied healthcare settings, we explored their personal experiences and strategies for balancing professional demands and psychological contracts. Our findings highlight diverse commitment approaches, from intrinsic passion for caregiving to career-oriented pragmatism. Family support notably enhances job satisfaction and resilience, advocating for management strategies that cater to different nurse profiles. This research underscores the importance of a supportive environment that encourages both professional growth and personal well-being, suggesting a holistic approach to nurse retention and satisfaction.</w:t>
      </w:r>
    </w:p>
    <w:p w14:paraId="396EF2F9"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b/>
          <w:bCs/>
          <w:color w:val="000000" w:themeColor="text1"/>
          <w:kern w:val="0"/>
          <w:sz w:val="24"/>
          <w:szCs w:val="24"/>
          <w:lang w:eastAsia="en-IN" w:bidi="ml-IN"/>
          <w14:ligatures w14:val="none"/>
        </w:rPr>
        <w:t>Keywords</w:t>
      </w:r>
      <w:r w:rsidRPr="00AE4E03">
        <w:rPr>
          <w:rFonts w:ascii="Times New Roman" w:eastAsia="Times New Roman" w:hAnsi="Times New Roman" w:cs="Times New Roman"/>
          <w:color w:val="000000" w:themeColor="text1"/>
          <w:kern w:val="0"/>
          <w:sz w:val="24"/>
          <w:szCs w:val="24"/>
          <w:lang w:eastAsia="en-IN" w:bidi="ml-IN"/>
          <w14:ligatures w14:val="none"/>
        </w:rPr>
        <w:t>: Nurse Commitment, Resilience, Family Support, Qualitative Research, Healthcare Management</w:t>
      </w:r>
    </w:p>
    <w:p w14:paraId="706BFF50" w14:textId="77777777" w:rsidR="000064D4" w:rsidRPr="00AE4E03" w:rsidRDefault="000064D4" w:rsidP="000064D4">
      <w:pPr>
        <w:rPr>
          <w:rFonts w:ascii="Times New Roman" w:eastAsia="Times New Roman" w:hAnsi="Times New Roman" w:cs="Times New Roman"/>
          <w:color w:val="000000" w:themeColor="text1"/>
          <w:kern w:val="0"/>
          <w:sz w:val="24"/>
          <w:szCs w:val="24"/>
          <w:lang w:eastAsia="en-IN" w:bidi="ml-IN"/>
          <w14:ligatures w14:val="none"/>
        </w:rPr>
      </w:pPr>
    </w:p>
    <w:p w14:paraId="7A2E9D7D" w14:textId="77777777" w:rsidR="000064D4" w:rsidRPr="00AE4E03" w:rsidRDefault="000064D4" w:rsidP="000064D4">
      <w:pPr>
        <w:pStyle w:val="Heading2"/>
        <w:spacing w:line="240" w:lineRule="auto"/>
        <w:rPr>
          <w:rFonts w:ascii="Times New Roman" w:eastAsia="Times New Roman" w:hAnsi="Times New Roman" w:cs="Times New Roman"/>
          <w:b/>
          <w:bCs/>
          <w:color w:val="000000" w:themeColor="text1"/>
          <w:lang w:eastAsia="en-IN" w:bidi="ml-IN"/>
        </w:rPr>
      </w:pPr>
      <w:r w:rsidRPr="00AE4E03">
        <w:rPr>
          <w:rFonts w:ascii="Times New Roman" w:eastAsia="Times New Roman" w:hAnsi="Times New Roman" w:cs="Times New Roman"/>
          <w:b/>
          <w:bCs/>
          <w:color w:val="000000" w:themeColor="text1"/>
          <w:lang w:eastAsia="en-IN" w:bidi="ml-IN"/>
        </w:rPr>
        <w:t xml:space="preserve">Introduction </w:t>
      </w:r>
    </w:p>
    <w:p w14:paraId="695CC74F"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The global healthcare sector faces an unprecedented challenge: the escalating need for nursing staff amidst an aging population and ongoing pandemic pressures, leading to increased turnover rates (El-</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Jardali</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et al., 2009; Xu, Zeng &amp; Wu, 2023). Nurses are at the frontline, navigating demanding work environments that threaten to undermine their job satisfaction, commitment, and work-family harmony (Lee &amp; Akhtar, 2011; Smith, 2021). However, the presence of job resources, including social support and training opportunities, can play a crucial role in counteracting these negative impacts (Bakker &amp; Demerouti, 2007).</w:t>
      </w:r>
    </w:p>
    <w:p w14:paraId="27570821"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At the heart of sustaining employee commitment, trust, and performance is the quality of social exchange relationships, influenced by job demands and available resources. The imbalance created by heightened job demands and insufficient support, especially during critical times like pandemics, can lead to burnout and disengagement, highlighting the significance of managing job demands and resources effectively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Avgoustaki</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&amp; Bessa, 2019; Bakker &amp; Demerouti, 2014). The concept of psychological contract breaches (Rousseau, 1989) exemplifies how unmet expectations can erode organizational commitment (OC), further exacerbating disengagement issues (Jourdain &amp; Chenevert, 2010).</w:t>
      </w:r>
    </w:p>
    <w:p w14:paraId="50DF9914"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However, despite extensive research on nurses' organizational commitment and job demands, there remains a critical gap in our understanding of how early career nurses navigate these challenges, particularly in leveraging non-work resources such as family support. While previous studies have examined the impact of job demands and resources on nurse retention (Moloney et al., 2018), little attention has been paid to the role of family-based motivation in shaping nurses' resilience and commitment, especially in the context of psychological contract breaches.</w:t>
      </w:r>
    </w:p>
    <w:p w14:paraId="2D006BDC"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The purpose of this study is to explore how early career nurses in India navigate the complex interplay between job demands, psychological contracts, and family support in shaping their organizational commitment and resilience. By integrating psychological contract theory with the work-home resources model, we aim to provide a more nuanced understanding of nurses' experiences and coping strategies. This approach allows us to examine not only how nurses </w:t>
      </w:r>
      <w:r w:rsidRPr="00AE4E03">
        <w:rPr>
          <w:rFonts w:ascii="Times New Roman" w:eastAsia="Times New Roman" w:hAnsi="Times New Roman" w:cs="Times New Roman"/>
          <w:color w:val="000000" w:themeColor="text1"/>
          <w:kern w:val="0"/>
          <w:sz w:val="24"/>
          <w:szCs w:val="24"/>
          <w:lang w:eastAsia="en-IN" w:bidi="ml-IN"/>
          <w14:ligatures w14:val="none"/>
        </w:rPr>
        <w:lastRenderedPageBreak/>
        <w:t>manage workplace challenges but also how they leverage non-work resources to maintain their commitment and well-being.</w:t>
      </w:r>
    </w:p>
    <w:p w14:paraId="0436975D"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Through in-depth interviews with early career nurses across various healthcare settings, we seek to answer the following research questions: a) How do early career nurses experience and navigate psychological contract breaches in their workplace? b) What role does family support play in shaping nurses' resilience and commitment to their organization? and c) How do nurses integrate work demands and non-work resources to maintain their well-being and professional engagement? By addressing these questions, our study aims to provide both theoretical insights and practical implications for healthcare management, potentially informing strategies to enhance nurse retention, satisfaction, and overall well-being in the face of ongoing industry challenges.</w:t>
      </w:r>
    </w:p>
    <w:p w14:paraId="3D59865B"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Our study contributes to the existing literature in several ways. First, it offers a qualitative exploration of nurses' experiences, providing rich, contextual insights that complement previous quantitative studies. Second, by combining psychological contract theory with the work-home resources model, we provide a novel framework for understanding how nurses balance work demands with personal resources. Finally, our focus on early career nurses in India offers valuable insights into an understudied population, shedding light on the unique challenges and support mechanisms in this context.</w:t>
      </w:r>
    </w:p>
    <w:p w14:paraId="2E84140C" w14:textId="77777777" w:rsidR="000064D4" w:rsidRPr="00AE4E03" w:rsidRDefault="000064D4" w:rsidP="000064D4">
      <w:pPr>
        <w:pStyle w:val="Heading2"/>
        <w:spacing w:line="240" w:lineRule="auto"/>
        <w:rPr>
          <w:rFonts w:ascii="Times New Roman" w:eastAsia="Times New Roman" w:hAnsi="Times New Roman" w:cs="Times New Roman"/>
          <w:b/>
          <w:bCs/>
          <w:color w:val="000000" w:themeColor="text1"/>
          <w:lang w:eastAsia="en-IN" w:bidi="ml-IN"/>
        </w:rPr>
      </w:pPr>
      <w:r w:rsidRPr="00AE4E03">
        <w:rPr>
          <w:rFonts w:ascii="Times New Roman" w:eastAsia="Times New Roman" w:hAnsi="Times New Roman" w:cs="Times New Roman"/>
          <w:b/>
          <w:bCs/>
          <w:color w:val="000000" w:themeColor="text1"/>
          <w:lang w:eastAsia="en-IN" w:bidi="ml-IN"/>
        </w:rPr>
        <w:t>Literature Review</w:t>
      </w:r>
    </w:p>
    <w:p w14:paraId="39148A80" w14:textId="77777777" w:rsidR="0088295B" w:rsidRPr="00AE4E03" w:rsidRDefault="0088295B" w:rsidP="0088295B">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The escalating demands on healthcare workers, exacerbated by the pandemic, have subjected nurses to significant emotional strains, leading to negative psychological effects (Wilson et al., 2020). In this challenging context, having access to resources and support emerges as a critical factor in enhancing engagement and mitigating the adverse effects of job demands, including psychological contract breaches (PCBs) and waning commitment (Chenoweth et al., 2014; Kutaula et al. 2020). Personal resources, such as peer and off-work support, play a crucial role in alleviating these stressors by significantly contributing to a better work-life balance (Moloney et al. 2018; Sivarajan et.al. 2023). However, a deficiency in these resources can exacerbate job pressures, potentially leading to burnout and diminished commitment (Gensimore et al., 2020), underscoring the need for organizational strategies that balance demands and resources to enhance both employee and patient satisfaction.</w:t>
      </w:r>
    </w:p>
    <w:p w14:paraId="64122C66" w14:textId="77777777" w:rsidR="0088295B" w:rsidRPr="00AE4E03" w:rsidRDefault="0088295B" w:rsidP="0088295B">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Organizational commitment (OC) in the nursing profession is inherently multifaceted, comprising affective, normative, and continuance components, each contributing uniquely to nurses' engagement and performance outcomes (Meyer et al., 2006). This complex landscape of commitment is further influenced by individual contexts, which dictate the strength and dimensionality of these commitment subcomponents which further influences employee outcomes such as commitment and turnover intention (Kabins et al., 2016). In the nursing workforce, personal and familial resources stand out as pivotal elements that bolster resilience, align professional goals, and enhance job satisfaction. These resources, particularly familial support, serve as coping mechanisms for navigating job stressors, fostering positive self-evaluations and a greater sense of control within the work environment, albeit with potential risks such as increased turnover intentions (Lee &amp; Akhtar, 2011; Li et al., 2021).</w:t>
      </w:r>
    </w:p>
    <w:p w14:paraId="283E29C3" w14:textId="77777777" w:rsidR="0088295B" w:rsidRPr="00AE4E03" w:rsidRDefault="0088295B" w:rsidP="0088295B">
      <w:pPr>
        <w:spacing w:line="240" w:lineRule="auto"/>
        <w:rPr>
          <w:rFonts w:ascii="Times New Roman" w:eastAsia="Times New Roman" w:hAnsi="Times New Roman" w:cs="Times New Roman"/>
          <w:color w:val="000000" w:themeColor="text1"/>
          <w:kern w:val="0"/>
          <w:sz w:val="24"/>
          <w:szCs w:val="24"/>
          <w:lang w:eastAsia="en-IN" w:bidi="ml-IN"/>
          <w14:ligatures w14:val="none"/>
        </w:rPr>
      </w:pPr>
    </w:p>
    <w:p w14:paraId="73D4D61C" w14:textId="77777777" w:rsidR="0088295B" w:rsidRPr="00AE4E03" w:rsidRDefault="0088295B" w:rsidP="0088295B">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lastRenderedPageBreak/>
        <w:t xml:space="preserve">The concept of psychological contracts (PCs) is crucial in understanding the mutual obligations between employees and their employers (Robinson &amp; Rousseau, 1994). The breach of these contracts, perceived as unfulfilled organizational promises, can lead to a range of negative outcomes, including burnout, decreased performance, and higher turnover intentions, with environmental stressors like pandemics further worsening these effects (Griep &amp; Vantilborgh, 2018; Demerouti et al., 2001; Le et al., 2020). Research on psychological contract breaches in nursing highlights its significant impact on nurses' well-being, job satisfaction, and organizational commitment (Haak-Saheem et al., 2023). Understanding the impact of psychological contract breaches on early-career nurses is important, as social factors, financial incentives, and role clarity significantly shape their psychological contracts, organizational commitment, and turnover intentions (Sheehan et al., 2019). Studies show that breaches in psychological contracts affect trust, which in turn impacts organizational outcomes (Haist &amp; Kurth, 2022). The negative effects of these breaches on employees' attitudes and behaviours are well-documented (Rosa González et al., 2022). High job demands or negative feedback, coupled with inconsistent social exchanges, can erode organizational loyalty, leading to a higher propensity for leaving, especially for those within certain commitment profiles (Kabins et al., 2016).  Moreover, in collectivist cultures, family influence on career decisions significantly shapes the dynamics between job demands, turnover intentions, and organizational loyalty (Le et al., 2020; Le et al., 2022). </w:t>
      </w:r>
    </w:p>
    <w:p w14:paraId="4726D9D2" w14:textId="77777777" w:rsidR="0088295B" w:rsidRPr="00AE4E03" w:rsidRDefault="0088295B" w:rsidP="0088295B">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The Job Demands-Resources (JD-R) model highlights the balance between job demands and resources as vital for sustaining employee well-being, proposing that this equilibrium is crucial for reducing burnout and enhancing engagement (Bakker &amp; Demerouti, 2017; Varma &amp; Sivarajan, 2023). The Work-Home Resources (W-HR) model further elaborates on the interaction between the work environment and the home sphere, suggesting that resources obtained in one domain can benefit the other (Ten Brummelhuis &amp; Bakker, 2012). The W-HR model can be particularly relevant for nurses where family support enhances job engagement (Chang et al., 2021). Personal and job resources, organizational factors, and leadership behaviours play key roles in shaping nurses' work engagement (Ikeda et al., 2022; Žnidaršič &amp; Bernik, 2021). Leveraging these resources can improve nurses' well-being and job performance. Positive spillover effect of family support may promote energetic work among nurses, emphasizing the significance of non-work domain resources in enhancing job engagement (Okada et al., 2019).</w:t>
      </w:r>
    </w:p>
    <w:p w14:paraId="387F2BA0" w14:textId="77777777" w:rsidR="0088295B" w:rsidRPr="00AE4E03" w:rsidRDefault="0088295B" w:rsidP="0088295B">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Exploring how nurses manage job demands, psychological contract breaches, and leverage both work and non-work resources is essential. By focusing on their lived experiences and support systems, we can understand how personal and external factors interact to influence commitment trajectories in the nursing profession. Family support plays a significant role in providing nurses with the resources for problem-focused coping, which enhances job performance and mitigates the adverse effects of psychological contract breaches (Bakker et al., 2007; Kwon &amp; Kim, 2020). Such support helps nurses navigate the challenges posed by their work environments, bolstering their resilience and adaptability in the face of contractual uncertainties. Transferring resources between work and home domains, motivated by achieving a harmonious work-life balance, shows the fluidity of commitment and the evolving nature of psychological contracts over time (Ten Brummelhuis &amp; Bakker, 2012; Calderwood &amp; Gabriel, 2017). Integrating these insights with psychological contract theory provides a framework for understanding how nurses balance </w:t>
      </w:r>
      <w:r w:rsidRPr="00AE4E03">
        <w:rPr>
          <w:rFonts w:ascii="Times New Roman" w:eastAsia="Times New Roman" w:hAnsi="Times New Roman" w:cs="Times New Roman"/>
          <w:color w:val="000000" w:themeColor="text1"/>
          <w:kern w:val="0"/>
          <w:sz w:val="24"/>
          <w:szCs w:val="24"/>
          <w:lang w:eastAsia="en-IN" w:bidi="ml-IN"/>
          <w14:ligatures w14:val="none"/>
        </w:rPr>
        <w:lastRenderedPageBreak/>
        <w:t>job demands with personal and familial resources to maintain their well-being and commitment to their roles.</w:t>
      </w:r>
    </w:p>
    <w:p w14:paraId="01B966E8" w14:textId="77777777" w:rsidR="0088295B" w:rsidRPr="00AE4E03" w:rsidRDefault="0088295B" w:rsidP="0088295B">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There is a significant gap in qualitative research on psychological contract breaches in nursing, especially among early-career nurses in non-Western contexts like India. While psychological contract theory has been applied in nursing, there is a lack of in-depth qualitative studies on how early-career nurses experience psychological contract breaches (Kristoffersen, 2021). Integrating the work-home resources model with psychological contract theory in nursing research can provide insights into how non-work resources, particularly family support, affect nurses' reactions to psychological contract breaches. While studies have examined the impact of these breaches on job satisfaction, organizational commitment, and turnover intention (Said et al., 2021; Jacobs et al., 2020), the role of non-work resources in mitigating these effects is understudied. Psychological contract breaches can lead to negative outcomes (Said et al., 2021), but the buffering effect of non-work resources needs further investigation. Factors such as perceived organizational support, trust, and psychological ownership have been identified (Santhanam et al., 2017; Zacher &amp; Rudolph, 2020), but their interaction with non-work resources, or how individual differences to coping shaped by these non-work resources requires further exploration. Therefore, the integrated approach adopted in this study, could enhance understanding of how non-work resources influence nurses' responses to psychological contract breaches, potentially improving coping strategies and well-being outcomes in nursing. Moreover, family-based motivation in collectivist cultures may significantly impact nurses' resilience and commitment amid workplace challenges (Diak et al., 2020). Therefore, understanding how family dynamics and cultural values influence nurses' experiences and decisions is crucial for developing effective support systems. Additionally, exploring the unique experiences and coping strategies of early-career nurses, who are more vulnerable to turnover, is essential as existing research often focuses on nurse retention in general (Gao et al., 2021).</w:t>
      </w:r>
    </w:p>
    <w:p w14:paraId="40AD7439" w14:textId="77777777" w:rsidR="0088295B" w:rsidRPr="00AE4E03" w:rsidRDefault="0088295B" w:rsidP="0088295B">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It is observed that a context-specific understanding of nurse resilience, particularly in healthcare systems facing resource constraints, is lacking. Research focusing on how nurses build and maintain resilience in challenging environments can inform strategies to support their well-being and job satisfaction. In this backdrop, research on nurses' coping strategies in the Indian context offers valuable insights applicable to the global nursing community. Family-based motivation in collectivist cultures like India affects nurses' resilience and commitment amid workplace challenges (Dechawatanapaisal, 2022). Understanding how family dynamics and cultural values impact nurses' experiences and decisions is crucial for developing effective support systems. Additionally, exploring the unique experiences and coping strategies of early-career nurses, who are more vulnerable to turnover, is essential, as existing research often focuses on nurse retention in general (Eckerd et al., 2013).</w:t>
      </w:r>
    </w:p>
    <w:p w14:paraId="59509369" w14:textId="77777777" w:rsidR="0088295B" w:rsidRPr="00AE4E03" w:rsidRDefault="0088295B" w:rsidP="0088295B">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Though notably, the universal challenges of resource constraints in healthcare systems worldwide make resilience-building strategies relevant across diverse settings (Foster et al., 2018). While context-specific understanding is essential, research on resilience provides insights that transcend geographical and healthcare boundaries (Baskin &amp; Bartlett, 2021). Best practices in nurse leadership for enhancing resilience (Wei et al., 2019) and interventions in acute care settings (Foster et al., 2018) offer lessons for improving nurse well-being globally. Exploring environmental factors that support nurses' resilience can lead to the development of unified theoretical models with cross-cultural relevance (Ren et al., 2018). By synthesizing findings from diverse geographical and healthcare contexts, such as India’s, a comprehensive </w:t>
      </w:r>
      <w:r w:rsidRPr="00AE4E03">
        <w:rPr>
          <w:rFonts w:ascii="Times New Roman" w:eastAsia="Times New Roman" w:hAnsi="Times New Roman" w:cs="Times New Roman"/>
          <w:color w:val="000000" w:themeColor="text1"/>
          <w:kern w:val="0"/>
          <w:sz w:val="24"/>
          <w:szCs w:val="24"/>
          <w:lang w:eastAsia="en-IN" w:bidi="ml-IN"/>
          <w14:ligatures w14:val="none"/>
        </w:rPr>
        <w:lastRenderedPageBreak/>
        <w:t>understanding of resilience-building strategies in nursing can be achieved. This holistic approach contributes to the advancement of global nursing practice, ultimately enhancing the well-being and job satisfaction of nurses worldwide.</w:t>
      </w:r>
    </w:p>
    <w:p w14:paraId="190A76B3" w14:textId="1F225EBF" w:rsidR="000064D4" w:rsidRPr="00AE4E03" w:rsidRDefault="0088295B"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To summarise, despite extensive research on psychological contract breaches in nursing, several gaps remain, particularly in qualitative exploration among early-career nurses in non-Western contexts like India. While psychological contract theory has been applied in nursing, there is a need for in-depth qualitative studies on how early-career nurses navigate and experience psychological contract breaches. Integrating the work-home resources model with psychological contract theory could thus offer valuable insights into how non-work resources, such as family support, influence nurses' responses to breaches in the psychological contract.</w:t>
      </w:r>
    </w:p>
    <w:p w14:paraId="13957038" w14:textId="77777777" w:rsidR="0088295B" w:rsidRPr="00AE4E03" w:rsidRDefault="0088295B"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p>
    <w:p w14:paraId="417871FE" w14:textId="77777777" w:rsidR="000064D4" w:rsidRPr="00AE4E03" w:rsidRDefault="000064D4" w:rsidP="000064D4">
      <w:pPr>
        <w:pStyle w:val="Heading2"/>
        <w:spacing w:line="240" w:lineRule="auto"/>
        <w:rPr>
          <w:rFonts w:ascii="Times New Roman" w:eastAsia="Times New Roman" w:hAnsi="Times New Roman" w:cs="Times New Roman"/>
          <w:b/>
          <w:bCs/>
          <w:color w:val="000000" w:themeColor="text1"/>
          <w:lang w:eastAsia="en-IN" w:bidi="ml-IN"/>
        </w:rPr>
      </w:pPr>
      <w:r w:rsidRPr="00AE4E03">
        <w:rPr>
          <w:rFonts w:ascii="Times New Roman" w:eastAsia="Times New Roman" w:hAnsi="Times New Roman" w:cs="Times New Roman"/>
          <w:b/>
          <w:bCs/>
          <w:color w:val="000000" w:themeColor="text1"/>
          <w:lang w:eastAsia="en-IN" w:bidi="ml-IN"/>
        </w:rPr>
        <w:t>Methods</w:t>
      </w:r>
    </w:p>
    <w:p w14:paraId="44B9E342"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Our study employed Interpretative Phenomenological Analysis (IPA) to explore the lived experiences of Indian staff nurses, offering a nuanced understanding of their professional and personal contexts (Smith et al., 2009). We opted for IPA over descriptive phenomenology to move beyond mere description, enabling a deeper exploration of participants' contextual experiences. This hermeneutic approach facilitated the identification of unique yet common experiences among participants, providing rich insights into their professional lives (Smith &amp;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Shinebourne</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2012).</w:t>
      </w:r>
    </w:p>
    <w:p w14:paraId="2A50277B"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To ensure methodological rigor and depth, we adhered to the comprehensive guidelines for conducting IPA as outlined by Smith et al. (2009). This framework provided a robust structure for our analysis, allowing us capture the subjective experiences of Indian staff nurses with precision and clarity. By employing this qualitative methodology, we aimed to capture the essence of participants' lived experiences and uncover the complexities inherent in their professional roles. This approach facilitated a deep dive into their perceptions, responses, and adaptations to various aspects of the nurses’ professional environment. By focusing on the idiographic nature of each participant's experience while also identifying shared themes, we were able to construct a rich, textured understanding of the phenomena under study. Our methodological choice aligns with the growing recognition of IPA's value in nursing research, particularly in exploring complex, emotionally charged experiences that characterize the nursing profession. Smith &amp;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Shinebourne</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(2012) emphasize that IPA is an experiential approach grounded in phenomenology and hermeneutics, making it suitable for exploring complex and emotionally charged experiences that characterize the nursing profession. Additionally, Jakobsen et al. (2021) highlight that IPA, based on a phenomenological-hermeneutic approach, provides a detailed description of individual experiences related to a given phenomenon, making it an ideal analytic framework for understanding nurses' experiences. This approach not only honours the individual voices of our participants but also contributes to a broader understanding of the challenges and resilience factors present in the Indian nursing context.</w:t>
      </w:r>
    </w:p>
    <w:p w14:paraId="60075E9E" w14:textId="77777777" w:rsidR="000064D4" w:rsidRPr="00AE4E03" w:rsidRDefault="000064D4" w:rsidP="000064D4">
      <w:pPr>
        <w:pStyle w:val="Heading3"/>
        <w:spacing w:line="240" w:lineRule="auto"/>
        <w:rPr>
          <w:rFonts w:ascii="Times New Roman" w:eastAsia="Times New Roman" w:hAnsi="Times New Roman" w:cs="Times New Roman"/>
          <w:b/>
          <w:bCs/>
          <w:color w:val="000000" w:themeColor="text1"/>
          <w:lang w:eastAsia="en-IN" w:bidi="ml-IN"/>
        </w:rPr>
      </w:pPr>
      <w:r w:rsidRPr="00AE4E03">
        <w:rPr>
          <w:rFonts w:ascii="Times New Roman" w:eastAsia="Times New Roman" w:hAnsi="Times New Roman" w:cs="Times New Roman"/>
          <w:b/>
          <w:bCs/>
          <w:color w:val="000000" w:themeColor="text1"/>
          <w:lang w:eastAsia="en-IN" w:bidi="ml-IN"/>
        </w:rPr>
        <w:t>Participant Selection and Sampling</w:t>
      </w:r>
    </w:p>
    <w:p w14:paraId="15C5B170"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The study focused on full-time nurses working across hospitals in Kerala and Maharashtra, India. We selected India due to its diverse healthcare challenges during the pandemic, providing a rich context for examining the phenomenon.  Kerala and Maharashtra were chosen due to their diverse healthcare systems, pandemic responses, cultural and demographic differences, and </w:t>
      </w:r>
      <w:r w:rsidRPr="00AE4E03">
        <w:rPr>
          <w:rFonts w:ascii="Times New Roman" w:eastAsia="Times New Roman" w:hAnsi="Times New Roman" w:cs="Times New Roman"/>
          <w:color w:val="000000" w:themeColor="text1"/>
          <w:kern w:val="0"/>
          <w:sz w:val="24"/>
          <w:szCs w:val="24"/>
          <w:lang w:eastAsia="en-IN" w:bidi="ml-IN"/>
          <w14:ligatures w14:val="none"/>
        </w:rPr>
        <w:lastRenderedPageBreak/>
        <w:t>policy environments, providing a comprehensive context for examining the phenomenon (Israelsen &amp; Malji,2021). Kerala is known for its robust public healthcare system and high literacy rates, contributing to efficient healthcare delivery and better health outcomes. The state has been praised for its proactive handling of the COVID-19 pandemic, including extensive testing and contact tracing efforts. This context offers a unique perspective on nurses' experiences in a well-organized healthcare setting. In contrast, Maharashtra, particularly Mumbai, faced severe challenges during the pandemic with higher infection rates and significant strain on its healthcare system. The state has a mix of well-developed private and public healthcare facilities, and its response highlighted the complexities of managing a high-pressure healthcare environment. These differences in healthcare infrastructure and pandemic impact between Kerala and Maharashtra allow for a rich understanding of the varied experiences the nurses working in these geographies may have had.</w:t>
      </w:r>
    </w:p>
    <w:p w14:paraId="5C34C797"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The sample was chosen using snowball and purposeful sampling (Patton, 2002) to ensure feasibility and access to relevant information. Eighteen staff nurses were selected for in-depth interviews based on their professional experiences (of perceived psychological contract (PC) dissonance during their post-pandemic tenure), having worked through the first wave of the pandemic. The participants included early career nurses from both government and private hospitals with at least 3–6 months to up to 48 months of experience. All nurses were college graduates with an average age of 23.41 years and a mean work experience of 25.33 months. Detailed characteristics of the participants are listed in Table 1.</w:t>
      </w:r>
    </w:p>
    <w:p w14:paraId="6FD9C4A5" w14:textId="77777777" w:rsidR="000064D4" w:rsidRPr="00AE4E03" w:rsidRDefault="000064D4" w:rsidP="000064D4">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w:t>
      </w:r>
    </w:p>
    <w:p w14:paraId="1059D126" w14:textId="77777777" w:rsidR="000064D4" w:rsidRPr="00AE4E03" w:rsidRDefault="000064D4" w:rsidP="000064D4">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Insert </w:t>
      </w:r>
      <w:r w:rsidRPr="00AE4E03">
        <w:rPr>
          <w:rFonts w:ascii="Times New Roman" w:eastAsia="Times New Roman" w:hAnsi="Times New Roman" w:cs="Times New Roman"/>
          <w:b/>
          <w:bCs/>
          <w:color w:val="000000" w:themeColor="text1"/>
          <w:kern w:val="0"/>
          <w:sz w:val="24"/>
          <w:szCs w:val="24"/>
          <w:lang w:eastAsia="en-IN" w:bidi="ml-IN"/>
          <w14:ligatures w14:val="none"/>
        </w:rPr>
        <w:t xml:space="preserve">Table 1. </w:t>
      </w:r>
      <w:r w:rsidRPr="00AE4E03">
        <w:rPr>
          <w:rFonts w:ascii="Times New Roman" w:eastAsia="Times New Roman" w:hAnsi="Times New Roman" w:cs="Times New Roman"/>
          <w:color w:val="000000" w:themeColor="text1"/>
          <w:kern w:val="0"/>
          <w:sz w:val="24"/>
          <w:szCs w:val="24"/>
          <w:lang w:eastAsia="en-IN" w:bidi="ml-IN"/>
          <w14:ligatures w14:val="none"/>
        </w:rPr>
        <w:t>Participant nurses’ demographics</w:t>
      </w:r>
    </w:p>
    <w:p w14:paraId="60B96529" w14:textId="77777777" w:rsidR="000064D4" w:rsidRPr="00AE4E03" w:rsidRDefault="000064D4" w:rsidP="000064D4">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w:t>
      </w:r>
    </w:p>
    <w:p w14:paraId="436AC53D"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p>
    <w:p w14:paraId="721D8BD9" w14:textId="77777777" w:rsidR="000064D4" w:rsidRPr="00AE4E03" w:rsidRDefault="000064D4" w:rsidP="000064D4">
      <w:pPr>
        <w:pStyle w:val="Heading3"/>
        <w:spacing w:line="240" w:lineRule="auto"/>
        <w:rPr>
          <w:rFonts w:ascii="Times New Roman" w:eastAsia="Times New Roman" w:hAnsi="Times New Roman" w:cs="Times New Roman"/>
          <w:b/>
          <w:bCs/>
          <w:color w:val="000000" w:themeColor="text1"/>
          <w:lang w:eastAsia="en-IN" w:bidi="ml-IN"/>
        </w:rPr>
      </w:pPr>
      <w:r w:rsidRPr="00AE4E03">
        <w:rPr>
          <w:rFonts w:ascii="Times New Roman" w:eastAsia="Times New Roman" w:hAnsi="Times New Roman" w:cs="Times New Roman"/>
          <w:b/>
          <w:bCs/>
          <w:color w:val="000000" w:themeColor="text1"/>
          <w:lang w:eastAsia="en-IN" w:bidi="ml-IN"/>
        </w:rPr>
        <w:t>Data Collection Procedures</w:t>
      </w:r>
    </w:p>
    <w:p w14:paraId="728B0A1A"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Semi-structured interviews were used for data collection, ensuring participants were fully informed about the study's purpose, objectives, and methodology. Informed consent was obtained, and confidentiality was maintained throughout the process. Participants were assured of their anonymity and the confidential handling of their responses, fostering an environment of trust and openness conducive to sharing personal and professional experiences (Orb et al., 2001). Interviews were conducted either telephonically or over Zoom due to access restrictions and the nurses' schedules. They were transcribed verbatim in Malayalam or Hindi and later translated into English, with translations cross-checked by experts for reliability. Interview questions focused on the nurses' experiences during the pandemic, the promises made by their hospitals, work-based relevance and autonomy, and coping methods. Participants were asked to recall critical incidents that had either a positive or negative impact on their work during the pandemic (Critical Incident Technique [Flanagan, 1954]). Interviews lasted an average of 51 minutes, with interruptions common due to the nurses' unpredictable schedules.</w:t>
      </w:r>
    </w:p>
    <w:p w14:paraId="5B0F7477" w14:textId="77777777" w:rsidR="000064D4" w:rsidRPr="00AE4E03" w:rsidRDefault="000064D4" w:rsidP="000064D4">
      <w:pPr>
        <w:pStyle w:val="Heading3"/>
        <w:spacing w:line="240" w:lineRule="auto"/>
        <w:rPr>
          <w:rFonts w:ascii="Times New Roman" w:eastAsia="Times New Roman" w:hAnsi="Times New Roman" w:cs="Times New Roman"/>
          <w:b/>
          <w:bCs/>
          <w:color w:val="000000" w:themeColor="text1"/>
          <w:lang w:eastAsia="en-IN" w:bidi="ml-IN"/>
        </w:rPr>
      </w:pPr>
      <w:r w:rsidRPr="00AE4E03">
        <w:rPr>
          <w:rFonts w:ascii="Times New Roman" w:eastAsia="Times New Roman" w:hAnsi="Times New Roman" w:cs="Times New Roman"/>
          <w:b/>
          <w:bCs/>
          <w:color w:val="000000" w:themeColor="text1"/>
          <w:lang w:eastAsia="en-IN" w:bidi="ml-IN"/>
        </w:rPr>
        <w:t>Qualitative Data Analysis</w:t>
      </w:r>
    </w:p>
    <w:p w14:paraId="7AF3DE28"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Following Smith et al. (2009), we used an IPA approach to identify major themes from the participants' lived experiences. Data familiarization involved repeatedly reading the transcripts, and we maintained reflexive accounts to bracket our perceptions and ensure trustworthiness (Lincoln &amp; Guba, 1985). Emergent codes and second-order themes were developed through group analysis and discussion. Reliability was ensured by multiple readings and re-analyses of </w:t>
      </w:r>
      <w:r w:rsidRPr="00AE4E03">
        <w:rPr>
          <w:rFonts w:ascii="Times New Roman" w:eastAsia="Times New Roman" w:hAnsi="Times New Roman" w:cs="Times New Roman"/>
          <w:color w:val="000000" w:themeColor="text1"/>
          <w:kern w:val="0"/>
          <w:sz w:val="24"/>
          <w:szCs w:val="24"/>
          <w:lang w:eastAsia="en-IN" w:bidi="ml-IN"/>
          <w14:ligatures w14:val="none"/>
        </w:rPr>
        <w:lastRenderedPageBreak/>
        <w:t>the transcripts, and an external colleague proficient in IPA reviewed our analysis. Emergent themes were discussed with four participants for feedback and validation. The final structure of the themes is depicted in Figure 1, providing an overarching understanding of the phenomenon experienced by the staff nurses.</w:t>
      </w:r>
    </w:p>
    <w:p w14:paraId="789E9811" w14:textId="77777777" w:rsidR="000064D4" w:rsidRPr="00AE4E03" w:rsidRDefault="000064D4" w:rsidP="000064D4">
      <w:pPr>
        <w:pStyle w:val="Heading2"/>
        <w:spacing w:line="240" w:lineRule="auto"/>
        <w:rPr>
          <w:rFonts w:ascii="Times New Roman" w:eastAsia="Times New Roman" w:hAnsi="Times New Roman" w:cs="Times New Roman"/>
          <w:b/>
          <w:bCs/>
          <w:color w:val="000000" w:themeColor="text1"/>
          <w:lang w:eastAsia="en-IN" w:bidi="ml-IN"/>
        </w:rPr>
      </w:pPr>
      <w:r w:rsidRPr="00AE4E03">
        <w:rPr>
          <w:rFonts w:ascii="Times New Roman" w:eastAsia="Times New Roman" w:hAnsi="Times New Roman" w:cs="Times New Roman"/>
          <w:b/>
          <w:bCs/>
          <w:color w:val="000000" w:themeColor="text1"/>
          <w:lang w:eastAsia="en-IN" w:bidi="ml-IN"/>
        </w:rPr>
        <w:t>Findings</w:t>
      </w:r>
    </w:p>
    <w:p w14:paraId="773CC7F9"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The study illuminates how nurses navigated the heightened job demands during the pandemic, affecting both their work and personal lives. It identifies distinct approaches to coping based on individual commitment: those deeply aligned with their professional values, those strategically focusing on personal growth and resource accumulation, and those struggling with engagement due to challenges.</w:t>
      </w:r>
    </w:p>
    <w:p w14:paraId="71D088C6" w14:textId="77777777" w:rsidR="000064D4" w:rsidRPr="00AE4E03" w:rsidRDefault="000064D4" w:rsidP="000064D4">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bookmarkStart w:id="1" w:name="_Hlk149729745"/>
      <w:r w:rsidRPr="00AE4E03">
        <w:rPr>
          <w:rFonts w:ascii="Times New Roman" w:eastAsia="Times New Roman" w:hAnsi="Times New Roman" w:cs="Times New Roman"/>
          <w:color w:val="000000" w:themeColor="text1"/>
          <w:kern w:val="0"/>
          <w:sz w:val="24"/>
          <w:szCs w:val="24"/>
          <w:lang w:eastAsia="en-IN" w:bidi="ml-IN"/>
          <w14:ligatures w14:val="none"/>
        </w:rPr>
        <w:t>------------------------------------------------------------</w:t>
      </w:r>
    </w:p>
    <w:p w14:paraId="681C14BB" w14:textId="77777777" w:rsidR="000064D4" w:rsidRPr="00AE4E03" w:rsidRDefault="000064D4" w:rsidP="000064D4">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Insert </w:t>
      </w:r>
      <w:r w:rsidRPr="00AE4E03">
        <w:rPr>
          <w:rFonts w:ascii="Times New Roman" w:eastAsia="Times New Roman" w:hAnsi="Times New Roman" w:cs="Times New Roman"/>
          <w:b/>
          <w:bCs/>
          <w:color w:val="000000" w:themeColor="text1"/>
          <w:kern w:val="0"/>
          <w:sz w:val="24"/>
          <w:szCs w:val="24"/>
          <w:lang w:eastAsia="en-IN" w:bidi="ml-IN"/>
          <w14:ligatures w14:val="none"/>
        </w:rPr>
        <w:t xml:space="preserve">Figure A. </w:t>
      </w:r>
      <w:r w:rsidRPr="00AE4E03">
        <w:rPr>
          <w:rFonts w:ascii="Times New Roman" w:eastAsia="Times New Roman" w:hAnsi="Times New Roman" w:cs="Times New Roman"/>
          <w:color w:val="000000" w:themeColor="text1"/>
          <w:kern w:val="0"/>
          <w:sz w:val="24"/>
          <w:szCs w:val="24"/>
          <w:lang w:eastAsia="en-IN" w:bidi="ml-IN"/>
          <w14:ligatures w14:val="none"/>
        </w:rPr>
        <w:t>Thematic representation of codes</w:t>
      </w:r>
    </w:p>
    <w:p w14:paraId="18542D11" w14:textId="77777777" w:rsidR="000064D4" w:rsidRPr="00AE4E03" w:rsidRDefault="000064D4" w:rsidP="000064D4">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w:t>
      </w:r>
      <w:bookmarkEnd w:id="1"/>
    </w:p>
    <w:p w14:paraId="7051A490"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This diversity in coping mechanisms underscores the importance of acknowledging and addressing the varied experiences and needs within the nursing community to support their well-being and effectiveness in such unprecedented times.</w:t>
      </w:r>
    </w:p>
    <w:p w14:paraId="07231BC8" w14:textId="77777777" w:rsidR="000064D4" w:rsidRPr="00AE4E03" w:rsidRDefault="000064D4" w:rsidP="000064D4">
      <w:pPr>
        <w:pStyle w:val="Heading3"/>
        <w:spacing w:line="240" w:lineRule="auto"/>
        <w:rPr>
          <w:rFonts w:ascii="Times New Roman" w:eastAsia="Times New Roman" w:hAnsi="Times New Roman" w:cs="Times New Roman"/>
          <w:b/>
          <w:bCs/>
          <w:color w:val="000000" w:themeColor="text1"/>
          <w:lang w:eastAsia="en-IN" w:bidi="ml-IN"/>
        </w:rPr>
      </w:pPr>
      <w:r w:rsidRPr="00AE4E03">
        <w:rPr>
          <w:rFonts w:ascii="Times New Roman" w:eastAsia="Times New Roman" w:hAnsi="Times New Roman" w:cs="Times New Roman"/>
          <w:b/>
          <w:bCs/>
          <w:color w:val="000000" w:themeColor="text1"/>
          <w:lang w:eastAsia="en-IN" w:bidi="ml-IN"/>
        </w:rPr>
        <w:t>Dedication Beyond Obligations</w:t>
      </w:r>
    </w:p>
    <w:p w14:paraId="68ED77AF"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This theme explores the intrinsic motivation and deep-seated commitment of nurses to their profession and the people they serve. Despite facing institutional challenges and unmet promises, these nurses prioritize their duty towards patient care and community welfare. Their narratives reveal a profound connection to their work, driven by personal values and a sense of responsibility, which transcends the formal expectations of their roles.</w:t>
      </w:r>
    </w:p>
    <w:p w14:paraId="79155EF8" w14:textId="77777777" w:rsidR="000064D4" w:rsidRPr="00AE4E03" w:rsidRDefault="000064D4" w:rsidP="000064D4">
      <w:pPr>
        <w:pStyle w:val="Heading4"/>
        <w:spacing w:line="240" w:lineRule="auto"/>
        <w:rPr>
          <w:rFonts w:ascii="Times New Roman" w:eastAsia="Times New Roman" w:hAnsi="Times New Roman" w:cs="Times New Roman"/>
          <w:b/>
          <w:bCs/>
          <w:color w:val="000000" w:themeColor="text1"/>
          <w:sz w:val="24"/>
          <w:szCs w:val="24"/>
          <w:lang w:eastAsia="en-IN" w:bidi="ml-IN"/>
        </w:rPr>
      </w:pPr>
      <w:r w:rsidRPr="00AE4E03">
        <w:rPr>
          <w:rFonts w:ascii="Times New Roman" w:eastAsia="Times New Roman" w:hAnsi="Times New Roman" w:cs="Times New Roman"/>
          <w:b/>
          <w:bCs/>
          <w:color w:val="000000" w:themeColor="text1"/>
          <w:sz w:val="24"/>
          <w:szCs w:val="24"/>
          <w:lang w:eastAsia="en-IN" w:bidi="ml-IN"/>
        </w:rPr>
        <w:t xml:space="preserve">Beyond promised ideals </w:t>
      </w:r>
    </w:p>
    <w:p w14:paraId="43E94D99"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Participant 2, who faced an unfulfilled promise, maps out the intricacies between the healthcare system and its workforce, as well as the ways in which these professionals navigate these challenges.</w:t>
      </w:r>
    </w:p>
    <w:p w14:paraId="6852CA02"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p>
    <w:p w14:paraId="4B1CB05A"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r w:rsidRPr="00AE4E03">
        <w:rPr>
          <w:rFonts w:ascii="Times New Roman" w:eastAsia="Times New Roman" w:hAnsi="Times New Roman" w:cs="Times New Roman"/>
          <w:i/>
          <w:color w:val="000000" w:themeColor="text1"/>
          <w:kern w:val="0"/>
          <w:sz w:val="24"/>
          <w:szCs w:val="24"/>
          <w:lang w:eastAsia="en-IN" w:bidi="ml-IN"/>
          <w14:ligatures w14:val="none"/>
        </w:rPr>
        <w:t>"We were promised a raise in allowance for hazardous duty, but it never materialized. It felt like the hospital was taking advantage of us and profiting off of its supposed ‘service to society.’ It was a severe blow, as we were already overwhelmed by the daily demands of our job. It felt like the place (organisation) no longer values its principles and promises."</w:t>
      </w:r>
    </w:p>
    <w:p w14:paraId="26A64FAD"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p>
    <w:p w14:paraId="554B77AA"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This narrative highlights the importance of aligning institutional promises with reality to create a supportive and value-driven environment for healthcare professionals, thus improving patient care and overall outcomes.</w:t>
      </w:r>
    </w:p>
    <w:p w14:paraId="4B3A8A1A" w14:textId="77777777" w:rsidR="000064D4" w:rsidRPr="00AE4E03" w:rsidRDefault="000064D4" w:rsidP="000064D4">
      <w:pPr>
        <w:pStyle w:val="Heading4"/>
        <w:spacing w:line="240" w:lineRule="auto"/>
        <w:rPr>
          <w:rFonts w:ascii="Times New Roman" w:eastAsia="Times New Roman" w:hAnsi="Times New Roman" w:cs="Times New Roman"/>
          <w:b/>
          <w:bCs/>
          <w:color w:val="000000" w:themeColor="text1"/>
          <w:sz w:val="24"/>
          <w:szCs w:val="24"/>
          <w:lang w:eastAsia="en-IN" w:bidi="ml-IN"/>
        </w:rPr>
      </w:pPr>
      <w:r w:rsidRPr="00AE4E03">
        <w:rPr>
          <w:rFonts w:ascii="Times New Roman" w:eastAsia="Times New Roman" w:hAnsi="Times New Roman" w:cs="Times New Roman"/>
          <w:b/>
          <w:bCs/>
          <w:color w:val="000000" w:themeColor="text1"/>
          <w:sz w:val="24"/>
          <w:szCs w:val="24"/>
          <w:lang w:eastAsia="en-IN" w:bidi="ml-IN"/>
        </w:rPr>
        <w:t xml:space="preserve">Scrambling for resources </w:t>
      </w:r>
    </w:p>
    <w:p w14:paraId="1FD0DD04"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Participant 8 expressed challenges faced by healthcare professionals, as they navigate between value-based principles and the pressure to meet institutional targets.</w:t>
      </w:r>
    </w:p>
    <w:p w14:paraId="2ABBA691"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p>
    <w:p w14:paraId="7BF1C06B"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r w:rsidRPr="00AE4E03">
        <w:rPr>
          <w:rFonts w:ascii="Times New Roman" w:eastAsia="Times New Roman" w:hAnsi="Times New Roman" w:cs="Times New Roman"/>
          <w:i/>
          <w:color w:val="000000" w:themeColor="text1"/>
          <w:kern w:val="0"/>
          <w:sz w:val="24"/>
          <w:szCs w:val="24"/>
          <w:lang w:eastAsia="en-IN" w:bidi="ml-IN"/>
          <w14:ligatures w14:val="none"/>
        </w:rPr>
        <w:t>"We started feeling appreciated for the risks we took, but it didn't last. Now it feels like empty words and we're not sure it was worth it. It feels like our efforts will be forgotten and only meeting targets matters.</w:t>
      </w:r>
      <w:r w:rsidRPr="00AE4E03">
        <w:rPr>
          <w:rFonts w:ascii="Times New Roman" w:eastAsia="Calibri" w:hAnsi="Times New Roman" w:cs="Times New Roman"/>
          <w:color w:val="000000" w:themeColor="text1"/>
          <w:kern w:val="0"/>
          <w:lang w:eastAsia="en-IN" w:bidi="ml-IN"/>
          <w14:ligatures w14:val="none"/>
        </w:rPr>
        <w:t xml:space="preserve"> </w:t>
      </w:r>
      <w:r w:rsidRPr="00AE4E03">
        <w:rPr>
          <w:rFonts w:ascii="Times New Roman" w:eastAsia="Times New Roman" w:hAnsi="Times New Roman" w:cs="Times New Roman"/>
          <w:i/>
          <w:color w:val="000000" w:themeColor="text1"/>
          <w:kern w:val="0"/>
          <w:sz w:val="24"/>
          <w:szCs w:val="24"/>
          <w:lang w:eastAsia="en-IN" w:bidi="ml-IN"/>
          <w14:ligatures w14:val="none"/>
        </w:rPr>
        <w:t>After repeatedly facing unmet promises, I've started to question whether my ideals align with this organization's reality, prompting me to consider a shift in my stance".</w:t>
      </w:r>
    </w:p>
    <w:p w14:paraId="046FCE79"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p>
    <w:p w14:paraId="5050A656"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This account, highlights the need to ensure lasting appreciation and support for healthcare workers, moving beyond empty words to prioritize their well-being and efforts alongside meeting targets.</w:t>
      </w:r>
    </w:p>
    <w:p w14:paraId="410A1BCA" w14:textId="77777777" w:rsidR="000064D4" w:rsidRPr="00AE4E03" w:rsidRDefault="000064D4" w:rsidP="000064D4">
      <w:pPr>
        <w:pStyle w:val="Heading4"/>
        <w:spacing w:line="240" w:lineRule="auto"/>
        <w:rPr>
          <w:rFonts w:ascii="Times New Roman" w:eastAsia="Times New Roman" w:hAnsi="Times New Roman" w:cs="Times New Roman"/>
          <w:b/>
          <w:bCs/>
          <w:color w:val="000000" w:themeColor="text1"/>
          <w:sz w:val="24"/>
          <w:szCs w:val="24"/>
          <w:lang w:eastAsia="en-IN" w:bidi="ml-IN"/>
        </w:rPr>
      </w:pPr>
      <w:r w:rsidRPr="00AE4E03">
        <w:rPr>
          <w:rFonts w:ascii="Times New Roman" w:eastAsia="Times New Roman" w:hAnsi="Times New Roman" w:cs="Times New Roman"/>
          <w:b/>
          <w:bCs/>
          <w:color w:val="000000" w:themeColor="text1"/>
          <w:sz w:val="24"/>
          <w:szCs w:val="24"/>
          <w:lang w:eastAsia="en-IN" w:bidi="ml-IN"/>
        </w:rPr>
        <w:t xml:space="preserve">Solidarity via the community </w:t>
      </w:r>
    </w:p>
    <w:p w14:paraId="3BD8F976"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Participant 2 mentioned the importance of community support in reinforcing the resilience of healthcare professionals and maintaining their commitment to serve patients, despite facing adversities within their workplace.</w:t>
      </w:r>
    </w:p>
    <w:p w14:paraId="0DE6FEFC"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p>
    <w:p w14:paraId="71D0B839"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r w:rsidRPr="00AE4E03">
        <w:rPr>
          <w:rFonts w:ascii="Times New Roman" w:eastAsia="Times New Roman" w:hAnsi="Times New Roman" w:cs="Times New Roman"/>
          <w:i/>
          <w:color w:val="000000" w:themeColor="text1"/>
          <w:kern w:val="0"/>
          <w:sz w:val="24"/>
          <w:szCs w:val="24"/>
          <w:lang w:eastAsia="en-IN" w:bidi="ml-IN"/>
          <w14:ligatures w14:val="none"/>
        </w:rPr>
        <w:t>"I originally joined this profession and my current job as part of a deeper calling to serve the society, but now I feel like the management is just trying to profit off the pandemic. They're not paying us enough and I'm no longer motivated by a desire to serve unconditionally. I found myself gravitating towards a clearer alignment with my aspirations, marking a significant shift in my professional identity. I'm just trying to get through this period by being there for the needy (patients). Despite the challenges, my primary motivation remains the impact I can make on my patients' lives, which keeps me anchored. Sharing my struggles with the prayer group also helps me to fix a perspective in, despite the testing times.</w:t>
      </w:r>
      <w:r w:rsidRPr="00AE4E03">
        <w:rPr>
          <w:rFonts w:ascii="Times New Roman" w:eastAsia="Calibri" w:hAnsi="Times New Roman" w:cs="Times New Roman"/>
          <w:color w:val="000000" w:themeColor="text1"/>
          <w:kern w:val="0"/>
          <w:lang w:eastAsia="en-IN" w:bidi="ml-IN"/>
          <w14:ligatures w14:val="none"/>
        </w:rPr>
        <w:t xml:space="preserve"> </w:t>
      </w:r>
      <w:r w:rsidRPr="00AE4E03">
        <w:rPr>
          <w:rFonts w:ascii="Times New Roman" w:eastAsia="Times New Roman" w:hAnsi="Times New Roman" w:cs="Times New Roman"/>
          <w:i/>
          <w:color w:val="000000" w:themeColor="text1"/>
          <w:kern w:val="0"/>
          <w:sz w:val="24"/>
          <w:szCs w:val="24"/>
          <w:lang w:eastAsia="en-IN" w:bidi="ml-IN"/>
          <w14:ligatures w14:val="none"/>
        </w:rPr>
        <w:t>While I initially felt disillusioned, engaging more deeply with my community and patients helped me find a renewed sense of purpose.</w:t>
      </w:r>
      <w:r w:rsidRPr="00AE4E03">
        <w:rPr>
          <w:rFonts w:ascii="Times New Roman" w:eastAsia="Calibri" w:hAnsi="Times New Roman" w:cs="Times New Roman"/>
          <w:color w:val="000000" w:themeColor="text1"/>
          <w:kern w:val="0"/>
          <w:lang w:eastAsia="en-IN" w:bidi="ml-IN"/>
          <w14:ligatures w14:val="none"/>
        </w:rPr>
        <w:t xml:space="preserve"> </w:t>
      </w:r>
    </w:p>
    <w:p w14:paraId="6F386920"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p>
    <w:p w14:paraId="6225EBBB"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From their narratives, it is probable that a few of the ideologically committed nurses, upon severe PC violations, may have downshifted towards a more relational-transactional commitment stance from their idealistic pedestals. Community support, such as prayer groups, can help nurses to mend broken promises, cope with PCBs, and navigate the shift from idealistic motivations to relational-transactional commitment.</w:t>
      </w:r>
    </w:p>
    <w:p w14:paraId="63D14F8E" w14:textId="77777777" w:rsidR="000064D4" w:rsidRPr="00AE4E03" w:rsidRDefault="000064D4" w:rsidP="000064D4">
      <w:pPr>
        <w:spacing w:after="0" w:line="240" w:lineRule="auto"/>
        <w:ind w:firstLine="720"/>
        <w:rPr>
          <w:rFonts w:ascii="Times New Roman" w:eastAsia="Times New Roman" w:hAnsi="Times New Roman" w:cs="Times New Roman"/>
          <w:iCs/>
          <w:color w:val="000000" w:themeColor="text1"/>
          <w:kern w:val="0"/>
          <w:sz w:val="24"/>
          <w:szCs w:val="24"/>
          <w:lang w:eastAsia="en-IN" w:bidi="ml-IN"/>
          <w14:ligatures w14:val="none"/>
        </w:rPr>
      </w:pPr>
    </w:p>
    <w:p w14:paraId="6FE5E6A1" w14:textId="77777777" w:rsidR="000064D4" w:rsidRPr="00AE4E03" w:rsidRDefault="000064D4" w:rsidP="000064D4">
      <w:pPr>
        <w:pStyle w:val="Heading3"/>
        <w:spacing w:line="240" w:lineRule="auto"/>
        <w:rPr>
          <w:rFonts w:ascii="Times New Roman" w:eastAsia="Times New Roman" w:hAnsi="Times New Roman" w:cs="Times New Roman"/>
          <w:b/>
          <w:bCs/>
          <w:color w:val="000000" w:themeColor="text1"/>
          <w:lang w:eastAsia="en-IN" w:bidi="ml-IN"/>
        </w:rPr>
      </w:pPr>
      <w:r w:rsidRPr="00AE4E03">
        <w:rPr>
          <w:rFonts w:ascii="Times New Roman" w:eastAsia="Times New Roman" w:hAnsi="Times New Roman" w:cs="Times New Roman"/>
          <w:b/>
          <w:bCs/>
          <w:color w:val="000000" w:themeColor="text1"/>
          <w:lang w:eastAsia="en-IN" w:bidi="ml-IN"/>
        </w:rPr>
        <w:t>Professional Growth with Resilience</w:t>
      </w:r>
    </w:p>
    <w:p w14:paraId="61CDABD7"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This theme reflects on nurses' strategic approaches to their careers, emphasizing long-term growth and development. They navigate job demands with an eye on future gains, leveraging experiences and professional advancement opportunities. Family support emerges as a crucial element, providing the motivation and encouragement needed to thrive in their work environment and pursue their career goals. This narrative showcases how nurses balance immediate challenges with their aspirations for professional growth, drawing strength from their personal support systems to enrich their work experiences.</w:t>
      </w:r>
    </w:p>
    <w:p w14:paraId="2A4652F7" w14:textId="77777777" w:rsidR="000064D4" w:rsidRPr="00AE4E03" w:rsidRDefault="000064D4" w:rsidP="000064D4">
      <w:pPr>
        <w:pStyle w:val="Heading4"/>
        <w:spacing w:line="240" w:lineRule="auto"/>
        <w:rPr>
          <w:rFonts w:ascii="Times New Roman" w:eastAsia="Times New Roman" w:hAnsi="Times New Roman" w:cs="Times New Roman"/>
          <w:b/>
          <w:bCs/>
          <w:color w:val="000000" w:themeColor="text1"/>
          <w:sz w:val="24"/>
          <w:szCs w:val="24"/>
          <w:lang w:eastAsia="en-IN" w:bidi="ml-IN"/>
        </w:rPr>
      </w:pPr>
      <w:r w:rsidRPr="00AE4E03">
        <w:rPr>
          <w:rFonts w:ascii="Times New Roman" w:eastAsia="Times New Roman" w:hAnsi="Times New Roman" w:cs="Times New Roman"/>
          <w:b/>
          <w:bCs/>
          <w:color w:val="000000" w:themeColor="text1"/>
          <w:sz w:val="24"/>
          <w:szCs w:val="24"/>
          <w:lang w:eastAsia="en-IN" w:bidi="ml-IN"/>
        </w:rPr>
        <w:t xml:space="preserve">Taxing yet gainful workload </w:t>
      </w:r>
    </w:p>
    <w:p w14:paraId="66E98ADF"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Participant 3, perceived challenging work demands and experiences, though enriching in terms of learning and career advancement.</w:t>
      </w:r>
    </w:p>
    <w:p w14:paraId="28816F3F"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p>
    <w:p w14:paraId="08957C63"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r w:rsidRPr="00AE4E03">
        <w:rPr>
          <w:rFonts w:ascii="Times New Roman" w:eastAsia="Times New Roman" w:hAnsi="Times New Roman" w:cs="Times New Roman"/>
          <w:i/>
          <w:color w:val="000000" w:themeColor="text1"/>
          <w:kern w:val="0"/>
          <w:sz w:val="24"/>
          <w:szCs w:val="24"/>
          <w:lang w:eastAsia="en-IN" w:bidi="ml-IN"/>
          <w14:ligatures w14:val="none"/>
        </w:rPr>
        <w:t>"I will take the challenges I faced as a learning opportunity. This experience will be a valuable addition to my CV. It has also given me the opportunity to learn a lot, even though it came with a lot of stress and workload. I believe it is worth it for the sake of achieving my goals."</w:t>
      </w:r>
    </w:p>
    <w:p w14:paraId="69D193CA"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p>
    <w:p w14:paraId="281FA492"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This narrative emphasizes the importance of recognizing and supporting the professional growth of healthcare workers, despite the taxing nature of their workload, to help them achieve their goals and remain motivated.</w:t>
      </w:r>
    </w:p>
    <w:p w14:paraId="60F93600" w14:textId="77777777" w:rsidR="000064D4" w:rsidRPr="00AE4E03" w:rsidRDefault="000064D4" w:rsidP="000064D4">
      <w:pPr>
        <w:pStyle w:val="Heading4"/>
        <w:spacing w:line="240" w:lineRule="auto"/>
        <w:rPr>
          <w:rFonts w:ascii="Times New Roman" w:eastAsia="Times New Roman" w:hAnsi="Times New Roman" w:cs="Times New Roman"/>
          <w:b/>
          <w:bCs/>
          <w:color w:val="000000" w:themeColor="text1"/>
          <w:sz w:val="24"/>
          <w:szCs w:val="24"/>
          <w:lang w:eastAsia="en-IN" w:bidi="ml-IN"/>
        </w:rPr>
      </w:pPr>
      <w:r w:rsidRPr="00AE4E03">
        <w:rPr>
          <w:rFonts w:ascii="Times New Roman" w:eastAsia="Times New Roman" w:hAnsi="Times New Roman" w:cs="Times New Roman"/>
          <w:b/>
          <w:bCs/>
          <w:color w:val="000000" w:themeColor="text1"/>
          <w:sz w:val="24"/>
          <w:szCs w:val="24"/>
          <w:lang w:eastAsia="en-IN" w:bidi="ml-IN"/>
        </w:rPr>
        <w:lastRenderedPageBreak/>
        <w:t xml:space="preserve">Means to the family's cause </w:t>
      </w:r>
    </w:p>
    <w:p w14:paraId="53998A58"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Participant 12 stressed on the role of family support in helping to cope with job-related challenges and in maintaining motivation in their careers and personal lives.</w:t>
      </w:r>
    </w:p>
    <w:p w14:paraId="445D44D5"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p>
    <w:p w14:paraId="49268AAD"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r w:rsidRPr="00AE4E03">
        <w:rPr>
          <w:rFonts w:ascii="Times New Roman" w:eastAsia="Times New Roman" w:hAnsi="Times New Roman" w:cs="Times New Roman"/>
          <w:i/>
          <w:color w:val="000000" w:themeColor="text1"/>
          <w:kern w:val="0"/>
          <w:sz w:val="24"/>
          <w:szCs w:val="24"/>
          <w:lang w:eastAsia="en-IN" w:bidi="ml-IN"/>
          <w14:ligatures w14:val="none"/>
        </w:rPr>
        <w:t>" Lack of support at work made me reassess my priorities, especially when thinking about my family's future and our goals. Though, I got a lot of support and perspective from my father during late-night conversations. He was worried about me as a single parent, but also made sure I had comfort food and reminded me of our long-term goal to migrate to the U.K. His encouragement and understanding helped me feel more positive and energized, which carried over into my work. These talks help me to cope with the difficulties at work by approaching it in an objective manner."</w:t>
      </w:r>
    </w:p>
    <w:p w14:paraId="66A2ECE1"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p>
    <w:p w14:paraId="1366725F"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This narrative highlights the significance of family support in fostering resilience and a positive outlook among these nurses, ultimately benefiting their work performance and overall well-being.</w:t>
      </w:r>
    </w:p>
    <w:p w14:paraId="5C3E58F0"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p>
    <w:p w14:paraId="5EE6D264" w14:textId="77777777" w:rsidR="000064D4" w:rsidRPr="00AE4E03" w:rsidRDefault="000064D4" w:rsidP="000064D4">
      <w:pPr>
        <w:pStyle w:val="Heading4"/>
        <w:spacing w:line="240" w:lineRule="auto"/>
        <w:rPr>
          <w:rFonts w:ascii="Times New Roman" w:eastAsia="Times New Roman" w:hAnsi="Times New Roman" w:cs="Times New Roman"/>
          <w:b/>
          <w:bCs/>
          <w:color w:val="000000" w:themeColor="text1"/>
          <w:sz w:val="24"/>
          <w:szCs w:val="24"/>
          <w:lang w:eastAsia="en-IN" w:bidi="ml-IN"/>
        </w:rPr>
      </w:pPr>
      <w:r w:rsidRPr="00AE4E03">
        <w:rPr>
          <w:rFonts w:ascii="Times New Roman" w:eastAsia="Times New Roman" w:hAnsi="Times New Roman" w:cs="Times New Roman"/>
          <w:b/>
          <w:bCs/>
          <w:color w:val="000000" w:themeColor="text1"/>
          <w:sz w:val="24"/>
          <w:szCs w:val="24"/>
          <w:lang w:eastAsia="en-IN" w:bidi="ml-IN"/>
        </w:rPr>
        <w:t>Leaning in</w:t>
      </w:r>
    </w:p>
    <w:p w14:paraId="5822330C"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Nurses who successfully managed the increased job demands of the pandemic used a variety of resources from their personal and contextual environments to adapt. This included boundary setting and crafting changes to their work environments. For example, participant 14, learned to set boundaries to manage the stress of the pandemic.</w:t>
      </w:r>
    </w:p>
    <w:p w14:paraId="330D42B4" w14:textId="77777777" w:rsidR="000064D4" w:rsidRPr="00AE4E03" w:rsidRDefault="000064D4" w:rsidP="000064D4">
      <w:pPr>
        <w:spacing w:after="0" w:line="240" w:lineRule="auto"/>
        <w:rPr>
          <w:rFonts w:ascii="Times New Roman" w:eastAsia="Times New Roman" w:hAnsi="Times New Roman" w:cs="Times New Roman"/>
          <w:b/>
          <w:bCs/>
          <w:i/>
          <w:iCs/>
          <w:color w:val="000000" w:themeColor="text1"/>
          <w:kern w:val="0"/>
          <w:sz w:val="24"/>
          <w:szCs w:val="24"/>
          <w:lang w:eastAsia="en-IN" w:bidi="ml-IN"/>
          <w14:ligatures w14:val="none"/>
        </w:rPr>
      </w:pPr>
    </w:p>
    <w:p w14:paraId="1EC4CA16"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r w:rsidRPr="00AE4E03">
        <w:rPr>
          <w:rFonts w:ascii="Times New Roman" w:eastAsia="Times New Roman" w:hAnsi="Times New Roman" w:cs="Times New Roman"/>
          <w:i/>
          <w:color w:val="000000" w:themeColor="text1"/>
          <w:kern w:val="0"/>
          <w:sz w:val="24"/>
          <w:szCs w:val="24"/>
          <w:lang w:eastAsia="en-IN" w:bidi="ml-IN"/>
          <w14:ligatures w14:val="none"/>
        </w:rPr>
        <w:t>“We found ways to adapt as a team to thrive. As it was getting difficult to communicate under all the gear, we developed a basic sign language code. It helped us to manage (communication) while wearing PPE and maintaining social distancing.”</w:t>
      </w:r>
    </w:p>
    <w:p w14:paraId="7E896789"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p>
    <w:p w14:paraId="7855DFC9"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As seen, some nurses adapted to the change in work conditions by managing their workload and building work resources, such as efficient teamwork. This allowed them to maintain sufficient recovery periods and regulate their responses appropriately. It further underscores the importance of promoting adaptive strategies and fostering a supportive work environment, enabling healthcare professionals to better manage stress and maintain their well-being during challenging times. Moreover, it was observed from the narratives of these nurses that they remained rooted to their initial goal-based commitment levels which was predominantly transactional and reactivated their pre-breach PCs, after the initial dismay.</w:t>
      </w:r>
    </w:p>
    <w:p w14:paraId="11772D50" w14:textId="77777777" w:rsidR="000064D4" w:rsidRPr="00AE4E03" w:rsidRDefault="000064D4" w:rsidP="000064D4">
      <w:pPr>
        <w:spacing w:after="0" w:line="240" w:lineRule="auto"/>
        <w:ind w:firstLine="720"/>
        <w:rPr>
          <w:rFonts w:ascii="Times New Roman" w:eastAsia="Times New Roman" w:hAnsi="Times New Roman" w:cs="Times New Roman"/>
          <w:iCs/>
          <w:color w:val="000000" w:themeColor="text1"/>
          <w:kern w:val="0"/>
          <w:sz w:val="24"/>
          <w:szCs w:val="24"/>
          <w:lang w:eastAsia="en-IN" w:bidi="ml-IN"/>
          <w14:ligatures w14:val="none"/>
        </w:rPr>
      </w:pPr>
    </w:p>
    <w:p w14:paraId="24122351" w14:textId="77777777" w:rsidR="000064D4" w:rsidRPr="00AE4E03" w:rsidRDefault="000064D4" w:rsidP="000064D4">
      <w:pPr>
        <w:pStyle w:val="Heading3"/>
        <w:spacing w:line="240" w:lineRule="auto"/>
        <w:rPr>
          <w:rFonts w:ascii="Times New Roman" w:eastAsia="Times New Roman" w:hAnsi="Times New Roman" w:cs="Times New Roman"/>
          <w:b/>
          <w:bCs/>
          <w:color w:val="000000" w:themeColor="text1"/>
          <w:lang w:eastAsia="en-IN" w:bidi="ml-IN"/>
        </w:rPr>
      </w:pPr>
      <w:r w:rsidRPr="00AE4E03">
        <w:rPr>
          <w:rFonts w:ascii="Times New Roman" w:eastAsia="Times New Roman" w:hAnsi="Times New Roman" w:cs="Times New Roman"/>
          <w:b/>
          <w:bCs/>
          <w:color w:val="000000" w:themeColor="text1"/>
          <w:lang w:eastAsia="en-IN" w:bidi="ml-IN"/>
        </w:rPr>
        <w:t>Challenges in Sustaining Engagement</w:t>
      </w:r>
    </w:p>
    <w:p w14:paraId="66E19851"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This theme highlights the experiences of nurses who found it challenging to maintain their engagement due to heightened job demands. It sheds light on the struggles faced by those feeling less anchored to their organizational roles, highlighting the need for supportive measures to bolster commitment and well-being in the workplace.</w:t>
      </w:r>
    </w:p>
    <w:p w14:paraId="779D369C" w14:textId="77777777" w:rsidR="000064D4" w:rsidRPr="00AE4E03" w:rsidRDefault="000064D4" w:rsidP="000064D4">
      <w:pPr>
        <w:pStyle w:val="Heading4"/>
        <w:spacing w:line="240" w:lineRule="auto"/>
        <w:rPr>
          <w:rFonts w:ascii="Times New Roman" w:eastAsia="Times New Roman" w:hAnsi="Times New Roman" w:cs="Times New Roman"/>
          <w:b/>
          <w:bCs/>
          <w:color w:val="000000" w:themeColor="text1"/>
          <w:sz w:val="24"/>
          <w:szCs w:val="24"/>
          <w:lang w:eastAsia="en-IN" w:bidi="ml-IN"/>
        </w:rPr>
      </w:pPr>
      <w:r w:rsidRPr="00AE4E03">
        <w:rPr>
          <w:rFonts w:ascii="Times New Roman" w:eastAsia="Times New Roman" w:hAnsi="Times New Roman" w:cs="Times New Roman"/>
          <w:b/>
          <w:bCs/>
          <w:color w:val="000000" w:themeColor="text1"/>
          <w:sz w:val="24"/>
          <w:szCs w:val="24"/>
          <w:lang w:eastAsia="en-IN" w:bidi="ml-IN"/>
        </w:rPr>
        <w:t xml:space="preserve">Recurring hassles </w:t>
      </w:r>
    </w:p>
    <w:p w14:paraId="6545010C"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 xml:space="preserve">Participant 9, described feeling trapped by a cycle of relentless work demands and insufficient resources, which significantly impacted her well-being. </w:t>
      </w:r>
    </w:p>
    <w:p w14:paraId="2346054C"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p>
    <w:p w14:paraId="50460994"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r w:rsidRPr="00AE4E03">
        <w:rPr>
          <w:rFonts w:ascii="Times New Roman" w:eastAsia="Times New Roman" w:hAnsi="Times New Roman" w:cs="Times New Roman"/>
          <w:i/>
          <w:color w:val="000000" w:themeColor="text1"/>
          <w:kern w:val="0"/>
          <w:sz w:val="24"/>
          <w:szCs w:val="24"/>
          <w:lang w:eastAsia="en-IN" w:bidi="ml-IN"/>
          <w14:ligatures w14:val="none"/>
        </w:rPr>
        <w:t xml:space="preserve">"I'm overwhelmed. Seeing a colleague get sick with the virus and struggle to even walk upstairs made me worry about my own risk. Our limited supply of PPE kits adds to the </w:t>
      </w:r>
      <w:r w:rsidRPr="00AE4E03">
        <w:rPr>
          <w:rFonts w:ascii="Times New Roman" w:eastAsia="Times New Roman" w:hAnsi="Times New Roman" w:cs="Times New Roman"/>
          <w:i/>
          <w:color w:val="000000" w:themeColor="text1"/>
          <w:kern w:val="0"/>
          <w:sz w:val="24"/>
          <w:szCs w:val="24"/>
          <w:lang w:eastAsia="en-IN" w:bidi="ml-IN"/>
          <w14:ligatures w14:val="none"/>
        </w:rPr>
        <w:lastRenderedPageBreak/>
        <w:t>stress. The dorms we're staying in don't offer proper rest after long shifts. I was able to handle it for a while, but now it's too much."</w:t>
      </w:r>
    </w:p>
    <w:p w14:paraId="29EA4BDB"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p>
    <w:p w14:paraId="1C6CE947"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This narrative underscores the psychological and emotional toll of such challenging work conditions on healthcare professionals, highlighting a pressing need for enhanced support and resources to mitigate stress and promote occupational health."</w:t>
      </w:r>
    </w:p>
    <w:p w14:paraId="193DFEAB"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p>
    <w:p w14:paraId="7A5FB099" w14:textId="77777777" w:rsidR="000064D4" w:rsidRPr="00AE4E03" w:rsidRDefault="000064D4" w:rsidP="000064D4">
      <w:pPr>
        <w:pStyle w:val="Heading4"/>
        <w:spacing w:line="240" w:lineRule="auto"/>
        <w:rPr>
          <w:rFonts w:ascii="Times New Roman" w:eastAsia="Times New Roman" w:hAnsi="Times New Roman" w:cs="Times New Roman"/>
          <w:b/>
          <w:bCs/>
          <w:color w:val="000000" w:themeColor="text1"/>
          <w:sz w:val="24"/>
          <w:szCs w:val="24"/>
          <w:lang w:eastAsia="en-IN" w:bidi="ml-IN"/>
        </w:rPr>
      </w:pPr>
      <w:r w:rsidRPr="00AE4E03">
        <w:rPr>
          <w:rFonts w:ascii="Times New Roman" w:eastAsia="Times New Roman" w:hAnsi="Times New Roman" w:cs="Times New Roman"/>
          <w:b/>
          <w:bCs/>
          <w:color w:val="000000" w:themeColor="text1"/>
          <w:sz w:val="24"/>
          <w:szCs w:val="24"/>
          <w:lang w:eastAsia="en-IN" w:bidi="ml-IN"/>
        </w:rPr>
        <w:t xml:space="preserve">Letting a lost cause be </w:t>
      </w:r>
    </w:p>
    <w:p w14:paraId="4406CC8D"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Certain nurses felt deeply impacted by unmet expectations and a perceived breach of their psychological contracts, which significantly affected their ability to manage increased workloads and a perceived lack of organizational support. This situation underscored the challenges some nurses faced in adapting to changing workplace dynamics, highlighting the importance of recognizing and addressing the psychological and support needs of healthcare professionals to foster a more supportive and understanding work environment.</w:t>
      </w:r>
    </w:p>
    <w:p w14:paraId="53E21783"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p>
    <w:p w14:paraId="23ACD1B6" w14:textId="77777777" w:rsidR="000064D4" w:rsidRPr="00AE4E03" w:rsidRDefault="000064D4" w:rsidP="000064D4">
      <w:pPr>
        <w:spacing w:after="0" w:line="240" w:lineRule="auto"/>
        <w:ind w:firstLine="720"/>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Participant 4, expressed her frustration,</w:t>
      </w:r>
    </w:p>
    <w:p w14:paraId="37F5F3C8" w14:textId="77777777" w:rsidR="000064D4" w:rsidRPr="00AE4E03" w:rsidRDefault="000064D4" w:rsidP="000064D4">
      <w:pPr>
        <w:spacing w:after="0" w:line="240" w:lineRule="auto"/>
        <w:ind w:firstLine="720"/>
        <w:rPr>
          <w:rFonts w:ascii="Times New Roman" w:eastAsia="Times New Roman" w:hAnsi="Times New Roman" w:cs="Times New Roman"/>
          <w:iCs/>
          <w:color w:val="000000" w:themeColor="text1"/>
          <w:kern w:val="0"/>
          <w:sz w:val="24"/>
          <w:szCs w:val="24"/>
          <w:lang w:eastAsia="en-IN" w:bidi="ml-IN"/>
          <w14:ligatures w14:val="none"/>
        </w:rPr>
      </w:pPr>
    </w:p>
    <w:p w14:paraId="71961020"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r w:rsidRPr="00AE4E03">
        <w:rPr>
          <w:rFonts w:ascii="Times New Roman" w:eastAsia="Times New Roman" w:hAnsi="Times New Roman" w:cs="Times New Roman"/>
          <w:i/>
          <w:color w:val="000000" w:themeColor="text1"/>
          <w:kern w:val="0"/>
          <w:sz w:val="24"/>
          <w:szCs w:val="24"/>
          <w:lang w:eastAsia="en-IN" w:bidi="ml-IN"/>
          <w14:ligatures w14:val="none"/>
        </w:rPr>
        <w:t>"</w:t>
      </w:r>
      <w:r w:rsidRPr="00AE4E03">
        <w:rPr>
          <w:rFonts w:ascii="Times New Roman" w:eastAsia="Calibri" w:hAnsi="Times New Roman" w:cs="Times New Roman"/>
          <w:color w:val="000000" w:themeColor="text1"/>
          <w:kern w:val="0"/>
          <w:lang w:eastAsia="en-IN" w:bidi="ml-IN"/>
          <w14:ligatures w14:val="none"/>
        </w:rPr>
        <w:t xml:space="preserve"> </w:t>
      </w:r>
      <w:r w:rsidRPr="00AE4E03">
        <w:rPr>
          <w:rFonts w:ascii="Times New Roman" w:eastAsia="Times New Roman" w:hAnsi="Times New Roman" w:cs="Times New Roman"/>
          <w:i/>
          <w:color w:val="000000" w:themeColor="text1"/>
          <w:kern w:val="0"/>
          <w:sz w:val="24"/>
          <w:szCs w:val="24"/>
          <w:lang w:eastAsia="en-IN" w:bidi="ml-IN"/>
          <w14:ligatures w14:val="none"/>
        </w:rPr>
        <w:t>I've always felt somewhat detached from my work. Unlike some of my colleagues who draw strength from their environment, I find myself navigating this profession without such a personal support system. I feel abandoned by the organization too, like they didn't care about our well-being. The workload kept increasing and the support was non-existent; it just seemed like a lost cause."</w:t>
      </w:r>
    </w:p>
    <w:p w14:paraId="24F59EFA"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p>
    <w:p w14:paraId="7DE0A054"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Narratives like these highlight the emotional toll of perceived contract violations on nurses with a weak base of commitment, emphasizing the lack of adequate support. Nurses with a weak committed profile often felt emotionally drained and found it challenging to maintain their commitment to the organization. They tended to adopt a passive approach to their work environment, focusing on merely getting by in their professional roles.</w:t>
      </w:r>
    </w:p>
    <w:p w14:paraId="2D73A99B"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p>
    <w:p w14:paraId="493E7926" w14:textId="77777777" w:rsidR="000064D4" w:rsidRPr="00AE4E03" w:rsidRDefault="000064D4" w:rsidP="000064D4">
      <w:pPr>
        <w:spacing w:after="0" w:line="240" w:lineRule="auto"/>
        <w:ind w:firstLine="720"/>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 xml:space="preserve">Participant 13, shared: </w:t>
      </w:r>
    </w:p>
    <w:p w14:paraId="7CBA7879" w14:textId="77777777" w:rsidR="000064D4" w:rsidRPr="00AE4E03" w:rsidRDefault="000064D4" w:rsidP="000064D4">
      <w:pPr>
        <w:spacing w:after="0" w:line="240" w:lineRule="auto"/>
        <w:ind w:firstLine="720"/>
        <w:rPr>
          <w:rFonts w:ascii="Times New Roman" w:eastAsia="Times New Roman" w:hAnsi="Times New Roman" w:cs="Times New Roman"/>
          <w:iCs/>
          <w:color w:val="000000" w:themeColor="text1"/>
          <w:kern w:val="0"/>
          <w:sz w:val="24"/>
          <w:szCs w:val="24"/>
          <w:lang w:eastAsia="en-IN" w:bidi="ml-IN"/>
          <w14:ligatures w14:val="none"/>
        </w:rPr>
      </w:pPr>
    </w:p>
    <w:p w14:paraId="18ACB9B6"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r w:rsidRPr="00AE4E03">
        <w:rPr>
          <w:rFonts w:ascii="Times New Roman" w:eastAsia="Times New Roman" w:hAnsi="Times New Roman" w:cs="Times New Roman"/>
          <w:i/>
          <w:color w:val="000000" w:themeColor="text1"/>
          <w:kern w:val="0"/>
          <w:sz w:val="24"/>
          <w:szCs w:val="24"/>
          <w:lang w:eastAsia="en-IN" w:bidi="ml-IN"/>
          <w14:ligatures w14:val="none"/>
        </w:rPr>
        <w:t>"I felt so drained and unsupported that I just decided to let things be. My main focus shifted to getting through each day without being too affected by the work environment."</w:t>
      </w:r>
    </w:p>
    <w:p w14:paraId="355D496B" w14:textId="77777777" w:rsidR="000064D4" w:rsidRPr="00AE4E03" w:rsidRDefault="000064D4" w:rsidP="000064D4">
      <w:pPr>
        <w:spacing w:after="0" w:line="240" w:lineRule="auto"/>
        <w:ind w:left="720"/>
        <w:rPr>
          <w:rFonts w:ascii="Times New Roman" w:eastAsia="Times New Roman" w:hAnsi="Times New Roman" w:cs="Times New Roman"/>
          <w:i/>
          <w:color w:val="000000" w:themeColor="text1"/>
          <w:kern w:val="0"/>
          <w:sz w:val="24"/>
          <w:szCs w:val="24"/>
          <w:lang w:eastAsia="en-IN" w:bidi="ml-IN"/>
          <w14:ligatures w14:val="none"/>
        </w:rPr>
      </w:pPr>
    </w:p>
    <w:p w14:paraId="56D66097" w14:textId="77777777" w:rsidR="000064D4" w:rsidRPr="00AE4E03" w:rsidRDefault="000064D4" w:rsidP="000064D4">
      <w:pPr>
        <w:spacing w:after="0" w:line="240" w:lineRule="auto"/>
        <w:rPr>
          <w:rFonts w:ascii="Times New Roman" w:eastAsia="Times New Roman" w:hAnsi="Times New Roman" w:cs="Times New Roman"/>
          <w:iCs/>
          <w:color w:val="000000" w:themeColor="text1"/>
          <w:kern w:val="0"/>
          <w:sz w:val="24"/>
          <w:szCs w:val="24"/>
          <w:lang w:eastAsia="en-IN" w:bidi="ml-IN"/>
          <w14:ligatures w14:val="none"/>
        </w:rPr>
      </w:pPr>
      <w:r w:rsidRPr="00AE4E03">
        <w:rPr>
          <w:rFonts w:ascii="Times New Roman" w:eastAsia="Times New Roman" w:hAnsi="Times New Roman" w:cs="Times New Roman"/>
          <w:iCs/>
          <w:color w:val="000000" w:themeColor="text1"/>
          <w:kern w:val="0"/>
          <w:sz w:val="24"/>
          <w:szCs w:val="24"/>
          <w:lang w:eastAsia="en-IN" w:bidi="ml-IN"/>
          <w14:ligatures w14:val="none"/>
        </w:rPr>
        <w:t>The narratives shared by nurses illuminate the profound impact of emotional exhaustion, particularly among those who feel a lack of support and connection with their workplace. Addressing the needs of these individuals is crucial to preventing disengagement and fostering a healthier work environment. Ultimately, the diverse experiences and coping strategies identified in the study underscore the necessity of recognizing individual differences within the nursing profession. This understanding is key to effectively managing job demands and supporting nurses through challenges, especially those amplified by the pandemic.</w:t>
      </w:r>
    </w:p>
    <w:p w14:paraId="79446F12" w14:textId="77777777" w:rsidR="000064D4" w:rsidRPr="00AE4E03" w:rsidRDefault="000064D4" w:rsidP="000064D4">
      <w:pPr>
        <w:spacing w:line="240" w:lineRule="auto"/>
        <w:rPr>
          <w:rFonts w:ascii="Times New Roman" w:hAnsi="Times New Roman" w:cs="Times New Roman"/>
          <w:color w:val="000000" w:themeColor="text1"/>
        </w:rPr>
      </w:pPr>
    </w:p>
    <w:p w14:paraId="51660D29" w14:textId="77777777" w:rsidR="000064D4" w:rsidRPr="00AE4E03" w:rsidRDefault="000064D4" w:rsidP="000064D4">
      <w:pPr>
        <w:pStyle w:val="Heading2"/>
        <w:spacing w:line="240" w:lineRule="auto"/>
        <w:rPr>
          <w:rFonts w:ascii="Times New Roman" w:hAnsi="Times New Roman" w:cs="Times New Roman"/>
          <w:b/>
          <w:bCs/>
          <w:color w:val="000000" w:themeColor="text1"/>
          <w:lang w:eastAsia="en-IN" w:bidi="ml-IN"/>
        </w:rPr>
      </w:pPr>
      <w:r w:rsidRPr="00AE4E03">
        <w:rPr>
          <w:rFonts w:ascii="Times New Roman" w:hAnsi="Times New Roman" w:cs="Times New Roman"/>
          <w:b/>
          <w:bCs/>
          <w:color w:val="000000" w:themeColor="text1"/>
          <w:lang w:eastAsia="en-IN" w:bidi="ml-IN"/>
        </w:rPr>
        <w:t xml:space="preserve">Discussion </w:t>
      </w:r>
    </w:p>
    <w:p w14:paraId="5313AF0B"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p>
    <w:p w14:paraId="352F07F9"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lastRenderedPageBreak/>
        <w:t>Our qualitative exploration into nurses' commitment reveals that motivations extend beyond affective ties to include strategic career considerations and familial support. This interplay suggests a complex professional identity in nursing, shaped by internal values and external pressures. Supportive relationships play a critical role in sustaining nurses' commitment amid their roles' pressures. In high-pressure nursing environments, family-based motivation is a crucial non-work resource, buffering against job stress in line with the Work-Home Resources (W-HR) model. Familial reinforcement and affirmation enhance personal self-efficacy and mood, serving as vital energy sources. This dynamic drives nurses to align career aspirations with family goals, fostering continuance commitment to organizations as they meet familial and organizational expectations. Narratives indicate that external motivation, rooted in familial support, significantly impacts how they perceive and respond to professional challenges.</w:t>
      </w:r>
    </w:p>
    <w:p w14:paraId="6851A02A"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Previous studies have emphasized the adverse effects of work interference with family on psychological distress (Liu et al., 2022). Our findings suggest that family resources can enhance nurses' energy, fostering continuance commitment to organizations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Ererdi</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et al., 2023). This contrasts with earlier literature focusing on the negative relationship between work-to-family spillover and job exhaustion (Hakanen et al., 2011). Though, some of the nurses motivated by an intrinsic calling often emphasize their connection to community and patient care above all else, showing a deep-rooted dedication that transcends workplace challenges. In contrast, others, whose commitment might appear weaker, often grapple with a lack of familial support or a conscious distancing from such influences, impacting their engagement with their roles. This nuanced understanding of nurses' motivations—ranging from deeply personal callings to strategic career advancements facilitated by family support—underscores the complex interplay of factors that shape their professional commitment and resilience.</w:t>
      </w:r>
    </w:p>
    <w:p w14:paraId="1E7A5AC1"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56F85C61"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The findings regarding nurses' motivations and the role of family support can be conceptually linked to the Work-Home Resources (W-HR) model and Psychological Contract Theory. Nurses driven by an intrinsic calling and emphasizing community connection align with the W-HR model, which emphasizes the positive impact of personal and job resources on motivation, well-being, and work performance (Brummelhuis &amp; Bakker, 2012; Rudolph, 2024). This suggests that nurses' intrinsic calling and dedication can be viewed as personal resources that enhance their engagement and resilience in the workplace,</w:t>
      </w:r>
    </w:p>
    <w:p w14:paraId="10FCCCE8"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4D4DA7B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Nurses motivated by external factors, such as familial expectations, might experience a more significant impact from PCBs, whereas those driven by intrinsic motivations and a commitment to community service show resilience against such breaches. This resilience is attributed to their alignment with personal values and a broader organizational commitment, highlighting the importance of understanding the varied responses to PCBs among nurses to tailor organizational support effectively. As seen from our findings, these nurses with a strong commitment to their values emphasize the significance of the nurse-patient/community relationship, suggesting that positive interactions can lessen the impact of unmet organizational expectations. However, the challenge arises when nurses find a misalignment between their intrinsic values and the organization's practices, potentially leading to resignation in the face of persistent breaches. </w:t>
      </w:r>
    </w:p>
    <w:p w14:paraId="3726E8C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ABBD11C"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Conversely, nurses who draw strength from family support navigate these breaches more effectively, using their support network to bolster resilience and motivation. This difference in </w:t>
      </w:r>
      <w:r w:rsidRPr="00AE4E03">
        <w:rPr>
          <w:rFonts w:ascii="Times New Roman" w:eastAsia="Times New Roman" w:hAnsi="Times New Roman" w:cs="Times New Roman"/>
          <w:color w:val="000000" w:themeColor="text1"/>
          <w:kern w:val="0"/>
          <w:sz w:val="24"/>
          <w:szCs w:val="24"/>
          <w:lang w:eastAsia="en-IN" w:bidi="ml-IN"/>
          <w14:ligatures w14:val="none"/>
        </w:rPr>
        <w:lastRenderedPageBreak/>
        <w:t>coping mechanisms and support utilization highlights varied approaches to seeking environments that better align with their professional values and aspirations, underlining the importance of organizational support in facilitating a fulfilling work environment for all nurses.</w:t>
      </w:r>
    </w:p>
    <w:p w14:paraId="42520453"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5F7CC63B"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Drawing from the resources of non-work-related psychological contracts maintained by nurses can potentially serve as a coping mechanism to make up for breaches in the psychological contract at work. When nurses feel that their expectations of personal recognition, support, and reward are not being met by the organization, it can lead to dissatisfaction and a sense of disillusionment (Purvis &amp; Cropley, 2003). In such instances, the psychological contracts that nurses uphold with non-work sources such as family, community, and patients can play a crucial role in providing them with a renewed sense of purpose and fulfilment (Purvis &amp; Cropley, 2003). By leveraging the resources drawn from non-work-related psychological contracts, nurses may be able to mitigate the impact of such breaches. Fulfilling promises, fostering strong relationships, and understanding the dynamics of the psychological contract can help healthcare institutions improve nurse retention and overall organizational outcomes (Purvis &amp; Cropley, 2003). Therefore, integrating the resources derived from non-work-related psychological contracts into the workplace can potentially help nurses navigate challenges arising from breaches in their work-related psychological contracts.</w:t>
      </w:r>
    </w:p>
    <w:p w14:paraId="50CDBCB8"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7FCDBF46"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132FD7DE"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Our qualitative analysis through semi-structured interviews uncovered the complex effects of psychological contract breaches (PCBs) on the dedication paths of nurses at the start of their careers. It highlighted a spectrum of resilience across different commitment orientations, showing that while some nurses experienced shifts in their commitment due to ideological conflicts, others maintained a consistent level of dedication. This variance illustrates the personal and unique nature of commitment among nurses, emphasizing the importance of understanding and addressing individual experiences and perceptions in the context of organizational support and career development. Therefore, by delineating and understanding these pathways to resiliency among nurses can further provide insights into how nurse leaders and healthcare organisations can support and enhance the resilience levels of their teams (Ang et al., 2018).</w:t>
      </w:r>
    </w:p>
    <w:p w14:paraId="2D7927CE"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1BF8E09B"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We observed that nurses with a strong alignment to their values and ethics faced moments of introspection in their professional commitments due to significant organizational misalignments. This realignment was notably profound in situations where trust was breached, particularly through ethical discrepancies, safety negligence, or organizational practices perceived as profiteering. These situations led some nurses to reassess their connection with their employer's values. In contrast, nurses motivated by a pragmatic approach to their careers showed remarkable resilience, leveraging family support and a problem-focused coping strategy to maintain their professional engagement and aspirations, even amidst challenges. Such nurses drawing on family support and resources were adept at recalibrating their commitment post-PCB, showcasing resilience and adaptability This resilience underscores the adaptability of nurses in navigating professional ethics and development aspirations, highlighting the importance of support systems and coping mechanisms in sustaining commitment through organizational challenges. Conversely, those with a strong value alignment found breaches more challenging, often struggling to reconcile their personal values with organizational actions. This struggle sometimes </w:t>
      </w:r>
      <w:r w:rsidRPr="00AE4E03">
        <w:rPr>
          <w:rFonts w:ascii="Times New Roman" w:eastAsia="Times New Roman" w:hAnsi="Times New Roman" w:cs="Times New Roman"/>
          <w:color w:val="000000" w:themeColor="text1"/>
          <w:kern w:val="0"/>
          <w:sz w:val="24"/>
          <w:szCs w:val="24"/>
          <w:lang w:eastAsia="en-IN" w:bidi="ml-IN"/>
          <w14:ligatures w14:val="none"/>
        </w:rPr>
        <w:lastRenderedPageBreak/>
        <w:t>led to reliance on community support and patient interactions as coping mechanisms, highlighting varied paths of resilience and adaptation among nurses in the face of PCBs.</w:t>
      </w:r>
    </w:p>
    <w:p w14:paraId="35CD5AD3"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22221331"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Our findings thus inform the intricate ways nurses' commitments evolve, emphasizing the crucial roles of individual coping mechanisms, support networks, and a dedication to patient care in shaping their professional journey. Particularly for those with a strong alignment to their values, patient interactions emerge as vital in maintaining their professional identity amid organizational challenges. This complex interplay highlights the necessity of acknowledging the diverse experiences of nurses and the significance of patient relationships in reinforcing their commitment and identity within the healthcare setting.</w:t>
      </w:r>
    </w:p>
    <w:p w14:paraId="1046FDAB" w14:textId="77777777" w:rsidR="000064D4" w:rsidRPr="00AE4E03" w:rsidRDefault="000064D4" w:rsidP="000064D4">
      <w:pPr>
        <w:spacing w:before="100" w:beforeAutospacing="1" w:after="100" w:afterAutospacing="1"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These findings therefore challenge conventional perspectives by revealing that motivations extend beyond emotional connections to include strategic career considerations and familial support. Nurses' professional identity is thus shaped by a dynamic interplay of internal values and external pressures, highlighting the crucial role of supportive relationships in maintaining their commitment despite the demands of their roles. Moreover, the discussion on the influence of familial support on nurses' commitment contrasts with the findings of Smith (2024), which emphasize the importance of nurses in general feeling valued and supported by administration. While our study underscores the role of familial reinforcement in enhancing nurses' commitment, Smith's research suggests that interactions with colleagues and support from administration are crucial factors in shaping nurse preceptors' experiences. This contrast emphasizes the multifaceted nature of support systems impacting nurses' commitment levels, highlighting the need to consider diverse sources of support in understanding nurses' dedication in different contexts.</w:t>
      </w:r>
    </w:p>
    <w:p w14:paraId="0E7E4BD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1E2F1101" w14:textId="77777777" w:rsidR="000064D4" w:rsidRPr="00AE4E03" w:rsidRDefault="000064D4" w:rsidP="000064D4">
      <w:pPr>
        <w:keepNext/>
        <w:keepLines/>
        <w:spacing w:before="40" w:after="0" w:line="240" w:lineRule="auto"/>
        <w:outlineLvl w:val="1"/>
        <w:rPr>
          <w:rFonts w:ascii="Times New Roman" w:eastAsia="Times New Roman" w:hAnsi="Times New Roman" w:cs="Times New Roman"/>
          <w:b/>
          <w:bCs/>
          <w:color w:val="000000" w:themeColor="text1"/>
          <w:kern w:val="0"/>
          <w:sz w:val="26"/>
          <w:szCs w:val="26"/>
          <w:lang w:eastAsia="en-IN" w:bidi="ml-IN"/>
          <w14:ligatures w14:val="none"/>
        </w:rPr>
      </w:pPr>
      <w:r w:rsidRPr="00AE4E03">
        <w:rPr>
          <w:rFonts w:ascii="Times New Roman" w:eastAsia="Times New Roman" w:hAnsi="Times New Roman" w:cs="Times New Roman"/>
          <w:b/>
          <w:bCs/>
          <w:color w:val="000000" w:themeColor="text1"/>
          <w:kern w:val="0"/>
          <w:sz w:val="26"/>
          <w:szCs w:val="26"/>
          <w:lang w:eastAsia="en-IN" w:bidi="ml-IN"/>
          <w14:ligatures w14:val="none"/>
        </w:rPr>
        <w:t>Implications</w:t>
      </w:r>
      <w:bookmarkStart w:id="2" w:name="_heading=h.3whwml4" w:colFirst="0" w:colLast="0"/>
      <w:bookmarkEnd w:id="2"/>
    </w:p>
    <w:p w14:paraId="0EAC0DD0" w14:textId="77777777" w:rsidR="000064D4" w:rsidRPr="00AE4E03" w:rsidRDefault="000064D4" w:rsidP="000064D4">
      <w:pPr>
        <w:keepNext/>
        <w:keepLines/>
        <w:spacing w:before="40" w:after="0" w:line="240" w:lineRule="auto"/>
        <w:outlineLvl w:val="2"/>
        <w:rPr>
          <w:rFonts w:ascii="Times New Roman" w:eastAsia="Times New Roman" w:hAnsi="Times New Roman" w:cs="Times New Roman"/>
          <w:b/>
          <w:bCs/>
          <w:color w:val="000000" w:themeColor="text1"/>
          <w:kern w:val="0"/>
          <w:sz w:val="24"/>
          <w:szCs w:val="24"/>
          <w:lang w:eastAsia="en-IN" w:bidi="ml-IN"/>
          <w14:ligatures w14:val="none"/>
        </w:rPr>
      </w:pPr>
      <w:r w:rsidRPr="00AE4E03">
        <w:rPr>
          <w:rFonts w:ascii="Times New Roman" w:eastAsia="Times New Roman" w:hAnsi="Times New Roman" w:cs="Times New Roman"/>
          <w:b/>
          <w:bCs/>
          <w:color w:val="000000" w:themeColor="text1"/>
          <w:kern w:val="0"/>
          <w:sz w:val="24"/>
          <w:szCs w:val="24"/>
          <w:lang w:eastAsia="en-IN" w:bidi="ml-IN"/>
          <w14:ligatures w14:val="none"/>
        </w:rPr>
        <w:t xml:space="preserve">Theoretical. </w:t>
      </w:r>
    </w:p>
    <w:p w14:paraId="799A8BBF"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Our study adopts an integrated approach, combining psychological contract theory with the work-home resources (W-HR) model, to explore the nuanced dynamics of early-career nurses' job demand management and organizational commitment. Contrary to the predominant quantitative leanings in the psychological contract and W-HR literature, our approach offers a holistic examination of job demands, resource availability, social exchanges, and perceptions of contract breaches. This methodological diversity addresses the call for comprehensive research designs beyond traditional questionnaire surveys, highlighting the complexity of nurses' experiences and decision-making processes in the workplace (Low, Bordia &amp; Bordia 2016; Agarwal &amp; Gupta 2018; Kutaula et al. 2020).</w:t>
      </w:r>
    </w:p>
    <w:p w14:paraId="38F01E84"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ECF78CE"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The integration of family-based motivation within the psychological contract theory framework can significantly enhance our understanding of breach recovery and commitment trajectories, as well as shed light on the importance of cross-domain resource transfers (Zhao et al., 2007). By situating family-based motivation within a broader socio-cultural context, a tertiary layer of dynamic exchanges between nurses and their non-work resources can be established, enriching the psychological contract framework (Zhao et al., 2007).</w:t>
      </w:r>
    </w:p>
    <w:p w14:paraId="285A6249"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2E795047"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lastRenderedPageBreak/>
        <w:t>Despite previous research (Baral &amp; Bhargava 2011; Chandra 2012) acknowledging the pursuit of work-life balance among Indian employees, the specific impact of family-based motivation on psychological contracts has remained underexplored (Kutaula et al. 2020). Our study addresses this gap, revealing the intricate influence of familial expectations on nurses' navigation of psychological contract breaches and subsequent commitment paths, thereby offering novel insights into the interplay between professional obligations and personal life resources.</w:t>
      </w:r>
    </w:p>
    <w:p w14:paraId="7F0991C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2D296A69"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Our study represents a novel integration of psychological contract theory and the work-home resources model, diverging from traditional approaches predominantly rooted in social exchange and equity theories. The introduction of off-the-job resources, such as familial and community support, into the analysis of psychological contract breach recovery processes offers a fresh lens to examine the resilience of healthcare professionals against job demands and organizational support deficits. By understanding how increased demands during disruptive events, such as the pandemic, coupled with diminished resources, affect individuals' work-family interactions and well-being, our study underscores the importance of considering off-the-job resources, such as family and community/stakeholder support, in the analysis of psychological contract breach recovery processes among healthcare professionals.</w:t>
      </w:r>
    </w:p>
    <w:p w14:paraId="28E41B22" w14:textId="77777777" w:rsidR="000064D4" w:rsidRPr="00AE4E03" w:rsidRDefault="000064D4" w:rsidP="000064D4">
      <w:pPr>
        <w:spacing w:after="0" w:line="240" w:lineRule="auto"/>
        <w:ind w:firstLine="720"/>
        <w:rPr>
          <w:rFonts w:ascii="Times New Roman" w:eastAsia="Times New Roman" w:hAnsi="Times New Roman" w:cs="Times New Roman"/>
          <w:color w:val="000000" w:themeColor="text1"/>
          <w:kern w:val="0"/>
          <w:sz w:val="24"/>
          <w:szCs w:val="24"/>
          <w:lang w:eastAsia="en-IN" w:bidi="ml-IN"/>
          <w14:ligatures w14:val="none"/>
        </w:rPr>
      </w:pPr>
    </w:p>
    <w:p w14:paraId="51F1AAC9"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Our research suggests that the traditional view of how job demands and resources affect performance might be too simplistic. We found that nurses, even when faced with challenges to their psychological contracts, were able to maintain performance levels by drawing on personal resources rooted in their communities and spiritual beliefs. This points to a broader range of application for psychological contracts, where personal commitments, such as patient care or family-supported career objectives, become a source of strength, compensating for the resource deficits caused by workplace demands.</w:t>
      </w:r>
    </w:p>
    <w:p w14:paraId="3F31CD24"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7497BC09"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Furthermore, the research highlights a non-linear coping strategy in response to psychological contract breaches, contrasting with the linear post-violation trajectories suggested by existing models. Nurses exhibited an initial emotional response followed by a problem-focused coping mechanism, drawing on non-work resources to mitigate breach effects. This dynamic response to psychological contract breaches, marked by within-person fluctuations and the strategic use of external resources for recovery, is in alignment with the extant psychological contract literature (Tomprou et.al., 2015).</w:t>
      </w:r>
    </w:p>
    <w:p w14:paraId="7C159CED"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432337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The findings of our study, which highlight how nurses address Psychological Contract Breaches (PCBs) by drawing from family and community resources and maintaining a distributed Psychological Contract (PC) with their patients, offer significant extensions to extant literature (Rousseau et al., 2018). Our study emphasizes the role of social networks and community resources in coping with PCBs, aligning with Rousseau et.al.’s (2018) call for research on social influence in PC dynamics. Nurses in our study not only rely on organizational resources but also seek support from family, community, and patient relationships. This broader social network plays a crucial role in renegotiation and repair phases, suggesting that future research should explore how external social resources, beyond the immediate work environment, influence PC processes. Understanding how nurses leverage these external networks can provide new insights into the social mechanisms that facilitate resilience and goal revision during PC transitions.</w:t>
      </w:r>
    </w:p>
    <w:p w14:paraId="74EC8649"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0E8919C"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lastRenderedPageBreak/>
        <w:t>Rousseau et al. (2018) urges further research the role of individual differences in PC dynamics. Our findings introduce a novel dimension by highlighting how nurses draw strength from positive PC experiences with patients, reflecting a form of distributed PC. This suggests that individual differences in how employees form and maintain PCs with multiple stakeholders (e.g., patients, family, community) can impact PC stability and transitions. Rousseau et al. (2018) also stress the importance of context in PC research. Our study's focus on the work-home resources perspective highlights the contextual factors influencing nurses' coping strategies. The integration of family and community resources underscores the need to consider broader socio-cultural and economic contexts in PC research. For instance, by exploring how societal values and community support structures influence the effectiveness of coping strategies for different nurses, our study provides a deeper understanding of the variability in PC dynamics across different environments and professions.</w:t>
      </w:r>
    </w:p>
    <w:p w14:paraId="6526E78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208C5E44"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Moreover, our research enhances the understanding of the work-home resources model by focusing on how familial support acts as a crucial resource outside of work, impacting nurses' commitment. It moves away from traditional analyses to highlight how family-based motivation and advice significantly boost personal resources like self-efficacy and overall mood, contributing to better handling of job demands. This study demonstrates that family support not only enriches work engagement but also helps maintain a healthy balance between job demands and available resources, showcasing the importance of external support systems in professional settings.</w:t>
      </w:r>
    </w:p>
    <w:p w14:paraId="440909BB"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29C71929"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Our findings demonstrate that individuals prioritizing family, community, and service-oriented goals play a pivotal role in fostering FWE, addressing critical questions about the conditions under which such cross-domain enrichments occur. Our study thus responds to recent scholarly calls for exploring the dynamics of positive family-to-work spillover effects (Bakker, Du &amp; Derks 2019), highlighting the significant impact of non-work actors like family and patients on nurses' commitment and coping mechanisms in response to psychological contract breaches.</w:t>
      </w:r>
    </w:p>
    <w:p w14:paraId="561D05A5" w14:textId="77777777" w:rsidR="000064D4" w:rsidRPr="00AE4E03" w:rsidRDefault="000064D4" w:rsidP="000064D4">
      <w:pPr>
        <w:spacing w:after="0" w:line="240" w:lineRule="auto"/>
        <w:ind w:firstLine="720"/>
        <w:rPr>
          <w:rFonts w:ascii="Times New Roman" w:eastAsia="Times New Roman" w:hAnsi="Times New Roman" w:cs="Times New Roman"/>
          <w:color w:val="000000" w:themeColor="text1"/>
          <w:kern w:val="0"/>
          <w:sz w:val="24"/>
          <w:szCs w:val="24"/>
          <w:lang w:eastAsia="en-IN" w:bidi="ml-IN"/>
          <w14:ligatures w14:val="none"/>
        </w:rPr>
      </w:pPr>
    </w:p>
    <w:p w14:paraId="326E7D48"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53C9140A" w14:textId="77777777" w:rsidR="000064D4" w:rsidRPr="00AE4E03" w:rsidRDefault="000064D4" w:rsidP="000064D4">
      <w:pPr>
        <w:keepNext/>
        <w:keepLines/>
        <w:spacing w:before="40" w:after="0" w:line="240" w:lineRule="auto"/>
        <w:outlineLvl w:val="2"/>
        <w:rPr>
          <w:rFonts w:ascii="Times New Roman" w:eastAsia="Times New Roman" w:hAnsi="Times New Roman" w:cs="Times New Roman"/>
          <w:b/>
          <w:bCs/>
          <w:color w:val="000000" w:themeColor="text1"/>
          <w:kern w:val="0"/>
          <w:sz w:val="24"/>
          <w:szCs w:val="24"/>
          <w:lang w:eastAsia="en-IN" w:bidi="ml-IN"/>
          <w14:ligatures w14:val="none"/>
        </w:rPr>
      </w:pPr>
      <w:r w:rsidRPr="00AE4E03">
        <w:rPr>
          <w:rFonts w:ascii="Times New Roman" w:eastAsia="Times New Roman" w:hAnsi="Times New Roman" w:cs="Times New Roman"/>
          <w:b/>
          <w:bCs/>
          <w:color w:val="000000" w:themeColor="text1"/>
          <w:kern w:val="0"/>
          <w:sz w:val="24"/>
          <w:szCs w:val="24"/>
          <w:lang w:eastAsia="en-IN" w:bidi="ml-IN"/>
          <w14:ligatures w14:val="none"/>
        </w:rPr>
        <w:t>Practical Implications</w:t>
      </w:r>
    </w:p>
    <w:p w14:paraId="64129826"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The exploration into how nurses engage with resources outside their job highlights essential insights for organizational support strategies. It showcases the critical role of family in positively influencing nurses' perceptions of job demands, especially for those who draw upon family support for motivation and resilience. This understanding suggests that organizations could develop tailored support mechanisms that acknowledge the diverse motivations and challenges of different nursing groups. Such interventions could facilitate a more engaged and resilient nursing workforce by leveraging the unique strengths and needs of each subgroup, ultimately improving how they manage job demands and pursue professional growth.</w:t>
      </w:r>
    </w:p>
    <w:p w14:paraId="3863E5D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B7427A3"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To effectively manage job demands and psychological contract (PC) breaches among nurses, our study underscores the necessity for targeted interventions at both organizational and individual levels. Task redesign, workload management, value-based policy development, and training for nursing leaders are foundational steps to foster an environment rich in job resources and support systems. Stress reduction programs, family-friendly policies, and support groups are essential to bolster nurses' resilience against fluctuating job demands.</w:t>
      </w:r>
    </w:p>
    <w:p w14:paraId="62219891"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DE6D25C"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However, recognizing the diversity in commitment perspectives among nurses, generic interventions may not suffice. Tailored strategies, addressing the unique needs and recovery paths post-PC breach for the different commitment orientations of the nurses, are critical. This personalized approach acknowledges individual differences in future career aspirations, resource access, and coping strategies, promoting more effective job demand management and commitment enhancement.</w:t>
      </w:r>
    </w:p>
    <w:p w14:paraId="5B20EB89"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18F8D7FD"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To foster commitment in nurses who prioritize career advancement and family support, offering challenging roles with fair compensation can align with their professional aspirations. Providing autonomy, opportunities for skill development, and clear paths for career progression are vital for engaging and retaining early-career nurses. Understanding and catering to the diverse motivations and commitment mindsets within the nursing workforce can lead to more effective management strategies and organizational benefits.</w:t>
      </w:r>
    </w:p>
    <w:p w14:paraId="1D82C9FF"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D8C013F"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Moreover, leveraging nurse-patient interactions as a resource replenishment mechanism can enhance nurses' well-being and patient satisfaction. Formal recognition of these interactions can institutionalize benefits for both nurses and patients. Effective managerial communication reflecting organizational values can attract ideologically aligned nurses, while realistic job previews ensure recruits have accurate expectations, minimizing future PCs and fostering a conducive work environment for all commitment profiles.</w:t>
      </w:r>
    </w:p>
    <w:p w14:paraId="3F189DE9"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2E6ECD2F" w14:textId="77777777" w:rsidR="000064D4" w:rsidRPr="00AE4E03" w:rsidRDefault="000064D4" w:rsidP="000064D4">
      <w:pPr>
        <w:keepNext/>
        <w:keepLines/>
        <w:spacing w:before="40" w:after="0" w:line="240" w:lineRule="auto"/>
        <w:outlineLvl w:val="1"/>
        <w:rPr>
          <w:rFonts w:ascii="Times New Roman" w:eastAsiaTheme="majorEastAsia" w:hAnsi="Times New Roman" w:cs="Times New Roman"/>
          <w:b/>
          <w:bCs/>
          <w:color w:val="000000" w:themeColor="text1"/>
          <w:kern w:val="0"/>
          <w:sz w:val="26"/>
          <w:szCs w:val="26"/>
          <w:lang w:eastAsia="en-IN" w:bidi="ml-IN"/>
          <w14:ligatures w14:val="none"/>
        </w:rPr>
      </w:pPr>
      <w:bookmarkStart w:id="3" w:name="_heading=h.qsh70q" w:colFirst="0" w:colLast="0"/>
      <w:bookmarkEnd w:id="3"/>
      <w:r w:rsidRPr="00AE4E03">
        <w:rPr>
          <w:rFonts w:ascii="Times New Roman" w:eastAsiaTheme="majorEastAsia" w:hAnsi="Times New Roman" w:cs="Times New Roman"/>
          <w:b/>
          <w:bCs/>
          <w:color w:val="000000" w:themeColor="text1"/>
          <w:kern w:val="0"/>
          <w:sz w:val="26"/>
          <w:szCs w:val="26"/>
          <w:lang w:eastAsia="en-IN" w:bidi="ml-IN"/>
          <w14:ligatures w14:val="none"/>
        </w:rPr>
        <w:t xml:space="preserve">Limitations and Future Research </w:t>
      </w:r>
    </w:p>
    <w:p w14:paraId="6BC2603C"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Our study, while offering valuable insights into the nuanced dynamics of nurse commitment and the impact of familial support, is not without its limitations. First, the reliance on self-reported data may introduce bias, as participants' perceptions of their commitment and workplace dynamics could be influenced by recent experiences or social desirability. Additionally, the study's focus on specific contexts may limit the generalizability of the findings across different healthcare settings or cultural backgrounds. Future research could extend this work by employing longitudinal designs to track changes in commitment and coping strategies over time, and by integrating objective performance metrics. Exploring the role of digital communication tools in enhancing family-to-work enrichment and examining the impact of diverse family structures on commitment profiles would also add depth to our understanding of these dynamics.</w:t>
      </w:r>
    </w:p>
    <w:p w14:paraId="1AF2C7AC"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EE2DE49" w14:textId="77777777" w:rsidR="000064D4" w:rsidRPr="00AE4E03" w:rsidRDefault="000064D4" w:rsidP="000064D4">
      <w:pPr>
        <w:keepNext/>
        <w:keepLines/>
        <w:spacing w:before="40" w:after="0" w:line="240" w:lineRule="auto"/>
        <w:outlineLvl w:val="1"/>
        <w:rPr>
          <w:rFonts w:ascii="Times New Roman" w:eastAsiaTheme="majorEastAsia" w:hAnsi="Times New Roman" w:cs="Times New Roman"/>
          <w:b/>
          <w:bCs/>
          <w:color w:val="000000" w:themeColor="text1"/>
          <w:kern w:val="0"/>
          <w:sz w:val="26"/>
          <w:szCs w:val="26"/>
          <w:lang w:eastAsia="en-IN" w:bidi="ml-IN"/>
          <w14:ligatures w14:val="none"/>
        </w:rPr>
      </w:pPr>
      <w:r w:rsidRPr="00AE4E03">
        <w:rPr>
          <w:rFonts w:ascii="Times New Roman" w:eastAsiaTheme="majorEastAsia" w:hAnsi="Times New Roman" w:cs="Times New Roman"/>
          <w:b/>
          <w:bCs/>
          <w:color w:val="000000" w:themeColor="text1"/>
          <w:kern w:val="0"/>
          <w:sz w:val="26"/>
          <w:szCs w:val="26"/>
          <w:lang w:eastAsia="en-IN" w:bidi="ml-IN"/>
          <w14:ligatures w14:val="none"/>
        </w:rPr>
        <w:t xml:space="preserve">References </w:t>
      </w:r>
    </w:p>
    <w:p w14:paraId="10767755"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2BCC9F11"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Ang, S. Y., et al. "Association between demographics and resilience–a cross‐sectional study among nurses in Singapore." International Nursing Review 65.3 (2018): 459-466.</w:t>
      </w:r>
    </w:p>
    <w:p w14:paraId="63FF28F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4ED27041"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Agarwal, U. A., &amp; Gupta, R. K. (2018) 'Examining the nature and effects of psychological contract: case study of an Indian organization', </w:t>
      </w:r>
      <w:r w:rsidRPr="00AE4E03">
        <w:rPr>
          <w:rFonts w:ascii="Times New Roman" w:eastAsia="Times New Roman" w:hAnsi="Times New Roman" w:cs="Times New Roman"/>
          <w:i/>
          <w:iCs/>
          <w:color w:val="000000" w:themeColor="text1"/>
          <w:kern w:val="0"/>
          <w:sz w:val="24"/>
          <w:szCs w:val="24"/>
          <w:lang w:eastAsia="en-IN" w:bidi="ml-IN"/>
          <w14:ligatures w14:val="none"/>
        </w:rPr>
        <w:t>Thunderbird International Business Review</w:t>
      </w:r>
      <w:r w:rsidRPr="00AE4E03">
        <w:rPr>
          <w:rFonts w:ascii="Times New Roman" w:eastAsia="Times New Roman" w:hAnsi="Times New Roman" w:cs="Times New Roman"/>
          <w:color w:val="000000" w:themeColor="text1"/>
          <w:kern w:val="0"/>
          <w:sz w:val="24"/>
          <w:szCs w:val="24"/>
          <w:lang w:eastAsia="en-IN" w:bidi="ml-IN"/>
          <w14:ligatures w14:val="none"/>
        </w:rPr>
        <w:t>, 60(2), pp. 175-191.</w:t>
      </w:r>
    </w:p>
    <w:p w14:paraId="7A294B1F"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1D33D87A"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Avgoustaki</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A., &amp; Bessa, I. (2019) 'Examining the link between flexible working arrangement bundles and employee work effort', </w:t>
      </w:r>
      <w:r w:rsidRPr="00AE4E03">
        <w:rPr>
          <w:rFonts w:ascii="Times New Roman" w:eastAsia="Times New Roman" w:hAnsi="Times New Roman" w:cs="Times New Roman"/>
          <w:i/>
          <w:iCs/>
          <w:color w:val="000000" w:themeColor="text1"/>
          <w:kern w:val="0"/>
          <w:sz w:val="24"/>
          <w:szCs w:val="24"/>
          <w:lang w:eastAsia="en-IN" w:bidi="ml-IN"/>
          <w14:ligatures w14:val="none"/>
        </w:rPr>
        <w:t>Human Resource Management</w:t>
      </w:r>
      <w:r w:rsidRPr="00AE4E03">
        <w:rPr>
          <w:rFonts w:ascii="Times New Roman" w:eastAsia="Times New Roman" w:hAnsi="Times New Roman" w:cs="Times New Roman"/>
          <w:color w:val="000000" w:themeColor="text1"/>
          <w:kern w:val="0"/>
          <w:sz w:val="24"/>
          <w:szCs w:val="24"/>
          <w:lang w:eastAsia="en-IN" w:bidi="ml-IN"/>
          <w14:ligatures w14:val="none"/>
        </w:rPr>
        <w:t>, 58(4), pp. 431-449.</w:t>
      </w:r>
    </w:p>
    <w:p w14:paraId="69048FAB"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F087AAB"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lastRenderedPageBreak/>
        <w:t>Bakker, A. B., &amp; Demerouti, E. (2014) 'Job demands–resources theory', in: Wellbeing: A complete reference guide, pp. 1-28.</w:t>
      </w:r>
    </w:p>
    <w:p w14:paraId="3356F36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29C36A17"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Bakker, A. B., &amp; Demerouti, E. (2017) 'Job demands–resources theory: Taking stock and looking forward', </w:t>
      </w:r>
      <w:r w:rsidRPr="00AE4E03">
        <w:rPr>
          <w:rFonts w:ascii="Times New Roman" w:eastAsia="Times New Roman" w:hAnsi="Times New Roman" w:cs="Times New Roman"/>
          <w:i/>
          <w:iCs/>
          <w:color w:val="000000" w:themeColor="text1"/>
          <w:kern w:val="0"/>
          <w:sz w:val="24"/>
          <w:szCs w:val="24"/>
          <w:lang w:eastAsia="en-IN" w:bidi="ml-IN"/>
          <w14:ligatures w14:val="none"/>
        </w:rPr>
        <w:t>Journal of occupational health psychology</w:t>
      </w:r>
      <w:r w:rsidRPr="00AE4E03">
        <w:rPr>
          <w:rFonts w:ascii="Times New Roman" w:eastAsia="Times New Roman" w:hAnsi="Times New Roman" w:cs="Times New Roman"/>
          <w:color w:val="000000" w:themeColor="text1"/>
          <w:kern w:val="0"/>
          <w:sz w:val="24"/>
          <w:szCs w:val="24"/>
          <w:lang w:eastAsia="en-IN" w:bidi="ml-IN"/>
          <w14:ligatures w14:val="none"/>
        </w:rPr>
        <w:t>, 22(3), p. 273.</w:t>
      </w:r>
    </w:p>
    <w:p w14:paraId="48C9C16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7F0C9BF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Bakker, A. B., Du, D., &amp; Derks, D. (2019) 'Major life events in family life, work engagement, and performance: A test of the work-home resources model', </w:t>
      </w:r>
      <w:r w:rsidRPr="00AE4E03">
        <w:rPr>
          <w:rFonts w:ascii="Times New Roman" w:eastAsia="Times New Roman" w:hAnsi="Times New Roman" w:cs="Times New Roman"/>
          <w:i/>
          <w:iCs/>
          <w:color w:val="000000" w:themeColor="text1"/>
          <w:kern w:val="0"/>
          <w:sz w:val="24"/>
          <w:szCs w:val="24"/>
          <w:lang w:eastAsia="en-IN" w:bidi="ml-IN"/>
          <w14:ligatures w14:val="none"/>
        </w:rPr>
        <w:t>International Journal of Stress Management</w:t>
      </w:r>
      <w:r w:rsidRPr="00AE4E03">
        <w:rPr>
          <w:rFonts w:ascii="Times New Roman" w:eastAsia="Times New Roman" w:hAnsi="Times New Roman" w:cs="Times New Roman"/>
          <w:color w:val="000000" w:themeColor="text1"/>
          <w:kern w:val="0"/>
          <w:sz w:val="24"/>
          <w:szCs w:val="24"/>
          <w:lang w:eastAsia="en-IN" w:bidi="ml-IN"/>
          <w14:ligatures w14:val="none"/>
        </w:rPr>
        <w:t>, 26(3), p. 238.</w:t>
      </w:r>
    </w:p>
    <w:p w14:paraId="21C7A0D5"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0271C00F"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Bakker, A. B., Hakanen, J. J., Demerouti, E., &amp; Xanthopoulou, D. (2007) 'Job resources boost work engagement, particularly when job demands are high', </w:t>
      </w:r>
      <w:r w:rsidRPr="00AE4E03">
        <w:rPr>
          <w:rFonts w:ascii="Times New Roman" w:eastAsia="Times New Roman" w:hAnsi="Times New Roman" w:cs="Times New Roman"/>
          <w:i/>
          <w:iCs/>
          <w:color w:val="000000" w:themeColor="text1"/>
          <w:kern w:val="0"/>
          <w:sz w:val="24"/>
          <w:szCs w:val="24"/>
          <w:lang w:eastAsia="en-IN" w:bidi="ml-IN"/>
          <w14:ligatures w14:val="none"/>
        </w:rPr>
        <w:t>Journal of educational psychology</w:t>
      </w:r>
      <w:r w:rsidRPr="00AE4E03">
        <w:rPr>
          <w:rFonts w:ascii="Times New Roman" w:eastAsia="Times New Roman" w:hAnsi="Times New Roman" w:cs="Times New Roman"/>
          <w:color w:val="000000" w:themeColor="text1"/>
          <w:kern w:val="0"/>
          <w:sz w:val="24"/>
          <w:szCs w:val="24"/>
          <w:lang w:eastAsia="en-IN" w:bidi="ml-IN"/>
          <w14:ligatures w14:val="none"/>
        </w:rPr>
        <w:t>, 99(2), p. 274.</w:t>
      </w:r>
    </w:p>
    <w:p w14:paraId="60E1A729"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4BD6B413"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Baral, R., &amp; Bhargava, S. (2011) 'HR interventions for work-life balance: evidences from organisations in India', </w:t>
      </w:r>
      <w:r w:rsidRPr="00AE4E03">
        <w:rPr>
          <w:rFonts w:ascii="Times New Roman" w:eastAsia="Times New Roman" w:hAnsi="Times New Roman" w:cs="Times New Roman"/>
          <w:i/>
          <w:iCs/>
          <w:color w:val="000000" w:themeColor="text1"/>
          <w:kern w:val="0"/>
          <w:sz w:val="24"/>
          <w:szCs w:val="24"/>
          <w:lang w:eastAsia="en-IN" w:bidi="ml-IN"/>
          <w14:ligatures w14:val="none"/>
        </w:rPr>
        <w:t>International Journal of Business, Management and Social Sciences</w:t>
      </w:r>
      <w:r w:rsidRPr="00AE4E03">
        <w:rPr>
          <w:rFonts w:ascii="Times New Roman" w:eastAsia="Times New Roman" w:hAnsi="Times New Roman" w:cs="Times New Roman"/>
          <w:color w:val="000000" w:themeColor="text1"/>
          <w:kern w:val="0"/>
          <w:sz w:val="24"/>
          <w:szCs w:val="24"/>
          <w:lang w:eastAsia="en-IN" w:bidi="ml-IN"/>
          <w14:ligatures w14:val="none"/>
        </w:rPr>
        <w:t>, 2(1), pp. 33-42.</w:t>
      </w:r>
    </w:p>
    <w:p w14:paraId="06C72821"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215B2AB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Baskin, R. G., &amp; Bartlett, R. (2021). Healthcare worker resilience during the COVID‐19 pandemic: An integrative review. Journal of nursing management, 29(8), 2329-2342.</w:t>
      </w:r>
    </w:p>
    <w:p w14:paraId="4181A4B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2597CC5B"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Calderwood, C. &amp; Gabriel, A. S. (2017), “Thriving at school and succeeding at work? A demands-resources view of spillover processes in working students”, </w:t>
      </w:r>
      <w:r w:rsidRPr="00AE4E03">
        <w:rPr>
          <w:rFonts w:ascii="Times New Roman" w:eastAsia="Times New Roman" w:hAnsi="Times New Roman" w:cs="Times New Roman"/>
          <w:i/>
          <w:iCs/>
          <w:color w:val="000000" w:themeColor="text1"/>
          <w:kern w:val="0"/>
          <w:sz w:val="24"/>
          <w:szCs w:val="24"/>
          <w:lang w:eastAsia="en-IN" w:bidi="ml-IN"/>
          <w14:ligatures w14:val="none"/>
        </w:rPr>
        <w:t xml:space="preserve">Journal of Vocational </w:t>
      </w:r>
      <w:proofErr w:type="spellStart"/>
      <w:r w:rsidRPr="00AE4E03">
        <w:rPr>
          <w:rFonts w:ascii="Times New Roman" w:eastAsia="Times New Roman" w:hAnsi="Times New Roman" w:cs="Times New Roman"/>
          <w:i/>
          <w:iCs/>
          <w:color w:val="000000" w:themeColor="text1"/>
          <w:kern w:val="0"/>
          <w:sz w:val="24"/>
          <w:szCs w:val="24"/>
          <w:lang w:eastAsia="en-IN" w:bidi="ml-IN"/>
          <w14:ligatures w14:val="none"/>
        </w:rPr>
        <w:t>Behavior</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103, pp. 1-13.</w:t>
      </w:r>
    </w:p>
    <w:p w14:paraId="4B877F6C"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28302D33"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Chang, H. Y., Huang, T. L., Wong, M. K., Ho, L. H., Wu, C. N., &amp; Teng, C. I. (2021). How robots help nurses focus on professional task engagement and reduce nurses’ turnover intention. Journal of Nursing Scholarship, 53(2), 237-245.</w:t>
      </w:r>
    </w:p>
    <w:p w14:paraId="5B42C4A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2B7E6327"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Chenoweth, L., Merlyn, T., Jeon, Y. H., Tait, F., &amp; Duffield, C. (2014), “Attracting and retaining qualified nurses in aged and dementia care: outcomes from an Australian study”, </w:t>
      </w:r>
      <w:r w:rsidRPr="00AE4E03">
        <w:rPr>
          <w:rFonts w:ascii="Times New Roman" w:eastAsia="Times New Roman" w:hAnsi="Times New Roman" w:cs="Times New Roman"/>
          <w:i/>
          <w:iCs/>
          <w:color w:val="000000" w:themeColor="text1"/>
          <w:kern w:val="0"/>
          <w:sz w:val="24"/>
          <w:szCs w:val="24"/>
          <w:lang w:eastAsia="en-IN" w:bidi="ml-IN"/>
          <w14:ligatures w14:val="none"/>
        </w:rPr>
        <w:t>Journal of Nursing Management</w:t>
      </w:r>
      <w:r w:rsidRPr="00AE4E03">
        <w:rPr>
          <w:rFonts w:ascii="Times New Roman" w:eastAsia="Times New Roman" w:hAnsi="Times New Roman" w:cs="Times New Roman"/>
          <w:color w:val="000000" w:themeColor="text1"/>
          <w:kern w:val="0"/>
          <w:sz w:val="24"/>
          <w:szCs w:val="24"/>
          <w:lang w:eastAsia="en-IN" w:bidi="ml-IN"/>
          <w14:ligatures w14:val="none"/>
        </w:rPr>
        <w:t>, 22(2), pp. 234-247.</w:t>
      </w:r>
    </w:p>
    <w:p w14:paraId="2AAEA304"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08B08DC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Dechawatanapaisal, D. (2022). Do broken promises matter? The effects of psychological contract breach on job embeddedness and nurses' work attitudes. International Journal of Workplace Health Management, 15(4), 515-533.</w:t>
      </w:r>
    </w:p>
    <w:p w14:paraId="783AA23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7C6D086A"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Diak, A.,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Sułkowska</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J.,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Kuźmicz</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I., Malinowska-</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Lipień</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I., Gniadek, A., &amp; Brzostek, T. (2020). Coaching in the professional and personal development of nurses.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Pielegniarstwo</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XXI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wieku</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/Nursing in the 21st Century, 19(1), 42-46.</w:t>
      </w:r>
    </w:p>
    <w:p w14:paraId="7DE8C9CF"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692FB6A"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Demerouti, E., Bakker, A. B., De Jonge, J., Janssen, P. P., &amp; Schaufeli, W. B. (2001), “Burnout and engagement at work as a function of demands and control”, </w:t>
      </w:r>
      <w:r w:rsidRPr="00AE4E03">
        <w:rPr>
          <w:rFonts w:ascii="Times New Roman" w:eastAsia="Times New Roman" w:hAnsi="Times New Roman" w:cs="Times New Roman"/>
          <w:i/>
          <w:iCs/>
          <w:color w:val="000000" w:themeColor="text1"/>
          <w:kern w:val="0"/>
          <w:sz w:val="24"/>
          <w:szCs w:val="24"/>
          <w:lang w:eastAsia="en-IN" w:bidi="ml-IN"/>
          <w14:ligatures w14:val="none"/>
        </w:rPr>
        <w:t>Scandinavian Journal of Work, Environment &amp; Health</w:t>
      </w:r>
      <w:r w:rsidRPr="00AE4E03">
        <w:rPr>
          <w:rFonts w:ascii="Times New Roman" w:eastAsia="Times New Roman" w:hAnsi="Times New Roman" w:cs="Times New Roman"/>
          <w:color w:val="000000" w:themeColor="text1"/>
          <w:kern w:val="0"/>
          <w:sz w:val="24"/>
          <w:szCs w:val="24"/>
          <w:lang w:eastAsia="en-IN" w:bidi="ml-IN"/>
          <w14:ligatures w14:val="none"/>
        </w:rPr>
        <w:t>, pp. 279-286.</w:t>
      </w:r>
    </w:p>
    <w:p w14:paraId="2FC3FD08"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0CCEE87D"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lastRenderedPageBreak/>
        <w:t xml:space="preserve">Eckerd, S., Hill, J., Boyer, K. K., Donohue, K., &amp; Ward, P. T. (2013). The relative impact of attribute, severity, and timing of psychological contract breach on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behavioral</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and attitudinal outcomes. Journal of Operations Management, 31(7-8), 567-578.</w:t>
      </w:r>
    </w:p>
    <w:p w14:paraId="78B9A8F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05934C3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El‐</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Jardali</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F. A. D. I., Merhi, M., Jamal, D., Dumit, N., &amp; Mouro, G. (2009), “Assessment of nurse retention challenges and strategies in Lebanese hospitals: the perspective of nursing directors”, </w:t>
      </w:r>
      <w:r w:rsidRPr="00AE4E03">
        <w:rPr>
          <w:rFonts w:ascii="Times New Roman" w:eastAsia="Times New Roman" w:hAnsi="Times New Roman" w:cs="Times New Roman"/>
          <w:i/>
          <w:iCs/>
          <w:color w:val="000000" w:themeColor="text1"/>
          <w:kern w:val="0"/>
          <w:sz w:val="24"/>
          <w:szCs w:val="24"/>
          <w:lang w:eastAsia="en-IN" w:bidi="ml-IN"/>
          <w14:ligatures w14:val="none"/>
        </w:rPr>
        <w:t>Journal of Nursing Management</w:t>
      </w:r>
      <w:r w:rsidRPr="00AE4E03">
        <w:rPr>
          <w:rFonts w:ascii="Times New Roman" w:eastAsia="Times New Roman" w:hAnsi="Times New Roman" w:cs="Times New Roman"/>
          <w:color w:val="000000" w:themeColor="text1"/>
          <w:kern w:val="0"/>
          <w:sz w:val="24"/>
          <w:szCs w:val="24"/>
          <w:lang w:eastAsia="en-IN" w:bidi="ml-IN"/>
          <w14:ligatures w14:val="none"/>
        </w:rPr>
        <w:t>, 17(4), pp. 453-462.</w:t>
      </w:r>
    </w:p>
    <w:p w14:paraId="7EDECC7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4455E05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Ererdi</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C.,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Rofcanin</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Y., Las Heras, M., Barraza, M., Wang, S., Bakker, A., ... &amp; Berber, A. (2024). Family‐supportive supervisor behaviours: The role of relational resources in work and home domains. European Management Review, 21(1), 220-236.</w:t>
      </w:r>
    </w:p>
    <w:p w14:paraId="2D8B788A"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5A9C1C4D"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Foster, K., Roche, M., Delgado, C.,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Cuzzillo</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C.,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Giandinoto</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J. A., &amp; Furness, T. (2019). Resilience and mental health nursing: An integrative review of international literature. International journal of mental health nursing, 28(1), 71-85.</w:t>
      </w:r>
    </w:p>
    <w:p w14:paraId="31F68B78"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5A5137BC"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Flanagan, J. C. (1954). The critical incident technique. Psychological bulletin, 51(4), 327.</w:t>
      </w:r>
    </w:p>
    <w:p w14:paraId="78D40986"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797E5EE6"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Gao, Z., Wei, X., Yang, L., Cui, D., Kong, L., Qi, L., &amp; Zhang, P. (2022). Mediating role of career self‐efficacy between clinical learning environment and professional identity in nursing students. Journal of Advanced Nursing, 78(4), 1012-1019.</w:t>
      </w:r>
    </w:p>
    <w:p w14:paraId="000B9C43"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58766FCF"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Gensimore, M. M., Maduro, R. S., Morgan, M. K., McGee, G. W., &amp; Zimbro, K. S. (2020), “The effect of nurse practice environment on retention and quality of care via burnout, work characteristics, and resilience: a moderated mediation model”, </w:t>
      </w:r>
      <w:r w:rsidRPr="00AE4E03">
        <w:rPr>
          <w:rFonts w:ascii="Times New Roman" w:eastAsia="Times New Roman" w:hAnsi="Times New Roman" w:cs="Times New Roman"/>
          <w:i/>
          <w:iCs/>
          <w:color w:val="000000" w:themeColor="text1"/>
          <w:kern w:val="0"/>
          <w:sz w:val="24"/>
          <w:szCs w:val="24"/>
          <w:lang w:eastAsia="en-IN" w:bidi="ml-IN"/>
          <w14:ligatures w14:val="none"/>
        </w:rPr>
        <w:t>JONA: The Journal of Nursing Administration</w:t>
      </w:r>
      <w:r w:rsidRPr="00AE4E03">
        <w:rPr>
          <w:rFonts w:ascii="Times New Roman" w:eastAsia="Times New Roman" w:hAnsi="Times New Roman" w:cs="Times New Roman"/>
          <w:color w:val="000000" w:themeColor="text1"/>
          <w:kern w:val="0"/>
          <w:sz w:val="24"/>
          <w:szCs w:val="24"/>
          <w:lang w:eastAsia="en-IN" w:bidi="ml-IN"/>
          <w14:ligatures w14:val="none"/>
        </w:rPr>
        <w:t>, 50(10), pp. 546-553.</w:t>
      </w:r>
    </w:p>
    <w:p w14:paraId="52AC3E41"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4DD13DD"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Griep, Y. &amp; Vantilborgh, T. (2018), “Reciprocal effects of psychological contract breach on counterproductive and organizational citizenship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behaviors</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The role of time”, </w:t>
      </w:r>
      <w:r w:rsidRPr="00AE4E03">
        <w:rPr>
          <w:rFonts w:ascii="Times New Roman" w:eastAsia="Times New Roman" w:hAnsi="Times New Roman" w:cs="Times New Roman"/>
          <w:i/>
          <w:iCs/>
          <w:color w:val="000000" w:themeColor="text1"/>
          <w:kern w:val="0"/>
          <w:sz w:val="24"/>
          <w:szCs w:val="24"/>
          <w:lang w:eastAsia="en-IN" w:bidi="ml-IN"/>
          <w14:ligatures w14:val="none"/>
        </w:rPr>
        <w:t xml:space="preserve">Journal of Vocational </w:t>
      </w:r>
      <w:proofErr w:type="spellStart"/>
      <w:r w:rsidRPr="00AE4E03">
        <w:rPr>
          <w:rFonts w:ascii="Times New Roman" w:eastAsia="Times New Roman" w:hAnsi="Times New Roman" w:cs="Times New Roman"/>
          <w:i/>
          <w:iCs/>
          <w:color w:val="000000" w:themeColor="text1"/>
          <w:kern w:val="0"/>
          <w:sz w:val="24"/>
          <w:szCs w:val="24"/>
          <w:lang w:eastAsia="en-IN" w:bidi="ml-IN"/>
          <w14:ligatures w14:val="none"/>
        </w:rPr>
        <w:t>Behavior</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104, pp. 141-153.</w:t>
      </w:r>
    </w:p>
    <w:p w14:paraId="204FCD5E"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0865EF3"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Haak-Saheem, W., Woodrow, C., &amp; Brewster, C. (2023). Low-status expatriates in the United Arab Emirates: a psychological contract perspective. The International Journal of Human Resource Management, 34(6), 1157-1181.</w:t>
      </w:r>
    </w:p>
    <w:p w14:paraId="2DF554EA"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7C7572C"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Haist, J., &amp; Kurth, P. (2022). How do low-status expatriates deal with crises? Stress, external support and personal coping strategies during the COVID-19 pandemic. Journal of Global Mobility: The Home of Expatriate Management Research, 10(2), 209-225.</w:t>
      </w:r>
    </w:p>
    <w:p w14:paraId="7567F55E"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03D14CE"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Ikeda, S., Eguchi, H., Hiro, H.,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Mafune</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K., Hino, A., Koga, K., ... &amp; Nakashima, M. (2022). Work engagement mediates the relationship between job resources and work-to-family positive spillover (WFPS) for home-visit nursing staff. Environmental and Occupational Health Practice, 4(1), 2021-0012.</w:t>
      </w:r>
    </w:p>
    <w:p w14:paraId="3253EDD7"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58D8242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lastRenderedPageBreak/>
        <w:t xml:space="preserve">Israelsen, S., &amp;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Malji</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A. (2021). COVID-19 in India: a comparative analysis of the Kerala and Gujarat development models’ initial responses. Progress in Development Studies, 21(4), 397-418.</w:t>
      </w:r>
    </w:p>
    <w:p w14:paraId="76EEC35A"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40C94AD5"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Jacobs, S., Chrysler-Fox, P., &amp; Van Wyk, R. (2020). Psychological contract breach and its influence on the job embeddedness of professional nurses.</w:t>
      </w:r>
    </w:p>
    <w:p w14:paraId="0548A007"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4E2FED6E"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Jakobsen, L., Wacher Qvistgaard, L., Trettin, B., &amp; Juel Rothmann, M. (2021). Entrepreneurship and nurse entrepreneurs lead the way to the development of nurses’ role and professional identity in clinical practice: A qualitative study. Journal of Advanced Nursing, 77(10), 4142-4155.</w:t>
      </w:r>
    </w:p>
    <w:p w14:paraId="1FB47A57"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9C62C3A"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Jourdain, G. &amp;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Chênevert</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D. (2010), "Job demands–resources, burnout and intention to leave the nursing profession: A questionnaire survey", </w:t>
      </w:r>
      <w:r w:rsidRPr="00AE4E03">
        <w:rPr>
          <w:rFonts w:ascii="Times New Roman" w:eastAsia="Times New Roman" w:hAnsi="Times New Roman" w:cs="Times New Roman"/>
          <w:i/>
          <w:iCs/>
          <w:color w:val="000000" w:themeColor="text1"/>
          <w:kern w:val="0"/>
          <w:sz w:val="24"/>
          <w:szCs w:val="24"/>
          <w:lang w:eastAsia="en-IN" w:bidi="ml-IN"/>
          <w14:ligatures w14:val="none"/>
        </w:rPr>
        <w:t>International Journal of Nursing Studies</w:t>
      </w:r>
      <w:r w:rsidRPr="00AE4E03">
        <w:rPr>
          <w:rFonts w:ascii="Times New Roman" w:eastAsia="Times New Roman" w:hAnsi="Times New Roman" w:cs="Times New Roman"/>
          <w:color w:val="000000" w:themeColor="text1"/>
          <w:kern w:val="0"/>
          <w:sz w:val="24"/>
          <w:szCs w:val="24"/>
          <w:lang w:eastAsia="en-IN" w:bidi="ml-IN"/>
          <w14:ligatures w14:val="none"/>
        </w:rPr>
        <w:t>, 47(6), pp. 709-722.</w:t>
      </w:r>
    </w:p>
    <w:p w14:paraId="729B97FD"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5622CCD4"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Kabins, A. H., Xu, X., Bergman, M. E., Berry, C. M., &amp; Willson, V. L. (2016), "A profile of profiles: A meta-analysis of the nomological net of commitment profiles", </w:t>
      </w:r>
      <w:r w:rsidRPr="00AE4E03">
        <w:rPr>
          <w:rFonts w:ascii="Times New Roman" w:eastAsia="Times New Roman" w:hAnsi="Times New Roman" w:cs="Times New Roman"/>
          <w:i/>
          <w:iCs/>
          <w:color w:val="000000" w:themeColor="text1"/>
          <w:kern w:val="0"/>
          <w:sz w:val="24"/>
          <w:szCs w:val="24"/>
          <w:lang w:eastAsia="en-IN" w:bidi="ml-IN"/>
          <w14:ligatures w14:val="none"/>
        </w:rPr>
        <w:t>Journal of Applied Psychology</w:t>
      </w:r>
      <w:r w:rsidRPr="00AE4E03">
        <w:rPr>
          <w:rFonts w:ascii="Times New Roman" w:eastAsia="Times New Roman" w:hAnsi="Times New Roman" w:cs="Times New Roman"/>
          <w:color w:val="000000" w:themeColor="text1"/>
          <w:kern w:val="0"/>
          <w:sz w:val="24"/>
          <w:szCs w:val="24"/>
          <w:lang w:eastAsia="en-IN" w:bidi="ml-IN"/>
          <w14:ligatures w14:val="none"/>
        </w:rPr>
        <w:t>, 101(6), p. 881.</w:t>
      </w:r>
    </w:p>
    <w:p w14:paraId="1018CE0A"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22A5142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Kristoffersen, M. (2021). Does professional identity play a critical role in the choice to remain in the nursing </w:t>
      </w:r>
      <w:proofErr w:type="gramStart"/>
      <w:r w:rsidRPr="00AE4E03">
        <w:rPr>
          <w:rFonts w:ascii="Times New Roman" w:eastAsia="Times New Roman" w:hAnsi="Times New Roman" w:cs="Times New Roman"/>
          <w:color w:val="000000" w:themeColor="text1"/>
          <w:kern w:val="0"/>
          <w:sz w:val="24"/>
          <w:szCs w:val="24"/>
          <w:lang w:eastAsia="en-IN" w:bidi="ml-IN"/>
          <w14:ligatures w14:val="none"/>
        </w:rPr>
        <w:t>profession?.</w:t>
      </w:r>
      <w:proofErr w:type="gramEnd"/>
      <w:r w:rsidRPr="00AE4E03">
        <w:rPr>
          <w:rFonts w:ascii="Times New Roman" w:eastAsia="Times New Roman" w:hAnsi="Times New Roman" w:cs="Times New Roman"/>
          <w:color w:val="000000" w:themeColor="text1"/>
          <w:kern w:val="0"/>
          <w:sz w:val="24"/>
          <w:szCs w:val="24"/>
          <w:lang w:eastAsia="en-IN" w:bidi="ml-IN"/>
          <w14:ligatures w14:val="none"/>
        </w:rPr>
        <w:t xml:space="preserve"> Nursing Open, 8(4), 1928-1936.</w:t>
      </w:r>
    </w:p>
    <w:p w14:paraId="3201D5D6"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0B752DCA"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Kutaula, S., Gillani, A., &amp; Budhwar, P. S. (2020), "An analysis of employment relationships in Asia using psychological contract theory: A review and research agenda",</w:t>
      </w:r>
      <w:r w:rsidRPr="00AE4E03">
        <w:rPr>
          <w:rFonts w:ascii="Times New Roman" w:eastAsia="Times New Roman" w:hAnsi="Times New Roman" w:cs="Times New Roman"/>
          <w:i/>
          <w:iCs/>
          <w:color w:val="000000" w:themeColor="text1"/>
          <w:kern w:val="0"/>
          <w:sz w:val="24"/>
          <w:szCs w:val="24"/>
          <w:lang w:eastAsia="en-IN" w:bidi="ml-IN"/>
          <w14:ligatures w14:val="none"/>
        </w:rPr>
        <w:t xml:space="preserve"> Human Resource Management Review</w:t>
      </w:r>
      <w:r w:rsidRPr="00AE4E03">
        <w:rPr>
          <w:rFonts w:ascii="Times New Roman" w:eastAsia="Times New Roman" w:hAnsi="Times New Roman" w:cs="Times New Roman"/>
          <w:color w:val="000000" w:themeColor="text1"/>
          <w:kern w:val="0"/>
          <w:sz w:val="24"/>
          <w:szCs w:val="24"/>
          <w:lang w:eastAsia="en-IN" w:bidi="ml-IN"/>
          <w14:ligatures w14:val="none"/>
        </w:rPr>
        <w:t>, 30(4), p. 100707.</w:t>
      </w:r>
    </w:p>
    <w:p w14:paraId="296A56F5"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F96ADCC"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Kwon, K., &amp; Kim, T. (2020), "An integrative literature review of employee engagement and innovative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behavior</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Revisiting the JD-R model", </w:t>
      </w:r>
      <w:r w:rsidRPr="00AE4E03">
        <w:rPr>
          <w:rFonts w:ascii="Times New Roman" w:eastAsia="Times New Roman" w:hAnsi="Times New Roman" w:cs="Times New Roman"/>
          <w:i/>
          <w:iCs/>
          <w:color w:val="000000" w:themeColor="text1"/>
          <w:kern w:val="0"/>
          <w:sz w:val="24"/>
          <w:szCs w:val="24"/>
          <w:lang w:eastAsia="en-IN" w:bidi="ml-IN"/>
          <w14:ligatures w14:val="none"/>
        </w:rPr>
        <w:t>Human Resource Management Review</w:t>
      </w:r>
      <w:r w:rsidRPr="00AE4E03">
        <w:rPr>
          <w:rFonts w:ascii="Times New Roman" w:eastAsia="Times New Roman" w:hAnsi="Times New Roman" w:cs="Times New Roman"/>
          <w:color w:val="000000" w:themeColor="text1"/>
          <w:kern w:val="0"/>
          <w:sz w:val="24"/>
          <w:szCs w:val="24"/>
          <w:lang w:eastAsia="en-IN" w:bidi="ml-IN"/>
          <w14:ligatures w14:val="none"/>
        </w:rPr>
        <w:t>, 30(2), p. 100704.</w:t>
      </w:r>
    </w:p>
    <w:p w14:paraId="02965F2D"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5DCE02C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Le, H., Newman, A., Menzies, J., Zheng, C., &amp;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Fermelis</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J. (2020), "Work–life balance in Asia: A systematic review", </w:t>
      </w:r>
      <w:r w:rsidRPr="00AE4E03">
        <w:rPr>
          <w:rFonts w:ascii="Times New Roman" w:eastAsia="Times New Roman" w:hAnsi="Times New Roman" w:cs="Times New Roman"/>
          <w:i/>
          <w:iCs/>
          <w:color w:val="000000" w:themeColor="text1"/>
          <w:kern w:val="0"/>
          <w:sz w:val="24"/>
          <w:szCs w:val="24"/>
          <w:lang w:eastAsia="en-IN" w:bidi="ml-IN"/>
          <w14:ligatures w14:val="none"/>
        </w:rPr>
        <w:t>Human Resource Management Review</w:t>
      </w:r>
      <w:r w:rsidRPr="00AE4E03">
        <w:rPr>
          <w:rFonts w:ascii="Times New Roman" w:eastAsia="Times New Roman" w:hAnsi="Times New Roman" w:cs="Times New Roman"/>
          <w:color w:val="000000" w:themeColor="text1"/>
          <w:kern w:val="0"/>
          <w:sz w:val="24"/>
          <w:szCs w:val="24"/>
          <w:lang w:eastAsia="en-IN" w:bidi="ml-IN"/>
          <w14:ligatures w14:val="none"/>
        </w:rPr>
        <w:t>, 30(4), p. 100766.</w:t>
      </w:r>
    </w:p>
    <w:p w14:paraId="434CBC46"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71DF9435"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Le, H., Lee, J., Nielsen, I., &amp; Nguyen, T. L. A. (2022), "Turnover intentions: the roles of job satisfaction and family support", </w:t>
      </w:r>
      <w:r w:rsidRPr="00AE4E03">
        <w:rPr>
          <w:rFonts w:ascii="Times New Roman" w:eastAsia="Times New Roman" w:hAnsi="Times New Roman" w:cs="Times New Roman"/>
          <w:i/>
          <w:iCs/>
          <w:color w:val="000000" w:themeColor="text1"/>
          <w:kern w:val="0"/>
          <w:sz w:val="24"/>
          <w:szCs w:val="24"/>
          <w:lang w:eastAsia="en-IN" w:bidi="ml-IN"/>
          <w14:ligatures w14:val="none"/>
        </w:rPr>
        <w:t>Personnel Review</w:t>
      </w:r>
      <w:r w:rsidRPr="00AE4E03">
        <w:rPr>
          <w:rFonts w:ascii="Times New Roman" w:eastAsia="Times New Roman" w:hAnsi="Times New Roman" w:cs="Times New Roman"/>
          <w:color w:val="000000" w:themeColor="text1"/>
          <w:kern w:val="0"/>
          <w:sz w:val="24"/>
          <w:szCs w:val="24"/>
          <w:lang w:eastAsia="en-IN" w:bidi="ml-IN"/>
          <w14:ligatures w14:val="none"/>
        </w:rPr>
        <w:t>, (ahead-of-print).</w:t>
      </w:r>
    </w:p>
    <w:p w14:paraId="294599BC"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E278B19"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Lee, J. S., &amp; Akhtar, S. (2011), "Effects of the workplace social context and job content on nurse burnout", </w:t>
      </w:r>
      <w:r w:rsidRPr="00AE4E03">
        <w:rPr>
          <w:rFonts w:ascii="Times New Roman" w:eastAsia="Times New Roman" w:hAnsi="Times New Roman" w:cs="Times New Roman"/>
          <w:i/>
          <w:iCs/>
          <w:color w:val="000000" w:themeColor="text1"/>
          <w:kern w:val="0"/>
          <w:sz w:val="24"/>
          <w:szCs w:val="24"/>
          <w:lang w:eastAsia="en-IN" w:bidi="ml-IN"/>
          <w14:ligatures w14:val="none"/>
        </w:rPr>
        <w:t>Human Resource Management</w:t>
      </w:r>
      <w:r w:rsidRPr="00AE4E03">
        <w:rPr>
          <w:rFonts w:ascii="Times New Roman" w:eastAsia="Times New Roman" w:hAnsi="Times New Roman" w:cs="Times New Roman"/>
          <w:color w:val="000000" w:themeColor="text1"/>
          <w:kern w:val="0"/>
          <w:sz w:val="24"/>
          <w:szCs w:val="24"/>
          <w:lang w:eastAsia="en-IN" w:bidi="ml-IN"/>
          <w14:ligatures w14:val="none"/>
        </w:rPr>
        <w:t>, 50(2), pp. 227-245.</w:t>
      </w:r>
    </w:p>
    <w:p w14:paraId="7E103B0F"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4FB6ADC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Li, J., Liu, H., Van Der Heijden, B., &amp; Guo, Z. (2021), "The role of filial piety in the relationships between work stress, job satisfaction, and turnover intention: a moderated mediation model", </w:t>
      </w:r>
      <w:r w:rsidRPr="00AE4E03">
        <w:rPr>
          <w:rFonts w:ascii="Times New Roman" w:eastAsia="Times New Roman" w:hAnsi="Times New Roman" w:cs="Times New Roman"/>
          <w:i/>
          <w:iCs/>
          <w:color w:val="000000" w:themeColor="text1"/>
          <w:kern w:val="0"/>
          <w:sz w:val="24"/>
          <w:szCs w:val="24"/>
          <w:lang w:eastAsia="en-IN" w:bidi="ml-IN"/>
          <w14:ligatures w14:val="none"/>
        </w:rPr>
        <w:t>International Journal of Environmental Research and Public Health</w:t>
      </w:r>
      <w:r w:rsidRPr="00AE4E03">
        <w:rPr>
          <w:rFonts w:ascii="Times New Roman" w:eastAsia="Times New Roman" w:hAnsi="Times New Roman" w:cs="Times New Roman"/>
          <w:color w:val="000000" w:themeColor="text1"/>
          <w:kern w:val="0"/>
          <w:sz w:val="24"/>
          <w:szCs w:val="24"/>
          <w:lang w:eastAsia="en-IN" w:bidi="ml-IN"/>
          <w14:ligatures w14:val="none"/>
        </w:rPr>
        <w:t>, 18(2), p. 714.</w:t>
      </w:r>
    </w:p>
    <w:p w14:paraId="2E348FF8"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183E22E"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Lincoln, Y. S., &amp; Guba, E. G. (1985), "Naturalistic Inquiry", Sage.</w:t>
      </w:r>
    </w:p>
    <w:p w14:paraId="2B88C45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8E04DD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lastRenderedPageBreak/>
        <w:t xml:space="preserve">Low, C. H., Bordia, P., &amp; Bordia, S. (2016), "What do employees want and why? An exploration of </w:t>
      </w:r>
      <w:proofErr w:type="gramStart"/>
      <w:r w:rsidRPr="00AE4E03">
        <w:rPr>
          <w:rFonts w:ascii="Times New Roman" w:eastAsia="Times New Roman" w:hAnsi="Times New Roman" w:cs="Times New Roman"/>
          <w:color w:val="000000" w:themeColor="text1"/>
          <w:kern w:val="0"/>
          <w:sz w:val="24"/>
          <w:szCs w:val="24"/>
          <w:lang w:eastAsia="en-IN" w:bidi="ml-IN"/>
          <w14:ligatures w14:val="none"/>
        </w:rPr>
        <w:t>employees’</w:t>
      </w:r>
      <w:proofErr w:type="gramEnd"/>
      <w:r w:rsidRPr="00AE4E03">
        <w:rPr>
          <w:rFonts w:ascii="Times New Roman" w:eastAsia="Times New Roman" w:hAnsi="Times New Roman" w:cs="Times New Roman"/>
          <w:color w:val="000000" w:themeColor="text1"/>
          <w:kern w:val="0"/>
          <w:sz w:val="24"/>
          <w:szCs w:val="24"/>
          <w:lang w:eastAsia="en-IN" w:bidi="ml-IN"/>
          <w14:ligatures w14:val="none"/>
        </w:rPr>
        <w:t xml:space="preserve"> preferred psychological contract elements across career stages", </w:t>
      </w:r>
      <w:r w:rsidRPr="00AE4E03">
        <w:rPr>
          <w:rFonts w:ascii="Times New Roman" w:eastAsia="Times New Roman" w:hAnsi="Times New Roman" w:cs="Times New Roman"/>
          <w:i/>
          <w:iCs/>
          <w:color w:val="000000" w:themeColor="text1"/>
          <w:kern w:val="0"/>
          <w:sz w:val="24"/>
          <w:szCs w:val="24"/>
          <w:lang w:eastAsia="en-IN" w:bidi="ml-IN"/>
          <w14:ligatures w14:val="none"/>
        </w:rPr>
        <w:t>Human Relations</w:t>
      </w:r>
      <w:r w:rsidRPr="00AE4E03">
        <w:rPr>
          <w:rFonts w:ascii="Times New Roman" w:eastAsia="Times New Roman" w:hAnsi="Times New Roman" w:cs="Times New Roman"/>
          <w:color w:val="000000" w:themeColor="text1"/>
          <w:kern w:val="0"/>
          <w:sz w:val="24"/>
          <w:szCs w:val="24"/>
          <w:lang w:eastAsia="en-IN" w:bidi="ml-IN"/>
          <w14:ligatures w14:val="none"/>
        </w:rPr>
        <w:t>, 69(7), pp. 1457-1481.</w:t>
      </w:r>
    </w:p>
    <w:p w14:paraId="1015FE1B"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6C2079C"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Meyer, J. P., Becker, T. E., &amp; Van Dick, R. (2006), "Social identities and commitments at work: Toward an integrative model", </w:t>
      </w:r>
      <w:r w:rsidRPr="00AE4E03">
        <w:rPr>
          <w:rFonts w:ascii="Times New Roman" w:eastAsia="Times New Roman" w:hAnsi="Times New Roman" w:cs="Times New Roman"/>
          <w:i/>
          <w:iCs/>
          <w:color w:val="000000" w:themeColor="text1"/>
          <w:kern w:val="0"/>
          <w:sz w:val="24"/>
          <w:szCs w:val="24"/>
          <w:lang w:eastAsia="en-IN" w:bidi="ml-IN"/>
          <w14:ligatures w14:val="none"/>
        </w:rPr>
        <w:t xml:space="preserve">Journal of Organizational </w:t>
      </w:r>
      <w:proofErr w:type="spellStart"/>
      <w:r w:rsidRPr="00AE4E03">
        <w:rPr>
          <w:rFonts w:ascii="Times New Roman" w:eastAsia="Times New Roman" w:hAnsi="Times New Roman" w:cs="Times New Roman"/>
          <w:i/>
          <w:iCs/>
          <w:color w:val="000000" w:themeColor="text1"/>
          <w:kern w:val="0"/>
          <w:sz w:val="24"/>
          <w:szCs w:val="24"/>
          <w:lang w:eastAsia="en-IN" w:bidi="ml-IN"/>
          <w14:ligatures w14:val="none"/>
        </w:rPr>
        <w:t>Behavior</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27(5), pp. 665-683.</w:t>
      </w:r>
    </w:p>
    <w:p w14:paraId="4CAAAF2F"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4B0F6ACD"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Moloney, W., Boxall, P., Parsons, M., &amp; Cheung, G. (2018), "Factors predicting Registered Nurses’ intentions to leave their organization and profession: A job demands‐resources framework", </w:t>
      </w:r>
      <w:r w:rsidRPr="00AE4E03">
        <w:rPr>
          <w:rFonts w:ascii="Times New Roman" w:eastAsia="Times New Roman" w:hAnsi="Times New Roman" w:cs="Times New Roman"/>
          <w:i/>
          <w:iCs/>
          <w:color w:val="000000" w:themeColor="text1"/>
          <w:kern w:val="0"/>
          <w:sz w:val="24"/>
          <w:szCs w:val="24"/>
          <w:lang w:eastAsia="en-IN" w:bidi="ml-IN"/>
          <w14:ligatures w14:val="none"/>
        </w:rPr>
        <w:t>Journal of Advanced Nursing</w:t>
      </w:r>
      <w:r w:rsidRPr="00AE4E03">
        <w:rPr>
          <w:rFonts w:ascii="Times New Roman" w:eastAsia="Times New Roman" w:hAnsi="Times New Roman" w:cs="Times New Roman"/>
          <w:color w:val="000000" w:themeColor="text1"/>
          <w:kern w:val="0"/>
          <w:sz w:val="24"/>
          <w:szCs w:val="24"/>
          <w:lang w:eastAsia="en-IN" w:bidi="ml-IN"/>
          <w14:ligatures w14:val="none"/>
        </w:rPr>
        <w:t>, 74(4), pp. 864-875.</w:t>
      </w:r>
    </w:p>
    <w:p w14:paraId="2981145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57F512BC"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Okada, N.,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Yabase</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K., Kobayashi, T., &amp; Okamura, H. (2019). Do multiple personal roles promote working energetically in female nurses? A cross-sectional study of relevant factors promoting work engagement in female nurses. Environmental Health and Preventive Medicine, 24, 1-12.</w:t>
      </w:r>
    </w:p>
    <w:p w14:paraId="6FDC8FAF"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7B812129"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Orb, A., Eisenhauer, L. and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Wynaden</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D., 2001. Ethics in qualitative research. </w:t>
      </w:r>
      <w:r w:rsidRPr="00AE4E03">
        <w:rPr>
          <w:rFonts w:ascii="Times New Roman" w:eastAsia="Times New Roman" w:hAnsi="Times New Roman" w:cs="Times New Roman"/>
          <w:i/>
          <w:iCs/>
          <w:color w:val="000000" w:themeColor="text1"/>
          <w:kern w:val="0"/>
          <w:sz w:val="24"/>
          <w:szCs w:val="24"/>
          <w:lang w:eastAsia="en-IN" w:bidi="ml-IN"/>
          <w14:ligatures w14:val="none"/>
        </w:rPr>
        <w:t>Journal of nursing scholarship</w:t>
      </w:r>
      <w:r w:rsidRPr="00AE4E03">
        <w:rPr>
          <w:rFonts w:ascii="Times New Roman" w:eastAsia="Times New Roman" w:hAnsi="Times New Roman" w:cs="Times New Roman"/>
          <w:color w:val="000000" w:themeColor="text1"/>
          <w:kern w:val="0"/>
          <w:sz w:val="24"/>
          <w:szCs w:val="24"/>
          <w:lang w:eastAsia="en-IN" w:bidi="ml-IN"/>
          <w14:ligatures w14:val="none"/>
        </w:rPr>
        <w:t>, 33(1), pp.93-96.</w:t>
      </w:r>
    </w:p>
    <w:p w14:paraId="23E21403"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3268325"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Patton, M. Q. (2002). Qualitative research and evaluation methods. Thousand Oaks. Cal.: Sage Publications, 4.</w:t>
      </w:r>
    </w:p>
    <w:p w14:paraId="6781E3ED"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7D11F1DB"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Purvis, L. J., &amp; Cropley, M. (2003). The psychological contracts of National Health Service nurses. Journal of nursing management, 11(2), 107-120.</w:t>
      </w:r>
    </w:p>
    <w:p w14:paraId="34785AF1"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0845971C"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Ren, Y., Zhou, Y., Wang, S., Luo, T., Huang, M., &amp; Zeng, Y. (2018). Exploratory study on resilience and its influencing factors among hospital nurses in Guangzhou, China. International Journal of Nursing Sciences, 5(1), 57-62.</w:t>
      </w:r>
    </w:p>
    <w:p w14:paraId="70C2D28E"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7D14731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Robinson, S. L., &amp; Rousseau, D. M. (1994), "Violating the psychological contract: Not the exception but the norm", </w:t>
      </w:r>
      <w:r w:rsidRPr="00AE4E03">
        <w:rPr>
          <w:rFonts w:ascii="Times New Roman" w:eastAsia="Times New Roman" w:hAnsi="Times New Roman" w:cs="Times New Roman"/>
          <w:i/>
          <w:iCs/>
          <w:color w:val="000000" w:themeColor="text1"/>
          <w:kern w:val="0"/>
          <w:sz w:val="24"/>
          <w:szCs w:val="24"/>
          <w:lang w:eastAsia="en-IN" w:bidi="ml-IN"/>
          <w14:ligatures w14:val="none"/>
        </w:rPr>
        <w:t xml:space="preserve">Journal of Organizational </w:t>
      </w:r>
      <w:proofErr w:type="spellStart"/>
      <w:r w:rsidRPr="00AE4E03">
        <w:rPr>
          <w:rFonts w:ascii="Times New Roman" w:eastAsia="Times New Roman" w:hAnsi="Times New Roman" w:cs="Times New Roman"/>
          <w:i/>
          <w:iCs/>
          <w:color w:val="000000" w:themeColor="text1"/>
          <w:kern w:val="0"/>
          <w:sz w:val="24"/>
          <w:szCs w:val="24"/>
          <w:lang w:eastAsia="en-IN" w:bidi="ml-IN"/>
          <w14:ligatures w14:val="none"/>
        </w:rPr>
        <w:t>Behavior</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15(3), pp. 245-259.</w:t>
      </w:r>
    </w:p>
    <w:p w14:paraId="148F3928"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55906F4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Rosa González, J. M., Barker, M., &amp; Shah, D. (2022). COVID-19 and self-initiated expatriate health workers: Spanish nurses in Germany. Journal of Global Mobility: The Home of Expatriate Management Research, 10(2), 242-264.</w:t>
      </w:r>
    </w:p>
    <w:p w14:paraId="2108BB2D"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701676A"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Rousseau, D. M., Hansen, S. D., &amp; Tomprou, M. (2018). A dynamic phase model of psychological contract processes. Journal of organizational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behavior</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39(9), 1081-1098.</w:t>
      </w:r>
    </w:p>
    <w:p w14:paraId="3BE944F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7F06BFEB"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Rudolph, C. W., &amp; Zacher, H. (2024). Working from home: When is it too much of a good </w:t>
      </w:r>
      <w:proofErr w:type="gramStart"/>
      <w:r w:rsidRPr="00AE4E03">
        <w:rPr>
          <w:rFonts w:ascii="Times New Roman" w:eastAsia="Times New Roman" w:hAnsi="Times New Roman" w:cs="Times New Roman"/>
          <w:color w:val="000000" w:themeColor="text1"/>
          <w:kern w:val="0"/>
          <w:sz w:val="24"/>
          <w:szCs w:val="24"/>
          <w:lang w:eastAsia="en-IN" w:bidi="ml-IN"/>
          <w14:ligatures w14:val="none"/>
        </w:rPr>
        <w:t>thing?.</w:t>
      </w:r>
      <w:proofErr w:type="gramEnd"/>
      <w:r w:rsidRPr="00AE4E03">
        <w:rPr>
          <w:rFonts w:ascii="Times New Roman" w:eastAsia="Times New Roman" w:hAnsi="Times New Roman" w:cs="Times New Roman"/>
          <w:color w:val="000000" w:themeColor="text1"/>
          <w:kern w:val="0"/>
          <w:sz w:val="24"/>
          <w:szCs w:val="24"/>
          <w:lang w:eastAsia="en-IN" w:bidi="ml-IN"/>
          <w14:ligatures w14:val="none"/>
        </w:rPr>
        <w:t xml:space="preserve"> Human Resource Development Quarterly.</w:t>
      </w:r>
    </w:p>
    <w:p w14:paraId="40FD8991"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5993486E"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Said, H., Ali, L., Ali, F., &amp; Chen, X. (2021). COVID-19 and unpaid leave: Impacts of psychological contract breach on organizational distrust and turnover intention: Mediating role of emotional exhaustion. Tourism management perspectives, 39, 100854.</w:t>
      </w:r>
    </w:p>
    <w:p w14:paraId="024E8C1E"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1A61FA7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lastRenderedPageBreak/>
        <w:t xml:space="preserve">Santhanam, N., TJ, K.,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Dyaram</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L., &amp; Ziegler, H. (2017). Impact of human resource management practices on employee turnover intentions: Moderating role of psychological contract breach. Journal of Indian Business Research, 9(3), 212-228.</w:t>
      </w:r>
    </w:p>
    <w:p w14:paraId="3BD1ACF3"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75E4C655"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Sheehan, C., Tham, T. L., Holland, P., &amp; Cooper, B. (2019), "Psychological contract fulfilment, engagement and nurse professional turnover intention", </w:t>
      </w:r>
      <w:r w:rsidRPr="00AE4E03">
        <w:rPr>
          <w:rFonts w:ascii="Times New Roman" w:eastAsia="Times New Roman" w:hAnsi="Times New Roman" w:cs="Times New Roman"/>
          <w:i/>
          <w:iCs/>
          <w:color w:val="000000" w:themeColor="text1"/>
          <w:kern w:val="0"/>
          <w:sz w:val="24"/>
          <w:szCs w:val="24"/>
          <w:lang w:eastAsia="en-IN" w:bidi="ml-IN"/>
          <w14:ligatures w14:val="none"/>
        </w:rPr>
        <w:t>International Journal of Manpower</w:t>
      </w:r>
      <w:r w:rsidRPr="00AE4E03">
        <w:rPr>
          <w:rFonts w:ascii="Times New Roman" w:eastAsia="Times New Roman" w:hAnsi="Times New Roman" w:cs="Times New Roman"/>
          <w:color w:val="000000" w:themeColor="text1"/>
          <w:kern w:val="0"/>
          <w:sz w:val="24"/>
          <w:szCs w:val="24"/>
          <w:lang w:eastAsia="en-IN" w:bidi="ml-IN"/>
          <w14:ligatures w14:val="none"/>
        </w:rPr>
        <w:t>.</w:t>
      </w:r>
    </w:p>
    <w:p w14:paraId="6FC3E865" w14:textId="77777777" w:rsidR="0088295B" w:rsidRPr="00AE4E03" w:rsidRDefault="0088295B"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4D3DE17" w14:textId="77777777" w:rsidR="0088295B" w:rsidRPr="00AE4E03" w:rsidRDefault="0088295B" w:rsidP="0088295B">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Sivarajan, R., Varma, A. M., Narzary, M., &amp;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Siju</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C. (2023). Leveraging from home: a qualitative study examining Indian nurses’ job demand management during the pandemic. South Asian Journal of Human Resources Management, 23220937221146387</w:t>
      </w:r>
    </w:p>
    <w:p w14:paraId="6499A5D6"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757BDF6D"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Smith, J. A., Flower, P. &amp; Larkin, M. (2009). Interpretative Phenomenological Analysis: Theory, Method and Research. 3</w:t>
      </w:r>
      <w:r w:rsidRPr="00AE4E03">
        <w:rPr>
          <w:rFonts w:ascii="Times New Roman" w:eastAsia="Times New Roman" w:hAnsi="Times New Roman" w:cs="Times New Roman"/>
          <w:color w:val="000000" w:themeColor="text1"/>
          <w:kern w:val="0"/>
          <w:sz w:val="24"/>
          <w:szCs w:val="24"/>
          <w:vertAlign w:val="superscript"/>
          <w:lang w:eastAsia="en-IN" w:bidi="ml-IN"/>
          <w14:ligatures w14:val="none"/>
        </w:rPr>
        <w:t>rd</w:t>
      </w:r>
      <w:r w:rsidRPr="00AE4E03">
        <w:rPr>
          <w:rFonts w:ascii="Times New Roman" w:eastAsia="Times New Roman" w:hAnsi="Times New Roman" w:cs="Times New Roman"/>
          <w:color w:val="000000" w:themeColor="text1"/>
          <w:kern w:val="0"/>
          <w:sz w:val="24"/>
          <w:szCs w:val="24"/>
          <w:lang w:eastAsia="en-IN" w:bidi="ml-IN"/>
          <w14:ligatures w14:val="none"/>
        </w:rPr>
        <w:t xml:space="preserve">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edn</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Sage, London. </w:t>
      </w:r>
    </w:p>
    <w:p w14:paraId="2C374CE3"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08D76B5"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Smith, J. A., &amp;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Shinebourne</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P. (2012). Interpretative phenomenological analysis. APA Handbook of Research Methods in Psychology, Vol 2: Research Designs: Quantitative, Qualitative, Neuropsychological, and </w:t>
      </w:r>
      <w:proofErr w:type="gramStart"/>
      <w:r w:rsidRPr="00AE4E03">
        <w:rPr>
          <w:rFonts w:ascii="Times New Roman" w:eastAsia="Times New Roman" w:hAnsi="Times New Roman" w:cs="Times New Roman"/>
          <w:color w:val="000000" w:themeColor="text1"/>
          <w:kern w:val="0"/>
          <w:sz w:val="24"/>
          <w:szCs w:val="24"/>
          <w:lang w:eastAsia="en-IN" w:bidi="ml-IN"/>
          <w14:ligatures w14:val="none"/>
        </w:rPr>
        <w:t>Biological,(</w:t>
      </w:r>
      <w:proofErr w:type="gramEnd"/>
      <w:r w:rsidRPr="00AE4E03">
        <w:rPr>
          <w:rFonts w:ascii="Times New Roman" w:eastAsia="Times New Roman" w:hAnsi="Times New Roman" w:cs="Times New Roman"/>
          <w:color w:val="000000" w:themeColor="text1"/>
          <w:kern w:val="0"/>
          <w:sz w:val="24"/>
          <w:szCs w:val="24"/>
          <w:lang w:eastAsia="en-IN" w:bidi="ml-IN"/>
          <w14:ligatures w14:val="none"/>
        </w:rPr>
        <w:t>July), 73–82. American Psychological Association.</w:t>
      </w:r>
    </w:p>
    <w:p w14:paraId="2E0FDA38"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1334F5E"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Ten Brummelhuis, L. L., &amp; Bakker, A. B. (2012), "A resource perspective on the work–home interface: The work–home resources model", </w:t>
      </w:r>
      <w:r w:rsidRPr="00AE4E03">
        <w:rPr>
          <w:rFonts w:ascii="Times New Roman" w:eastAsia="Times New Roman" w:hAnsi="Times New Roman" w:cs="Times New Roman"/>
          <w:i/>
          <w:iCs/>
          <w:color w:val="000000" w:themeColor="text1"/>
          <w:kern w:val="0"/>
          <w:sz w:val="24"/>
          <w:szCs w:val="24"/>
          <w:lang w:eastAsia="en-IN" w:bidi="ml-IN"/>
          <w14:ligatures w14:val="none"/>
        </w:rPr>
        <w:t>American Psychologist</w:t>
      </w:r>
      <w:r w:rsidRPr="00AE4E03">
        <w:rPr>
          <w:rFonts w:ascii="Times New Roman" w:eastAsia="Times New Roman" w:hAnsi="Times New Roman" w:cs="Times New Roman"/>
          <w:color w:val="000000" w:themeColor="text1"/>
          <w:kern w:val="0"/>
          <w:sz w:val="24"/>
          <w:szCs w:val="24"/>
          <w:lang w:eastAsia="en-IN" w:bidi="ml-IN"/>
          <w14:ligatures w14:val="none"/>
        </w:rPr>
        <w:t>, 67(7), p. 545.</w:t>
      </w:r>
    </w:p>
    <w:p w14:paraId="18788565"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2A228AA"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Tomprou, M., Rousseau, D. M., &amp; Hansen, S. D. (2015), "The psychological contracts of violation victims: A post‐violation model", </w:t>
      </w:r>
      <w:r w:rsidRPr="00AE4E03">
        <w:rPr>
          <w:rFonts w:ascii="Times New Roman" w:eastAsia="Times New Roman" w:hAnsi="Times New Roman" w:cs="Times New Roman"/>
          <w:i/>
          <w:iCs/>
          <w:color w:val="000000" w:themeColor="text1"/>
          <w:kern w:val="0"/>
          <w:sz w:val="24"/>
          <w:szCs w:val="24"/>
          <w:lang w:eastAsia="en-IN" w:bidi="ml-IN"/>
          <w14:ligatures w14:val="none"/>
        </w:rPr>
        <w:t xml:space="preserve">Journal of Organizational </w:t>
      </w:r>
      <w:proofErr w:type="spellStart"/>
      <w:r w:rsidRPr="00AE4E03">
        <w:rPr>
          <w:rFonts w:ascii="Times New Roman" w:eastAsia="Times New Roman" w:hAnsi="Times New Roman" w:cs="Times New Roman"/>
          <w:i/>
          <w:iCs/>
          <w:color w:val="000000" w:themeColor="text1"/>
          <w:kern w:val="0"/>
          <w:sz w:val="24"/>
          <w:szCs w:val="24"/>
          <w:lang w:eastAsia="en-IN" w:bidi="ml-IN"/>
          <w14:ligatures w14:val="none"/>
        </w:rPr>
        <w:t>Behavior</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36(4), pp. 561-581.</w:t>
      </w:r>
    </w:p>
    <w:p w14:paraId="1B8C442A" w14:textId="77777777" w:rsidR="0088295B" w:rsidRPr="00AE4E03" w:rsidRDefault="0088295B"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2853504" w14:textId="28594D59" w:rsidR="0088295B" w:rsidRPr="00AE4E03" w:rsidRDefault="0088295B"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Varma, A. M., &amp; Sivarajan, R. (2023). Coping with Burnout from a Job Demands–Resources Perspective. In INDAM: Indian Academy of Management at SBM-NMIMS Mumbai (pp. 897-908). Singapore: Springer Nature Singapore.</w:t>
      </w:r>
    </w:p>
    <w:p w14:paraId="01FEEBB6"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2BA55273"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Wei, H., Roberts, P., Strickler, J., &amp; Corbett, R. W. (2019). Nurse leaders’ strategies to foster nurse resilience. Journal of nursing management, 27(4), 681-687.</w:t>
      </w:r>
    </w:p>
    <w:p w14:paraId="0058DB80"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BE9802F"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Wilson, N. M., Norton, A., Young, F. P., &amp; Collins, D. W. (2020), "Airborne transmission of severe acute respiratory syndrome coronavirus‐2 to healthcare workers: a narrative review", </w:t>
      </w:r>
      <w:r w:rsidRPr="00AE4E03">
        <w:rPr>
          <w:rFonts w:ascii="Times New Roman" w:eastAsia="Times New Roman" w:hAnsi="Times New Roman" w:cs="Times New Roman"/>
          <w:i/>
          <w:iCs/>
          <w:color w:val="000000" w:themeColor="text1"/>
          <w:kern w:val="0"/>
          <w:sz w:val="24"/>
          <w:szCs w:val="24"/>
          <w:lang w:eastAsia="en-IN" w:bidi="ml-IN"/>
          <w14:ligatures w14:val="none"/>
        </w:rPr>
        <w:t>Anaesthesia</w:t>
      </w:r>
      <w:r w:rsidRPr="00AE4E03">
        <w:rPr>
          <w:rFonts w:ascii="Times New Roman" w:eastAsia="Times New Roman" w:hAnsi="Times New Roman" w:cs="Times New Roman"/>
          <w:color w:val="000000" w:themeColor="text1"/>
          <w:kern w:val="0"/>
          <w:sz w:val="24"/>
          <w:szCs w:val="24"/>
          <w:lang w:eastAsia="en-IN" w:bidi="ml-IN"/>
          <w14:ligatures w14:val="none"/>
        </w:rPr>
        <w:t>, 75(8), pp. 1086-1095.</w:t>
      </w:r>
    </w:p>
    <w:p w14:paraId="77E77E3D"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06E2D96F"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Xu, G., Zeng, X., &amp; Wu, X. (2023), "Global prevalence of turnover intention among intensive care nurses: a meta‐analysis", </w:t>
      </w:r>
      <w:r w:rsidRPr="00AE4E03">
        <w:rPr>
          <w:rFonts w:ascii="Times New Roman" w:eastAsia="Times New Roman" w:hAnsi="Times New Roman" w:cs="Times New Roman"/>
          <w:i/>
          <w:iCs/>
          <w:color w:val="000000" w:themeColor="text1"/>
          <w:kern w:val="0"/>
          <w:sz w:val="24"/>
          <w:szCs w:val="24"/>
          <w:lang w:eastAsia="en-IN" w:bidi="ml-IN"/>
          <w14:ligatures w14:val="none"/>
        </w:rPr>
        <w:t>Nursing in Critical Care</w:t>
      </w:r>
      <w:r w:rsidRPr="00AE4E03">
        <w:rPr>
          <w:rFonts w:ascii="Times New Roman" w:eastAsia="Times New Roman" w:hAnsi="Times New Roman" w:cs="Times New Roman"/>
          <w:color w:val="000000" w:themeColor="text1"/>
          <w:kern w:val="0"/>
          <w:sz w:val="24"/>
          <w:szCs w:val="24"/>
          <w:lang w:eastAsia="en-IN" w:bidi="ml-IN"/>
          <w14:ligatures w14:val="none"/>
        </w:rPr>
        <w:t>, 28(2), pp. 159-166.</w:t>
      </w:r>
    </w:p>
    <w:p w14:paraId="47BC20C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17419D7A"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Zacher, H., &amp; Rudolph, C. W. (2021). Relationships between psychological contract breach and employee well‐being and career‐related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behavior</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The role of occupational future time perspective. Journal of Organizational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Behavior</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42(1), 84-99.</w:t>
      </w:r>
    </w:p>
    <w:p w14:paraId="4B43137B"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74F3E6E"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 xml:space="preserve">Žnidaršič, J., &amp; Bernik, M. (2021). Impact of work-family balance results on employee work engagement within the organization: The case of Slovenia. </w:t>
      </w:r>
      <w:proofErr w:type="spellStart"/>
      <w:r w:rsidRPr="00AE4E03">
        <w:rPr>
          <w:rFonts w:ascii="Times New Roman" w:eastAsia="Times New Roman" w:hAnsi="Times New Roman" w:cs="Times New Roman"/>
          <w:color w:val="000000" w:themeColor="text1"/>
          <w:kern w:val="0"/>
          <w:sz w:val="24"/>
          <w:szCs w:val="24"/>
          <w:lang w:eastAsia="en-IN" w:bidi="ml-IN"/>
          <w14:ligatures w14:val="none"/>
        </w:rPr>
        <w:t>Plos</w:t>
      </w:r>
      <w:proofErr w:type="spellEnd"/>
      <w:r w:rsidRPr="00AE4E03">
        <w:rPr>
          <w:rFonts w:ascii="Times New Roman" w:eastAsia="Times New Roman" w:hAnsi="Times New Roman" w:cs="Times New Roman"/>
          <w:color w:val="000000" w:themeColor="text1"/>
          <w:kern w:val="0"/>
          <w:sz w:val="24"/>
          <w:szCs w:val="24"/>
          <w:lang w:eastAsia="en-IN" w:bidi="ml-IN"/>
          <w14:ligatures w14:val="none"/>
        </w:rPr>
        <w:t xml:space="preserve"> one, 16(1), e0245078.</w:t>
      </w:r>
    </w:p>
    <w:p w14:paraId="661AFF9D"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4CD1B54"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B9E319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EE06F87"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43235E71"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3EEAEB12"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5548D918"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6BD5977"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tbl>
      <w:tblPr>
        <w:tblW w:w="8129" w:type="dxa"/>
        <w:jc w:val="center"/>
        <w:tblLayout w:type="fixed"/>
        <w:tblLook w:val="0400" w:firstRow="0" w:lastRow="0" w:firstColumn="0" w:lastColumn="0" w:noHBand="0" w:noVBand="1"/>
      </w:tblPr>
      <w:tblGrid>
        <w:gridCol w:w="1005"/>
        <w:gridCol w:w="1914"/>
        <w:gridCol w:w="1377"/>
        <w:gridCol w:w="857"/>
        <w:gridCol w:w="1395"/>
        <w:gridCol w:w="1581"/>
      </w:tblGrid>
      <w:tr w:rsidR="00AE4E03" w:rsidRPr="00AE4E03" w14:paraId="4F3E5169" w14:textId="77777777" w:rsidTr="00E16F09">
        <w:trPr>
          <w:trHeight w:val="954"/>
          <w:jc w:val="center"/>
        </w:trPr>
        <w:tc>
          <w:tcPr>
            <w:tcW w:w="1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E0BB7" w14:textId="77777777" w:rsidR="000064D4" w:rsidRPr="00AE4E03" w:rsidRDefault="000064D4" w:rsidP="00E16F09">
            <w:pPr>
              <w:spacing w:after="0" w:line="240" w:lineRule="auto"/>
              <w:jc w:val="center"/>
              <w:rPr>
                <w:rFonts w:ascii="Times New Roman" w:eastAsia="Times New Roman" w:hAnsi="Times New Roman" w:cs="Times New Roman"/>
                <w:b/>
                <w:color w:val="000000" w:themeColor="text1"/>
                <w:kern w:val="0"/>
                <w:sz w:val="24"/>
                <w:szCs w:val="24"/>
                <w:lang w:eastAsia="en-IN" w:bidi="ml-IN"/>
                <w14:ligatures w14:val="none"/>
              </w:rPr>
            </w:pPr>
            <w:proofErr w:type="spellStart"/>
            <w:r w:rsidRPr="00AE4E03">
              <w:rPr>
                <w:rFonts w:ascii="Times New Roman" w:eastAsia="Times New Roman" w:hAnsi="Times New Roman" w:cs="Times New Roman"/>
                <w:b/>
                <w:color w:val="000000" w:themeColor="text1"/>
                <w:kern w:val="0"/>
                <w:sz w:val="24"/>
                <w:szCs w:val="24"/>
                <w:lang w:eastAsia="en-IN" w:bidi="ml-IN"/>
                <w14:ligatures w14:val="none"/>
              </w:rPr>
              <w:t>Sl</w:t>
            </w:r>
            <w:proofErr w:type="spellEnd"/>
            <w:r w:rsidRPr="00AE4E03">
              <w:rPr>
                <w:rFonts w:ascii="Times New Roman" w:eastAsia="Times New Roman" w:hAnsi="Times New Roman" w:cs="Times New Roman"/>
                <w:b/>
                <w:color w:val="000000" w:themeColor="text1"/>
                <w:kern w:val="0"/>
                <w:sz w:val="24"/>
                <w:szCs w:val="24"/>
                <w:lang w:eastAsia="en-IN" w:bidi="ml-IN"/>
                <w14:ligatures w14:val="none"/>
              </w:rPr>
              <w:t xml:space="preserve"> Num</w:t>
            </w:r>
          </w:p>
        </w:tc>
        <w:tc>
          <w:tcPr>
            <w:tcW w:w="1914" w:type="dxa"/>
            <w:tcBorders>
              <w:top w:val="single" w:sz="4" w:space="0" w:color="000000"/>
              <w:left w:val="nil"/>
              <w:bottom w:val="single" w:sz="4" w:space="0" w:color="000000"/>
              <w:right w:val="single" w:sz="4" w:space="0" w:color="000000"/>
            </w:tcBorders>
            <w:shd w:val="clear" w:color="auto" w:fill="auto"/>
            <w:vAlign w:val="center"/>
          </w:tcPr>
          <w:p w14:paraId="60B42B05" w14:textId="77777777" w:rsidR="000064D4" w:rsidRPr="00AE4E03" w:rsidRDefault="000064D4" w:rsidP="00E16F09">
            <w:pPr>
              <w:spacing w:after="0" w:line="240" w:lineRule="auto"/>
              <w:jc w:val="center"/>
              <w:rPr>
                <w:rFonts w:ascii="Times New Roman" w:eastAsia="Times New Roman" w:hAnsi="Times New Roman" w:cs="Times New Roman"/>
                <w:b/>
                <w:color w:val="000000" w:themeColor="text1"/>
                <w:kern w:val="0"/>
                <w:sz w:val="24"/>
                <w:szCs w:val="24"/>
                <w:lang w:eastAsia="en-IN" w:bidi="ml-IN"/>
                <w14:ligatures w14:val="none"/>
              </w:rPr>
            </w:pPr>
            <w:r w:rsidRPr="00AE4E03">
              <w:rPr>
                <w:rFonts w:ascii="Times New Roman" w:eastAsia="Times New Roman" w:hAnsi="Times New Roman" w:cs="Times New Roman"/>
                <w:b/>
                <w:color w:val="000000" w:themeColor="text1"/>
                <w:kern w:val="0"/>
                <w:sz w:val="24"/>
                <w:szCs w:val="24"/>
                <w:lang w:eastAsia="en-IN" w:bidi="ml-IN"/>
                <w14:ligatures w14:val="none"/>
              </w:rPr>
              <w:t>Participant Code</w:t>
            </w:r>
          </w:p>
        </w:tc>
        <w:tc>
          <w:tcPr>
            <w:tcW w:w="1377" w:type="dxa"/>
            <w:tcBorders>
              <w:top w:val="single" w:sz="4" w:space="0" w:color="000000"/>
              <w:left w:val="nil"/>
              <w:bottom w:val="single" w:sz="4" w:space="0" w:color="000000"/>
              <w:right w:val="single" w:sz="4" w:space="0" w:color="000000"/>
            </w:tcBorders>
            <w:shd w:val="clear" w:color="auto" w:fill="auto"/>
            <w:vAlign w:val="center"/>
          </w:tcPr>
          <w:p w14:paraId="7AE339DA" w14:textId="77777777" w:rsidR="000064D4" w:rsidRPr="00AE4E03" w:rsidRDefault="000064D4" w:rsidP="00E16F09">
            <w:pPr>
              <w:spacing w:after="0" w:line="240" w:lineRule="auto"/>
              <w:jc w:val="center"/>
              <w:rPr>
                <w:rFonts w:ascii="Times New Roman" w:eastAsia="Times New Roman" w:hAnsi="Times New Roman" w:cs="Times New Roman"/>
                <w:b/>
                <w:color w:val="000000" w:themeColor="text1"/>
                <w:kern w:val="0"/>
                <w:sz w:val="24"/>
                <w:szCs w:val="24"/>
                <w:lang w:eastAsia="en-IN" w:bidi="ml-IN"/>
                <w14:ligatures w14:val="none"/>
              </w:rPr>
            </w:pPr>
            <w:r w:rsidRPr="00AE4E03">
              <w:rPr>
                <w:rFonts w:ascii="Times New Roman" w:eastAsia="Times New Roman" w:hAnsi="Times New Roman" w:cs="Times New Roman"/>
                <w:b/>
                <w:color w:val="000000" w:themeColor="text1"/>
                <w:kern w:val="0"/>
                <w:sz w:val="24"/>
                <w:szCs w:val="24"/>
                <w:lang w:eastAsia="en-IN" w:bidi="ml-IN"/>
                <w14:ligatures w14:val="none"/>
              </w:rPr>
              <w:t>Gender</w:t>
            </w:r>
          </w:p>
        </w:tc>
        <w:tc>
          <w:tcPr>
            <w:tcW w:w="857" w:type="dxa"/>
            <w:tcBorders>
              <w:top w:val="single" w:sz="4" w:space="0" w:color="000000"/>
              <w:left w:val="nil"/>
              <w:bottom w:val="single" w:sz="4" w:space="0" w:color="000000"/>
              <w:right w:val="single" w:sz="4" w:space="0" w:color="000000"/>
            </w:tcBorders>
            <w:shd w:val="clear" w:color="auto" w:fill="auto"/>
            <w:vAlign w:val="center"/>
          </w:tcPr>
          <w:p w14:paraId="7A2F54A1" w14:textId="77777777" w:rsidR="000064D4" w:rsidRPr="00AE4E03" w:rsidRDefault="000064D4" w:rsidP="00E16F09">
            <w:pPr>
              <w:spacing w:after="0" w:line="240" w:lineRule="auto"/>
              <w:jc w:val="center"/>
              <w:rPr>
                <w:rFonts w:ascii="Times New Roman" w:eastAsia="Times New Roman" w:hAnsi="Times New Roman" w:cs="Times New Roman"/>
                <w:b/>
                <w:color w:val="000000" w:themeColor="text1"/>
                <w:kern w:val="0"/>
                <w:sz w:val="24"/>
                <w:szCs w:val="24"/>
                <w:lang w:eastAsia="en-IN" w:bidi="ml-IN"/>
                <w14:ligatures w14:val="none"/>
              </w:rPr>
            </w:pPr>
            <w:r w:rsidRPr="00AE4E03">
              <w:rPr>
                <w:rFonts w:ascii="Times New Roman" w:eastAsia="Times New Roman" w:hAnsi="Times New Roman" w:cs="Times New Roman"/>
                <w:b/>
                <w:color w:val="000000" w:themeColor="text1"/>
                <w:kern w:val="0"/>
                <w:sz w:val="24"/>
                <w:szCs w:val="24"/>
                <w:lang w:eastAsia="en-IN" w:bidi="ml-IN"/>
                <w14:ligatures w14:val="none"/>
              </w:rPr>
              <w:t xml:space="preserve">Age </w:t>
            </w:r>
          </w:p>
        </w:tc>
        <w:tc>
          <w:tcPr>
            <w:tcW w:w="1395" w:type="dxa"/>
            <w:tcBorders>
              <w:top w:val="single" w:sz="4" w:space="0" w:color="000000"/>
              <w:left w:val="nil"/>
              <w:bottom w:val="single" w:sz="4" w:space="0" w:color="000000"/>
              <w:right w:val="single" w:sz="4" w:space="0" w:color="000000"/>
            </w:tcBorders>
            <w:shd w:val="clear" w:color="auto" w:fill="auto"/>
            <w:vAlign w:val="center"/>
          </w:tcPr>
          <w:p w14:paraId="04CEAF2F" w14:textId="77777777" w:rsidR="000064D4" w:rsidRPr="00AE4E03" w:rsidRDefault="000064D4" w:rsidP="00E16F09">
            <w:pPr>
              <w:spacing w:after="0" w:line="240" w:lineRule="auto"/>
              <w:jc w:val="center"/>
              <w:rPr>
                <w:rFonts w:ascii="Times New Roman" w:eastAsia="Times New Roman" w:hAnsi="Times New Roman" w:cs="Times New Roman"/>
                <w:b/>
                <w:color w:val="000000" w:themeColor="text1"/>
                <w:kern w:val="0"/>
                <w:sz w:val="24"/>
                <w:szCs w:val="24"/>
                <w:lang w:eastAsia="en-IN" w:bidi="ml-IN"/>
                <w14:ligatures w14:val="none"/>
              </w:rPr>
            </w:pPr>
            <w:r w:rsidRPr="00AE4E03">
              <w:rPr>
                <w:rFonts w:ascii="Times New Roman" w:eastAsia="Times New Roman" w:hAnsi="Times New Roman" w:cs="Times New Roman"/>
                <w:b/>
                <w:color w:val="000000" w:themeColor="text1"/>
                <w:kern w:val="0"/>
                <w:sz w:val="24"/>
                <w:szCs w:val="24"/>
                <w:lang w:eastAsia="en-IN" w:bidi="ml-IN"/>
                <w14:ligatures w14:val="none"/>
              </w:rPr>
              <w:t>Marital Status</w:t>
            </w:r>
          </w:p>
        </w:tc>
        <w:tc>
          <w:tcPr>
            <w:tcW w:w="1581" w:type="dxa"/>
            <w:tcBorders>
              <w:top w:val="single" w:sz="4" w:space="0" w:color="000000"/>
              <w:left w:val="nil"/>
              <w:bottom w:val="single" w:sz="4" w:space="0" w:color="000000"/>
              <w:right w:val="single" w:sz="4" w:space="0" w:color="000000"/>
            </w:tcBorders>
            <w:shd w:val="clear" w:color="auto" w:fill="auto"/>
            <w:vAlign w:val="center"/>
          </w:tcPr>
          <w:p w14:paraId="082359F2" w14:textId="77777777" w:rsidR="000064D4" w:rsidRPr="00AE4E03" w:rsidRDefault="000064D4" w:rsidP="00E16F09">
            <w:pPr>
              <w:spacing w:after="0" w:line="240" w:lineRule="auto"/>
              <w:jc w:val="center"/>
              <w:rPr>
                <w:rFonts w:ascii="Times New Roman" w:eastAsia="Times New Roman" w:hAnsi="Times New Roman" w:cs="Times New Roman"/>
                <w:b/>
                <w:color w:val="000000" w:themeColor="text1"/>
                <w:kern w:val="0"/>
                <w:sz w:val="24"/>
                <w:szCs w:val="24"/>
                <w:lang w:eastAsia="en-IN" w:bidi="ml-IN"/>
                <w14:ligatures w14:val="none"/>
              </w:rPr>
            </w:pPr>
            <w:r w:rsidRPr="00AE4E03">
              <w:rPr>
                <w:rFonts w:ascii="Times New Roman" w:eastAsia="Times New Roman" w:hAnsi="Times New Roman" w:cs="Times New Roman"/>
                <w:b/>
                <w:color w:val="000000" w:themeColor="text1"/>
                <w:kern w:val="0"/>
                <w:sz w:val="24"/>
                <w:szCs w:val="24"/>
                <w:lang w:eastAsia="en-IN" w:bidi="ml-IN"/>
                <w14:ligatures w14:val="none"/>
              </w:rPr>
              <w:t>Tenure (months)</w:t>
            </w:r>
          </w:p>
        </w:tc>
      </w:tr>
      <w:tr w:rsidR="00AE4E03" w:rsidRPr="00AE4E03" w14:paraId="6EB98F74"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24C60156"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1</w:t>
            </w:r>
          </w:p>
        </w:tc>
        <w:tc>
          <w:tcPr>
            <w:tcW w:w="1914" w:type="dxa"/>
            <w:tcBorders>
              <w:top w:val="nil"/>
              <w:left w:val="nil"/>
              <w:bottom w:val="single" w:sz="4" w:space="0" w:color="000000"/>
              <w:right w:val="single" w:sz="4" w:space="0" w:color="000000"/>
            </w:tcBorders>
            <w:shd w:val="clear" w:color="auto" w:fill="auto"/>
            <w:vAlign w:val="center"/>
          </w:tcPr>
          <w:p w14:paraId="5B2E1210"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P1</w:t>
            </w:r>
          </w:p>
        </w:tc>
        <w:tc>
          <w:tcPr>
            <w:tcW w:w="1377" w:type="dxa"/>
            <w:tcBorders>
              <w:top w:val="nil"/>
              <w:left w:val="nil"/>
              <w:bottom w:val="single" w:sz="4" w:space="0" w:color="000000"/>
              <w:right w:val="single" w:sz="4" w:space="0" w:color="000000"/>
            </w:tcBorders>
            <w:shd w:val="clear" w:color="auto" w:fill="auto"/>
            <w:vAlign w:val="center"/>
          </w:tcPr>
          <w:p w14:paraId="1177D724"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Female</w:t>
            </w:r>
          </w:p>
        </w:tc>
        <w:tc>
          <w:tcPr>
            <w:tcW w:w="857" w:type="dxa"/>
            <w:tcBorders>
              <w:top w:val="nil"/>
              <w:left w:val="nil"/>
              <w:bottom w:val="single" w:sz="4" w:space="0" w:color="000000"/>
              <w:right w:val="single" w:sz="4" w:space="0" w:color="000000"/>
            </w:tcBorders>
            <w:shd w:val="clear" w:color="auto" w:fill="auto"/>
            <w:vAlign w:val="center"/>
          </w:tcPr>
          <w:p w14:paraId="3D854610"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26</w:t>
            </w:r>
          </w:p>
        </w:tc>
        <w:tc>
          <w:tcPr>
            <w:tcW w:w="1395" w:type="dxa"/>
            <w:tcBorders>
              <w:top w:val="nil"/>
              <w:left w:val="nil"/>
              <w:bottom w:val="single" w:sz="4" w:space="0" w:color="000000"/>
              <w:right w:val="single" w:sz="4" w:space="0" w:color="000000"/>
            </w:tcBorders>
            <w:shd w:val="clear" w:color="auto" w:fill="auto"/>
            <w:vAlign w:val="center"/>
          </w:tcPr>
          <w:p w14:paraId="3CDDA051"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Married</w:t>
            </w:r>
          </w:p>
        </w:tc>
        <w:tc>
          <w:tcPr>
            <w:tcW w:w="1581" w:type="dxa"/>
            <w:tcBorders>
              <w:top w:val="nil"/>
              <w:left w:val="nil"/>
              <w:bottom w:val="single" w:sz="4" w:space="0" w:color="000000"/>
              <w:right w:val="single" w:sz="4" w:space="0" w:color="000000"/>
            </w:tcBorders>
            <w:shd w:val="clear" w:color="auto" w:fill="auto"/>
            <w:vAlign w:val="center"/>
          </w:tcPr>
          <w:p w14:paraId="1D5C085D"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47</w:t>
            </w:r>
          </w:p>
        </w:tc>
      </w:tr>
      <w:tr w:rsidR="00AE4E03" w:rsidRPr="00AE4E03" w14:paraId="09DCA06A"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5FC153C5"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w:t>
            </w:r>
          </w:p>
        </w:tc>
        <w:tc>
          <w:tcPr>
            <w:tcW w:w="1914" w:type="dxa"/>
            <w:tcBorders>
              <w:top w:val="nil"/>
              <w:left w:val="nil"/>
              <w:bottom w:val="single" w:sz="4" w:space="0" w:color="000000"/>
              <w:right w:val="single" w:sz="4" w:space="0" w:color="000000"/>
            </w:tcBorders>
            <w:shd w:val="clear" w:color="auto" w:fill="auto"/>
            <w:vAlign w:val="center"/>
          </w:tcPr>
          <w:p w14:paraId="16B78582"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P2</w:t>
            </w:r>
          </w:p>
        </w:tc>
        <w:tc>
          <w:tcPr>
            <w:tcW w:w="1377" w:type="dxa"/>
            <w:tcBorders>
              <w:top w:val="nil"/>
              <w:left w:val="nil"/>
              <w:bottom w:val="single" w:sz="4" w:space="0" w:color="000000"/>
              <w:right w:val="single" w:sz="4" w:space="0" w:color="000000"/>
            </w:tcBorders>
            <w:shd w:val="clear" w:color="auto" w:fill="auto"/>
            <w:vAlign w:val="center"/>
          </w:tcPr>
          <w:p w14:paraId="19899702"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Female</w:t>
            </w:r>
          </w:p>
        </w:tc>
        <w:tc>
          <w:tcPr>
            <w:tcW w:w="857" w:type="dxa"/>
            <w:tcBorders>
              <w:top w:val="nil"/>
              <w:left w:val="nil"/>
              <w:bottom w:val="single" w:sz="4" w:space="0" w:color="000000"/>
              <w:right w:val="single" w:sz="4" w:space="0" w:color="000000"/>
            </w:tcBorders>
            <w:shd w:val="clear" w:color="auto" w:fill="auto"/>
            <w:vAlign w:val="center"/>
          </w:tcPr>
          <w:p w14:paraId="4E72E5D7"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22</w:t>
            </w:r>
          </w:p>
        </w:tc>
        <w:tc>
          <w:tcPr>
            <w:tcW w:w="1395" w:type="dxa"/>
            <w:tcBorders>
              <w:top w:val="nil"/>
              <w:left w:val="nil"/>
              <w:bottom w:val="single" w:sz="4" w:space="0" w:color="000000"/>
              <w:right w:val="single" w:sz="4" w:space="0" w:color="000000"/>
            </w:tcBorders>
            <w:shd w:val="clear" w:color="auto" w:fill="auto"/>
            <w:vAlign w:val="center"/>
          </w:tcPr>
          <w:p w14:paraId="28E85933"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Single</w:t>
            </w:r>
          </w:p>
        </w:tc>
        <w:tc>
          <w:tcPr>
            <w:tcW w:w="1581" w:type="dxa"/>
            <w:tcBorders>
              <w:top w:val="nil"/>
              <w:left w:val="nil"/>
              <w:bottom w:val="single" w:sz="4" w:space="0" w:color="000000"/>
              <w:right w:val="single" w:sz="4" w:space="0" w:color="000000"/>
            </w:tcBorders>
            <w:shd w:val="clear" w:color="auto" w:fill="auto"/>
            <w:vAlign w:val="center"/>
          </w:tcPr>
          <w:p w14:paraId="74B2C92C"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12</w:t>
            </w:r>
          </w:p>
        </w:tc>
      </w:tr>
      <w:tr w:rsidR="00AE4E03" w:rsidRPr="00AE4E03" w14:paraId="24981D16"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7002A6B2"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3</w:t>
            </w:r>
          </w:p>
        </w:tc>
        <w:tc>
          <w:tcPr>
            <w:tcW w:w="1914" w:type="dxa"/>
            <w:tcBorders>
              <w:top w:val="nil"/>
              <w:left w:val="nil"/>
              <w:bottom w:val="single" w:sz="4" w:space="0" w:color="000000"/>
              <w:right w:val="single" w:sz="4" w:space="0" w:color="000000"/>
            </w:tcBorders>
            <w:shd w:val="clear" w:color="auto" w:fill="auto"/>
            <w:vAlign w:val="center"/>
          </w:tcPr>
          <w:p w14:paraId="30C1F09A"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P3</w:t>
            </w:r>
          </w:p>
        </w:tc>
        <w:tc>
          <w:tcPr>
            <w:tcW w:w="1377" w:type="dxa"/>
            <w:tcBorders>
              <w:top w:val="nil"/>
              <w:left w:val="nil"/>
              <w:bottom w:val="single" w:sz="4" w:space="0" w:color="000000"/>
              <w:right w:val="single" w:sz="4" w:space="0" w:color="000000"/>
            </w:tcBorders>
            <w:shd w:val="clear" w:color="auto" w:fill="auto"/>
            <w:vAlign w:val="center"/>
          </w:tcPr>
          <w:p w14:paraId="1B381A31"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Female</w:t>
            </w:r>
          </w:p>
        </w:tc>
        <w:tc>
          <w:tcPr>
            <w:tcW w:w="857" w:type="dxa"/>
            <w:tcBorders>
              <w:top w:val="nil"/>
              <w:left w:val="nil"/>
              <w:bottom w:val="single" w:sz="4" w:space="0" w:color="000000"/>
              <w:right w:val="single" w:sz="4" w:space="0" w:color="000000"/>
            </w:tcBorders>
            <w:shd w:val="clear" w:color="auto" w:fill="auto"/>
            <w:vAlign w:val="center"/>
          </w:tcPr>
          <w:p w14:paraId="52517FE6"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23</w:t>
            </w:r>
          </w:p>
        </w:tc>
        <w:tc>
          <w:tcPr>
            <w:tcW w:w="1395" w:type="dxa"/>
            <w:tcBorders>
              <w:top w:val="nil"/>
              <w:left w:val="nil"/>
              <w:bottom w:val="single" w:sz="4" w:space="0" w:color="000000"/>
              <w:right w:val="single" w:sz="4" w:space="0" w:color="000000"/>
            </w:tcBorders>
            <w:shd w:val="clear" w:color="auto" w:fill="auto"/>
            <w:vAlign w:val="center"/>
          </w:tcPr>
          <w:p w14:paraId="1BA479F1"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Single</w:t>
            </w:r>
          </w:p>
        </w:tc>
        <w:tc>
          <w:tcPr>
            <w:tcW w:w="1581" w:type="dxa"/>
            <w:tcBorders>
              <w:top w:val="nil"/>
              <w:left w:val="nil"/>
              <w:bottom w:val="single" w:sz="4" w:space="0" w:color="000000"/>
              <w:right w:val="single" w:sz="4" w:space="0" w:color="000000"/>
            </w:tcBorders>
            <w:shd w:val="clear" w:color="auto" w:fill="auto"/>
            <w:vAlign w:val="center"/>
          </w:tcPr>
          <w:p w14:paraId="0FE6CECC"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22</w:t>
            </w:r>
          </w:p>
        </w:tc>
      </w:tr>
      <w:tr w:rsidR="00AE4E03" w:rsidRPr="00AE4E03" w14:paraId="031464C0"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7AA09893"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4</w:t>
            </w:r>
          </w:p>
        </w:tc>
        <w:tc>
          <w:tcPr>
            <w:tcW w:w="1914" w:type="dxa"/>
            <w:tcBorders>
              <w:top w:val="nil"/>
              <w:left w:val="nil"/>
              <w:bottom w:val="single" w:sz="4" w:space="0" w:color="000000"/>
              <w:right w:val="single" w:sz="4" w:space="0" w:color="000000"/>
            </w:tcBorders>
            <w:shd w:val="clear" w:color="auto" w:fill="auto"/>
            <w:vAlign w:val="center"/>
          </w:tcPr>
          <w:p w14:paraId="7E0A3975"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P4</w:t>
            </w:r>
          </w:p>
        </w:tc>
        <w:tc>
          <w:tcPr>
            <w:tcW w:w="1377" w:type="dxa"/>
            <w:tcBorders>
              <w:top w:val="nil"/>
              <w:left w:val="nil"/>
              <w:bottom w:val="single" w:sz="4" w:space="0" w:color="000000"/>
              <w:right w:val="single" w:sz="4" w:space="0" w:color="000000"/>
            </w:tcBorders>
            <w:shd w:val="clear" w:color="auto" w:fill="auto"/>
            <w:vAlign w:val="center"/>
          </w:tcPr>
          <w:p w14:paraId="694B39A8"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Female</w:t>
            </w:r>
          </w:p>
        </w:tc>
        <w:tc>
          <w:tcPr>
            <w:tcW w:w="857" w:type="dxa"/>
            <w:tcBorders>
              <w:top w:val="nil"/>
              <w:left w:val="nil"/>
              <w:bottom w:val="single" w:sz="4" w:space="0" w:color="000000"/>
              <w:right w:val="single" w:sz="4" w:space="0" w:color="000000"/>
            </w:tcBorders>
            <w:shd w:val="clear" w:color="auto" w:fill="auto"/>
            <w:vAlign w:val="center"/>
          </w:tcPr>
          <w:p w14:paraId="05EFE17D"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25</w:t>
            </w:r>
          </w:p>
        </w:tc>
        <w:tc>
          <w:tcPr>
            <w:tcW w:w="1395" w:type="dxa"/>
            <w:tcBorders>
              <w:top w:val="nil"/>
              <w:left w:val="nil"/>
              <w:bottom w:val="single" w:sz="4" w:space="0" w:color="000000"/>
              <w:right w:val="single" w:sz="4" w:space="0" w:color="000000"/>
            </w:tcBorders>
            <w:shd w:val="clear" w:color="auto" w:fill="auto"/>
            <w:vAlign w:val="center"/>
          </w:tcPr>
          <w:p w14:paraId="5EAA2AC3"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Married</w:t>
            </w:r>
          </w:p>
        </w:tc>
        <w:tc>
          <w:tcPr>
            <w:tcW w:w="1581" w:type="dxa"/>
            <w:tcBorders>
              <w:top w:val="nil"/>
              <w:left w:val="nil"/>
              <w:bottom w:val="single" w:sz="4" w:space="0" w:color="000000"/>
              <w:right w:val="single" w:sz="4" w:space="0" w:color="000000"/>
            </w:tcBorders>
            <w:shd w:val="clear" w:color="auto" w:fill="auto"/>
            <w:vAlign w:val="center"/>
          </w:tcPr>
          <w:p w14:paraId="41375714"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26</w:t>
            </w:r>
          </w:p>
        </w:tc>
      </w:tr>
      <w:tr w:rsidR="00AE4E03" w:rsidRPr="00AE4E03" w14:paraId="2246D5AB"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4069BBFE"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5</w:t>
            </w:r>
          </w:p>
        </w:tc>
        <w:tc>
          <w:tcPr>
            <w:tcW w:w="1914" w:type="dxa"/>
            <w:tcBorders>
              <w:top w:val="nil"/>
              <w:left w:val="nil"/>
              <w:bottom w:val="single" w:sz="4" w:space="0" w:color="000000"/>
              <w:right w:val="single" w:sz="4" w:space="0" w:color="000000"/>
            </w:tcBorders>
            <w:shd w:val="clear" w:color="auto" w:fill="auto"/>
            <w:vAlign w:val="center"/>
          </w:tcPr>
          <w:p w14:paraId="335DD97E"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P5</w:t>
            </w:r>
          </w:p>
        </w:tc>
        <w:tc>
          <w:tcPr>
            <w:tcW w:w="1377" w:type="dxa"/>
            <w:tcBorders>
              <w:top w:val="nil"/>
              <w:left w:val="nil"/>
              <w:bottom w:val="single" w:sz="4" w:space="0" w:color="000000"/>
              <w:right w:val="single" w:sz="4" w:space="0" w:color="000000"/>
            </w:tcBorders>
            <w:shd w:val="clear" w:color="auto" w:fill="auto"/>
            <w:vAlign w:val="center"/>
          </w:tcPr>
          <w:p w14:paraId="326D7591"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Female</w:t>
            </w:r>
          </w:p>
        </w:tc>
        <w:tc>
          <w:tcPr>
            <w:tcW w:w="857" w:type="dxa"/>
            <w:tcBorders>
              <w:top w:val="nil"/>
              <w:left w:val="nil"/>
              <w:bottom w:val="single" w:sz="4" w:space="0" w:color="000000"/>
              <w:right w:val="single" w:sz="4" w:space="0" w:color="000000"/>
            </w:tcBorders>
            <w:shd w:val="clear" w:color="auto" w:fill="auto"/>
            <w:vAlign w:val="center"/>
          </w:tcPr>
          <w:p w14:paraId="2C43F765"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25</w:t>
            </w:r>
          </w:p>
        </w:tc>
        <w:tc>
          <w:tcPr>
            <w:tcW w:w="1395" w:type="dxa"/>
            <w:tcBorders>
              <w:top w:val="nil"/>
              <w:left w:val="nil"/>
              <w:bottom w:val="single" w:sz="4" w:space="0" w:color="000000"/>
              <w:right w:val="single" w:sz="4" w:space="0" w:color="000000"/>
            </w:tcBorders>
            <w:shd w:val="clear" w:color="auto" w:fill="auto"/>
            <w:vAlign w:val="center"/>
          </w:tcPr>
          <w:p w14:paraId="4676AE9D"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Single</w:t>
            </w:r>
          </w:p>
        </w:tc>
        <w:tc>
          <w:tcPr>
            <w:tcW w:w="1581" w:type="dxa"/>
            <w:tcBorders>
              <w:top w:val="nil"/>
              <w:left w:val="nil"/>
              <w:bottom w:val="single" w:sz="4" w:space="0" w:color="000000"/>
              <w:right w:val="single" w:sz="4" w:space="0" w:color="000000"/>
            </w:tcBorders>
            <w:shd w:val="clear" w:color="auto" w:fill="auto"/>
            <w:vAlign w:val="center"/>
          </w:tcPr>
          <w:p w14:paraId="52159D78"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27</w:t>
            </w:r>
          </w:p>
        </w:tc>
      </w:tr>
      <w:tr w:rsidR="00AE4E03" w:rsidRPr="00AE4E03" w14:paraId="38BAA582"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127FC921"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6</w:t>
            </w:r>
          </w:p>
        </w:tc>
        <w:tc>
          <w:tcPr>
            <w:tcW w:w="1914" w:type="dxa"/>
            <w:tcBorders>
              <w:top w:val="nil"/>
              <w:left w:val="nil"/>
              <w:bottom w:val="single" w:sz="4" w:space="0" w:color="000000"/>
              <w:right w:val="single" w:sz="4" w:space="0" w:color="000000"/>
            </w:tcBorders>
            <w:shd w:val="clear" w:color="auto" w:fill="auto"/>
            <w:vAlign w:val="center"/>
          </w:tcPr>
          <w:p w14:paraId="4B53BFD1"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P6</w:t>
            </w:r>
          </w:p>
        </w:tc>
        <w:tc>
          <w:tcPr>
            <w:tcW w:w="1377" w:type="dxa"/>
            <w:tcBorders>
              <w:top w:val="nil"/>
              <w:left w:val="nil"/>
              <w:bottom w:val="single" w:sz="4" w:space="0" w:color="000000"/>
              <w:right w:val="single" w:sz="4" w:space="0" w:color="000000"/>
            </w:tcBorders>
            <w:shd w:val="clear" w:color="auto" w:fill="auto"/>
            <w:vAlign w:val="center"/>
          </w:tcPr>
          <w:p w14:paraId="66F2A40B"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Female</w:t>
            </w:r>
          </w:p>
        </w:tc>
        <w:tc>
          <w:tcPr>
            <w:tcW w:w="857" w:type="dxa"/>
            <w:tcBorders>
              <w:top w:val="nil"/>
              <w:left w:val="nil"/>
              <w:bottom w:val="single" w:sz="4" w:space="0" w:color="000000"/>
              <w:right w:val="single" w:sz="4" w:space="0" w:color="000000"/>
            </w:tcBorders>
            <w:shd w:val="clear" w:color="auto" w:fill="auto"/>
            <w:vAlign w:val="center"/>
          </w:tcPr>
          <w:p w14:paraId="058C2226"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23</w:t>
            </w:r>
          </w:p>
        </w:tc>
        <w:tc>
          <w:tcPr>
            <w:tcW w:w="1395" w:type="dxa"/>
            <w:tcBorders>
              <w:top w:val="nil"/>
              <w:left w:val="nil"/>
              <w:bottom w:val="single" w:sz="4" w:space="0" w:color="000000"/>
              <w:right w:val="single" w:sz="4" w:space="0" w:color="000000"/>
            </w:tcBorders>
            <w:shd w:val="clear" w:color="auto" w:fill="auto"/>
            <w:vAlign w:val="center"/>
          </w:tcPr>
          <w:p w14:paraId="6C06D1B6"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Single</w:t>
            </w:r>
          </w:p>
        </w:tc>
        <w:tc>
          <w:tcPr>
            <w:tcW w:w="1581" w:type="dxa"/>
            <w:tcBorders>
              <w:top w:val="nil"/>
              <w:left w:val="nil"/>
              <w:bottom w:val="single" w:sz="4" w:space="0" w:color="000000"/>
              <w:right w:val="single" w:sz="4" w:space="0" w:color="000000"/>
            </w:tcBorders>
            <w:shd w:val="clear" w:color="auto" w:fill="auto"/>
            <w:vAlign w:val="center"/>
          </w:tcPr>
          <w:p w14:paraId="5CA81F03"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23</w:t>
            </w:r>
          </w:p>
        </w:tc>
      </w:tr>
      <w:tr w:rsidR="00AE4E03" w:rsidRPr="00AE4E03" w14:paraId="20EBCF27"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6B6C49E2"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7</w:t>
            </w:r>
          </w:p>
        </w:tc>
        <w:tc>
          <w:tcPr>
            <w:tcW w:w="1914" w:type="dxa"/>
            <w:tcBorders>
              <w:top w:val="nil"/>
              <w:left w:val="nil"/>
              <w:bottom w:val="single" w:sz="4" w:space="0" w:color="000000"/>
              <w:right w:val="single" w:sz="4" w:space="0" w:color="000000"/>
            </w:tcBorders>
            <w:shd w:val="clear" w:color="auto" w:fill="auto"/>
            <w:vAlign w:val="center"/>
          </w:tcPr>
          <w:p w14:paraId="345B6541"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P7</w:t>
            </w:r>
          </w:p>
        </w:tc>
        <w:tc>
          <w:tcPr>
            <w:tcW w:w="1377" w:type="dxa"/>
            <w:tcBorders>
              <w:top w:val="nil"/>
              <w:left w:val="nil"/>
              <w:bottom w:val="single" w:sz="4" w:space="0" w:color="000000"/>
              <w:right w:val="single" w:sz="4" w:space="0" w:color="000000"/>
            </w:tcBorders>
            <w:shd w:val="clear" w:color="auto" w:fill="auto"/>
            <w:vAlign w:val="center"/>
          </w:tcPr>
          <w:p w14:paraId="314835B9"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Female</w:t>
            </w:r>
          </w:p>
        </w:tc>
        <w:tc>
          <w:tcPr>
            <w:tcW w:w="857" w:type="dxa"/>
            <w:tcBorders>
              <w:top w:val="nil"/>
              <w:left w:val="nil"/>
              <w:bottom w:val="single" w:sz="4" w:space="0" w:color="000000"/>
              <w:right w:val="single" w:sz="4" w:space="0" w:color="000000"/>
            </w:tcBorders>
            <w:shd w:val="clear" w:color="auto" w:fill="auto"/>
            <w:vAlign w:val="center"/>
          </w:tcPr>
          <w:p w14:paraId="3A41BC25"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24</w:t>
            </w:r>
          </w:p>
        </w:tc>
        <w:tc>
          <w:tcPr>
            <w:tcW w:w="1395" w:type="dxa"/>
            <w:tcBorders>
              <w:top w:val="nil"/>
              <w:left w:val="nil"/>
              <w:bottom w:val="single" w:sz="4" w:space="0" w:color="000000"/>
              <w:right w:val="single" w:sz="4" w:space="0" w:color="000000"/>
            </w:tcBorders>
            <w:shd w:val="clear" w:color="auto" w:fill="auto"/>
            <w:vAlign w:val="center"/>
          </w:tcPr>
          <w:p w14:paraId="06DBAB4A"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Single</w:t>
            </w:r>
          </w:p>
        </w:tc>
        <w:tc>
          <w:tcPr>
            <w:tcW w:w="1581" w:type="dxa"/>
            <w:tcBorders>
              <w:top w:val="nil"/>
              <w:left w:val="nil"/>
              <w:bottom w:val="single" w:sz="4" w:space="0" w:color="000000"/>
              <w:right w:val="single" w:sz="4" w:space="0" w:color="000000"/>
            </w:tcBorders>
            <w:shd w:val="clear" w:color="auto" w:fill="auto"/>
            <w:vAlign w:val="center"/>
          </w:tcPr>
          <w:p w14:paraId="3446F32D"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32</w:t>
            </w:r>
          </w:p>
        </w:tc>
      </w:tr>
      <w:tr w:rsidR="00AE4E03" w:rsidRPr="00AE4E03" w14:paraId="600EBEDF"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1176E1CA"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8</w:t>
            </w:r>
          </w:p>
        </w:tc>
        <w:tc>
          <w:tcPr>
            <w:tcW w:w="1914" w:type="dxa"/>
            <w:tcBorders>
              <w:top w:val="nil"/>
              <w:left w:val="nil"/>
              <w:bottom w:val="single" w:sz="4" w:space="0" w:color="000000"/>
              <w:right w:val="single" w:sz="4" w:space="0" w:color="000000"/>
            </w:tcBorders>
            <w:shd w:val="clear" w:color="auto" w:fill="auto"/>
            <w:vAlign w:val="center"/>
          </w:tcPr>
          <w:p w14:paraId="18C0B4F6"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P8</w:t>
            </w:r>
          </w:p>
        </w:tc>
        <w:tc>
          <w:tcPr>
            <w:tcW w:w="1377" w:type="dxa"/>
            <w:tcBorders>
              <w:top w:val="nil"/>
              <w:left w:val="nil"/>
              <w:bottom w:val="single" w:sz="4" w:space="0" w:color="000000"/>
              <w:right w:val="single" w:sz="4" w:space="0" w:color="000000"/>
            </w:tcBorders>
            <w:shd w:val="clear" w:color="auto" w:fill="auto"/>
            <w:vAlign w:val="center"/>
          </w:tcPr>
          <w:p w14:paraId="33EB0C26"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Female</w:t>
            </w:r>
          </w:p>
        </w:tc>
        <w:tc>
          <w:tcPr>
            <w:tcW w:w="857" w:type="dxa"/>
            <w:tcBorders>
              <w:top w:val="nil"/>
              <w:left w:val="nil"/>
              <w:bottom w:val="single" w:sz="4" w:space="0" w:color="000000"/>
              <w:right w:val="single" w:sz="4" w:space="0" w:color="000000"/>
            </w:tcBorders>
            <w:shd w:val="clear" w:color="auto" w:fill="auto"/>
            <w:vAlign w:val="center"/>
          </w:tcPr>
          <w:p w14:paraId="5B3DCBEB"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27</w:t>
            </w:r>
          </w:p>
        </w:tc>
        <w:tc>
          <w:tcPr>
            <w:tcW w:w="1395" w:type="dxa"/>
            <w:tcBorders>
              <w:top w:val="nil"/>
              <w:left w:val="nil"/>
              <w:bottom w:val="single" w:sz="4" w:space="0" w:color="000000"/>
              <w:right w:val="single" w:sz="4" w:space="0" w:color="000000"/>
            </w:tcBorders>
            <w:shd w:val="clear" w:color="auto" w:fill="auto"/>
            <w:vAlign w:val="center"/>
          </w:tcPr>
          <w:p w14:paraId="6CC4E676"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Single</w:t>
            </w:r>
          </w:p>
        </w:tc>
        <w:tc>
          <w:tcPr>
            <w:tcW w:w="1581" w:type="dxa"/>
            <w:tcBorders>
              <w:top w:val="nil"/>
              <w:left w:val="nil"/>
              <w:bottom w:val="single" w:sz="4" w:space="0" w:color="000000"/>
              <w:right w:val="single" w:sz="4" w:space="0" w:color="000000"/>
            </w:tcBorders>
            <w:shd w:val="clear" w:color="auto" w:fill="auto"/>
            <w:vAlign w:val="center"/>
          </w:tcPr>
          <w:p w14:paraId="58CA32E1"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45</w:t>
            </w:r>
          </w:p>
        </w:tc>
      </w:tr>
      <w:tr w:rsidR="00AE4E03" w:rsidRPr="00AE4E03" w14:paraId="2BB9F52A"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30BD68C0"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9</w:t>
            </w:r>
          </w:p>
        </w:tc>
        <w:tc>
          <w:tcPr>
            <w:tcW w:w="1914" w:type="dxa"/>
            <w:tcBorders>
              <w:top w:val="nil"/>
              <w:left w:val="nil"/>
              <w:bottom w:val="single" w:sz="4" w:space="0" w:color="000000"/>
              <w:right w:val="single" w:sz="4" w:space="0" w:color="000000"/>
            </w:tcBorders>
            <w:shd w:val="clear" w:color="auto" w:fill="auto"/>
            <w:vAlign w:val="center"/>
          </w:tcPr>
          <w:p w14:paraId="6D684B44"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P9</w:t>
            </w:r>
          </w:p>
        </w:tc>
        <w:tc>
          <w:tcPr>
            <w:tcW w:w="1377" w:type="dxa"/>
            <w:tcBorders>
              <w:top w:val="nil"/>
              <w:left w:val="nil"/>
              <w:bottom w:val="single" w:sz="4" w:space="0" w:color="000000"/>
              <w:right w:val="single" w:sz="4" w:space="0" w:color="000000"/>
            </w:tcBorders>
            <w:shd w:val="clear" w:color="auto" w:fill="auto"/>
            <w:vAlign w:val="center"/>
          </w:tcPr>
          <w:p w14:paraId="551C4E69"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Male</w:t>
            </w:r>
          </w:p>
        </w:tc>
        <w:tc>
          <w:tcPr>
            <w:tcW w:w="857" w:type="dxa"/>
            <w:tcBorders>
              <w:top w:val="nil"/>
              <w:left w:val="nil"/>
              <w:bottom w:val="single" w:sz="4" w:space="0" w:color="000000"/>
              <w:right w:val="single" w:sz="4" w:space="0" w:color="000000"/>
            </w:tcBorders>
            <w:shd w:val="clear" w:color="auto" w:fill="auto"/>
            <w:vAlign w:val="center"/>
          </w:tcPr>
          <w:p w14:paraId="39F902C3"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21</w:t>
            </w:r>
          </w:p>
        </w:tc>
        <w:tc>
          <w:tcPr>
            <w:tcW w:w="1395" w:type="dxa"/>
            <w:tcBorders>
              <w:top w:val="nil"/>
              <w:left w:val="nil"/>
              <w:bottom w:val="single" w:sz="4" w:space="0" w:color="000000"/>
              <w:right w:val="single" w:sz="4" w:space="0" w:color="000000"/>
            </w:tcBorders>
            <w:shd w:val="clear" w:color="auto" w:fill="auto"/>
            <w:vAlign w:val="center"/>
          </w:tcPr>
          <w:p w14:paraId="20EBCCE8"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Single</w:t>
            </w:r>
          </w:p>
        </w:tc>
        <w:tc>
          <w:tcPr>
            <w:tcW w:w="1581" w:type="dxa"/>
            <w:tcBorders>
              <w:top w:val="nil"/>
              <w:left w:val="nil"/>
              <w:bottom w:val="single" w:sz="4" w:space="0" w:color="000000"/>
              <w:right w:val="single" w:sz="4" w:space="0" w:color="000000"/>
            </w:tcBorders>
            <w:shd w:val="clear" w:color="auto" w:fill="auto"/>
            <w:vAlign w:val="center"/>
          </w:tcPr>
          <w:p w14:paraId="1120A07F"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10</w:t>
            </w:r>
          </w:p>
        </w:tc>
      </w:tr>
      <w:tr w:rsidR="00AE4E03" w:rsidRPr="00AE4E03" w14:paraId="3A55FB10"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17FF1B9C"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10</w:t>
            </w:r>
          </w:p>
        </w:tc>
        <w:tc>
          <w:tcPr>
            <w:tcW w:w="1914" w:type="dxa"/>
            <w:tcBorders>
              <w:top w:val="nil"/>
              <w:left w:val="nil"/>
              <w:bottom w:val="single" w:sz="4" w:space="0" w:color="000000"/>
              <w:right w:val="single" w:sz="4" w:space="0" w:color="000000"/>
            </w:tcBorders>
            <w:shd w:val="clear" w:color="auto" w:fill="auto"/>
            <w:vAlign w:val="center"/>
          </w:tcPr>
          <w:p w14:paraId="30D2F0DC"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P10</w:t>
            </w:r>
          </w:p>
        </w:tc>
        <w:tc>
          <w:tcPr>
            <w:tcW w:w="1377" w:type="dxa"/>
            <w:tcBorders>
              <w:top w:val="nil"/>
              <w:left w:val="nil"/>
              <w:bottom w:val="single" w:sz="4" w:space="0" w:color="000000"/>
              <w:right w:val="single" w:sz="4" w:space="0" w:color="000000"/>
            </w:tcBorders>
            <w:shd w:val="clear" w:color="auto" w:fill="auto"/>
            <w:vAlign w:val="center"/>
          </w:tcPr>
          <w:p w14:paraId="276F02D0"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Female</w:t>
            </w:r>
          </w:p>
        </w:tc>
        <w:tc>
          <w:tcPr>
            <w:tcW w:w="857" w:type="dxa"/>
            <w:tcBorders>
              <w:top w:val="nil"/>
              <w:left w:val="nil"/>
              <w:bottom w:val="single" w:sz="4" w:space="0" w:color="000000"/>
              <w:right w:val="single" w:sz="4" w:space="0" w:color="000000"/>
            </w:tcBorders>
            <w:shd w:val="clear" w:color="auto" w:fill="auto"/>
            <w:vAlign w:val="center"/>
          </w:tcPr>
          <w:p w14:paraId="68CBA5B3"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22</w:t>
            </w:r>
          </w:p>
        </w:tc>
        <w:tc>
          <w:tcPr>
            <w:tcW w:w="1395" w:type="dxa"/>
            <w:tcBorders>
              <w:top w:val="nil"/>
              <w:left w:val="nil"/>
              <w:bottom w:val="single" w:sz="4" w:space="0" w:color="000000"/>
              <w:right w:val="single" w:sz="4" w:space="0" w:color="000000"/>
            </w:tcBorders>
            <w:shd w:val="clear" w:color="auto" w:fill="auto"/>
            <w:vAlign w:val="center"/>
          </w:tcPr>
          <w:p w14:paraId="67A0B072"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Single</w:t>
            </w:r>
          </w:p>
        </w:tc>
        <w:tc>
          <w:tcPr>
            <w:tcW w:w="1581" w:type="dxa"/>
            <w:tcBorders>
              <w:top w:val="nil"/>
              <w:left w:val="nil"/>
              <w:bottom w:val="single" w:sz="4" w:space="0" w:color="000000"/>
              <w:right w:val="single" w:sz="4" w:space="0" w:color="000000"/>
            </w:tcBorders>
            <w:shd w:val="clear" w:color="auto" w:fill="auto"/>
            <w:vAlign w:val="center"/>
          </w:tcPr>
          <w:p w14:paraId="1A9DFF40"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14</w:t>
            </w:r>
          </w:p>
        </w:tc>
      </w:tr>
      <w:tr w:rsidR="00AE4E03" w:rsidRPr="00AE4E03" w14:paraId="7F3F4FF9"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0F8D733A"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11</w:t>
            </w:r>
          </w:p>
        </w:tc>
        <w:tc>
          <w:tcPr>
            <w:tcW w:w="1914" w:type="dxa"/>
            <w:tcBorders>
              <w:top w:val="nil"/>
              <w:left w:val="nil"/>
              <w:bottom w:val="single" w:sz="4" w:space="0" w:color="000000"/>
              <w:right w:val="single" w:sz="4" w:space="0" w:color="000000"/>
            </w:tcBorders>
            <w:shd w:val="clear" w:color="auto" w:fill="auto"/>
            <w:vAlign w:val="center"/>
          </w:tcPr>
          <w:p w14:paraId="408A2674"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P11</w:t>
            </w:r>
          </w:p>
        </w:tc>
        <w:tc>
          <w:tcPr>
            <w:tcW w:w="1377" w:type="dxa"/>
            <w:tcBorders>
              <w:top w:val="nil"/>
              <w:left w:val="nil"/>
              <w:bottom w:val="single" w:sz="4" w:space="0" w:color="000000"/>
              <w:right w:val="single" w:sz="4" w:space="0" w:color="000000"/>
            </w:tcBorders>
            <w:shd w:val="clear" w:color="auto" w:fill="auto"/>
            <w:vAlign w:val="center"/>
          </w:tcPr>
          <w:p w14:paraId="0EF1F454"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Female</w:t>
            </w:r>
          </w:p>
        </w:tc>
        <w:tc>
          <w:tcPr>
            <w:tcW w:w="857" w:type="dxa"/>
            <w:tcBorders>
              <w:top w:val="nil"/>
              <w:left w:val="nil"/>
              <w:bottom w:val="single" w:sz="4" w:space="0" w:color="000000"/>
              <w:right w:val="single" w:sz="4" w:space="0" w:color="000000"/>
            </w:tcBorders>
            <w:shd w:val="clear" w:color="auto" w:fill="auto"/>
            <w:vAlign w:val="center"/>
          </w:tcPr>
          <w:p w14:paraId="7336F93A"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22</w:t>
            </w:r>
          </w:p>
        </w:tc>
        <w:tc>
          <w:tcPr>
            <w:tcW w:w="1395" w:type="dxa"/>
            <w:tcBorders>
              <w:top w:val="nil"/>
              <w:left w:val="nil"/>
              <w:bottom w:val="single" w:sz="4" w:space="0" w:color="000000"/>
              <w:right w:val="single" w:sz="4" w:space="0" w:color="000000"/>
            </w:tcBorders>
            <w:shd w:val="clear" w:color="auto" w:fill="auto"/>
            <w:vAlign w:val="center"/>
          </w:tcPr>
          <w:p w14:paraId="1F04278C"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Single</w:t>
            </w:r>
          </w:p>
        </w:tc>
        <w:tc>
          <w:tcPr>
            <w:tcW w:w="1581" w:type="dxa"/>
            <w:tcBorders>
              <w:top w:val="nil"/>
              <w:left w:val="nil"/>
              <w:bottom w:val="single" w:sz="4" w:space="0" w:color="000000"/>
              <w:right w:val="single" w:sz="4" w:space="0" w:color="000000"/>
            </w:tcBorders>
            <w:shd w:val="clear" w:color="auto" w:fill="auto"/>
            <w:vAlign w:val="center"/>
          </w:tcPr>
          <w:p w14:paraId="7D6DFAE6"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10</w:t>
            </w:r>
          </w:p>
        </w:tc>
      </w:tr>
      <w:tr w:rsidR="00AE4E03" w:rsidRPr="00AE4E03" w14:paraId="5988EC27"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3AEBFE91"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12</w:t>
            </w:r>
          </w:p>
        </w:tc>
        <w:tc>
          <w:tcPr>
            <w:tcW w:w="1914" w:type="dxa"/>
            <w:tcBorders>
              <w:top w:val="nil"/>
              <w:left w:val="nil"/>
              <w:bottom w:val="single" w:sz="4" w:space="0" w:color="000000"/>
              <w:right w:val="single" w:sz="4" w:space="0" w:color="000000"/>
            </w:tcBorders>
            <w:shd w:val="clear" w:color="auto" w:fill="auto"/>
            <w:vAlign w:val="center"/>
          </w:tcPr>
          <w:p w14:paraId="0A91C4F0"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P12</w:t>
            </w:r>
          </w:p>
        </w:tc>
        <w:tc>
          <w:tcPr>
            <w:tcW w:w="1377" w:type="dxa"/>
            <w:tcBorders>
              <w:top w:val="nil"/>
              <w:left w:val="nil"/>
              <w:bottom w:val="single" w:sz="4" w:space="0" w:color="000000"/>
              <w:right w:val="single" w:sz="4" w:space="0" w:color="000000"/>
            </w:tcBorders>
            <w:shd w:val="clear" w:color="auto" w:fill="auto"/>
            <w:vAlign w:val="center"/>
          </w:tcPr>
          <w:p w14:paraId="153CF0E0"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Male</w:t>
            </w:r>
          </w:p>
        </w:tc>
        <w:tc>
          <w:tcPr>
            <w:tcW w:w="857" w:type="dxa"/>
            <w:tcBorders>
              <w:top w:val="nil"/>
              <w:left w:val="nil"/>
              <w:bottom w:val="single" w:sz="4" w:space="0" w:color="000000"/>
              <w:right w:val="single" w:sz="4" w:space="0" w:color="000000"/>
            </w:tcBorders>
            <w:shd w:val="clear" w:color="auto" w:fill="auto"/>
            <w:vAlign w:val="center"/>
          </w:tcPr>
          <w:p w14:paraId="5DF17201"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25</w:t>
            </w:r>
          </w:p>
        </w:tc>
        <w:tc>
          <w:tcPr>
            <w:tcW w:w="1395" w:type="dxa"/>
            <w:tcBorders>
              <w:top w:val="nil"/>
              <w:left w:val="nil"/>
              <w:bottom w:val="single" w:sz="4" w:space="0" w:color="000000"/>
              <w:right w:val="single" w:sz="4" w:space="0" w:color="000000"/>
            </w:tcBorders>
            <w:shd w:val="clear" w:color="auto" w:fill="auto"/>
            <w:vAlign w:val="center"/>
          </w:tcPr>
          <w:p w14:paraId="12AF65C9"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Single</w:t>
            </w:r>
          </w:p>
        </w:tc>
        <w:tc>
          <w:tcPr>
            <w:tcW w:w="1581" w:type="dxa"/>
            <w:tcBorders>
              <w:top w:val="nil"/>
              <w:left w:val="nil"/>
              <w:bottom w:val="single" w:sz="4" w:space="0" w:color="000000"/>
              <w:right w:val="single" w:sz="4" w:space="0" w:color="000000"/>
            </w:tcBorders>
            <w:shd w:val="clear" w:color="auto" w:fill="auto"/>
            <w:vAlign w:val="center"/>
          </w:tcPr>
          <w:p w14:paraId="6DE08631"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24</w:t>
            </w:r>
          </w:p>
        </w:tc>
      </w:tr>
      <w:tr w:rsidR="00AE4E03" w:rsidRPr="00AE4E03" w14:paraId="7FD31F10"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74D872CD"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13</w:t>
            </w:r>
          </w:p>
        </w:tc>
        <w:tc>
          <w:tcPr>
            <w:tcW w:w="1914" w:type="dxa"/>
            <w:tcBorders>
              <w:top w:val="nil"/>
              <w:left w:val="nil"/>
              <w:bottom w:val="single" w:sz="4" w:space="0" w:color="000000"/>
              <w:right w:val="single" w:sz="4" w:space="0" w:color="000000"/>
            </w:tcBorders>
            <w:shd w:val="clear" w:color="auto" w:fill="auto"/>
            <w:vAlign w:val="center"/>
          </w:tcPr>
          <w:p w14:paraId="2EB90C1F"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P13</w:t>
            </w:r>
          </w:p>
        </w:tc>
        <w:tc>
          <w:tcPr>
            <w:tcW w:w="1377" w:type="dxa"/>
            <w:tcBorders>
              <w:top w:val="nil"/>
              <w:left w:val="nil"/>
              <w:bottom w:val="single" w:sz="4" w:space="0" w:color="000000"/>
              <w:right w:val="single" w:sz="4" w:space="0" w:color="000000"/>
            </w:tcBorders>
            <w:shd w:val="clear" w:color="auto" w:fill="auto"/>
            <w:vAlign w:val="center"/>
          </w:tcPr>
          <w:p w14:paraId="0C12DF9A"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Female</w:t>
            </w:r>
          </w:p>
        </w:tc>
        <w:tc>
          <w:tcPr>
            <w:tcW w:w="857" w:type="dxa"/>
            <w:tcBorders>
              <w:top w:val="nil"/>
              <w:left w:val="nil"/>
              <w:bottom w:val="single" w:sz="4" w:space="0" w:color="000000"/>
              <w:right w:val="single" w:sz="4" w:space="0" w:color="000000"/>
            </w:tcBorders>
            <w:shd w:val="clear" w:color="auto" w:fill="auto"/>
            <w:vAlign w:val="center"/>
          </w:tcPr>
          <w:p w14:paraId="4B18BE5B"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24</w:t>
            </w:r>
          </w:p>
        </w:tc>
        <w:tc>
          <w:tcPr>
            <w:tcW w:w="1395" w:type="dxa"/>
            <w:tcBorders>
              <w:top w:val="nil"/>
              <w:left w:val="nil"/>
              <w:bottom w:val="single" w:sz="4" w:space="0" w:color="000000"/>
              <w:right w:val="single" w:sz="4" w:space="0" w:color="000000"/>
            </w:tcBorders>
            <w:shd w:val="clear" w:color="auto" w:fill="auto"/>
            <w:vAlign w:val="center"/>
          </w:tcPr>
          <w:p w14:paraId="0F4B97BB"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Single</w:t>
            </w:r>
          </w:p>
        </w:tc>
        <w:tc>
          <w:tcPr>
            <w:tcW w:w="1581" w:type="dxa"/>
            <w:tcBorders>
              <w:top w:val="nil"/>
              <w:left w:val="nil"/>
              <w:bottom w:val="single" w:sz="4" w:space="0" w:color="000000"/>
              <w:right w:val="single" w:sz="4" w:space="0" w:color="000000"/>
            </w:tcBorders>
            <w:shd w:val="clear" w:color="auto" w:fill="auto"/>
            <w:vAlign w:val="center"/>
          </w:tcPr>
          <w:p w14:paraId="62089F46"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24</w:t>
            </w:r>
          </w:p>
        </w:tc>
      </w:tr>
      <w:tr w:rsidR="00AE4E03" w:rsidRPr="00AE4E03" w14:paraId="6DDACAD8"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615B9276"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14</w:t>
            </w:r>
          </w:p>
        </w:tc>
        <w:tc>
          <w:tcPr>
            <w:tcW w:w="1914" w:type="dxa"/>
            <w:tcBorders>
              <w:top w:val="nil"/>
              <w:left w:val="nil"/>
              <w:bottom w:val="single" w:sz="4" w:space="0" w:color="000000"/>
              <w:right w:val="single" w:sz="4" w:space="0" w:color="000000"/>
            </w:tcBorders>
            <w:shd w:val="clear" w:color="auto" w:fill="auto"/>
            <w:vAlign w:val="center"/>
          </w:tcPr>
          <w:p w14:paraId="110E9735"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P14</w:t>
            </w:r>
          </w:p>
        </w:tc>
        <w:tc>
          <w:tcPr>
            <w:tcW w:w="1377" w:type="dxa"/>
            <w:tcBorders>
              <w:top w:val="nil"/>
              <w:left w:val="nil"/>
              <w:bottom w:val="single" w:sz="4" w:space="0" w:color="000000"/>
              <w:right w:val="single" w:sz="4" w:space="0" w:color="000000"/>
            </w:tcBorders>
            <w:shd w:val="clear" w:color="auto" w:fill="auto"/>
            <w:vAlign w:val="center"/>
          </w:tcPr>
          <w:p w14:paraId="77CB73AA"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Female</w:t>
            </w:r>
          </w:p>
        </w:tc>
        <w:tc>
          <w:tcPr>
            <w:tcW w:w="857" w:type="dxa"/>
            <w:tcBorders>
              <w:top w:val="nil"/>
              <w:left w:val="nil"/>
              <w:bottom w:val="single" w:sz="4" w:space="0" w:color="000000"/>
              <w:right w:val="single" w:sz="4" w:space="0" w:color="000000"/>
            </w:tcBorders>
            <w:shd w:val="clear" w:color="auto" w:fill="auto"/>
            <w:vAlign w:val="center"/>
          </w:tcPr>
          <w:p w14:paraId="53212F6D"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23</w:t>
            </w:r>
          </w:p>
        </w:tc>
        <w:tc>
          <w:tcPr>
            <w:tcW w:w="1395" w:type="dxa"/>
            <w:tcBorders>
              <w:top w:val="nil"/>
              <w:left w:val="nil"/>
              <w:bottom w:val="single" w:sz="4" w:space="0" w:color="000000"/>
              <w:right w:val="single" w:sz="4" w:space="0" w:color="000000"/>
            </w:tcBorders>
            <w:shd w:val="clear" w:color="auto" w:fill="auto"/>
            <w:vAlign w:val="center"/>
          </w:tcPr>
          <w:p w14:paraId="3B254D60"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Single</w:t>
            </w:r>
          </w:p>
        </w:tc>
        <w:tc>
          <w:tcPr>
            <w:tcW w:w="1581" w:type="dxa"/>
            <w:tcBorders>
              <w:top w:val="nil"/>
              <w:left w:val="nil"/>
              <w:bottom w:val="single" w:sz="4" w:space="0" w:color="000000"/>
              <w:right w:val="single" w:sz="4" w:space="0" w:color="000000"/>
            </w:tcBorders>
            <w:shd w:val="clear" w:color="auto" w:fill="auto"/>
            <w:vAlign w:val="center"/>
          </w:tcPr>
          <w:p w14:paraId="2116417B"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20</w:t>
            </w:r>
          </w:p>
        </w:tc>
      </w:tr>
      <w:tr w:rsidR="00AE4E03" w:rsidRPr="00AE4E03" w14:paraId="585A3FF4"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7DA4C563"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15</w:t>
            </w:r>
          </w:p>
        </w:tc>
        <w:tc>
          <w:tcPr>
            <w:tcW w:w="1914" w:type="dxa"/>
            <w:tcBorders>
              <w:top w:val="nil"/>
              <w:left w:val="nil"/>
              <w:bottom w:val="single" w:sz="4" w:space="0" w:color="000000"/>
              <w:right w:val="single" w:sz="4" w:space="0" w:color="000000"/>
            </w:tcBorders>
            <w:shd w:val="clear" w:color="auto" w:fill="auto"/>
            <w:vAlign w:val="center"/>
          </w:tcPr>
          <w:p w14:paraId="35357029"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P15</w:t>
            </w:r>
          </w:p>
        </w:tc>
        <w:tc>
          <w:tcPr>
            <w:tcW w:w="1377" w:type="dxa"/>
            <w:tcBorders>
              <w:top w:val="nil"/>
              <w:left w:val="nil"/>
              <w:bottom w:val="single" w:sz="4" w:space="0" w:color="000000"/>
              <w:right w:val="single" w:sz="4" w:space="0" w:color="000000"/>
            </w:tcBorders>
            <w:shd w:val="clear" w:color="auto" w:fill="auto"/>
            <w:vAlign w:val="center"/>
          </w:tcPr>
          <w:p w14:paraId="5E1C9ED9"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Female</w:t>
            </w:r>
          </w:p>
        </w:tc>
        <w:tc>
          <w:tcPr>
            <w:tcW w:w="857" w:type="dxa"/>
            <w:tcBorders>
              <w:top w:val="nil"/>
              <w:left w:val="nil"/>
              <w:bottom w:val="single" w:sz="4" w:space="0" w:color="000000"/>
              <w:right w:val="single" w:sz="4" w:space="0" w:color="000000"/>
            </w:tcBorders>
            <w:shd w:val="clear" w:color="auto" w:fill="auto"/>
            <w:vAlign w:val="center"/>
          </w:tcPr>
          <w:p w14:paraId="0B06CF64"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25</w:t>
            </w:r>
          </w:p>
        </w:tc>
        <w:tc>
          <w:tcPr>
            <w:tcW w:w="1395" w:type="dxa"/>
            <w:tcBorders>
              <w:top w:val="nil"/>
              <w:left w:val="nil"/>
              <w:bottom w:val="single" w:sz="4" w:space="0" w:color="000000"/>
              <w:right w:val="single" w:sz="4" w:space="0" w:color="000000"/>
            </w:tcBorders>
            <w:shd w:val="clear" w:color="auto" w:fill="auto"/>
            <w:vAlign w:val="center"/>
          </w:tcPr>
          <w:p w14:paraId="1F4ED9AA"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Married</w:t>
            </w:r>
          </w:p>
        </w:tc>
        <w:tc>
          <w:tcPr>
            <w:tcW w:w="1581" w:type="dxa"/>
            <w:tcBorders>
              <w:top w:val="nil"/>
              <w:left w:val="nil"/>
              <w:bottom w:val="single" w:sz="4" w:space="0" w:color="000000"/>
              <w:right w:val="single" w:sz="4" w:space="0" w:color="000000"/>
            </w:tcBorders>
            <w:shd w:val="clear" w:color="auto" w:fill="auto"/>
            <w:vAlign w:val="center"/>
          </w:tcPr>
          <w:p w14:paraId="2F011A49"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32</w:t>
            </w:r>
          </w:p>
        </w:tc>
      </w:tr>
      <w:tr w:rsidR="00AE4E03" w:rsidRPr="00AE4E03" w14:paraId="6EE7F142"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195460E4"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16</w:t>
            </w:r>
          </w:p>
        </w:tc>
        <w:tc>
          <w:tcPr>
            <w:tcW w:w="1914" w:type="dxa"/>
            <w:tcBorders>
              <w:top w:val="nil"/>
              <w:left w:val="nil"/>
              <w:bottom w:val="single" w:sz="4" w:space="0" w:color="000000"/>
              <w:right w:val="single" w:sz="4" w:space="0" w:color="000000"/>
            </w:tcBorders>
            <w:shd w:val="clear" w:color="auto" w:fill="auto"/>
            <w:vAlign w:val="center"/>
          </w:tcPr>
          <w:p w14:paraId="5515B7DC"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P16</w:t>
            </w:r>
          </w:p>
        </w:tc>
        <w:tc>
          <w:tcPr>
            <w:tcW w:w="1377" w:type="dxa"/>
            <w:tcBorders>
              <w:top w:val="nil"/>
              <w:left w:val="nil"/>
              <w:bottom w:val="single" w:sz="4" w:space="0" w:color="000000"/>
              <w:right w:val="single" w:sz="4" w:space="0" w:color="000000"/>
            </w:tcBorders>
            <w:shd w:val="clear" w:color="auto" w:fill="auto"/>
            <w:vAlign w:val="center"/>
          </w:tcPr>
          <w:p w14:paraId="3D3B5321"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Male</w:t>
            </w:r>
          </w:p>
        </w:tc>
        <w:tc>
          <w:tcPr>
            <w:tcW w:w="857" w:type="dxa"/>
            <w:tcBorders>
              <w:top w:val="nil"/>
              <w:left w:val="nil"/>
              <w:bottom w:val="single" w:sz="4" w:space="0" w:color="000000"/>
              <w:right w:val="single" w:sz="4" w:space="0" w:color="000000"/>
            </w:tcBorders>
            <w:shd w:val="clear" w:color="auto" w:fill="auto"/>
            <w:vAlign w:val="center"/>
          </w:tcPr>
          <w:p w14:paraId="27F0FB85"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23</w:t>
            </w:r>
          </w:p>
        </w:tc>
        <w:tc>
          <w:tcPr>
            <w:tcW w:w="1395" w:type="dxa"/>
            <w:tcBorders>
              <w:top w:val="nil"/>
              <w:left w:val="nil"/>
              <w:bottom w:val="single" w:sz="4" w:space="0" w:color="000000"/>
              <w:right w:val="single" w:sz="4" w:space="0" w:color="000000"/>
            </w:tcBorders>
            <w:shd w:val="clear" w:color="auto" w:fill="auto"/>
            <w:vAlign w:val="center"/>
          </w:tcPr>
          <w:p w14:paraId="62EDF1AF"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Single</w:t>
            </w:r>
          </w:p>
        </w:tc>
        <w:tc>
          <w:tcPr>
            <w:tcW w:w="1581" w:type="dxa"/>
            <w:tcBorders>
              <w:top w:val="nil"/>
              <w:left w:val="nil"/>
              <w:bottom w:val="single" w:sz="4" w:space="0" w:color="000000"/>
              <w:right w:val="single" w:sz="4" w:space="0" w:color="000000"/>
            </w:tcBorders>
            <w:shd w:val="clear" w:color="auto" w:fill="auto"/>
            <w:vAlign w:val="center"/>
          </w:tcPr>
          <w:p w14:paraId="5D5DB4A4"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23</w:t>
            </w:r>
          </w:p>
        </w:tc>
      </w:tr>
      <w:tr w:rsidR="00AE4E03" w:rsidRPr="00AE4E03" w14:paraId="411957E4"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531F7094"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17</w:t>
            </w:r>
          </w:p>
        </w:tc>
        <w:tc>
          <w:tcPr>
            <w:tcW w:w="1914" w:type="dxa"/>
            <w:tcBorders>
              <w:top w:val="nil"/>
              <w:left w:val="nil"/>
              <w:bottom w:val="single" w:sz="4" w:space="0" w:color="000000"/>
              <w:right w:val="single" w:sz="4" w:space="0" w:color="000000"/>
            </w:tcBorders>
            <w:shd w:val="clear" w:color="auto" w:fill="auto"/>
            <w:vAlign w:val="center"/>
          </w:tcPr>
          <w:p w14:paraId="782EC47D"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P17</w:t>
            </w:r>
          </w:p>
        </w:tc>
        <w:tc>
          <w:tcPr>
            <w:tcW w:w="1377" w:type="dxa"/>
            <w:tcBorders>
              <w:top w:val="nil"/>
              <w:left w:val="nil"/>
              <w:bottom w:val="single" w:sz="4" w:space="0" w:color="000000"/>
              <w:right w:val="single" w:sz="4" w:space="0" w:color="000000"/>
            </w:tcBorders>
            <w:shd w:val="clear" w:color="auto" w:fill="auto"/>
            <w:vAlign w:val="center"/>
          </w:tcPr>
          <w:p w14:paraId="3534F0BD"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Female</w:t>
            </w:r>
          </w:p>
        </w:tc>
        <w:tc>
          <w:tcPr>
            <w:tcW w:w="857" w:type="dxa"/>
            <w:tcBorders>
              <w:top w:val="nil"/>
              <w:left w:val="nil"/>
              <w:bottom w:val="single" w:sz="4" w:space="0" w:color="000000"/>
              <w:right w:val="single" w:sz="4" w:space="0" w:color="000000"/>
            </w:tcBorders>
            <w:shd w:val="clear" w:color="auto" w:fill="auto"/>
            <w:vAlign w:val="center"/>
          </w:tcPr>
          <w:p w14:paraId="4B0449EB"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24</w:t>
            </w:r>
          </w:p>
        </w:tc>
        <w:tc>
          <w:tcPr>
            <w:tcW w:w="1395" w:type="dxa"/>
            <w:tcBorders>
              <w:top w:val="nil"/>
              <w:left w:val="nil"/>
              <w:bottom w:val="single" w:sz="4" w:space="0" w:color="000000"/>
              <w:right w:val="single" w:sz="4" w:space="0" w:color="000000"/>
            </w:tcBorders>
            <w:shd w:val="clear" w:color="auto" w:fill="auto"/>
            <w:vAlign w:val="center"/>
          </w:tcPr>
          <w:p w14:paraId="7E948C3E"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Single</w:t>
            </w:r>
          </w:p>
        </w:tc>
        <w:tc>
          <w:tcPr>
            <w:tcW w:w="1581" w:type="dxa"/>
            <w:tcBorders>
              <w:top w:val="nil"/>
              <w:left w:val="nil"/>
              <w:bottom w:val="single" w:sz="4" w:space="0" w:color="000000"/>
              <w:right w:val="single" w:sz="4" w:space="0" w:color="000000"/>
            </w:tcBorders>
            <w:shd w:val="clear" w:color="auto" w:fill="auto"/>
            <w:vAlign w:val="center"/>
          </w:tcPr>
          <w:p w14:paraId="23D5187E"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30</w:t>
            </w:r>
          </w:p>
        </w:tc>
      </w:tr>
      <w:tr w:rsidR="00AE4E03" w:rsidRPr="00AE4E03" w14:paraId="028C2EBE" w14:textId="77777777" w:rsidTr="00E16F09">
        <w:trPr>
          <w:trHeight w:val="318"/>
          <w:jc w:val="center"/>
        </w:trPr>
        <w:tc>
          <w:tcPr>
            <w:tcW w:w="1005" w:type="dxa"/>
            <w:tcBorders>
              <w:top w:val="nil"/>
              <w:left w:val="single" w:sz="4" w:space="0" w:color="000000"/>
              <w:bottom w:val="single" w:sz="4" w:space="0" w:color="000000"/>
              <w:right w:val="single" w:sz="4" w:space="0" w:color="000000"/>
            </w:tcBorders>
            <w:shd w:val="clear" w:color="auto" w:fill="auto"/>
            <w:vAlign w:val="center"/>
          </w:tcPr>
          <w:p w14:paraId="044D8F90" w14:textId="77777777" w:rsidR="000064D4" w:rsidRPr="00AE4E03" w:rsidRDefault="000064D4" w:rsidP="00E16F09">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18</w:t>
            </w:r>
          </w:p>
        </w:tc>
        <w:tc>
          <w:tcPr>
            <w:tcW w:w="1914" w:type="dxa"/>
            <w:tcBorders>
              <w:top w:val="nil"/>
              <w:left w:val="nil"/>
              <w:bottom w:val="single" w:sz="4" w:space="0" w:color="000000"/>
              <w:right w:val="single" w:sz="4" w:space="0" w:color="000000"/>
            </w:tcBorders>
            <w:shd w:val="clear" w:color="auto" w:fill="auto"/>
            <w:vAlign w:val="center"/>
          </w:tcPr>
          <w:p w14:paraId="2E893099"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P18</w:t>
            </w:r>
          </w:p>
        </w:tc>
        <w:tc>
          <w:tcPr>
            <w:tcW w:w="1377" w:type="dxa"/>
            <w:tcBorders>
              <w:top w:val="nil"/>
              <w:left w:val="nil"/>
              <w:bottom w:val="single" w:sz="4" w:space="0" w:color="000000"/>
              <w:right w:val="single" w:sz="4" w:space="0" w:color="000000"/>
            </w:tcBorders>
            <w:shd w:val="clear" w:color="auto" w:fill="auto"/>
            <w:vAlign w:val="center"/>
          </w:tcPr>
          <w:p w14:paraId="601A3AA4"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Female</w:t>
            </w:r>
          </w:p>
        </w:tc>
        <w:tc>
          <w:tcPr>
            <w:tcW w:w="857" w:type="dxa"/>
            <w:tcBorders>
              <w:top w:val="nil"/>
              <w:left w:val="nil"/>
              <w:bottom w:val="single" w:sz="4" w:space="0" w:color="000000"/>
              <w:right w:val="single" w:sz="4" w:space="0" w:color="000000"/>
            </w:tcBorders>
            <w:shd w:val="clear" w:color="auto" w:fill="auto"/>
            <w:vAlign w:val="center"/>
          </w:tcPr>
          <w:p w14:paraId="69489658"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24</w:t>
            </w:r>
          </w:p>
        </w:tc>
        <w:tc>
          <w:tcPr>
            <w:tcW w:w="1395" w:type="dxa"/>
            <w:tcBorders>
              <w:top w:val="nil"/>
              <w:left w:val="nil"/>
              <w:bottom w:val="single" w:sz="4" w:space="0" w:color="000000"/>
              <w:right w:val="single" w:sz="4" w:space="0" w:color="000000"/>
            </w:tcBorders>
            <w:shd w:val="clear" w:color="auto" w:fill="auto"/>
            <w:vAlign w:val="center"/>
          </w:tcPr>
          <w:p w14:paraId="20BC95F9"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Single</w:t>
            </w:r>
          </w:p>
        </w:tc>
        <w:tc>
          <w:tcPr>
            <w:tcW w:w="1581" w:type="dxa"/>
            <w:tcBorders>
              <w:top w:val="nil"/>
              <w:left w:val="nil"/>
              <w:bottom w:val="single" w:sz="4" w:space="0" w:color="000000"/>
              <w:right w:val="single" w:sz="4" w:space="0" w:color="000000"/>
            </w:tcBorders>
            <w:shd w:val="clear" w:color="auto" w:fill="auto"/>
            <w:vAlign w:val="center"/>
          </w:tcPr>
          <w:p w14:paraId="7DD2296D" w14:textId="77777777" w:rsidR="000064D4" w:rsidRPr="00AE4E03" w:rsidRDefault="000064D4" w:rsidP="00E16F09">
            <w:pPr>
              <w:spacing w:after="0" w:line="240" w:lineRule="auto"/>
              <w:jc w:val="center"/>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4"/>
                <w:szCs w:val="24"/>
                <w:lang w:eastAsia="en-IN" w:bidi="ml-IN"/>
                <w14:ligatures w14:val="none"/>
              </w:rPr>
              <w:t>28</w:t>
            </w:r>
          </w:p>
        </w:tc>
      </w:tr>
    </w:tbl>
    <w:p w14:paraId="56E9D11D"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6308382D" w14:textId="77777777" w:rsidR="000064D4" w:rsidRPr="00AE4E03" w:rsidRDefault="000064D4" w:rsidP="000064D4">
      <w:pPr>
        <w:spacing w:line="240" w:lineRule="auto"/>
        <w:jc w:val="center"/>
        <w:rPr>
          <w:rFonts w:ascii="Times New Roman" w:eastAsia="Times New Roman" w:hAnsi="Times New Roman" w:cs="Times New Roman"/>
          <w:color w:val="000000" w:themeColor="text1"/>
          <w:sz w:val="24"/>
          <w:szCs w:val="24"/>
        </w:rPr>
      </w:pPr>
      <w:r w:rsidRPr="00AE4E03">
        <w:rPr>
          <w:rFonts w:ascii="Times New Roman" w:eastAsia="Times New Roman" w:hAnsi="Times New Roman" w:cs="Times New Roman"/>
          <w:b/>
          <w:color w:val="000000" w:themeColor="text1"/>
          <w:sz w:val="24"/>
          <w:szCs w:val="24"/>
        </w:rPr>
        <w:t>Table I</w:t>
      </w:r>
      <w:r w:rsidRPr="00AE4E03">
        <w:rPr>
          <w:rFonts w:ascii="Times New Roman" w:eastAsia="Times New Roman" w:hAnsi="Times New Roman" w:cs="Times New Roman"/>
          <w:color w:val="000000" w:themeColor="text1"/>
          <w:sz w:val="24"/>
          <w:szCs w:val="24"/>
        </w:rPr>
        <w:t>. Participant nurses’ demographics</w:t>
      </w:r>
    </w:p>
    <w:p w14:paraId="4D6003BE" w14:textId="77777777" w:rsidR="000064D4" w:rsidRPr="00AE4E03" w:rsidRDefault="000064D4" w:rsidP="000064D4">
      <w:pPr>
        <w:spacing w:line="240" w:lineRule="auto"/>
        <w:jc w:val="center"/>
        <w:rPr>
          <w:rFonts w:ascii="Times New Roman" w:eastAsia="Times New Roman" w:hAnsi="Times New Roman" w:cs="Times New Roman"/>
          <w:color w:val="000000" w:themeColor="text1"/>
          <w:sz w:val="24"/>
          <w:szCs w:val="24"/>
        </w:rPr>
      </w:pPr>
    </w:p>
    <w:p w14:paraId="777C715A" w14:textId="77777777" w:rsidR="000064D4" w:rsidRPr="00AE4E03" w:rsidRDefault="000064D4" w:rsidP="000064D4">
      <w:pPr>
        <w:spacing w:line="240" w:lineRule="auto"/>
        <w:jc w:val="center"/>
        <w:rPr>
          <w:rFonts w:ascii="Times New Roman" w:eastAsia="Times New Roman" w:hAnsi="Times New Roman" w:cs="Times New Roman"/>
          <w:color w:val="000000" w:themeColor="text1"/>
          <w:sz w:val="24"/>
          <w:szCs w:val="24"/>
        </w:rPr>
      </w:pPr>
    </w:p>
    <w:p w14:paraId="7C158805" w14:textId="77777777" w:rsidR="000064D4" w:rsidRPr="00AE4E03" w:rsidRDefault="000064D4" w:rsidP="000064D4">
      <w:pPr>
        <w:spacing w:line="240" w:lineRule="auto"/>
        <w:jc w:val="center"/>
        <w:rPr>
          <w:rFonts w:ascii="Times New Roman" w:eastAsia="Times New Roman" w:hAnsi="Times New Roman" w:cs="Times New Roman"/>
          <w:color w:val="000000" w:themeColor="text1"/>
          <w:sz w:val="24"/>
          <w:szCs w:val="24"/>
        </w:rPr>
      </w:pPr>
    </w:p>
    <w:p w14:paraId="6110319C" w14:textId="77777777" w:rsidR="000064D4" w:rsidRPr="00AE4E03" w:rsidRDefault="000064D4" w:rsidP="000064D4">
      <w:pPr>
        <w:spacing w:line="240" w:lineRule="auto"/>
        <w:jc w:val="center"/>
        <w:rPr>
          <w:rFonts w:ascii="Times New Roman" w:eastAsia="Times New Roman" w:hAnsi="Times New Roman" w:cs="Times New Roman"/>
          <w:color w:val="000000" w:themeColor="text1"/>
          <w:sz w:val="24"/>
          <w:szCs w:val="24"/>
        </w:rPr>
      </w:pPr>
    </w:p>
    <w:p w14:paraId="454C0902" w14:textId="77777777" w:rsidR="000064D4" w:rsidRPr="00AE4E03" w:rsidRDefault="000064D4" w:rsidP="000064D4">
      <w:pPr>
        <w:spacing w:line="240" w:lineRule="auto"/>
        <w:jc w:val="center"/>
        <w:rPr>
          <w:rFonts w:ascii="Times New Roman" w:eastAsia="Times New Roman" w:hAnsi="Times New Roman" w:cs="Times New Roman"/>
          <w:color w:val="000000" w:themeColor="text1"/>
          <w:sz w:val="24"/>
          <w:szCs w:val="24"/>
        </w:rPr>
      </w:pPr>
    </w:p>
    <w:p w14:paraId="11027BAE" w14:textId="77777777" w:rsidR="000064D4" w:rsidRPr="00AE4E03" w:rsidRDefault="000064D4" w:rsidP="000064D4">
      <w:pPr>
        <w:spacing w:line="240" w:lineRule="auto"/>
        <w:jc w:val="center"/>
        <w:rPr>
          <w:rFonts w:ascii="Times New Roman" w:eastAsia="Times New Roman" w:hAnsi="Times New Roman" w:cs="Times New Roman"/>
          <w:color w:val="000000" w:themeColor="text1"/>
          <w:sz w:val="24"/>
          <w:szCs w:val="24"/>
        </w:rPr>
      </w:pPr>
    </w:p>
    <w:p w14:paraId="15C0C127" w14:textId="77777777" w:rsidR="000064D4" w:rsidRPr="00AE4E03" w:rsidRDefault="000064D4" w:rsidP="000064D4">
      <w:pPr>
        <w:spacing w:after="0" w:line="240" w:lineRule="auto"/>
        <w:rPr>
          <w:rFonts w:ascii="Times New Roman" w:eastAsia="Times New Roman" w:hAnsi="Times New Roman" w:cs="Times New Roman"/>
          <w:color w:val="000000" w:themeColor="text1"/>
          <w:kern w:val="0"/>
          <w:sz w:val="24"/>
          <w:szCs w:val="24"/>
          <w:lang w:eastAsia="en-IN" w:bidi="ml-IN"/>
          <w14:ligatures w14:val="none"/>
        </w:rPr>
      </w:pPr>
    </w:p>
    <w:p w14:paraId="1EBEACB1" w14:textId="77777777" w:rsidR="000064D4" w:rsidRPr="00AE4E03" w:rsidRDefault="000064D4" w:rsidP="000064D4">
      <w:pPr>
        <w:spacing w:line="240" w:lineRule="auto"/>
        <w:rPr>
          <w:rFonts w:ascii="Times New Roman" w:eastAsia="Times New Roman" w:hAnsi="Times New Roman" w:cs="Times New Roman"/>
          <w:b/>
          <w:color w:val="000000" w:themeColor="text1"/>
          <w:kern w:val="0"/>
          <w:sz w:val="24"/>
          <w:szCs w:val="24"/>
          <w:lang w:eastAsia="en-IN" w:bidi="ml-IN"/>
          <w14:ligatures w14:val="none"/>
        </w:rPr>
      </w:pPr>
      <w:r w:rsidRPr="00AE4E03">
        <w:rPr>
          <w:rFonts w:ascii="Times New Roman" w:eastAsia="Times New Roman" w:hAnsi="Times New Roman" w:cs="Times New Roman"/>
          <w:b/>
          <w:color w:val="000000" w:themeColor="text1"/>
          <w:kern w:val="0"/>
          <w:sz w:val="24"/>
          <w:szCs w:val="24"/>
          <w:lang w:eastAsia="en-IN" w:bidi="ml-IN"/>
          <w14:ligatures w14:val="none"/>
        </w:rPr>
        <w:lastRenderedPageBreak/>
        <w:t>First order codes                              Second order sub-themes         Aggregate Dimensions</w: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59264" behindDoc="0" locked="0" layoutInCell="1" hidden="0" allowOverlap="1" wp14:anchorId="0A71F82D" wp14:editId="514A9403">
                <wp:simplePos x="0" y="0"/>
                <wp:positionH relativeFrom="column">
                  <wp:posOffset>-330199</wp:posOffset>
                </wp:positionH>
                <wp:positionV relativeFrom="paragraph">
                  <wp:posOffset>292100</wp:posOffset>
                </wp:positionV>
                <wp:extent cx="2108200" cy="729747"/>
                <wp:effectExtent l="0" t="0" r="0" b="0"/>
                <wp:wrapNone/>
                <wp:docPr id="226" name="Rectangle 226"/>
                <wp:cNvGraphicFramePr/>
                <a:graphic xmlns:a="http://schemas.openxmlformats.org/drawingml/2006/main">
                  <a:graphicData uri="http://schemas.microsoft.com/office/word/2010/wordprocessingShape">
                    <wps:wsp>
                      <wps:cNvSpPr/>
                      <wps:spPr>
                        <a:xfrm>
                          <a:off x="4298250" y="3421477"/>
                          <a:ext cx="2095500" cy="717047"/>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B13345C"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w:t>
                            </w:r>
                            <w:r w:rsidRPr="00A26BE6">
                              <w:rPr>
                                <w:rFonts w:ascii="Times New Roman" w:eastAsia="Times New Roman" w:hAnsi="Times New Roman" w:cs="Times New Roman"/>
                                <w:color w:val="000000"/>
                                <w:sz w:val="20"/>
                              </w:rPr>
                              <w:t>U</w:t>
                            </w:r>
                            <w:r>
                              <w:rPr>
                                <w:rFonts w:ascii="Times New Roman" w:eastAsia="Times New Roman" w:hAnsi="Times New Roman" w:cs="Times New Roman"/>
                                <w:color w:val="000000"/>
                                <w:sz w:val="20"/>
                              </w:rPr>
                              <w:t>nfulfilled promises &amp; disillusionment</w:t>
                            </w:r>
                          </w:p>
                          <w:p w14:paraId="1ACC7B0D"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*Salience of values</w:t>
                            </w:r>
                          </w:p>
                          <w:p w14:paraId="31995C18"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*Misaligned institutional principles</w:t>
                            </w:r>
                          </w:p>
                          <w:p w14:paraId="636ECB4D" w14:textId="77777777" w:rsidR="000064D4" w:rsidRDefault="000064D4" w:rsidP="000064D4">
                            <w:pPr>
                              <w:spacing w:after="0" w:line="240" w:lineRule="auto"/>
                              <w:textDirection w:val="btLr"/>
                            </w:pPr>
                          </w:p>
                        </w:txbxContent>
                      </wps:txbx>
                      <wps:bodyPr spcFirstLastPara="1" wrap="square" lIns="91425" tIns="45700" rIns="91425" bIns="45700" anchor="ctr" anchorCtr="0">
                        <a:noAutofit/>
                      </wps:bodyPr>
                    </wps:wsp>
                  </a:graphicData>
                </a:graphic>
              </wp:anchor>
            </w:drawing>
          </mc:Choice>
          <mc:Fallback>
            <w:pict>
              <v:rect w14:anchorId="0A71F82D" id="Rectangle 226" o:spid="_x0000_s1026" style="position:absolute;margin-left:-26pt;margin-top:23pt;width:166pt;height:57.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" strokeweight="1pt">
                <v:stroke startarrowwidth="narrow" startarrowlength="short" endarrowwidth="narrow" endarrowlength="short"/>
                <v:textbox inset="2.53958mm,1.2694mm,2.53958mm,1.2694mm">
                  <w:txbxContent>
                    <w:p w14:paraId="2B13345C"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w:t>
                      </w:r>
                      <w:r w:rsidRPr="00A26BE6">
                        <w:rPr>
                          <w:rFonts w:ascii="Times New Roman" w:eastAsia="Times New Roman" w:hAnsi="Times New Roman" w:cs="Times New Roman"/>
                          <w:color w:val="000000"/>
                          <w:sz w:val="20"/>
                        </w:rPr>
                        <w:t>U</w:t>
                      </w:r>
                      <w:r>
                        <w:rPr>
                          <w:rFonts w:ascii="Times New Roman" w:eastAsia="Times New Roman" w:hAnsi="Times New Roman" w:cs="Times New Roman"/>
                          <w:color w:val="000000"/>
                          <w:sz w:val="20"/>
                        </w:rPr>
                        <w:t>nfulfilled promises &amp; disillusionment</w:t>
                      </w:r>
                    </w:p>
                    <w:p w14:paraId="1ACC7B0D"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*Salience of values</w:t>
                      </w:r>
                    </w:p>
                    <w:p w14:paraId="31995C18"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*Misaligned institutional principles</w:t>
                      </w:r>
                    </w:p>
                    <w:p w14:paraId="636ECB4D" w14:textId="77777777" w:rsidR="000064D4" w:rsidRDefault="000064D4" w:rsidP="000064D4">
                      <w:pPr>
                        <w:spacing w:after="0" w:line="240" w:lineRule="auto"/>
                        <w:textDirection w:val="btLr"/>
                      </w:pPr>
                    </w:p>
                  </w:txbxContent>
                </v:textbox>
              </v:rect>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60288" behindDoc="0" locked="0" layoutInCell="1" hidden="0" allowOverlap="1" wp14:anchorId="351D23BD" wp14:editId="39F0CBAC">
                <wp:simplePos x="0" y="0"/>
                <wp:positionH relativeFrom="column">
                  <wp:posOffset>-279399</wp:posOffset>
                </wp:positionH>
                <wp:positionV relativeFrom="paragraph">
                  <wp:posOffset>203200</wp:posOffset>
                </wp:positionV>
                <wp:extent cx="7620" cy="12700"/>
                <wp:effectExtent l="0" t="0" r="0" b="0"/>
                <wp:wrapNone/>
                <wp:docPr id="195" name="Straight Arrow Connector 195"/>
                <wp:cNvGraphicFramePr/>
                <a:graphic xmlns:a="http://schemas.openxmlformats.org/drawingml/2006/main">
                  <a:graphicData uri="http://schemas.microsoft.com/office/word/2010/wordprocessingShape">
                    <wps:wsp>
                      <wps:cNvCnPr/>
                      <wps:spPr>
                        <a:xfrm rot="10800000" flipH="1">
                          <a:off x="2126550" y="3776190"/>
                          <a:ext cx="6438900" cy="762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w:pict>
              <v:shapetype w14:anchorId="4F217C2E" id="_x0000_t32" coordsize="21600,21600" o:spt="32" o:oned="t" path="m,l21600,21600e" filled="f">
                <v:path arrowok="t" fillok="f" o:connecttype="none"/>
                <o:lock v:ext="edit" shapetype="t"/>
              </v:shapetype>
              <v:shape id="Straight Arrow Connector 195" o:spid="_x0000_s1026" type="#_x0000_t32" style="position:absolute;margin-left:-22pt;margin-top:16pt;width:.6pt;height:1pt;rotation:180;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">
                <v:stroke startarrowwidth="narrow" startarrowlength="short" endarrowwidth="narrow" endarrowlength="short" joinstyle="miter"/>
              </v:shape>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61312" behindDoc="0" locked="0" layoutInCell="1" hidden="0" allowOverlap="1" wp14:anchorId="65C2604C" wp14:editId="6CF52324">
                <wp:simplePos x="0" y="0"/>
                <wp:positionH relativeFrom="column">
                  <wp:posOffset>1981200</wp:posOffset>
                </wp:positionH>
                <wp:positionV relativeFrom="paragraph">
                  <wp:posOffset>25400</wp:posOffset>
                </wp:positionV>
                <wp:extent cx="47625" cy="7919085"/>
                <wp:effectExtent l="0" t="0" r="0" b="0"/>
                <wp:wrapNone/>
                <wp:docPr id="210" name="Straight Arrow Connector 210"/>
                <wp:cNvGraphicFramePr/>
                <a:graphic xmlns:a="http://schemas.openxmlformats.org/drawingml/2006/main">
                  <a:graphicData uri="http://schemas.microsoft.com/office/word/2010/wordprocessingShape">
                    <wps:wsp>
                      <wps:cNvCnPr/>
                      <wps:spPr>
                        <a:xfrm>
                          <a:off x="5326950" y="0"/>
                          <a:ext cx="38100" cy="7560000"/>
                        </a:xfrm>
                        <a:prstGeom prst="straightConnector1">
                          <a:avLst/>
                        </a:prstGeom>
                        <a:noFill/>
                        <a:ln w="9525" cap="flat" cmpd="sng">
                          <a:solidFill>
                            <a:srgbClr val="000000"/>
                          </a:solidFill>
                          <a:prstDash val="dash"/>
                          <a:miter lim="800000"/>
                          <a:headEnd type="none" w="sm" len="sm"/>
                          <a:tailEnd type="none" w="sm" len="sm"/>
                        </a:ln>
                      </wps:spPr>
                      <wps:bodyPr/>
                    </wps:wsp>
                  </a:graphicData>
                </a:graphic>
              </wp:anchor>
            </w:drawing>
          </mc:Choice>
          <mc:Fallback>
            <w:pict>
              <v:shape w14:anchorId="0A36D0E3" id="Straight Arrow Connector 210" o:spid="_x0000_s1026" type="#_x0000_t32" style="position:absolute;margin-left:156pt;margin-top:2pt;width:3.75pt;height:623.5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">
                <v:stroke dashstyle="dash" startarrowwidth="narrow" startarrowlength="short" endarrowwidth="narrow" endarrowlength="short" joinstyle="miter"/>
              </v:shape>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62336" behindDoc="0" locked="0" layoutInCell="1" hidden="0" allowOverlap="1" wp14:anchorId="13520CA0" wp14:editId="4DBB0302">
                <wp:simplePos x="0" y="0"/>
                <wp:positionH relativeFrom="column">
                  <wp:posOffset>4102100</wp:posOffset>
                </wp:positionH>
                <wp:positionV relativeFrom="paragraph">
                  <wp:posOffset>50800</wp:posOffset>
                </wp:positionV>
                <wp:extent cx="55245" cy="7507605"/>
                <wp:effectExtent l="0" t="0" r="0" b="0"/>
                <wp:wrapNone/>
                <wp:docPr id="218" name="Straight Arrow Connector 218"/>
                <wp:cNvGraphicFramePr/>
                <a:graphic xmlns:a="http://schemas.openxmlformats.org/drawingml/2006/main">
                  <a:graphicData uri="http://schemas.microsoft.com/office/word/2010/wordprocessingShape">
                    <wps:wsp>
                      <wps:cNvCnPr/>
                      <wps:spPr>
                        <a:xfrm>
                          <a:off x="5323140" y="30960"/>
                          <a:ext cx="45720" cy="7498080"/>
                        </a:xfrm>
                        <a:prstGeom prst="straightConnector1">
                          <a:avLst/>
                        </a:prstGeom>
                        <a:noFill/>
                        <a:ln w="9525" cap="flat" cmpd="sng">
                          <a:solidFill>
                            <a:srgbClr val="000000"/>
                          </a:solidFill>
                          <a:prstDash val="dash"/>
                          <a:miter lim="800000"/>
                          <a:headEnd type="none" w="sm" len="sm"/>
                          <a:tailEnd type="none" w="sm" len="sm"/>
                        </a:ln>
                      </wps:spPr>
                      <wps:bodyPr/>
                    </wps:wsp>
                  </a:graphicData>
                </a:graphic>
              </wp:anchor>
            </w:drawing>
          </mc:Choice>
          <mc:Fallback>
            <w:pict>
              <v:shape w14:anchorId="077754E3" id="Straight Arrow Connector 218" o:spid="_x0000_s1026" type="#_x0000_t32" style="position:absolute;margin-left:323pt;margin-top:4pt;width:4.35pt;height:591.1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">
                <v:stroke dashstyle="dash" startarrowwidth="narrow" startarrowlength="short" endarrowwidth="narrow" endarrowlength="short" joinstyle="miter"/>
              </v:shape>
            </w:pict>
          </mc:Fallback>
        </mc:AlternateContent>
      </w:r>
    </w:p>
    <w:p w14:paraId="13F3CCA2" w14:textId="77777777" w:rsidR="000064D4" w:rsidRPr="00AE4E03" w:rsidRDefault="000064D4" w:rsidP="000064D4">
      <w:pPr>
        <w:spacing w:line="240" w:lineRule="auto"/>
        <w:rPr>
          <w:rFonts w:ascii="Times New Roman" w:eastAsia="Times New Roman" w:hAnsi="Times New Roman" w:cs="Times New Roman"/>
          <w:color w:val="000000" w:themeColor="text1"/>
          <w:kern w:val="0"/>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63360" behindDoc="0" locked="0" layoutInCell="1" hidden="0" allowOverlap="1" wp14:anchorId="1A6F3600" wp14:editId="37776269">
                <wp:simplePos x="0" y="0"/>
                <wp:positionH relativeFrom="column">
                  <wp:posOffset>2260600</wp:posOffset>
                </wp:positionH>
                <wp:positionV relativeFrom="paragraph">
                  <wp:posOffset>12700</wp:posOffset>
                </wp:positionV>
                <wp:extent cx="1716510" cy="644228"/>
                <wp:effectExtent l="0" t="0" r="0" b="0"/>
                <wp:wrapNone/>
                <wp:docPr id="196" name="Rectangle: Rounded Corners 196"/>
                <wp:cNvGraphicFramePr/>
                <a:graphic xmlns:a="http://schemas.openxmlformats.org/drawingml/2006/main">
                  <a:graphicData uri="http://schemas.microsoft.com/office/word/2010/wordprocessingShape">
                    <wps:wsp>
                      <wps:cNvSpPr/>
                      <wps:spPr>
                        <a:xfrm>
                          <a:off x="4494095" y="3464236"/>
                          <a:ext cx="1703810" cy="631528"/>
                        </a:xfrm>
                        <a:prstGeom prst="roundRect">
                          <a:avLst>
                            <a:gd name="adj" fmla="val 16667"/>
                          </a:avLst>
                        </a:prstGeom>
                        <a:solidFill>
                          <a:srgbClr val="FFFFFF"/>
                        </a:solidFill>
                        <a:ln w="12700" cap="flat" cmpd="sng">
                          <a:solidFill>
                            <a:srgbClr val="000000"/>
                          </a:solidFill>
                          <a:prstDash val="solid"/>
                          <a:miter lim="800000"/>
                          <a:headEnd type="none" w="sm" len="sm"/>
                          <a:tailEnd type="none" w="sm" len="sm"/>
                        </a:ln>
                      </wps:spPr>
                      <wps:txbx>
                        <w:txbxContent>
                          <w:p w14:paraId="65319040" w14:textId="77777777" w:rsidR="000064D4" w:rsidRPr="0052354D" w:rsidRDefault="000064D4" w:rsidP="000064D4">
                            <w:pPr>
                              <w:spacing w:after="0" w:line="240" w:lineRule="auto"/>
                              <w:jc w:val="center"/>
                              <w:textDirection w:val="btLr"/>
                              <w:rPr>
                                <w:sz w:val="20"/>
                                <w:szCs w:val="20"/>
                                <w:lang w:val="en-US"/>
                              </w:rPr>
                            </w:pPr>
                            <w:r>
                              <w:rPr>
                                <w:rFonts w:ascii="Times New Roman" w:eastAsia="Times New Roman" w:hAnsi="Times New Roman" w:cs="Times New Roman"/>
                                <w:color w:val="000000"/>
                                <w:sz w:val="24"/>
                                <w:szCs w:val="20"/>
                                <w:lang w:val="en-US"/>
                              </w:rPr>
                              <w:t>Beyond promised ideals</w:t>
                            </w:r>
                          </w:p>
                        </w:txbxContent>
                      </wps:txbx>
                      <wps:bodyPr spcFirstLastPara="1" wrap="square" lIns="91425" tIns="45700" rIns="91425" bIns="45700" anchor="ctr" anchorCtr="0">
                        <a:noAutofit/>
                      </wps:bodyPr>
                    </wps:wsp>
                  </a:graphicData>
                </a:graphic>
              </wp:anchor>
            </w:drawing>
          </mc:Choice>
          <mc:Fallback>
            <w:pict>
              <v:roundrect w14:anchorId="1A6F3600" id="Rectangle: Rounded Corners 196" o:spid="_x0000_s1027" style="position:absolute;margin-left:178pt;margin-top:1pt;width:135.15pt;height:50.7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" strokeweight="1pt">
                <v:stroke startarrowwidth="narrow" startarrowlength="short" endarrowwidth="narrow" endarrowlength="short" joinstyle="miter"/>
                <v:textbox inset="2.53958mm,1.2694mm,2.53958mm,1.2694mm">
                  <w:txbxContent>
                    <w:p w14:paraId="65319040" w14:textId="77777777" w:rsidR="000064D4" w:rsidRPr="0052354D" w:rsidRDefault="000064D4" w:rsidP="000064D4">
                      <w:pPr>
                        <w:spacing w:after="0" w:line="240" w:lineRule="auto"/>
                        <w:jc w:val="center"/>
                        <w:textDirection w:val="btLr"/>
                        <w:rPr>
                          <w:sz w:val="20"/>
                          <w:szCs w:val="20"/>
                          <w:lang w:val="en-US"/>
                        </w:rPr>
                      </w:pPr>
                      <w:r>
                        <w:rPr>
                          <w:rFonts w:ascii="Times New Roman" w:eastAsia="Times New Roman" w:hAnsi="Times New Roman" w:cs="Times New Roman"/>
                          <w:color w:val="000000"/>
                          <w:sz w:val="24"/>
                          <w:szCs w:val="20"/>
                          <w:lang w:val="en-US"/>
                        </w:rPr>
                        <w:t>Beyond promised ideals</w:t>
                      </w:r>
                    </w:p>
                  </w:txbxContent>
                </v:textbox>
              </v:roundrect>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64384" behindDoc="0" locked="0" layoutInCell="1" hidden="0" allowOverlap="1" wp14:anchorId="7A0729C3" wp14:editId="7FDA12F3">
                <wp:simplePos x="0" y="0"/>
                <wp:positionH relativeFrom="column">
                  <wp:posOffset>4076700</wp:posOffset>
                </wp:positionH>
                <wp:positionV relativeFrom="paragraph">
                  <wp:posOffset>177800</wp:posOffset>
                </wp:positionV>
                <wp:extent cx="173985" cy="2075148"/>
                <wp:effectExtent l="0" t="0" r="0" b="0"/>
                <wp:wrapNone/>
                <wp:docPr id="223" name="Right Brace 223"/>
                <wp:cNvGraphicFramePr/>
                <a:graphic xmlns:a="http://schemas.openxmlformats.org/drawingml/2006/main">
                  <a:graphicData uri="http://schemas.microsoft.com/office/word/2010/wordprocessingShape">
                    <wps:wsp>
                      <wps:cNvSpPr/>
                      <wps:spPr>
                        <a:xfrm>
                          <a:off x="5263770" y="2747189"/>
                          <a:ext cx="164460" cy="2065623"/>
                        </a:xfrm>
                        <a:prstGeom prst="rightBrace">
                          <a:avLst>
                            <a:gd name="adj1" fmla="val 8333"/>
                            <a:gd name="adj2" fmla="val 50000"/>
                          </a:avLst>
                        </a:prstGeom>
                        <a:noFill/>
                        <a:ln w="9525" cap="flat" cmpd="sng">
                          <a:solidFill>
                            <a:sysClr val="windowText" lastClr="000000"/>
                          </a:solidFill>
                          <a:prstDash val="solid"/>
                          <a:miter lim="800000"/>
                          <a:headEnd type="none" w="sm" len="sm"/>
                          <a:tailEnd type="none" w="sm" len="sm"/>
                        </a:ln>
                      </wps:spPr>
                      <wps:txbx>
                        <w:txbxContent>
                          <w:p w14:paraId="434B549D" w14:textId="77777777" w:rsidR="000064D4" w:rsidRDefault="000064D4" w:rsidP="000064D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7A0729C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23" o:spid="_x0000_s1028" type="#_x0000_t88" style="position:absolute;margin-left:321pt;margin-top:14pt;width:13.7pt;height:163.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" adj="143" strokecolor="windowText">
                <v:stroke startarrowwidth="narrow" startarrowlength="short" endarrowwidth="narrow" endarrowlength="short" joinstyle="miter"/>
                <v:textbox inset="2.53958mm,2.53958mm,2.53958mm,2.53958mm">
                  <w:txbxContent>
                    <w:p w14:paraId="434B549D" w14:textId="77777777" w:rsidR="000064D4" w:rsidRDefault="000064D4" w:rsidP="000064D4">
                      <w:pPr>
                        <w:spacing w:after="0" w:line="240" w:lineRule="auto"/>
                        <w:textDirection w:val="btLr"/>
                      </w:pPr>
                    </w:p>
                  </w:txbxContent>
                </v:textbox>
              </v:shape>
            </w:pict>
          </mc:Fallback>
        </mc:AlternateContent>
      </w:r>
    </w:p>
    <w:p w14:paraId="0AFE1D86" w14:textId="77777777" w:rsidR="000064D4" w:rsidRPr="00AE4E03" w:rsidRDefault="000064D4" w:rsidP="000064D4">
      <w:pPr>
        <w:spacing w:line="240" w:lineRule="auto"/>
        <w:rPr>
          <w:rFonts w:ascii="Times New Roman" w:eastAsia="Times New Roman" w:hAnsi="Times New Roman" w:cs="Times New Roman"/>
          <w:color w:val="000000" w:themeColor="text1"/>
          <w:kern w:val="0"/>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96128" behindDoc="0" locked="0" layoutInCell="1" allowOverlap="1" wp14:anchorId="6C15F0E1" wp14:editId="20C6EAA4">
                <wp:simplePos x="0" y="0"/>
                <wp:positionH relativeFrom="column">
                  <wp:posOffset>1828164</wp:posOffset>
                </wp:positionH>
                <wp:positionV relativeFrom="paragraph">
                  <wp:posOffset>66675</wp:posOffset>
                </wp:positionV>
                <wp:extent cx="411481" cy="114300"/>
                <wp:effectExtent l="0" t="19050" r="45720" b="38100"/>
                <wp:wrapNone/>
                <wp:docPr id="13" name="Arrow: Right 13"/>
                <wp:cNvGraphicFramePr/>
                <a:graphic xmlns:a="http://schemas.openxmlformats.org/drawingml/2006/main">
                  <a:graphicData uri="http://schemas.microsoft.com/office/word/2010/wordprocessingShape">
                    <wps:wsp>
                      <wps:cNvSpPr/>
                      <wps:spPr>
                        <a:xfrm>
                          <a:off x="0" y="0"/>
                          <a:ext cx="411481" cy="114300"/>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0C9EEE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3" o:spid="_x0000_s1026" type="#_x0000_t13" style="position:absolute;margin-left:143.95pt;margin-top:5.25pt;width:32.4pt;height:9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" adj="18600" fillcolor="windowText" strokeweight="1pt"/>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65408" behindDoc="0" locked="0" layoutInCell="1" hidden="0" allowOverlap="1" wp14:anchorId="0A2455A5" wp14:editId="2EF65A08">
                <wp:simplePos x="0" y="0"/>
                <wp:positionH relativeFrom="column">
                  <wp:posOffset>1841500</wp:posOffset>
                </wp:positionH>
                <wp:positionV relativeFrom="paragraph">
                  <wp:posOffset>63500</wp:posOffset>
                </wp:positionV>
                <wp:extent cx="7620" cy="25400"/>
                <wp:effectExtent l="0" t="0" r="0" b="0"/>
                <wp:wrapNone/>
                <wp:docPr id="202" name="Straight Arrow Connector 202"/>
                <wp:cNvGraphicFramePr/>
                <a:graphic xmlns:a="http://schemas.openxmlformats.org/drawingml/2006/main">
                  <a:graphicData uri="http://schemas.microsoft.com/office/word/2010/wordprocessingShape">
                    <wps:wsp>
                      <wps:cNvCnPr/>
                      <wps:spPr>
                        <a:xfrm rot="10800000" flipH="1">
                          <a:off x="5174550" y="3776190"/>
                          <a:ext cx="342900" cy="7620"/>
                        </a:xfrm>
                        <a:prstGeom prst="straightConnector1">
                          <a:avLst/>
                        </a:prstGeom>
                        <a:noFill/>
                        <a:ln w="9525" cap="flat" cmpd="sng">
                          <a:solidFill>
                            <a:srgbClr val="000000"/>
                          </a:solidFill>
                          <a:prstDash val="solid"/>
                          <a:miter lim="800000"/>
                          <a:headEnd type="none" w="sm" len="sm"/>
                          <a:tailEnd type="triangle" w="med" len="med"/>
                        </a:ln>
                      </wps:spPr>
                      <wps:bodyPr/>
                    </wps:wsp>
                  </a:graphicData>
                </a:graphic>
              </wp:anchor>
            </w:drawing>
          </mc:Choice>
          <mc:Fallback>
            <w:pict>
              <v:shape w14:anchorId="4EF3E567" id="Straight Arrow Connector 202" o:spid="_x0000_s1026" type="#_x0000_t32" style="position:absolute;margin-left:145pt;margin-top:5pt;width:.6pt;height:2pt;rotation:180;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">
                <v:stroke startarrowwidth="narrow" startarrowlength="short" endarrow="block" joinstyle="miter"/>
              </v:shape>
            </w:pict>
          </mc:Fallback>
        </mc:AlternateContent>
      </w:r>
    </w:p>
    <w:p w14:paraId="51BF59C5" w14:textId="77777777" w:rsidR="000064D4" w:rsidRPr="00AE4E03" w:rsidRDefault="000064D4" w:rsidP="000064D4">
      <w:pPr>
        <w:spacing w:line="240" w:lineRule="auto"/>
        <w:rPr>
          <w:rFonts w:ascii="Times New Roman" w:eastAsia="Times New Roman" w:hAnsi="Times New Roman" w:cs="Times New Roman"/>
          <w:color w:val="000000" w:themeColor="text1"/>
          <w:kern w:val="0"/>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66432" behindDoc="0" locked="0" layoutInCell="1" hidden="0" allowOverlap="1" wp14:anchorId="3BE8BC7F" wp14:editId="6A943AF0">
                <wp:simplePos x="0" y="0"/>
                <wp:positionH relativeFrom="column">
                  <wp:posOffset>4511040</wp:posOffset>
                </wp:positionH>
                <wp:positionV relativeFrom="paragraph">
                  <wp:posOffset>97790</wp:posOffset>
                </wp:positionV>
                <wp:extent cx="1668780" cy="1150620"/>
                <wp:effectExtent l="0" t="0" r="26670" b="11430"/>
                <wp:wrapNone/>
                <wp:docPr id="204" name="Oval 204"/>
                <wp:cNvGraphicFramePr/>
                <a:graphic xmlns:a="http://schemas.openxmlformats.org/drawingml/2006/main">
                  <a:graphicData uri="http://schemas.microsoft.com/office/word/2010/wordprocessingShape">
                    <wps:wsp>
                      <wps:cNvSpPr/>
                      <wps:spPr>
                        <a:xfrm>
                          <a:off x="0" y="0"/>
                          <a:ext cx="1668780" cy="1150620"/>
                        </a:xfrm>
                        <a:prstGeom prst="ellipse">
                          <a:avLst/>
                        </a:prstGeom>
                        <a:solidFill>
                          <a:srgbClr val="FFFFFF"/>
                        </a:solidFill>
                        <a:ln w="12700" cap="flat" cmpd="sng">
                          <a:solidFill>
                            <a:srgbClr val="000000"/>
                          </a:solidFill>
                          <a:prstDash val="solid"/>
                          <a:miter lim="800000"/>
                          <a:headEnd type="none" w="sm" len="sm"/>
                          <a:tailEnd type="none" w="sm" len="sm"/>
                        </a:ln>
                      </wps:spPr>
                      <wps:txbx>
                        <w:txbxContent>
                          <w:p w14:paraId="7AF10C83" w14:textId="77777777" w:rsidR="000064D4" w:rsidRPr="0005151D" w:rsidRDefault="000064D4" w:rsidP="000064D4">
                            <w:pPr>
                              <w:spacing w:after="0" w:line="240" w:lineRule="auto"/>
                              <w:jc w:val="center"/>
                              <w:textDirection w:val="btL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Dedication Beyond Obligations</w:t>
                            </w:r>
                          </w:p>
                          <w:p w14:paraId="0C79F6E7" w14:textId="77777777" w:rsidR="000064D4" w:rsidRDefault="000064D4" w:rsidP="000064D4">
                            <w:pPr>
                              <w:spacing w:after="0" w:line="240"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oval w14:anchorId="3BE8BC7F" id="Oval 204" o:spid="_x0000_s1029" style="position:absolute;margin-left:355.2pt;margin-top:7.7pt;width:131.4pt;height:90.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" strokeweight="1pt">
                <v:stroke startarrowwidth="narrow" startarrowlength="short" endarrowwidth="narrow" endarrowlength="short" joinstyle="miter"/>
                <v:textbox inset="2.53958mm,1.2694mm,2.53958mm,1.2694mm">
                  <w:txbxContent>
                    <w:p w14:paraId="7AF10C83" w14:textId="77777777" w:rsidR="000064D4" w:rsidRPr="0005151D" w:rsidRDefault="000064D4" w:rsidP="000064D4">
                      <w:pPr>
                        <w:spacing w:after="0" w:line="240" w:lineRule="auto"/>
                        <w:jc w:val="center"/>
                        <w:textDirection w:val="btL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Dedication Beyond Obligations</w:t>
                      </w:r>
                    </w:p>
                    <w:p w14:paraId="0C79F6E7" w14:textId="77777777" w:rsidR="000064D4" w:rsidRDefault="000064D4" w:rsidP="000064D4">
                      <w:pPr>
                        <w:spacing w:after="0" w:line="240" w:lineRule="auto"/>
                        <w:jc w:val="center"/>
                        <w:textDirection w:val="btLr"/>
                      </w:pPr>
                    </w:p>
                  </w:txbxContent>
                </v:textbox>
              </v:oval>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67456" behindDoc="0" locked="0" layoutInCell="1" hidden="0" allowOverlap="1" wp14:anchorId="53A5EB1E" wp14:editId="1F39C740">
                <wp:simplePos x="0" y="0"/>
                <wp:positionH relativeFrom="column">
                  <wp:posOffset>-327660</wp:posOffset>
                </wp:positionH>
                <wp:positionV relativeFrom="paragraph">
                  <wp:posOffset>250190</wp:posOffset>
                </wp:positionV>
                <wp:extent cx="2082165" cy="662940"/>
                <wp:effectExtent l="0" t="0" r="13335" b="22860"/>
                <wp:wrapNone/>
                <wp:docPr id="229" name="Rectangle 229"/>
                <wp:cNvGraphicFramePr/>
                <a:graphic xmlns:a="http://schemas.openxmlformats.org/drawingml/2006/main">
                  <a:graphicData uri="http://schemas.microsoft.com/office/word/2010/wordprocessingShape">
                    <wps:wsp>
                      <wps:cNvSpPr/>
                      <wps:spPr>
                        <a:xfrm>
                          <a:off x="0" y="0"/>
                          <a:ext cx="2082165" cy="6629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2258230"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w:t>
                            </w:r>
                            <w:r w:rsidRPr="00A26BE6">
                              <w:rPr>
                                <w:rFonts w:ascii="Times New Roman" w:eastAsia="Times New Roman" w:hAnsi="Times New Roman" w:cs="Times New Roman"/>
                                <w:color w:val="000000"/>
                                <w:sz w:val="20"/>
                              </w:rPr>
                              <w:t>S</w:t>
                            </w:r>
                            <w:r>
                              <w:rPr>
                                <w:rFonts w:ascii="Times New Roman" w:eastAsia="Times New Roman" w:hAnsi="Times New Roman" w:cs="Times New Roman"/>
                                <w:color w:val="000000"/>
                                <w:sz w:val="20"/>
                              </w:rPr>
                              <w:t>hort lived recognition &amp; support</w:t>
                            </w:r>
                          </w:p>
                          <w:p w14:paraId="54005FCD"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*Targets over values</w:t>
                            </w:r>
                          </w:p>
                          <w:p w14:paraId="2D6818AF" w14:textId="77777777" w:rsidR="000064D4" w:rsidRPr="00A26BE6" w:rsidRDefault="000064D4" w:rsidP="000064D4">
                            <w:pPr>
                              <w:spacing w:after="0" w:line="240" w:lineRule="auto"/>
                              <w:textDirection w:val="btL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*Resourceless &amp; undermined</w:t>
                            </w:r>
                          </w:p>
                          <w:p w14:paraId="0D87C9EB" w14:textId="77777777" w:rsidR="000064D4" w:rsidRDefault="000064D4" w:rsidP="000064D4">
                            <w:pPr>
                              <w:spacing w:after="0" w:line="240" w:lineRule="auto"/>
                              <w:textDirection w:val="btLr"/>
                            </w:pPr>
                          </w:p>
                          <w:p w14:paraId="2D59F5C5" w14:textId="77777777" w:rsidR="000064D4" w:rsidRDefault="000064D4" w:rsidP="000064D4">
                            <w:pPr>
                              <w:spacing w:after="0" w:line="240" w:lineRule="auto"/>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53A5EB1E" id="Rectangle 229" o:spid="_x0000_s1030" style="position:absolute;margin-left:-25.8pt;margin-top:19.7pt;width:163.95pt;height:5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" strokeweight="1pt">
                <v:stroke startarrowwidth="narrow" startarrowlength="short" endarrowwidth="narrow" endarrowlength="short"/>
                <v:textbox inset="2.53958mm,1.2694mm,2.53958mm,1.2694mm">
                  <w:txbxContent>
                    <w:p w14:paraId="62258230"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w:t>
                      </w:r>
                      <w:r w:rsidRPr="00A26BE6">
                        <w:rPr>
                          <w:rFonts w:ascii="Times New Roman" w:eastAsia="Times New Roman" w:hAnsi="Times New Roman" w:cs="Times New Roman"/>
                          <w:color w:val="000000"/>
                          <w:sz w:val="20"/>
                        </w:rPr>
                        <w:t>S</w:t>
                      </w:r>
                      <w:r>
                        <w:rPr>
                          <w:rFonts w:ascii="Times New Roman" w:eastAsia="Times New Roman" w:hAnsi="Times New Roman" w:cs="Times New Roman"/>
                          <w:color w:val="000000"/>
                          <w:sz w:val="20"/>
                        </w:rPr>
                        <w:t>hort lived recognition &amp; support</w:t>
                      </w:r>
                    </w:p>
                    <w:p w14:paraId="54005FCD"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*Targets over values</w:t>
                      </w:r>
                    </w:p>
                    <w:p w14:paraId="2D6818AF" w14:textId="77777777" w:rsidR="000064D4" w:rsidRPr="00A26BE6" w:rsidRDefault="000064D4" w:rsidP="000064D4">
                      <w:pPr>
                        <w:spacing w:after="0" w:line="240" w:lineRule="auto"/>
                        <w:textDirection w:val="btL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*Resourceless &amp; undermined</w:t>
                      </w:r>
                    </w:p>
                    <w:p w14:paraId="0D87C9EB" w14:textId="77777777" w:rsidR="000064D4" w:rsidRDefault="000064D4" w:rsidP="000064D4">
                      <w:pPr>
                        <w:spacing w:after="0" w:line="240" w:lineRule="auto"/>
                        <w:textDirection w:val="btLr"/>
                      </w:pPr>
                    </w:p>
                    <w:p w14:paraId="2D59F5C5" w14:textId="77777777" w:rsidR="000064D4" w:rsidRDefault="000064D4" w:rsidP="000064D4">
                      <w:pPr>
                        <w:spacing w:after="0" w:line="240" w:lineRule="auto"/>
                        <w:textDirection w:val="btLr"/>
                      </w:pPr>
                    </w:p>
                  </w:txbxContent>
                </v:textbox>
              </v:rect>
            </w:pict>
          </mc:Fallback>
        </mc:AlternateContent>
      </w:r>
    </w:p>
    <w:p w14:paraId="34E3CE55" w14:textId="77777777" w:rsidR="000064D4" w:rsidRPr="00AE4E03" w:rsidRDefault="000064D4" w:rsidP="000064D4">
      <w:pPr>
        <w:spacing w:line="240" w:lineRule="auto"/>
        <w:rPr>
          <w:rFonts w:ascii="Times New Roman" w:eastAsia="Times New Roman" w:hAnsi="Times New Roman" w:cs="Times New Roman"/>
          <w:color w:val="000000" w:themeColor="text1"/>
          <w:kern w:val="0"/>
          <w:lang w:eastAsia="en-IN" w:bidi="ml-IN"/>
          <w14:ligatures w14:val="none"/>
        </w:rPr>
      </w:pPr>
      <w:r w:rsidRPr="00AE4E03">
        <w:rPr>
          <w:rFonts w:ascii="Times New Roman" w:eastAsia="Times New Roman" w:hAnsi="Times New Roman" w:cs="Times New Roman"/>
          <w:color w:val="000000" w:themeColor="text1"/>
          <w:kern w:val="0"/>
          <w:sz w:val="25"/>
          <w:szCs w:val="25"/>
          <w:lang w:eastAsia="en-IN" w:bidi="ml-IN"/>
          <w14:ligatures w14:val="none"/>
        </w:rPr>
        <w:t xml:space="preserve">                   </w: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68480" behindDoc="0" locked="0" layoutInCell="1" hidden="0" allowOverlap="1" wp14:anchorId="069DA491" wp14:editId="68BEF8A2">
                <wp:simplePos x="0" y="0"/>
                <wp:positionH relativeFrom="column">
                  <wp:posOffset>2273300</wp:posOffset>
                </wp:positionH>
                <wp:positionV relativeFrom="paragraph">
                  <wp:posOffset>76200</wp:posOffset>
                </wp:positionV>
                <wp:extent cx="1716510" cy="644228"/>
                <wp:effectExtent l="0" t="0" r="0" b="0"/>
                <wp:wrapNone/>
                <wp:docPr id="217" name="Rectangle: Rounded Corners 217"/>
                <wp:cNvGraphicFramePr/>
                <a:graphic xmlns:a="http://schemas.openxmlformats.org/drawingml/2006/main">
                  <a:graphicData uri="http://schemas.microsoft.com/office/word/2010/wordprocessingShape">
                    <wps:wsp>
                      <wps:cNvSpPr/>
                      <wps:spPr>
                        <a:xfrm>
                          <a:off x="4494095" y="3464236"/>
                          <a:ext cx="1703810" cy="631528"/>
                        </a:xfrm>
                        <a:prstGeom prst="roundRect">
                          <a:avLst>
                            <a:gd name="adj" fmla="val 16667"/>
                          </a:avLst>
                        </a:prstGeom>
                        <a:solidFill>
                          <a:srgbClr val="FFFFFF"/>
                        </a:solidFill>
                        <a:ln w="12700" cap="flat" cmpd="sng">
                          <a:solidFill>
                            <a:srgbClr val="000000"/>
                          </a:solidFill>
                          <a:prstDash val="solid"/>
                          <a:miter lim="800000"/>
                          <a:headEnd type="none" w="sm" len="sm"/>
                          <a:tailEnd type="none" w="sm" len="sm"/>
                        </a:ln>
                      </wps:spPr>
                      <wps:txbx>
                        <w:txbxContent>
                          <w:p w14:paraId="0F26C09E" w14:textId="77777777" w:rsidR="000064D4" w:rsidRPr="0052354D" w:rsidRDefault="000064D4" w:rsidP="000064D4">
                            <w:pPr>
                              <w:spacing w:after="0" w:line="240" w:lineRule="auto"/>
                              <w:jc w:val="center"/>
                              <w:textDirection w:val="btLr"/>
                              <w:rPr>
                                <w:rFonts w:ascii="Times New Roman" w:eastAsia="Times New Roman" w:hAnsi="Times New Roman" w:cs="Times New Roman"/>
                                <w:color w:val="000000"/>
                                <w:sz w:val="24"/>
                                <w:szCs w:val="20"/>
                                <w:lang w:val="en-US"/>
                              </w:rPr>
                            </w:pPr>
                            <w:r w:rsidRPr="0052354D">
                              <w:rPr>
                                <w:rFonts w:ascii="Times New Roman" w:eastAsia="Times New Roman" w:hAnsi="Times New Roman" w:cs="Times New Roman"/>
                                <w:color w:val="000000"/>
                                <w:sz w:val="24"/>
                                <w:szCs w:val="20"/>
                                <w:lang w:val="en-US"/>
                              </w:rPr>
                              <w:t>Scrambling for resources</w:t>
                            </w:r>
                          </w:p>
                        </w:txbxContent>
                      </wps:txbx>
                      <wps:bodyPr spcFirstLastPara="1" wrap="square" lIns="91425" tIns="45700" rIns="91425" bIns="45700" anchor="ctr" anchorCtr="0">
                        <a:noAutofit/>
                      </wps:bodyPr>
                    </wps:wsp>
                  </a:graphicData>
                </a:graphic>
              </wp:anchor>
            </w:drawing>
          </mc:Choice>
          <mc:Fallback>
            <w:pict>
              <v:roundrect w14:anchorId="069DA491" id="Rectangle: Rounded Corners 217" o:spid="_x0000_s1031" style="position:absolute;margin-left:179pt;margin-top:6pt;width:135.15pt;height:50.75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" strokeweight="1pt">
                <v:stroke startarrowwidth="narrow" startarrowlength="short" endarrowwidth="narrow" endarrowlength="short" joinstyle="miter"/>
                <v:textbox inset="2.53958mm,1.2694mm,2.53958mm,1.2694mm">
                  <w:txbxContent>
                    <w:p w14:paraId="0F26C09E" w14:textId="77777777" w:rsidR="000064D4" w:rsidRPr="0052354D" w:rsidRDefault="000064D4" w:rsidP="000064D4">
                      <w:pPr>
                        <w:spacing w:after="0" w:line="240" w:lineRule="auto"/>
                        <w:jc w:val="center"/>
                        <w:textDirection w:val="btLr"/>
                        <w:rPr>
                          <w:rFonts w:ascii="Times New Roman" w:eastAsia="Times New Roman" w:hAnsi="Times New Roman" w:cs="Times New Roman"/>
                          <w:color w:val="000000"/>
                          <w:sz w:val="24"/>
                          <w:szCs w:val="20"/>
                          <w:lang w:val="en-US"/>
                        </w:rPr>
                      </w:pPr>
                      <w:r w:rsidRPr="0052354D">
                        <w:rPr>
                          <w:rFonts w:ascii="Times New Roman" w:eastAsia="Times New Roman" w:hAnsi="Times New Roman" w:cs="Times New Roman"/>
                          <w:color w:val="000000"/>
                          <w:sz w:val="24"/>
                          <w:szCs w:val="20"/>
                          <w:lang w:val="en-US"/>
                        </w:rPr>
                        <w:t>Scrambling for resources</w:t>
                      </w:r>
                    </w:p>
                  </w:txbxContent>
                </v:textbox>
              </v:roundrect>
            </w:pict>
          </mc:Fallback>
        </mc:AlternateContent>
      </w:r>
    </w:p>
    <w:p w14:paraId="226F5EB5" w14:textId="77777777" w:rsidR="000064D4" w:rsidRPr="00AE4E03" w:rsidRDefault="000064D4" w:rsidP="000064D4">
      <w:pPr>
        <w:spacing w:line="240" w:lineRule="auto"/>
        <w:rPr>
          <w:rFonts w:ascii="Times New Roman" w:eastAsia="Times New Roman" w:hAnsi="Times New Roman" w:cs="Times New Roman"/>
          <w:color w:val="000000" w:themeColor="text1"/>
          <w:kern w:val="0"/>
          <w:sz w:val="25"/>
          <w:szCs w:val="25"/>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97152" behindDoc="0" locked="0" layoutInCell="1" allowOverlap="1" wp14:anchorId="01555445" wp14:editId="418E8062">
                <wp:simplePos x="0" y="0"/>
                <wp:positionH relativeFrom="margin">
                  <wp:posOffset>1798320</wp:posOffset>
                </wp:positionH>
                <wp:positionV relativeFrom="paragraph">
                  <wp:posOffset>49530</wp:posOffset>
                </wp:positionV>
                <wp:extent cx="411480" cy="125730"/>
                <wp:effectExtent l="0" t="19050" r="45720" b="45720"/>
                <wp:wrapNone/>
                <wp:docPr id="14" name="Arrow: Right 14"/>
                <wp:cNvGraphicFramePr/>
                <a:graphic xmlns:a="http://schemas.openxmlformats.org/drawingml/2006/main">
                  <a:graphicData uri="http://schemas.microsoft.com/office/word/2010/wordprocessingShape">
                    <wps:wsp>
                      <wps:cNvSpPr/>
                      <wps:spPr>
                        <a:xfrm>
                          <a:off x="0" y="0"/>
                          <a:ext cx="411480" cy="125730"/>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DCD43B7" id="Arrow: Right 14" o:spid="_x0000_s1026" type="#_x0000_t13" style="position:absolute;margin-left:141.6pt;margin-top:3.9pt;width:32.4pt;height:9.9pt;z-index:2516971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" adj="18300" fillcolor="windowText" strokeweight="1pt">
                <w10:wrap anchorx="margin"/>
              </v:shape>
            </w:pict>
          </mc:Fallback>
        </mc:AlternateContent>
      </w:r>
      <w:r w:rsidRPr="00AE4E03">
        <w:rPr>
          <w:rFonts w:ascii="Times New Roman" w:eastAsia="Times New Roman" w:hAnsi="Times New Roman" w:cs="Times New Roman"/>
          <w:color w:val="000000" w:themeColor="text1"/>
          <w:kern w:val="0"/>
          <w:sz w:val="25"/>
          <w:szCs w:val="25"/>
          <w:lang w:eastAsia="en-IN" w:bidi="ml-IN"/>
          <w14:ligatures w14:val="none"/>
        </w:rPr>
        <w:t xml:space="preserve">                                                                                                                                                                                                                                                                                                                                                              </w: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69504" behindDoc="0" locked="0" layoutInCell="1" hidden="0" allowOverlap="1" wp14:anchorId="12DFF49D" wp14:editId="34B7F524">
                <wp:simplePos x="0" y="0"/>
                <wp:positionH relativeFrom="column">
                  <wp:posOffset>4013200</wp:posOffset>
                </wp:positionH>
                <wp:positionV relativeFrom="paragraph">
                  <wp:posOffset>12700</wp:posOffset>
                </wp:positionV>
                <wp:extent cx="381091" cy="195580"/>
                <wp:effectExtent l="0" t="0" r="0" b="0"/>
                <wp:wrapNone/>
                <wp:docPr id="206" name="Arrow: Right 206"/>
                <wp:cNvGraphicFramePr/>
                <a:graphic xmlns:a="http://schemas.openxmlformats.org/drawingml/2006/main">
                  <a:graphicData uri="http://schemas.microsoft.com/office/word/2010/wordprocessingShape">
                    <wps:wsp>
                      <wps:cNvSpPr/>
                      <wps:spPr>
                        <a:xfrm>
                          <a:off x="5161805" y="3688560"/>
                          <a:ext cx="368391" cy="182880"/>
                        </a:xfrm>
                        <a:prstGeom prst="rightArrow">
                          <a:avLst>
                            <a:gd name="adj1" fmla="val 50000"/>
                            <a:gd name="adj2" fmla="val 50000"/>
                          </a:avLst>
                        </a:prstGeom>
                        <a:solidFill>
                          <a:srgbClr val="000000"/>
                        </a:solidFill>
                        <a:ln w="12700" cap="flat" cmpd="sng">
                          <a:solidFill>
                            <a:srgbClr val="000000"/>
                          </a:solidFill>
                          <a:prstDash val="solid"/>
                          <a:miter lim="800000"/>
                          <a:headEnd type="none" w="sm" len="sm"/>
                          <a:tailEnd type="none" w="sm" len="sm"/>
                        </a:ln>
                      </wps:spPr>
                      <wps:txbx>
                        <w:txbxContent>
                          <w:p w14:paraId="2183E403" w14:textId="77777777" w:rsidR="000064D4" w:rsidRDefault="000064D4" w:rsidP="000064D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12DFF49D" id="Arrow: Right 206" o:spid="_x0000_s1032" type="#_x0000_t13" style="position:absolute;margin-left:316pt;margin-top:1pt;width:30pt;height:15.4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" adj="16239" fillcolor="black" strokeweight="1pt">
                <v:stroke startarrowwidth="narrow" startarrowlength="short" endarrowwidth="narrow" endarrowlength="short"/>
                <v:textbox inset="2.53958mm,2.53958mm,2.53958mm,2.53958mm">
                  <w:txbxContent>
                    <w:p w14:paraId="2183E403" w14:textId="77777777" w:rsidR="000064D4" w:rsidRDefault="000064D4" w:rsidP="000064D4">
                      <w:pPr>
                        <w:spacing w:after="0" w:line="240" w:lineRule="auto"/>
                        <w:textDirection w:val="btLr"/>
                      </w:pPr>
                    </w:p>
                  </w:txbxContent>
                </v:textbox>
              </v:shape>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70528" behindDoc="0" locked="0" layoutInCell="1" hidden="0" allowOverlap="1" wp14:anchorId="10443235" wp14:editId="2346E3B6">
                <wp:simplePos x="0" y="0"/>
                <wp:positionH relativeFrom="column">
                  <wp:posOffset>1816100</wp:posOffset>
                </wp:positionH>
                <wp:positionV relativeFrom="paragraph">
                  <wp:posOffset>63500</wp:posOffset>
                </wp:positionV>
                <wp:extent cx="7620" cy="25400"/>
                <wp:effectExtent l="0" t="0" r="0" b="0"/>
                <wp:wrapNone/>
                <wp:docPr id="197" name="Straight Arrow Connector 197"/>
                <wp:cNvGraphicFramePr/>
                <a:graphic xmlns:a="http://schemas.openxmlformats.org/drawingml/2006/main">
                  <a:graphicData uri="http://schemas.microsoft.com/office/word/2010/wordprocessingShape">
                    <wps:wsp>
                      <wps:cNvCnPr/>
                      <wps:spPr>
                        <a:xfrm rot="10800000" flipH="1">
                          <a:off x="5174550" y="3776190"/>
                          <a:ext cx="342900" cy="7620"/>
                        </a:xfrm>
                        <a:prstGeom prst="straightConnector1">
                          <a:avLst/>
                        </a:prstGeom>
                        <a:noFill/>
                        <a:ln w="9525" cap="flat" cmpd="sng">
                          <a:solidFill>
                            <a:srgbClr val="000000"/>
                          </a:solidFill>
                          <a:prstDash val="solid"/>
                          <a:miter lim="800000"/>
                          <a:headEnd type="none" w="sm" len="sm"/>
                          <a:tailEnd type="triangle" w="med" len="med"/>
                        </a:ln>
                      </wps:spPr>
                      <wps:bodyPr/>
                    </wps:wsp>
                  </a:graphicData>
                </a:graphic>
              </wp:anchor>
            </w:drawing>
          </mc:Choice>
          <mc:Fallback>
            <w:pict>
              <v:shape w14:anchorId="0CCBF2B6" id="Straight Arrow Connector 197" o:spid="_x0000_s1026" type="#_x0000_t32" style="position:absolute;margin-left:143pt;margin-top:5pt;width:.6pt;height:2pt;rotation:180;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">
                <v:stroke startarrowwidth="narrow" startarrowlength="short" endarrow="block" joinstyle="miter"/>
              </v:shape>
            </w:pict>
          </mc:Fallback>
        </mc:AlternateContent>
      </w:r>
    </w:p>
    <w:p w14:paraId="259118B4" w14:textId="77777777" w:rsidR="000064D4" w:rsidRPr="00AE4E03" w:rsidRDefault="000064D4" w:rsidP="000064D4">
      <w:pPr>
        <w:spacing w:line="240" w:lineRule="auto"/>
        <w:rPr>
          <w:rFonts w:ascii="Times New Roman" w:eastAsia="Times New Roman" w:hAnsi="Times New Roman" w:cs="Times New Roman"/>
          <w:color w:val="000000" w:themeColor="text1"/>
          <w:kern w:val="0"/>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71552" behindDoc="0" locked="0" layoutInCell="1" hidden="0" allowOverlap="1" wp14:anchorId="719A8964" wp14:editId="5095BE15">
                <wp:simplePos x="0" y="0"/>
                <wp:positionH relativeFrom="column">
                  <wp:posOffset>-354965</wp:posOffset>
                </wp:positionH>
                <wp:positionV relativeFrom="paragraph">
                  <wp:posOffset>228600</wp:posOffset>
                </wp:positionV>
                <wp:extent cx="2108200" cy="995680"/>
                <wp:effectExtent l="0" t="0" r="0" b="0"/>
                <wp:wrapNone/>
                <wp:docPr id="212" name="Rectangle 212"/>
                <wp:cNvGraphicFramePr/>
                <a:graphic xmlns:a="http://schemas.openxmlformats.org/drawingml/2006/main">
                  <a:graphicData uri="http://schemas.microsoft.com/office/word/2010/wordprocessingShape">
                    <wps:wsp>
                      <wps:cNvSpPr/>
                      <wps:spPr>
                        <a:xfrm>
                          <a:off x="0" y="0"/>
                          <a:ext cx="2108200" cy="99568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FA010A4"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*Community support &amp; resilience</w:t>
                            </w:r>
                          </w:p>
                          <w:p w14:paraId="2AAB2E22"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*Navigating commitment shifts</w:t>
                            </w:r>
                          </w:p>
                          <w:p w14:paraId="04159DEE"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*Coping with PCBs</w:t>
                            </w:r>
                          </w:p>
                          <w:p w14:paraId="4C586331" w14:textId="77777777" w:rsidR="000064D4" w:rsidRDefault="000064D4" w:rsidP="000064D4">
                            <w:pPr>
                              <w:spacing w:after="0" w:line="240" w:lineRule="auto"/>
                              <w:textDirection w:val="btLr"/>
                            </w:pPr>
                          </w:p>
                        </w:txbxContent>
                      </wps:txbx>
                      <wps:bodyPr spcFirstLastPara="1" wrap="square" lIns="91425" tIns="45700" rIns="91425" bIns="45700" anchor="ctr" anchorCtr="0">
                        <a:noAutofit/>
                      </wps:bodyPr>
                    </wps:wsp>
                  </a:graphicData>
                </a:graphic>
              </wp:anchor>
            </w:drawing>
          </mc:Choice>
          <mc:Fallback>
            <w:pict>
              <v:rect w14:anchorId="719A8964" id="Rectangle 212" o:spid="_x0000_s1033" style="position:absolute;margin-left:-27.95pt;margin-top:18pt;width:166pt;height:78.4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" strokeweight="1pt">
                <v:stroke startarrowwidth="narrow" startarrowlength="short" endarrowwidth="narrow" endarrowlength="short"/>
                <v:textbox inset="2.53958mm,1.2694mm,2.53958mm,1.2694mm">
                  <w:txbxContent>
                    <w:p w14:paraId="2FA010A4"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*Community support &amp; resilience</w:t>
                      </w:r>
                    </w:p>
                    <w:p w14:paraId="2AAB2E22"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*Navigating commitment shifts</w:t>
                      </w:r>
                    </w:p>
                    <w:p w14:paraId="04159DEE"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*Coping with PCBs</w:t>
                      </w:r>
                    </w:p>
                    <w:p w14:paraId="4C586331" w14:textId="77777777" w:rsidR="000064D4" w:rsidRDefault="000064D4" w:rsidP="000064D4">
                      <w:pPr>
                        <w:spacing w:after="0" w:line="240" w:lineRule="auto"/>
                        <w:textDirection w:val="btLr"/>
                      </w:pPr>
                    </w:p>
                  </w:txbxContent>
                </v:textbox>
              </v:rect>
            </w:pict>
          </mc:Fallback>
        </mc:AlternateContent>
      </w:r>
    </w:p>
    <w:p w14:paraId="4A6D67CA" w14:textId="77777777" w:rsidR="000064D4" w:rsidRPr="00AE4E03" w:rsidRDefault="000064D4" w:rsidP="000064D4">
      <w:pPr>
        <w:spacing w:after="0" w:line="240" w:lineRule="auto"/>
        <w:ind w:left="360"/>
        <w:rPr>
          <w:rFonts w:ascii="Times New Roman" w:eastAsia="Times New Roman" w:hAnsi="Times New Roman" w:cs="Times New Roman"/>
          <w:color w:val="000000" w:themeColor="text1"/>
          <w:kern w:val="0"/>
          <w:sz w:val="24"/>
          <w:szCs w:val="24"/>
          <w:lang w:eastAsia="en-IN" w:bidi="ml-IN"/>
          <w14:ligatures w14:val="none"/>
        </w:rPr>
      </w:pPr>
    </w:p>
    <w:p w14:paraId="62338546" w14:textId="77777777" w:rsidR="000064D4" w:rsidRPr="00AE4E03" w:rsidRDefault="000064D4" w:rsidP="000064D4">
      <w:pPr>
        <w:spacing w:after="0" w:line="240" w:lineRule="auto"/>
        <w:ind w:left="720" w:hanging="720"/>
        <w:rPr>
          <w:rFonts w:ascii="Times New Roman" w:eastAsia="Times New Roman" w:hAnsi="Times New Roman" w:cs="Times New Roman"/>
          <w:color w:val="000000" w:themeColor="text1"/>
          <w:kern w:val="0"/>
          <w:sz w:val="24"/>
          <w:szCs w:val="24"/>
          <w:lang w:eastAsia="en-IN" w:bidi="ml-IN"/>
          <w14:ligatures w14:val="none"/>
        </w:rPr>
      </w:pPr>
      <w:r w:rsidRPr="00AE4E03">
        <w:rPr>
          <w:rFonts w:ascii="Times New Roman" w:eastAsia="Times New Roman" w:hAnsi="Times New Roman" w:cs="Times New Roman"/>
          <w:color w:val="000000" w:themeColor="text1"/>
          <w:kern w:val="0"/>
          <w:sz w:val="25"/>
          <w:szCs w:val="25"/>
          <w:lang w:eastAsia="en-IN" w:bidi="ml-IN"/>
          <w14:ligatures w14:val="none"/>
        </w:rPr>
        <w:t xml:space="preserve">                                                                                                                                                                                                                                                                                                                                                              </w: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72576" behindDoc="0" locked="0" layoutInCell="1" hidden="0" allowOverlap="1" wp14:anchorId="1BAA161B" wp14:editId="671EC18E">
                <wp:simplePos x="0" y="0"/>
                <wp:positionH relativeFrom="column">
                  <wp:posOffset>2273300</wp:posOffset>
                </wp:positionH>
                <wp:positionV relativeFrom="paragraph">
                  <wp:posOffset>0</wp:posOffset>
                </wp:positionV>
                <wp:extent cx="1716510" cy="644228"/>
                <wp:effectExtent l="0" t="0" r="0" b="0"/>
                <wp:wrapNone/>
                <wp:docPr id="230" name="Rectangle: Rounded Corners 230"/>
                <wp:cNvGraphicFramePr/>
                <a:graphic xmlns:a="http://schemas.openxmlformats.org/drawingml/2006/main">
                  <a:graphicData uri="http://schemas.microsoft.com/office/word/2010/wordprocessingShape">
                    <wps:wsp>
                      <wps:cNvSpPr/>
                      <wps:spPr>
                        <a:xfrm>
                          <a:off x="4494095" y="3464236"/>
                          <a:ext cx="1703810" cy="631528"/>
                        </a:xfrm>
                        <a:prstGeom prst="roundRect">
                          <a:avLst>
                            <a:gd name="adj" fmla="val 16667"/>
                          </a:avLst>
                        </a:prstGeom>
                        <a:solidFill>
                          <a:srgbClr val="FFFFFF"/>
                        </a:solidFill>
                        <a:ln w="12700" cap="flat" cmpd="sng">
                          <a:solidFill>
                            <a:srgbClr val="000000"/>
                          </a:solidFill>
                          <a:prstDash val="solid"/>
                          <a:miter lim="800000"/>
                          <a:headEnd type="none" w="sm" len="sm"/>
                          <a:tailEnd type="none" w="sm" len="sm"/>
                        </a:ln>
                      </wps:spPr>
                      <wps:txbx>
                        <w:txbxContent>
                          <w:p w14:paraId="7E8BE0C6" w14:textId="77777777" w:rsidR="000064D4" w:rsidRPr="0052354D" w:rsidRDefault="000064D4" w:rsidP="000064D4">
                            <w:pPr>
                              <w:spacing w:after="0" w:line="240" w:lineRule="auto"/>
                              <w:jc w:val="center"/>
                              <w:textDirection w:val="btLr"/>
                              <w:rPr>
                                <w:rFonts w:ascii="Times New Roman" w:hAnsi="Times New Roman" w:cs="Times New Roman"/>
                                <w:sz w:val="24"/>
                                <w:szCs w:val="24"/>
                                <w:lang w:val="en-US"/>
                              </w:rPr>
                            </w:pPr>
                            <w:r>
                              <w:rPr>
                                <w:rFonts w:ascii="Times New Roman" w:hAnsi="Times New Roman" w:cs="Times New Roman"/>
                                <w:sz w:val="24"/>
                                <w:szCs w:val="24"/>
                                <w:lang w:val="en-US"/>
                              </w:rPr>
                              <w:t>Solidarity</w:t>
                            </w:r>
                            <w:r w:rsidRPr="0052354D">
                              <w:rPr>
                                <w:rFonts w:ascii="Times New Roman" w:hAnsi="Times New Roman" w:cs="Times New Roman"/>
                                <w:sz w:val="24"/>
                                <w:szCs w:val="24"/>
                                <w:lang w:val="en-US"/>
                              </w:rPr>
                              <w:t xml:space="preserve"> via the community</w:t>
                            </w:r>
                          </w:p>
                        </w:txbxContent>
                      </wps:txbx>
                      <wps:bodyPr spcFirstLastPara="1" wrap="square" lIns="91425" tIns="45700" rIns="91425" bIns="45700" anchor="ctr" anchorCtr="0">
                        <a:noAutofit/>
                      </wps:bodyPr>
                    </wps:wsp>
                  </a:graphicData>
                </a:graphic>
              </wp:anchor>
            </w:drawing>
          </mc:Choice>
          <mc:Fallback>
            <w:pict>
              <v:roundrect w14:anchorId="1BAA161B" id="Rectangle: Rounded Corners 230" o:spid="_x0000_s1034" style="position:absolute;left:0;text-align:left;margin-left:179pt;margin-top:0;width:135.15pt;height:50.75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" strokeweight="1pt">
                <v:stroke startarrowwidth="narrow" startarrowlength="short" endarrowwidth="narrow" endarrowlength="short" joinstyle="miter"/>
                <v:textbox inset="2.53958mm,1.2694mm,2.53958mm,1.2694mm">
                  <w:txbxContent>
                    <w:p w14:paraId="7E8BE0C6" w14:textId="77777777" w:rsidR="000064D4" w:rsidRPr="0052354D" w:rsidRDefault="000064D4" w:rsidP="000064D4">
                      <w:pPr>
                        <w:spacing w:after="0" w:line="240" w:lineRule="auto"/>
                        <w:jc w:val="center"/>
                        <w:textDirection w:val="btLr"/>
                        <w:rPr>
                          <w:rFonts w:ascii="Times New Roman" w:hAnsi="Times New Roman" w:cs="Times New Roman"/>
                          <w:sz w:val="24"/>
                          <w:szCs w:val="24"/>
                          <w:lang w:val="en-US"/>
                        </w:rPr>
                      </w:pPr>
                      <w:r>
                        <w:rPr>
                          <w:rFonts w:ascii="Times New Roman" w:hAnsi="Times New Roman" w:cs="Times New Roman"/>
                          <w:sz w:val="24"/>
                          <w:szCs w:val="24"/>
                          <w:lang w:val="en-US"/>
                        </w:rPr>
                        <w:t>Solidarity</w:t>
                      </w:r>
                      <w:r w:rsidRPr="0052354D">
                        <w:rPr>
                          <w:rFonts w:ascii="Times New Roman" w:hAnsi="Times New Roman" w:cs="Times New Roman"/>
                          <w:sz w:val="24"/>
                          <w:szCs w:val="24"/>
                          <w:lang w:val="en-US"/>
                        </w:rPr>
                        <w:t xml:space="preserve"> via the community</w:t>
                      </w:r>
                    </w:p>
                  </w:txbxContent>
                </v:textbox>
              </v:roundrect>
            </w:pict>
          </mc:Fallback>
        </mc:AlternateContent>
      </w:r>
    </w:p>
    <w:p w14:paraId="6D8CC6E9" w14:textId="77777777" w:rsidR="000064D4" w:rsidRPr="00AE4E03" w:rsidRDefault="000064D4" w:rsidP="000064D4">
      <w:pPr>
        <w:spacing w:after="0" w:line="240" w:lineRule="auto"/>
        <w:ind w:firstLine="720"/>
        <w:rPr>
          <w:rFonts w:ascii="Times New Roman" w:eastAsia="Times New Roman" w:hAnsi="Times New Roman" w:cs="Times New Roman"/>
          <w:color w:val="000000" w:themeColor="text1"/>
          <w:kern w:val="0"/>
          <w:sz w:val="24"/>
          <w:szCs w:val="24"/>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98176" behindDoc="0" locked="0" layoutInCell="1" allowOverlap="1" wp14:anchorId="21F443D2" wp14:editId="32DAA3F6">
                <wp:simplePos x="0" y="0"/>
                <wp:positionH relativeFrom="column">
                  <wp:posOffset>1821181</wp:posOffset>
                </wp:positionH>
                <wp:positionV relativeFrom="paragraph">
                  <wp:posOffset>64135</wp:posOffset>
                </wp:positionV>
                <wp:extent cx="411481" cy="114300"/>
                <wp:effectExtent l="0" t="19050" r="45720" b="38100"/>
                <wp:wrapNone/>
                <wp:docPr id="16" name="Arrow: Right 16"/>
                <wp:cNvGraphicFramePr/>
                <a:graphic xmlns:a="http://schemas.openxmlformats.org/drawingml/2006/main">
                  <a:graphicData uri="http://schemas.microsoft.com/office/word/2010/wordprocessingShape">
                    <wps:wsp>
                      <wps:cNvSpPr/>
                      <wps:spPr>
                        <a:xfrm>
                          <a:off x="0" y="0"/>
                          <a:ext cx="411481" cy="114300"/>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A797CD" id="Arrow: Right 16" o:spid="_x0000_s1026" type="#_x0000_t13" style="position:absolute;margin-left:143.4pt;margin-top:5.05pt;width:32.4pt;height:9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" adj="18600" fillcolor="windowText" strokeweight="1pt"/>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73600" behindDoc="0" locked="0" layoutInCell="1" hidden="0" allowOverlap="1" wp14:anchorId="08D0D196" wp14:editId="4E052A54">
                <wp:simplePos x="0" y="0"/>
                <wp:positionH relativeFrom="column">
                  <wp:posOffset>1841500</wp:posOffset>
                </wp:positionH>
                <wp:positionV relativeFrom="paragraph">
                  <wp:posOffset>63500</wp:posOffset>
                </wp:positionV>
                <wp:extent cx="7620" cy="25400"/>
                <wp:effectExtent l="0" t="0" r="0" b="0"/>
                <wp:wrapNone/>
                <wp:docPr id="222" name="Straight Arrow Connector 222"/>
                <wp:cNvGraphicFramePr/>
                <a:graphic xmlns:a="http://schemas.openxmlformats.org/drawingml/2006/main">
                  <a:graphicData uri="http://schemas.microsoft.com/office/word/2010/wordprocessingShape">
                    <wps:wsp>
                      <wps:cNvCnPr/>
                      <wps:spPr>
                        <a:xfrm rot="10800000" flipH="1">
                          <a:off x="5174550" y="3776190"/>
                          <a:ext cx="342900" cy="7620"/>
                        </a:xfrm>
                        <a:prstGeom prst="straightConnector1">
                          <a:avLst/>
                        </a:prstGeom>
                        <a:noFill/>
                        <a:ln w="9525" cap="flat" cmpd="sng">
                          <a:solidFill>
                            <a:srgbClr val="000000"/>
                          </a:solidFill>
                          <a:prstDash val="solid"/>
                          <a:miter lim="800000"/>
                          <a:headEnd type="none" w="sm" len="sm"/>
                          <a:tailEnd type="triangle" w="med" len="med"/>
                        </a:ln>
                      </wps:spPr>
                      <wps:bodyPr/>
                    </wps:wsp>
                  </a:graphicData>
                </a:graphic>
              </wp:anchor>
            </w:drawing>
          </mc:Choice>
          <mc:Fallback>
            <w:pict>
              <v:shape w14:anchorId="65F0D3D6" id="Straight Arrow Connector 222" o:spid="_x0000_s1026" type="#_x0000_t32" style="position:absolute;margin-left:145pt;margin-top:5pt;width:.6pt;height:2pt;rotation:180;flip:x;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">
                <v:stroke startarrowwidth="narrow" startarrowlength="short" endarrow="block" joinstyle="miter"/>
              </v:shape>
            </w:pict>
          </mc:Fallback>
        </mc:AlternateContent>
      </w:r>
    </w:p>
    <w:p w14:paraId="4CB7DBD8" w14:textId="77777777" w:rsidR="000064D4" w:rsidRPr="00AE4E03" w:rsidRDefault="000064D4" w:rsidP="000064D4">
      <w:pPr>
        <w:spacing w:line="240" w:lineRule="auto"/>
        <w:jc w:val="center"/>
        <w:rPr>
          <w:rFonts w:ascii="Times New Roman" w:eastAsia="Times New Roman" w:hAnsi="Times New Roman" w:cs="Times New Roman"/>
          <w:color w:val="000000" w:themeColor="text1"/>
          <w:kern w:val="0"/>
          <w:lang w:eastAsia="en-IN" w:bidi="ml-IN"/>
          <w14:ligatures w14:val="none"/>
        </w:rPr>
      </w:pPr>
    </w:p>
    <w:p w14:paraId="4479C968" w14:textId="77777777" w:rsidR="000064D4" w:rsidRPr="00AE4E03" w:rsidRDefault="000064D4" w:rsidP="000064D4">
      <w:pPr>
        <w:keepNext/>
        <w:keepLines/>
        <w:spacing w:before="240" w:after="0" w:line="240" w:lineRule="auto"/>
        <w:rPr>
          <w:rFonts w:ascii="Times New Roman" w:eastAsia="Times New Roman" w:hAnsi="Times New Roman" w:cs="Times New Roman"/>
          <w:b/>
          <w:color w:val="000000" w:themeColor="text1"/>
          <w:kern w:val="0"/>
          <w:sz w:val="28"/>
          <w:szCs w:val="28"/>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74624" behindDoc="0" locked="0" layoutInCell="1" hidden="0" allowOverlap="1" wp14:anchorId="3735B341" wp14:editId="222A9D2E">
                <wp:simplePos x="0" y="0"/>
                <wp:positionH relativeFrom="column">
                  <wp:posOffset>-354965</wp:posOffset>
                </wp:positionH>
                <wp:positionV relativeFrom="paragraph">
                  <wp:posOffset>326390</wp:posOffset>
                </wp:positionV>
                <wp:extent cx="2108200" cy="858520"/>
                <wp:effectExtent l="0" t="0" r="0" b="0"/>
                <wp:wrapNone/>
                <wp:docPr id="211" name="Rectangle 211"/>
                <wp:cNvGraphicFramePr/>
                <a:graphic xmlns:a="http://schemas.openxmlformats.org/drawingml/2006/main">
                  <a:graphicData uri="http://schemas.microsoft.com/office/word/2010/wordprocessingShape">
                    <wps:wsp>
                      <wps:cNvSpPr/>
                      <wps:spPr>
                        <a:xfrm>
                          <a:off x="0" y="0"/>
                          <a:ext cx="2108200" cy="85852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083B822" w14:textId="77777777" w:rsidR="000064D4" w:rsidRDefault="000064D4" w:rsidP="000064D4">
                            <w:pPr>
                              <w:spacing w:after="0" w:line="240" w:lineRule="auto"/>
                              <w:textDirection w:val="btLr"/>
                              <w:rPr>
                                <w:rFonts w:ascii="Times New Roman" w:eastAsia="Times New Roman" w:hAnsi="Times New Roman" w:cs="Times New Roman"/>
                                <w:color w:val="000000"/>
                                <w:sz w:val="20"/>
                              </w:rPr>
                            </w:pPr>
                          </w:p>
                          <w:p w14:paraId="283BB9A2"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*Limited resources and support</w:t>
                            </w:r>
                          </w:p>
                          <w:p w14:paraId="164D480E"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*Poor safety and stress</w:t>
                            </w:r>
                          </w:p>
                          <w:p w14:paraId="2DD21083"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w:t>
                            </w:r>
                            <w:r w:rsidRPr="00C45531">
                              <w:t xml:space="preserve"> </w:t>
                            </w:r>
                            <w:r>
                              <w:rPr>
                                <w:rFonts w:ascii="Times New Roman" w:eastAsia="Times New Roman" w:hAnsi="Times New Roman" w:cs="Times New Roman"/>
                                <w:color w:val="000000"/>
                                <w:sz w:val="20"/>
                              </w:rPr>
                              <w:t>Inadequate rest and recovery</w:t>
                            </w:r>
                          </w:p>
                          <w:p w14:paraId="6ED039BE" w14:textId="77777777" w:rsidR="000064D4" w:rsidRDefault="000064D4" w:rsidP="000064D4">
                            <w:pPr>
                              <w:spacing w:after="0" w:line="240" w:lineRule="auto"/>
                              <w:textDirection w:val="btLr"/>
                            </w:pPr>
                          </w:p>
                          <w:p w14:paraId="45442B27" w14:textId="77777777" w:rsidR="000064D4" w:rsidRDefault="000064D4" w:rsidP="000064D4">
                            <w:pPr>
                              <w:spacing w:after="0" w:line="240" w:lineRule="auto"/>
                              <w:textDirection w:val="btLr"/>
                            </w:pPr>
                          </w:p>
                        </w:txbxContent>
                      </wps:txbx>
                      <wps:bodyPr spcFirstLastPara="1" wrap="square" lIns="91425" tIns="45700" rIns="91425" bIns="45700" anchor="ctr" anchorCtr="0">
                        <a:noAutofit/>
                      </wps:bodyPr>
                    </wps:wsp>
                  </a:graphicData>
                </a:graphic>
              </wp:anchor>
            </w:drawing>
          </mc:Choice>
          <mc:Fallback>
            <w:pict>
              <v:rect w14:anchorId="3735B341" id="Rectangle 211" o:spid="_x0000_s1035" style="position:absolute;margin-left:-27.95pt;margin-top:25.7pt;width:166pt;height:67.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" strokeweight="1pt">
                <v:stroke startarrowwidth="narrow" startarrowlength="short" endarrowwidth="narrow" endarrowlength="short"/>
                <v:textbox inset="2.53958mm,1.2694mm,2.53958mm,1.2694mm">
                  <w:txbxContent>
                    <w:p w14:paraId="1083B822" w14:textId="77777777" w:rsidR="000064D4" w:rsidRDefault="000064D4" w:rsidP="000064D4">
                      <w:pPr>
                        <w:spacing w:after="0" w:line="240" w:lineRule="auto"/>
                        <w:textDirection w:val="btLr"/>
                        <w:rPr>
                          <w:rFonts w:ascii="Times New Roman" w:eastAsia="Times New Roman" w:hAnsi="Times New Roman" w:cs="Times New Roman"/>
                          <w:color w:val="000000"/>
                          <w:sz w:val="20"/>
                        </w:rPr>
                      </w:pPr>
                    </w:p>
                    <w:p w14:paraId="283BB9A2"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*Limited resources and support</w:t>
                      </w:r>
                    </w:p>
                    <w:p w14:paraId="164D480E"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*Poor safety and stress</w:t>
                      </w:r>
                    </w:p>
                    <w:p w14:paraId="2DD21083"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w:t>
                      </w:r>
                      <w:r w:rsidRPr="00C45531">
                        <w:t xml:space="preserve"> </w:t>
                      </w:r>
                      <w:r>
                        <w:rPr>
                          <w:rFonts w:ascii="Times New Roman" w:eastAsia="Times New Roman" w:hAnsi="Times New Roman" w:cs="Times New Roman"/>
                          <w:color w:val="000000"/>
                          <w:sz w:val="20"/>
                        </w:rPr>
                        <w:t>Inadequate rest and recovery</w:t>
                      </w:r>
                    </w:p>
                    <w:p w14:paraId="6ED039BE" w14:textId="77777777" w:rsidR="000064D4" w:rsidRDefault="000064D4" w:rsidP="000064D4">
                      <w:pPr>
                        <w:spacing w:after="0" w:line="240" w:lineRule="auto"/>
                        <w:textDirection w:val="btLr"/>
                      </w:pPr>
                    </w:p>
                    <w:p w14:paraId="45442B27" w14:textId="77777777" w:rsidR="000064D4" w:rsidRDefault="000064D4" w:rsidP="000064D4">
                      <w:pPr>
                        <w:spacing w:after="0" w:line="240" w:lineRule="auto"/>
                        <w:textDirection w:val="btLr"/>
                      </w:pPr>
                    </w:p>
                  </w:txbxContent>
                </v:textbox>
              </v:rect>
            </w:pict>
          </mc:Fallback>
        </mc:AlternateContent>
      </w:r>
    </w:p>
    <w:p w14:paraId="0F306FC1" w14:textId="77777777" w:rsidR="000064D4" w:rsidRPr="00AE4E03" w:rsidRDefault="000064D4" w:rsidP="000064D4">
      <w:pPr>
        <w:spacing w:line="240" w:lineRule="auto"/>
        <w:rPr>
          <w:rFonts w:ascii="Times New Roman" w:eastAsia="Times New Roman" w:hAnsi="Times New Roman" w:cs="Times New Roman"/>
          <w:color w:val="000000" w:themeColor="text1"/>
          <w:kern w:val="0"/>
          <w:lang w:eastAsia="en-IN" w:bidi="ml-IN"/>
          <w14:ligatures w14:val="none"/>
        </w:rPr>
      </w:pPr>
    </w:p>
    <w:p w14:paraId="503BF1D7" w14:textId="77777777" w:rsidR="000064D4" w:rsidRPr="00AE4E03" w:rsidRDefault="000064D4" w:rsidP="000064D4">
      <w:pPr>
        <w:spacing w:line="240" w:lineRule="auto"/>
        <w:jc w:val="center"/>
        <w:rPr>
          <w:rFonts w:ascii="Times New Roman" w:eastAsia="Times New Roman" w:hAnsi="Times New Roman" w:cs="Times New Roman"/>
          <w:color w:val="000000" w:themeColor="text1"/>
          <w:kern w:val="0"/>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75648" behindDoc="0" locked="0" layoutInCell="1" hidden="0" allowOverlap="1" wp14:anchorId="57DCBC03" wp14:editId="4A2591CF">
                <wp:simplePos x="0" y="0"/>
                <wp:positionH relativeFrom="column">
                  <wp:posOffset>2260600</wp:posOffset>
                </wp:positionH>
                <wp:positionV relativeFrom="paragraph">
                  <wp:posOffset>9525</wp:posOffset>
                </wp:positionV>
                <wp:extent cx="1703705" cy="697230"/>
                <wp:effectExtent l="0" t="0" r="10795" b="26670"/>
                <wp:wrapNone/>
                <wp:docPr id="225" name="Rectangle: Rounded Corners 225"/>
                <wp:cNvGraphicFramePr/>
                <a:graphic xmlns:a="http://schemas.openxmlformats.org/drawingml/2006/main">
                  <a:graphicData uri="http://schemas.microsoft.com/office/word/2010/wordprocessingShape">
                    <wps:wsp>
                      <wps:cNvSpPr/>
                      <wps:spPr>
                        <a:xfrm>
                          <a:off x="0" y="0"/>
                          <a:ext cx="1703705" cy="697230"/>
                        </a:xfrm>
                        <a:prstGeom prst="roundRect">
                          <a:avLst>
                            <a:gd name="adj" fmla="val 16667"/>
                          </a:avLst>
                        </a:prstGeom>
                        <a:solidFill>
                          <a:srgbClr val="FFFFFF"/>
                        </a:solidFill>
                        <a:ln w="12700" cap="flat" cmpd="sng">
                          <a:solidFill>
                            <a:srgbClr val="000000"/>
                          </a:solidFill>
                          <a:prstDash val="solid"/>
                          <a:miter lim="800000"/>
                          <a:headEnd type="none" w="sm" len="sm"/>
                          <a:tailEnd type="none" w="sm" len="sm"/>
                        </a:ln>
                      </wps:spPr>
                      <wps:txbx>
                        <w:txbxContent>
                          <w:p w14:paraId="048274A4" w14:textId="77777777" w:rsidR="000064D4" w:rsidRPr="0052354D" w:rsidRDefault="000064D4" w:rsidP="000064D4">
                            <w:pPr>
                              <w:spacing w:after="0" w:line="240" w:lineRule="auto"/>
                              <w:jc w:val="center"/>
                              <w:textDirection w:val="btLr"/>
                              <w:rPr>
                                <w:rFonts w:ascii="Times New Roman" w:hAnsi="Times New Roman" w:cs="Times New Roman"/>
                                <w:sz w:val="24"/>
                                <w:szCs w:val="24"/>
                                <w:lang w:val="en-US"/>
                              </w:rPr>
                            </w:pPr>
                            <w:r w:rsidRPr="0052354D">
                              <w:rPr>
                                <w:rFonts w:ascii="Times New Roman" w:hAnsi="Times New Roman" w:cs="Times New Roman"/>
                                <w:sz w:val="24"/>
                                <w:szCs w:val="24"/>
                                <w:lang w:val="en-US"/>
                              </w:rPr>
                              <w:t>Recurring Hassles</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57DCBC03" id="Rectangle: Rounded Corners 225" o:spid="_x0000_s1036" style="position:absolute;left:0;text-align:left;margin-left:178pt;margin-top:.75pt;width:134.15pt;height:54.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" strokeweight="1pt">
                <v:stroke startarrowwidth="narrow" startarrowlength="short" endarrowwidth="narrow" endarrowlength="short" joinstyle="miter"/>
                <v:textbox inset="2.53958mm,1.2694mm,2.53958mm,1.2694mm">
                  <w:txbxContent>
                    <w:p w14:paraId="048274A4" w14:textId="77777777" w:rsidR="000064D4" w:rsidRPr="0052354D" w:rsidRDefault="000064D4" w:rsidP="000064D4">
                      <w:pPr>
                        <w:spacing w:after="0" w:line="240" w:lineRule="auto"/>
                        <w:jc w:val="center"/>
                        <w:textDirection w:val="btLr"/>
                        <w:rPr>
                          <w:rFonts w:ascii="Times New Roman" w:hAnsi="Times New Roman" w:cs="Times New Roman"/>
                          <w:sz w:val="24"/>
                          <w:szCs w:val="24"/>
                          <w:lang w:val="en-US"/>
                        </w:rPr>
                      </w:pPr>
                      <w:r w:rsidRPr="0052354D">
                        <w:rPr>
                          <w:rFonts w:ascii="Times New Roman" w:hAnsi="Times New Roman" w:cs="Times New Roman"/>
                          <w:sz w:val="24"/>
                          <w:szCs w:val="24"/>
                          <w:lang w:val="en-US"/>
                        </w:rPr>
                        <w:t>Recurring Hassles</w:t>
                      </w:r>
                    </w:p>
                  </w:txbxContent>
                </v:textbox>
              </v:roundrect>
            </w:pict>
          </mc:Fallback>
        </mc:AlternateContent>
      </w:r>
    </w:p>
    <w:p w14:paraId="26B99DD3" w14:textId="77777777" w:rsidR="000064D4" w:rsidRPr="00AE4E03" w:rsidRDefault="000064D4" w:rsidP="000064D4">
      <w:pPr>
        <w:spacing w:line="240" w:lineRule="auto"/>
        <w:rPr>
          <w:rFonts w:ascii="Times New Roman" w:eastAsia="Times New Roman" w:hAnsi="Times New Roman" w:cs="Times New Roman"/>
          <w:color w:val="000000" w:themeColor="text1"/>
          <w:kern w:val="0"/>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76672" behindDoc="0" locked="0" layoutInCell="1" hidden="0" allowOverlap="1" wp14:anchorId="1E57A06C" wp14:editId="22B20A21">
                <wp:simplePos x="0" y="0"/>
                <wp:positionH relativeFrom="column">
                  <wp:posOffset>4607626</wp:posOffset>
                </wp:positionH>
                <wp:positionV relativeFrom="paragraph">
                  <wp:posOffset>27799</wp:posOffset>
                </wp:positionV>
                <wp:extent cx="1645920" cy="1209427"/>
                <wp:effectExtent l="0" t="0" r="11430" b="10160"/>
                <wp:wrapNone/>
                <wp:docPr id="200" name="Oval 200"/>
                <wp:cNvGraphicFramePr/>
                <a:graphic xmlns:a="http://schemas.openxmlformats.org/drawingml/2006/main">
                  <a:graphicData uri="http://schemas.microsoft.com/office/word/2010/wordprocessingShape">
                    <wps:wsp>
                      <wps:cNvSpPr/>
                      <wps:spPr>
                        <a:xfrm>
                          <a:off x="0" y="0"/>
                          <a:ext cx="1645920" cy="1209427"/>
                        </a:xfrm>
                        <a:prstGeom prst="ellipse">
                          <a:avLst/>
                        </a:prstGeom>
                        <a:solidFill>
                          <a:srgbClr val="FFFFFF"/>
                        </a:solidFill>
                        <a:ln w="12700" cap="flat" cmpd="sng">
                          <a:solidFill>
                            <a:srgbClr val="000000"/>
                          </a:solidFill>
                          <a:prstDash val="solid"/>
                          <a:miter lim="800000"/>
                          <a:headEnd type="none" w="sm" len="sm"/>
                          <a:tailEnd type="none" w="sm" len="sm"/>
                        </a:ln>
                      </wps:spPr>
                      <wps:txbx>
                        <w:txbxContent>
                          <w:p w14:paraId="66AD8453" w14:textId="77777777" w:rsidR="000064D4" w:rsidRPr="00C45531" w:rsidRDefault="000064D4" w:rsidP="000064D4">
                            <w:pPr>
                              <w:spacing w:after="0" w:line="240" w:lineRule="auto"/>
                              <w:jc w:val="center"/>
                              <w:textDirection w:val="btL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Challenges in Sustaining Engagement</w:t>
                            </w:r>
                          </w:p>
                          <w:p w14:paraId="29BA5047" w14:textId="77777777" w:rsidR="000064D4" w:rsidRDefault="000064D4" w:rsidP="000064D4">
                            <w:pPr>
                              <w:spacing w:after="0" w:line="240"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oval w14:anchorId="1E57A06C" id="Oval 200" o:spid="_x0000_s1037" style="position:absolute;margin-left:362.8pt;margin-top:2.2pt;width:129.6pt;height:95.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" strokeweight="1pt">
                <v:stroke startarrowwidth="narrow" startarrowlength="short" endarrowwidth="narrow" endarrowlength="short" joinstyle="miter"/>
                <v:textbox inset="2.53958mm,1.2694mm,2.53958mm,1.2694mm">
                  <w:txbxContent>
                    <w:p w14:paraId="66AD8453" w14:textId="77777777" w:rsidR="000064D4" w:rsidRPr="00C45531" w:rsidRDefault="000064D4" w:rsidP="000064D4">
                      <w:pPr>
                        <w:spacing w:after="0" w:line="240" w:lineRule="auto"/>
                        <w:jc w:val="center"/>
                        <w:textDirection w:val="btL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Challenges in Sustaining Engagement</w:t>
                      </w:r>
                    </w:p>
                    <w:p w14:paraId="29BA5047" w14:textId="77777777" w:rsidR="000064D4" w:rsidRDefault="000064D4" w:rsidP="000064D4">
                      <w:pPr>
                        <w:spacing w:after="0" w:line="240" w:lineRule="auto"/>
                        <w:jc w:val="center"/>
                        <w:textDirection w:val="btLr"/>
                      </w:pPr>
                    </w:p>
                  </w:txbxContent>
                </v:textbox>
              </v:oval>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99200" behindDoc="0" locked="0" layoutInCell="1" allowOverlap="1" wp14:anchorId="233B64FD" wp14:editId="389DFEF3">
                <wp:simplePos x="0" y="0"/>
                <wp:positionH relativeFrom="margin">
                  <wp:posOffset>1828800</wp:posOffset>
                </wp:positionH>
                <wp:positionV relativeFrom="paragraph">
                  <wp:posOffset>27305</wp:posOffset>
                </wp:positionV>
                <wp:extent cx="411481" cy="140970"/>
                <wp:effectExtent l="0" t="19050" r="45720" b="30480"/>
                <wp:wrapNone/>
                <wp:docPr id="17" name="Arrow: Right 17"/>
                <wp:cNvGraphicFramePr/>
                <a:graphic xmlns:a="http://schemas.openxmlformats.org/drawingml/2006/main">
                  <a:graphicData uri="http://schemas.microsoft.com/office/word/2010/wordprocessingShape">
                    <wps:wsp>
                      <wps:cNvSpPr/>
                      <wps:spPr>
                        <a:xfrm>
                          <a:off x="0" y="0"/>
                          <a:ext cx="411481" cy="140970"/>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49163AD" id="Arrow: Right 17" o:spid="_x0000_s1026" type="#_x0000_t13" style="position:absolute;margin-left:2in;margin-top:2.15pt;width:32.4pt;height:11.1pt;z-index:2516992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" adj="17900" fillcolor="windowText" strokeweight="1pt">
                <w10:wrap anchorx="margin"/>
              </v:shape>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77696" behindDoc="0" locked="0" layoutInCell="1" hidden="0" allowOverlap="1" wp14:anchorId="204A7D3B" wp14:editId="64B308D0">
                <wp:simplePos x="0" y="0"/>
                <wp:positionH relativeFrom="column">
                  <wp:posOffset>1854200</wp:posOffset>
                </wp:positionH>
                <wp:positionV relativeFrom="paragraph">
                  <wp:posOffset>63500</wp:posOffset>
                </wp:positionV>
                <wp:extent cx="7620" cy="25400"/>
                <wp:effectExtent l="0" t="0" r="0" b="0"/>
                <wp:wrapNone/>
                <wp:docPr id="198" name="Straight Arrow Connector 198"/>
                <wp:cNvGraphicFramePr/>
                <a:graphic xmlns:a="http://schemas.openxmlformats.org/drawingml/2006/main">
                  <a:graphicData uri="http://schemas.microsoft.com/office/word/2010/wordprocessingShape">
                    <wps:wsp>
                      <wps:cNvCnPr/>
                      <wps:spPr>
                        <a:xfrm rot="10800000" flipH="1">
                          <a:off x="5174550" y="3776190"/>
                          <a:ext cx="342900" cy="7620"/>
                        </a:xfrm>
                        <a:prstGeom prst="straightConnector1">
                          <a:avLst/>
                        </a:prstGeom>
                        <a:noFill/>
                        <a:ln w="9525" cap="flat" cmpd="sng">
                          <a:solidFill>
                            <a:srgbClr val="000000"/>
                          </a:solidFill>
                          <a:prstDash val="solid"/>
                          <a:miter lim="800000"/>
                          <a:headEnd type="none" w="sm" len="sm"/>
                          <a:tailEnd type="triangle" w="med" len="med"/>
                        </a:ln>
                      </wps:spPr>
                      <wps:bodyPr/>
                    </wps:wsp>
                  </a:graphicData>
                </a:graphic>
              </wp:anchor>
            </w:drawing>
          </mc:Choice>
          <mc:Fallback>
            <w:pict>
              <v:shape w14:anchorId="536A693A" id="Straight Arrow Connector 198" o:spid="_x0000_s1026" type="#_x0000_t32" style="position:absolute;margin-left:146pt;margin-top:5pt;width:.6pt;height:2pt;rotation:180;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">
                <v:stroke startarrowwidth="narrow" startarrowlength="short" endarrow="block" joinstyle="miter"/>
              </v:shape>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78720" behindDoc="0" locked="0" layoutInCell="1" hidden="0" allowOverlap="1" wp14:anchorId="4365FF3C" wp14:editId="3AFD7B50">
                <wp:simplePos x="0" y="0"/>
                <wp:positionH relativeFrom="column">
                  <wp:posOffset>4127500</wp:posOffset>
                </wp:positionH>
                <wp:positionV relativeFrom="paragraph">
                  <wp:posOffset>127000</wp:posOffset>
                </wp:positionV>
                <wp:extent cx="153620" cy="1114699"/>
                <wp:effectExtent l="0" t="0" r="0" b="0"/>
                <wp:wrapNone/>
                <wp:docPr id="207" name="Right Brace 207"/>
                <wp:cNvGraphicFramePr/>
                <a:graphic xmlns:a="http://schemas.openxmlformats.org/drawingml/2006/main">
                  <a:graphicData uri="http://schemas.microsoft.com/office/word/2010/wordprocessingShape">
                    <wps:wsp>
                      <wps:cNvSpPr/>
                      <wps:spPr>
                        <a:xfrm>
                          <a:off x="5273953" y="3227413"/>
                          <a:ext cx="144095" cy="1105174"/>
                        </a:xfrm>
                        <a:prstGeom prst="rightBrace">
                          <a:avLst>
                            <a:gd name="adj1" fmla="val 8333"/>
                            <a:gd name="adj2" fmla="val 50000"/>
                          </a:avLst>
                        </a:prstGeom>
                        <a:noFill/>
                        <a:ln w="9525" cap="flat" cmpd="sng">
                          <a:solidFill>
                            <a:sysClr val="windowText" lastClr="000000"/>
                          </a:solidFill>
                          <a:prstDash val="solid"/>
                          <a:miter lim="800000"/>
                          <a:headEnd type="none" w="sm" len="sm"/>
                          <a:tailEnd type="none" w="sm" len="sm"/>
                        </a:ln>
                      </wps:spPr>
                      <wps:txbx>
                        <w:txbxContent>
                          <w:p w14:paraId="6A72ACA0" w14:textId="77777777" w:rsidR="000064D4" w:rsidRDefault="000064D4" w:rsidP="000064D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4365FF3C" id="Right Brace 207" o:spid="_x0000_s1038" type="#_x0000_t88" style="position:absolute;margin-left:325pt;margin-top:10pt;width:12.1pt;height:87.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" adj="235" strokecolor="windowText">
                <v:stroke startarrowwidth="narrow" startarrowlength="short" endarrowwidth="narrow" endarrowlength="short" joinstyle="miter"/>
                <v:textbox inset="2.53958mm,2.53958mm,2.53958mm,2.53958mm">
                  <w:txbxContent>
                    <w:p w14:paraId="6A72ACA0" w14:textId="77777777" w:rsidR="000064D4" w:rsidRDefault="000064D4" w:rsidP="000064D4">
                      <w:pPr>
                        <w:spacing w:after="0" w:line="240" w:lineRule="auto"/>
                        <w:textDirection w:val="btLr"/>
                      </w:pPr>
                    </w:p>
                  </w:txbxContent>
                </v:textbox>
              </v:shape>
            </w:pict>
          </mc:Fallback>
        </mc:AlternateContent>
      </w:r>
    </w:p>
    <w:p w14:paraId="39E85D87" w14:textId="77777777" w:rsidR="000064D4" w:rsidRPr="00AE4E03" w:rsidRDefault="000064D4" w:rsidP="000064D4">
      <w:pPr>
        <w:spacing w:line="240" w:lineRule="auto"/>
        <w:rPr>
          <w:rFonts w:ascii="Times New Roman" w:eastAsia="Times New Roman" w:hAnsi="Times New Roman" w:cs="Times New Roman"/>
          <w:color w:val="000000" w:themeColor="text1"/>
          <w:kern w:val="0"/>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79744" behindDoc="0" locked="0" layoutInCell="1" hidden="0" allowOverlap="1" wp14:anchorId="29706FB9" wp14:editId="597AE6DE">
                <wp:simplePos x="0" y="0"/>
                <wp:positionH relativeFrom="column">
                  <wp:posOffset>-354965</wp:posOffset>
                </wp:positionH>
                <wp:positionV relativeFrom="paragraph">
                  <wp:posOffset>208280</wp:posOffset>
                </wp:positionV>
                <wp:extent cx="2108200" cy="889000"/>
                <wp:effectExtent l="0" t="0" r="0" b="0"/>
                <wp:wrapNone/>
                <wp:docPr id="214" name="Rectangle 214"/>
                <wp:cNvGraphicFramePr/>
                <a:graphic xmlns:a="http://schemas.openxmlformats.org/drawingml/2006/main">
                  <a:graphicData uri="http://schemas.microsoft.com/office/word/2010/wordprocessingShape">
                    <wps:wsp>
                      <wps:cNvSpPr/>
                      <wps:spPr>
                        <a:xfrm>
                          <a:off x="0" y="0"/>
                          <a:ext cx="2108200" cy="88900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006242FA" w14:textId="77777777" w:rsidR="000064D4" w:rsidRDefault="000064D4" w:rsidP="000064D4">
                            <w:pPr>
                              <w:spacing w:after="0" w:line="240" w:lineRule="auto"/>
                              <w:textDirection w:val="btLr"/>
                              <w:rPr>
                                <w:rFonts w:ascii="Times New Roman" w:eastAsia="Times New Roman" w:hAnsi="Times New Roman" w:cs="Times New Roman"/>
                                <w:color w:val="000000"/>
                                <w:sz w:val="20"/>
                              </w:rPr>
                            </w:pPr>
                          </w:p>
                          <w:p w14:paraId="54B01037"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*Accumulated psychological contract violation</w:t>
                            </w:r>
                          </w:p>
                          <w:p w14:paraId="016AEBF2"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*Shift in focus &amp; disengagement</w:t>
                            </w:r>
                          </w:p>
                          <w:p w14:paraId="7DEA5C3B"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*Passive approach to work</w:t>
                            </w:r>
                          </w:p>
                          <w:p w14:paraId="22E141EA" w14:textId="77777777" w:rsidR="000064D4" w:rsidRDefault="000064D4" w:rsidP="000064D4">
                            <w:pPr>
                              <w:spacing w:after="0" w:line="240" w:lineRule="auto"/>
                              <w:textDirection w:val="btLr"/>
                            </w:pPr>
                          </w:p>
                          <w:p w14:paraId="36AA8467" w14:textId="77777777" w:rsidR="000064D4" w:rsidRDefault="000064D4" w:rsidP="000064D4">
                            <w:pPr>
                              <w:spacing w:after="0" w:line="240" w:lineRule="auto"/>
                              <w:textDirection w:val="btLr"/>
                            </w:pPr>
                          </w:p>
                        </w:txbxContent>
                      </wps:txbx>
                      <wps:bodyPr spcFirstLastPara="1" wrap="square" lIns="91425" tIns="45700" rIns="91425" bIns="45700" anchor="ctr" anchorCtr="0">
                        <a:noAutofit/>
                      </wps:bodyPr>
                    </wps:wsp>
                  </a:graphicData>
                </a:graphic>
              </wp:anchor>
            </w:drawing>
          </mc:Choice>
          <mc:Fallback>
            <w:pict>
              <v:rect w14:anchorId="29706FB9" id="Rectangle 214" o:spid="_x0000_s1039" style="position:absolute;margin-left:-27.95pt;margin-top:16.4pt;width:166pt;height:70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" strokeweight="1pt">
                <v:stroke startarrowwidth="narrow" startarrowlength="short" endarrowwidth="narrow" endarrowlength="short"/>
                <v:textbox inset="2.53958mm,1.2694mm,2.53958mm,1.2694mm">
                  <w:txbxContent>
                    <w:p w14:paraId="006242FA" w14:textId="77777777" w:rsidR="000064D4" w:rsidRDefault="000064D4" w:rsidP="000064D4">
                      <w:pPr>
                        <w:spacing w:after="0" w:line="240" w:lineRule="auto"/>
                        <w:textDirection w:val="btLr"/>
                        <w:rPr>
                          <w:rFonts w:ascii="Times New Roman" w:eastAsia="Times New Roman" w:hAnsi="Times New Roman" w:cs="Times New Roman"/>
                          <w:color w:val="000000"/>
                          <w:sz w:val="20"/>
                        </w:rPr>
                      </w:pPr>
                    </w:p>
                    <w:p w14:paraId="54B01037"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*Accumulated psychological contract violation</w:t>
                      </w:r>
                    </w:p>
                    <w:p w14:paraId="016AEBF2"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*Shift in focus &amp; disengagement</w:t>
                      </w:r>
                    </w:p>
                    <w:p w14:paraId="7DEA5C3B"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*Passive approach to work</w:t>
                      </w:r>
                    </w:p>
                    <w:p w14:paraId="22E141EA" w14:textId="77777777" w:rsidR="000064D4" w:rsidRDefault="000064D4" w:rsidP="000064D4">
                      <w:pPr>
                        <w:spacing w:after="0" w:line="240" w:lineRule="auto"/>
                        <w:textDirection w:val="btLr"/>
                      </w:pPr>
                    </w:p>
                    <w:p w14:paraId="36AA8467" w14:textId="77777777" w:rsidR="000064D4" w:rsidRDefault="000064D4" w:rsidP="000064D4">
                      <w:pPr>
                        <w:spacing w:after="0" w:line="240" w:lineRule="auto"/>
                        <w:textDirection w:val="btLr"/>
                      </w:pPr>
                    </w:p>
                  </w:txbxContent>
                </v:textbox>
              </v:rect>
            </w:pict>
          </mc:Fallback>
        </mc:AlternateContent>
      </w:r>
    </w:p>
    <w:p w14:paraId="2258CE86" w14:textId="77777777" w:rsidR="000064D4" w:rsidRPr="00AE4E03" w:rsidRDefault="000064D4" w:rsidP="000064D4">
      <w:pPr>
        <w:spacing w:line="240" w:lineRule="auto"/>
        <w:rPr>
          <w:rFonts w:ascii="Times New Roman" w:eastAsia="Times New Roman" w:hAnsi="Times New Roman" w:cs="Times New Roman"/>
          <w:color w:val="000000" w:themeColor="text1"/>
          <w:kern w:val="0"/>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80768" behindDoc="0" locked="0" layoutInCell="1" hidden="0" allowOverlap="1" wp14:anchorId="5AF7CA9B" wp14:editId="6F249517">
                <wp:simplePos x="0" y="0"/>
                <wp:positionH relativeFrom="column">
                  <wp:posOffset>4152900</wp:posOffset>
                </wp:positionH>
                <wp:positionV relativeFrom="paragraph">
                  <wp:posOffset>12700</wp:posOffset>
                </wp:positionV>
                <wp:extent cx="387350" cy="252730"/>
                <wp:effectExtent l="0" t="0" r="0" b="0"/>
                <wp:wrapNone/>
                <wp:docPr id="227" name="Arrow: Right 227"/>
                <wp:cNvGraphicFramePr/>
                <a:graphic xmlns:a="http://schemas.openxmlformats.org/drawingml/2006/main">
                  <a:graphicData uri="http://schemas.microsoft.com/office/word/2010/wordprocessingShape">
                    <wps:wsp>
                      <wps:cNvSpPr/>
                      <wps:spPr>
                        <a:xfrm>
                          <a:off x="5158675" y="3659985"/>
                          <a:ext cx="374650" cy="240030"/>
                        </a:xfrm>
                        <a:prstGeom prst="rightArrow">
                          <a:avLst>
                            <a:gd name="adj1" fmla="val 50000"/>
                            <a:gd name="adj2" fmla="val 50000"/>
                          </a:avLst>
                        </a:prstGeom>
                        <a:solidFill>
                          <a:srgbClr val="000000"/>
                        </a:solidFill>
                        <a:ln w="12700" cap="flat" cmpd="sng">
                          <a:solidFill>
                            <a:srgbClr val="000000"/>
                          </a:solidFill>
                          <a:prstDash val="solid"/>
                          <a:miter lim="800000"/>
                          <a:headEnd type="none" w="sm" len="sm"/>
                          <a:tailEnd type="none" w="sm" len="sm"/>
                        </a:ln>
                      </wps:spPr>
                      <wps:txbx>
                        <w:txbxContent>
                          <w:p w14:paraId="6F446448" w14:textId="77777777" w:rsidR="000064D4" w:rsidRDefault="000064D4" w:rsidP="000064D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5AF7CA9B" id="Arrow: Right 227" o:spid="_x0000_s1040" type="#_x0000_t13" style="position:absolute;margin-left:327pt;margin-top:1pt;width:30.5pt;height:19.9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" adj="14681" fillcolor="black" strokeweight="1pt">
                <v:stroke startarrowwidth="narrow" startarrowlength="short" endarrowwidth="narrow" endarrowlength="short"/>
                <v:textbox inset="2.53958mm,2.53958mm,2.53958mm,2.53958mm">
                  <w:txbxContent>
                    <w:p w14:paraId="6F446448" w14:textId="77777777" w:rsidR="000064D4" w:rsidRDefault="000064D4" w:rsidP="000064D4">
                      <w:pPr>
                        <w:spacing w:after="0" w:line="240" w:lineRule="auto"/>
                        <w:textDirection w:val="btLr"/>
                      </w:pPr>
                    </w:p>
                  </w:txbxContent>
                </v:textbox>
              </v:shape>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81792" behindDoc="0" locked="0" layoutInCell="1" hidden="0" allowOverlap="1" wp14:anchorId="69788C10" wp14:editId="50A233A1">
                <wp:simplePos x="0" y="0"/>
                <wp:positionH relativeFrom="column">
                  <wp:posOffset>2247900</wp:posOffset>
                </wp:positionH>
                <wp:positionV relativeFrom="paragraph">
                  <wp:posOffset>177800</wp:posOffset>
                </wp:positionV>
                <wp:extent cx="1716510" cy="644228"/>
                <wp:effectExtent l="0" t="0" r="0" b="0"/>
                <wp:wrapNone/>
                <wp:docPr id="219" name="Rectangle: Rounded Corners 219"/>
                <wp:cNvGraphicFramePr/>
                <a:graphic xmlns:a="http://schemas.openxmlformats.org/drawingml/2006/main">
                  <a:graphicData uri="http://schemas.microsoft.com/office/word/2010/wordprocessingShape">
                    <wps:wsp>
                      <wps:cNvSpPr/>
                      <wps:spPr>
                        <a:xfrm>
                          <a:off x="4494095" y="3464236"/>
                          <a:ext cx="1703810" cy="631528"/>
                        </a:xfrm>
                        <a:prstGeom prst="roundRect">
                          <a:avLst>
                            <a:gd name="adj" fmla="val 16667"/>
                          </a:avLst>
                        </a:prstGeom>
                        <a:solidFill>
                          <a:srgbClr val="FFFFFF"/>
                        </a:solidFill>
                        <a:ln w="12700" cap="flat" cmpd="sng">
                          <a:solidFill>
                            <a:srgbClr val="000000"/>
                          </a:solidFill>
                          <a:prstDash val="solid"/>
                          <a:miter lim="800000"/>
                          <a:headEnd type="none" w="sm" len="sm"/>
                          <a:tailEnd type="none" w="sm" len="sm"/>
                        </a:ln>
                      </wps:spPr>
                      <wps:txbx>
                        <w:txbxContent>
                          <w:p w14:paraId="6CEED308" w14:textId="77777777" w:rsidR="000064D4" w:rsidRPr="0052354D" w:rsidRDefault="000064D4" w:rsidP="000064D4">
                            <w:pPr>
                              <w:spacing w:after="0" w:line="240" w:lineRule="auto"/>
                              <w:jc w:val="center"/>
                              <w:textDirection w:val="btLr"/>
                              <w:rPr>
                                <w:rFonts w:ascii="Times New Roman" w:hAnsi="Times New Roman" w:cs="Times New Roman"/>
                                <w:sz w:val="24"/>
                                <w:szCs w:val="24"/>
                                <w:lang w:val="en-US"/>
                              </w:rPr>
                            </w:pPr>
                            <w:r w:rsidRPr="0052354D">
                              <w:rPr>
                                <w:rFonts w:ascii="Times New Roman" w:hAnsi="Times New Roman" w:cs="Times New Roman"/>
                                <w:sz w:val="24"/>
                                <w:szCs w:val="24"/>
                                <w:lang w:val="en-US"/>
                              </w:rPr>
                              <w:t>Letting a lost cause be</w:t>
                            </w:r>
                          </w:p>
                        </w:txbxContent>
                      </wps:txbx>
                      <wps:bodyPr spcFirstLastPara="1" wrap="square" lIns="91425" tIns="45700" rIns="91425" bIns="45700" anchor="ctr" anchorCtr="0">
                        <a:noAutofit/>
                      </wps:bodyPr>
                    </wps:wsp>
                  </a:graphicData>
                </a:graphic>
              </wp:anchor>
            </w:drawing>
          </mc:Choice>
          <mc:Fallback>
            <w:pict>
              <v:roundrect w14:anchorId="69788C10" id="Rectangle: Rounded Corners 219" o:spid="_x0000_s1041" style="position:absolute;margin-left:177pt;margin-top:14pt;width:135.15pt;height:50.75pt;z-index:2516817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" strokeweight="1pt">
                <v:stroke startarrowwidth="narrow" startarrowlength="short" endarrowwidth="narrow" endarrowlength="short" joinstyle="miter"/>
                <v:textbox inset="2.53958mm,1.2694mm,2.53958mm,1.2694mm">
                  <w:txbxContent>
                    <w:p w14:paraId="6CEED308" w14:textId="77777777" w:rsidR="000064D4" w:rsidRPr="0052354D" w:rsidRDefault="000064D4" w:rsidP="000064D4">
                      <w:pPr>
                        <w:spacing w:after="0" w:line="240" w:lineRule="auto"/>
                        <w:jc w:val="center"/>
                        <w:textDirection w:val="btLr"/>
                        <w:rPr>
                          <w:rFonts w:ascii="Times New Roman" w:hAnsi="Times New Roman" w:cs="Times New Roman"/>
                          <w:sz w:val="24"/>
                          <w:szCs w:val="24"/>
                          <w:lang w:val="en-US"/>
                        </w:rPr>
                      </w:pPr>
                      <w:r w:rsidRPr="0052354D">
                        <w:rPr>
                          <w:rFonts w:ascii="Times New Roman" w:hAnsi="Times New Roman" w:cs="Times New Roman"/>
                          <w:sz w:val="24"/>
                          <w:szCs w:val="24"/>
                          <w:lang w:val="en-US"/>
                        </w:rPr>
                        <w:t>Letting a lost cause be</w:t>
                      </w:r>
                    </w:p>
                  </w:txbxContent>
                </v:textbox>
              </v:roundrect>
            </w:pict>
          </mc:Fallback>
        </mc:AlternateContent>
      </w:r>
    </w:p>
    <w:p w14:paraId="43F7B349" w14:textId="77777777" w:rsidR="000064D4" w:rsidRPr="00AE4E03" w:rsidRDefault="000064D4" w:rsidP="000064D4">
      <w:pPr>
        <w:spacing w:line="240" w:lineRule="auto"/>
        <w:rPr>
          <w:rFonts w:ascii="Times New Roman" w:eastAsia="Times New Roman" w:hAnsi="Times New Roman" w:cs="Times New Roman"/>
          <w:color w:val="000000" w:themeColor="text1"/>
          <w:kern w:val="0"/>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701248" behindDoc="0" locked="0" layoutInCell="1" allowOverlap="1" wp14:anchorId="79A37DF4" wp14:editId="1023EB03">
                <wp:simplePos x="0" y="0"/>
                <wp:positionH relativeFrom="column">
                  <wp:posOffset>1813560</wp:posOffset>
                </wp:positionH>
                <wp:positionV relativeFrom="paragraph">
                  <wp:posOffset>215265</wp:posOffset>
                </wp:positionV>
                <wp:extent cx="411481" cy="114300"/>
                <wp:effectExtent l="0" t="19050" r="45720" b="38100"/>
                <wp:wrapNone/>
                <wp:docPr id="19" name="Arrow: Right 19"/>
                <wp:cNvGraphicFramePr/>
                <a:graphic xmlns:a="http://schemas.openxmlformats.org/drawingml/2006/main">
                  <a:graphicData uri="http://schemas.microsoft.com/office/word/2010/wordprocessingShape">
                    <wps:wsp>
                      <wps:cNvSpPr/>
                      <wps:spPr>
                        <a:xfrm>
                          <a:off x="0" y="0"/>
                          <a:ext cx="411481" cy="114300"/>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F3CB92" id="Arrow: Right 19" o:spid="_x0000_s1026" type="#_x0000_t13" style="position:absolute;margin-left:142.8pt;margin-top:16.95pt;width:32.4pt;height:9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" adj="18600" fillcolor="windowText" strokeweight="1pt"/>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82816" behindDoc="0" locked="0" layoutInCell="1" hidden="0" allowOverlap="1" wp14:anchorId="4CFB7ED2" wp14:editId="673D28FC">
                <wp:simplePos x="0" y="0"/>
                <wp:positionH relativeFrom="column">
                  <wp:posOffset>1828800</wp:posOffset>
                </wp:positionH>
                <wp:positionV relativeFrom="paragraph">
                  <wp:posOffset>215900</wp:posOffset>
                </wp:positionV>
                <wp:extent cx="7620" cy="25400"/>
                <wp:effectExtent l="0" t="0" r="0" b="0"/>
                <wp:wrapNone/>
                <wp:docPr id="224" name="Straight Arrow Connector 224"/>
                <wp:cNvGraphicFramePr/>
                <a:graphic xmlns:a="http://schemas.openxmlformats.org/drawingml/2006/main">
                  <a:graphicData uri="http://schemas.microsoft.com/office/word/2010/wordprocessingShape">
                    <wps:wsp>
                      <wps:cNvCnPr/>
                      <wps:spPr>
                        <a:xfrm rot="10800000" flipH="1">
                          <a:off x="5174550" y="3776190"/>
                          <a:ext cx="342900" cy="7620"/>
                        </a:xfrm>
                        <a:prstGeom prst="straightConnector1">
                          <a:avLst/>
                        </a:prstGeom>
                        <a:noFill/>
                        <a:ln w="9525" cap="flat" cmpd="sng">
                          <a:solidFill>
                            <a:srgbClr val="000000"/>
                          </a:solidFill>
                          <a:prstDash val="solid"/>
                          <a:miter lim="800000"/>
                          <a:headEnd type="none" w="sm" len="sm"/>
                          <a:tailEnd type="triangle" w="med" len="med"/>
                        </a:ln>
                      </wps:spPr>
                      <wps:bodyPr/>
                    </wps:wsp>
                  </a:graphicData>
                </a:graphic>
              </wp:anchor>
            </w:drawing>
          </mc:Choice>
          <mc:Fallback>
            <w:pict>
              <v:shape w14:anchorId="5E61B931" id="Straight Arrow Connector 224" o:spid="_x0000_s1026" type="#_x0000_t32" style="position:absolute;margin-left:2in;margin-top:17pt;width:.6pt;height:2pt;rotation:180;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">
                <v:stroke startarrowwidth="narrow" startarrowlength="short" endarrow="block" joinstyle="miter"/>
              </v:shape>
            </w:pict>
          </mc:Fallback>
        </mc:AlternateContent>
      </w:r>
    </w:p>
    <w:p w14:paraId="10A5D1BD" w14:textId="77777777" w:rsidR="000064D4" w:rsidRPr="00AE4E03" w:rsidRDefault="000064D4" w:rsidP="000064D4">
      <w:pPr>
        <w:spacing w:line="240" w:lineRule="auto"/>
        <w:rPr>
          <w:rFonts w:ascii="Times New Roman" w:eastAsia="Times New Roman" w:hAnsi="Times New Roman" w:cs="Times New Roman"/>
          <w:color w:val="000000" w:themeColor="text1"/>
          <w:kern w:val="0"/>
          <w:lang w:eastAsia="en-IN" w:bidi="ml-IN"/>
          <w14:ligatures w14:val="none"/>
        </w:rPr>
      </w:pPr>
    </w:p>
    <w:p w14:paraId="446BE772" w14:textId="77777777" w:rsidR="000064D4" w:rsidRPr="00AE4E03" w:rsidRDefault="000064D4" w:rsidP="000064D4">
      <w:pPr>
        <w:spacing w:line="240" w:lineRule="auto"/>
        <w:rPr>
          <w:rFonts w:ascii="Times New Roman" w:eastAsia="Times New Roman" w:hAnsi="Times New Roman" w:cs="Times New Roman"/>
          <w:color w:val="000000" w:themeColor="text1"/>
          <w:kern w:val="0"/>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83840" behindDoc="0" locked="0" layoutInCell="1" hidden="0" allowOverlap="1" wp14:anchorId="305A3E90" wp14:editId="111EED30">
                <wp:simplePos x="0" y="0"/>
                <wp:positionH relativeFrom="column">
                  <wp:posOffset>-365760</wp:posOffset>
                </wp:positionH>
                <wp:positionV relativeFrom="paragraph">
                  <wp:posOffset>110490</wp:posOffset>
                </wp:positionV>
                <wp:extent cx="2095500" cy="922020"/>
                <wp:effectExtent l="0" t="0" r="19050" b="11430"/>
                <wp:wrapNone/>
                <wp:docPr id="203" name="Rectangle 203"/>
                <wp:cNvGraphicFramePr/>
                <a:graphic xmlns:a="http://schemas.openxmlformats.org/drawingml/2006/main">
                  <a:graphicData uri="http://schemas.microsoft.com/office/word/2010/wordprocessingShape">
                    <wps:wsp>
                      <wps:cNvSpPr/>
                      <wps:spPr>
                        <a:xfrm>
                          <a:off x="0" y="0"/>
                          <a:ext cx="2095500" cy="92202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F69E943" w14:textId="77777777" w:rsidR="000064D4" w:rsidRDefault="000064D4" w:rsidP="000064D4">
                            <w:pPr>
                              <w:spacing w:after="0" w:line="240" w:lineRule="auto"/>
                              <w:textDirection w:val="btLr"/>
                              <w:rPr>
                                <w:rFonts w:ascii="Times New Roman" w:eastAsia="Times New Roman" w:hAnsi="Times New Roman" w:cs="Times New Roman"/>
                                <w:color w:val="000000"/>
                                <w:sz w:val="20"/>
                              </w:rPr>
                            </w:pPr>
                          </w:p>
                          <w:p w14:paraId="2D2696E4"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*Learning opportunities amid stress</w:t>
                            </w:r>
                          </w:p>
                          <w:p w14:paraId="3C7783B7"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*Career advancement &amp; motivation</w:t>
                            </w:r>
                          </w:p>
                          <w:p w14:paraId="5004E9FB"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*Balancing challenges with goals</w:t>
                            </w:r>
                          </w:p>
                          <w:p w14:paraId="67912E9A" w14:textId="77777777" w:rsidR="000064D4" w:rsidRDefault="000064D4" w:rsidP="000064D4">
                            <w:pPr>
                              <w:spacing w:after="0" w:line="240" w:lineRule="auto"/>
                              <w:textDirection w:val="btLr"/>
                            </w:pPr>
                          </w:p>
                          <w:p w14:paraId="47B5C3C7" w14:textId="77777777" w:rsidR="000064D4" w:rsidRDefault="000064D4" w:rsidP="000064D4">
                            <w:pPr>
                              <w:spacing w:after="0" w:line="240" w:lineRule="auto"/>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305A3E90" id="Rectangle 203" o:spid="_x0000_s1042" style="position:absolute;margin-left:-28.8pt;margin-top:8.7pt;width:165pt;height:72.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" strokeweight="1pt">
                <v:stroke startarrowwidth="narrow" startarrowlength="short" endarrowwidth="narrow" endarrowlength="short"/>
                <v:textbox inset="2.53958mm,1.2694mm,2.53958mm,1.2694mm">
                  <w:txbxContent>
                    <w:p w14:paraId="4F69E943" w14:textId="77777777" w:rsidR="000064D4" w:rsidRDefault="000064D4" w:rsidP="000064D4">
                      <w:pPr>
                        <w:spacing w:after="0" w:line="240" w:lineRule="auto"/>
                        <w:textDirection w:val="btLr"/>
                        <w:rPr>
                          <w:rFonts w:ascii="Times New Roman" w:eastAsia="Times New Roman" w:hAnsi="Times New Roman" w:cs="Times New Roman"/>
                          <w:color w:val="000000"/>
                          <w:sz w:val="20"/>
                        </w:rPr>
                      </w:pPr>
                    </w:p>
                    <w:p w14:paraId="2D2696E4"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*Learning opportunities amid stress</w:t>
                      </w:r>
                    </w:p>
                    <w:p w14:paraId="3C7783B7"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*Career advancement &amp; motivation</w:t>
                      </w:r>
                    </w:p>
                    <w:p w14:paraId="5004E9FB"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*Balancing challenges with goals</w:t>
                      </w:r>
                    </w:p>
                    <w:p w14:paraId="67912E9A" w14:textId="77777777" w:rsidR="000064D4" w:rsidRDefault="000064D4" w:rsidP="000064D4">
                      <w:pPr>
                        <w:spacing w:after="0" w:line="240" w:lineRule="auto"/>
                        <w:textDirection w:val="btLr"/>
                      </w:pPr>
                    </w:p>
                    <w:p w14:paraId="47B5C3C7" w14:textId="77777777" w:rsidR="000064D4" w:rsidRDefault="000064D4" w:rsidP="000064D4">
                      <w:pPr>
                        <w:spacing w:after="0" w:line="240" w:lineRule="auto"/>
                        <w:textDirection w:val="btLr"/>
                      </w:pPr>
                    </w:p>
                  </w:txbxContent>
                </v:textbox>
              </v:rect>
            </w:pict>
          </mc:Fallback>
        </mc:AlternateContent>
      </w:r>
    </w:p>
    <w:p w14:paraId="7A9AEB8F" w14:textId="77777777" w:rsidR="000064D4" w:rsidRPr="00AE4E03" w:rsidRDefault="000064D4" w:rsidP="000064D4">
      <w:pPr>
        <w:spacing w:line="240" w:lineRule="auto"/>
        <w:rPr>
          <w:rFonts w:ascii="Times New Roman" w:eastAsia="Times New Roman" w:hAnsi="Times New Roman" w:cs="Times New Roman"/>
          <w:color w:val="000000" w:themeColor="text1"/>
          <w:kern w:val="0"/>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84864" behindDoc="0" locked="0" layoutInCell="1" hidden="0" allowOverlap="1" wp14:anchorId="6A7DF9DD" wp14:editId="7DE792A9">
                <wp:simplePos x="0" y="0"/>
                <wp:positionH relativeFrom="column">
                  <wp:posOffset>2260600</wp:posOffset>
                </wp:positionH>
                <wp:positionV relativeFrom="paragraph">
                  <wp:posOffset>177800</wp:posOffset>
                </wp:positionV>
                <wp:extent cx="1716510" cy="644228"/>
                <wp:effectExtent l="0" t="0" r="0" b="0"/>
                <wp:wrapNone/>
                <wp:docPr id="216" name="Rectangle: Rounded Corners 216"/>
                <wp:cNvGraphicFramePr/>
                <a:graphic xmlns:a="http://schemas.openxmlformats.org/drawingml/2006/main">
                  <a:graphicData uri="http://schemas.microsoft.com/office/word/2010/wordprocessingShape">
                    <wps:wsp>
                      <wps:cNvSpPr/>
                      <wps:spPr>
                        <a:xfrm>
                          <a:off x="4494095" y="3464236"/>
                          <a:ext cx="1703810" cy="631528"/>
                        </a:xfrm>
                        <a:prstGeom prst="roundRect">
                          <a:avLst>
                            <a:gd name="adj" fmla="val 16667"/>
                          </a:avLst>
                        </a:prstGeom>
                        <a:solidFill>
                          <a:srgbClr val="FFFFFF"/>
                        </a:solidFill>
                        <a:ln w="12700" cap="flat" cmpd="sng">
                          <a:solidFill>
                            <a:srgbClr val="000000"/>
                          </a:solidFill>
                          <a:prstDash val="solid"/>
                          <a:miter lim="800000"/>
                          <a:headEnd type="none" w="sm" len="sm"/>
                          <a:tailEnd type="none" w="sm" len="sm"/>
                        </a:ln>
                      </wps:spPr>
                      <wps:txbx>
                        <w:txbxContent>
                          <w:p w14:paraId="4CC72A01" w14:textId="77777777" w:rsidR="000064D4" w:rsidRPr="0052354D" w:rsidRDefault="000064D4" w:rsidP="000064D4">
                            <w:pPr>
                              <w:spacing w:after="0" w:line="240" w:lineRule="auto"/>
                              <w:jc w:val="center"/>
                              <w:textDirection w:val="btLr"/>
                              <w:rPr>
                                <w:rFonts w:ascii="Times New Roman" w:hAnsi="Times New Roman" w:cs="Times New Roman"/>
                                <w:sz w:val="24"/>
                                <w:szCs w:val="24"/>
                                <w:lang w:val="en-US"/>
                              </w:rPr>
                            </w:pPr>
                            <w:r w:rsidRPr="0052354D">
                              <w:rPr>
                                <w:rFonts w:ascii="Times New Roman" w:hAnsi="Times New Roman" w:cs="Times New Roman"/>
                                <w:sz w:val="24"/>
                                <w:szCs w:val="24"/>
                                <w:lang w:val="en-US"/>
                              </w:rPr>
                              <w:t>Taxing yet gainful workload</w:t>
                            </w:r>
                          </w:p>
                        </w:txbxContent>
                      </wps:txbx>
                      <wps:bodyPr spcFirstLastPara="1" wrap="square" lIns="91425" tIns="45700" rIns="91425" bIns="45700" anchor="ctr" anchorCtr="0">
                        <a:noAutofit/>
                      </wps:bodyPr>
                    </wps:wsp>
                  </a:graphicData>
                </a:graphic>
              </wp:anchor>
            </w:drawing>
          </mc:Choice>
          <mc:Fallback>
            <w:pict>
              <v:roundrect w14:anchorId="6A7DF9DD" id="Rectangle: Rounded Corners 216" o:spid="_x0000_s1043" style="position:absolute;margin-left:178pt;margin-top:14pt;width:135.15pt;height:50.75pt;z-index:251684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" strokeweight="1pt">
                <v:stroke startarrowwidth="narrow" startarrowlength="short" endarrowwidth="narrow" endarrowlength="short" joinstyle="miter"/>
                <v:textbox inset="2.53958mm,1.2694mm,2.53958mm,1.2694mm">
                  <w:txbxContent>
                    <w:p w14:paraId="4CC72A01" w14:textId="77777777" w:rsidR="000064D4" w:rsidRPr="0052354D" w:rsidRDefault="000064D4" w:rsidP="000064D4">
                      <w:pPr>
                        <w:spacing w:after="0" w:line="240" w:lineRule="auto"/>
                        <w:jc w:val="center"/>
                        <w:textDirection w:val="btLr"/>
                        <w:rPr>
                          <w:rFonts w:ascii="Times New Roman" w:hAnsi="Times New Roman" w:cs="Times New Roman"/>
                          <w:sz w:val="24"/>
                          <w:szCs w:val="24"/>
                          <w:lang w:val="en-US"/>
                        </w:rPr>
                      </w:pPr>
                      <w:r w:rsidRPr="0052354D">
                        <w:rPr>
                          <w:rFonts w:ascii="Times New Roman" w:hAnsi="Times New Roman" w:cs="Times New Roman"/>
                          <w:sz w:val="24"/>
                          <w:szCs w:val="24"/>
                          <w:lang w:val="en-US"/>
                        </w:rPr>
                        <w:t>Taxing yet gainful workload</w:t>
                      </w:r>
                    </w:p>
                  </w:txbxContent>
                </v:textbox>
              </v:roundrect>
            </w:pict>
          </mc:Fallback>
        </mc:AlternateContent>
      </w:r>
    </w:p>
    <w:p w14:paraId="244BC36A" w14:textId="77777777" w:rsidR="000064D4" w:rsidRPr="00AE4E03" w:rsidRDefault="000064D4" w:rsidP="000064D4">
      <w:pPr>
        <w:spacing w:line="240" w:lineRule="auto"/>
        <w:rPr>
          <w:rFonts w:ascii="Times New Roman" w:eastAsia="Times New Roman" w:hAnsi="Times New Roman" w:cs="Times New Roman"/>
          <w:color w:val="000000" w:themeColor="text1"/>
          <w:kern w:val="0"/>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700224" behindDoc="0" locked="0" layoutInCell="1" allowOverlap="1" wp14:anchorId="37F25581" wp14:editId="66C7164B">
                <wp:simplePos x="0" y="0"/>
                <wp:positionH relativeFrom="column">
                  <wp:posOffset>1813559</wp:posOffset>
                </wp:positionH>
                <wp:positionV relativeFrom="paragraph">
                  <wp:posOffset>247650</wp:posOffset>
                </wp:positionV>
                <wp:extent cx="411481" cy="114300"/>
                <wp:effectExtent l="0" t="19050" r="45720" b="38100"/>
                <wp:wrapNone/>
                <wp:docPr id="18" name="Arrow: Right 18"/>
                <wp:cNvGraphicFramePr/>
                <a:graphic xmlns:a="http://schemas.openxmlformats.org/drawingml/2006/main">
                  <a:graphicData uri="http://schemas.microsoft.com/office/word/2010/wordprocessingShape">
                    <wps:wsp>
                      <wps:cNvSpPr/>
                      <wps:spPr>
                        <a:xfrm>
                          <a:off x="0" y="0"/>
                          <a:ext cx="411481" cy="114300"/>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479FBBD" id="Arrow: Right 18" o:spid="_x0000_s1026" type="#_x0000_t13" style="position:absolute;margin-left:142.8pt;margin-top:19.5pt;width:32.4pt;height:9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" adj="18600" fillcolor="windowText" strokeweight="1pt"/>
            </w:pict>
          </mc:Fallback>
        </mc:AlternateContent>
      </w:r>
    </w:p>
    <w:p w14:paraId="099473BB" w14:textId="77777777" w:rsidR="000064D4" w:rsidRPr="00AE4E03" w:rsidRDefault="000064D4" w:rsidP="000064D4">
      <w:pPr>
        <w:spacing w:line="240" w:lineRule="auto"/>
        <w:rPr>
          <w:rFonts w:ascii="Times New Roman" w:eastAsia="Times New Roman" w:hAnsi="Times New Roman" w:cs="Times New Roman"/>
          <w:color w:val="000000" w:themeColor="text1"/>
          <w:kern w:val="0"/>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89984" behindDoc="0" locked="0" layoutInCell="1" hidden="0" allowOverlap="1" wp14:anchorId="7EAF32AE" wp14:editId="22382B95">
                <wp:simplePos x="0" y="0"/>
                <wp:positionH relativeFrom="column">
                  <wp:posOffset>-358140</wp:posOffset>
                </wp:positionH>
                <wp:positionV relativeFrom="paragraph">
                  <wp:posOffset>314325</wp:posOffset>
                </wp:positionV>
                <wp:extent cx="2095500" cy="850900"/>
                <wp:effectExtent l="0" t="0" r="19050" b="25400"/>
                <wp:wrapNone/>
                <wp:docPr id="220" name="Rectangle 220"/>
                <wp:cNvGraphicFramePr/>
                <a:graphic xmlns:a="http://schemas.openxmlformats.org/drawingml/2006/main">
                  <a:graphicData uri="http://schemas.microsoft.com/office/word/2010/wordprocessingShape">
                    <wps:wsp>
                      <wps:cNvSpPr/>
                      <wps:spPr>
                        <a:xfrm>
                          <a:off x="0" y="0"/>
                          <a:ext cx="2095500" cy="85090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046C1F5C"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*Family support and resilience</w:t>
                            </w:r>
                          </w:p>
                          <w:p w14:paraId="42FBCB23"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*Positive outlook and energy</w:t>
                            </w:r>
                          </w:p>
                          <w:p w14:paraId="50ACD8D4"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w:t>
                            </w:r>
                            <w:r w:rsidRPr="00D96E86">
                              <w:rPr>
                                <w:rFonts w:ascii="Times New Roman" w:eastAsia="Times New Roman" w:hAnsi="Times New Roman" w:cs="Times New Roman"/>
                                <w:color w:val="000000"/>
                                <w:sz w:val="20"/>
                              </w:rPr>
                              <w:t>L</w:t>
                            </w:r>
                            <w:r>
                              <w:rPr>
                                <w:rFonts w:ascii="Times New Roman" w:eastAsia="Times New Roman" w:hAnsi="Times New Roman" w:cs="Times New Roman"/>
                                <w:color w:val="000000"/>
                                <w:sz w:val="20"/>
                              </w:rPr>
                              <w:t>ong term goals and motivation</w:t>
                            </w:r>
                          </w:p>
                          <w:p w14:paraId="12071210" w14:textId="77777777" w:rsidR="000064D4" w:rsidRDefault="000064D4" w:rsidP="000064D4">
                            <w:pPr>
                              <w:spacing w:after="0" w:line="240" w:lineRule="auto"/>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7EAF32AE" id="Rectangle 220" o:spid="_x0000_s1044" style="position:absolute;margin-left:-28.2pt;margin-top:24.75pt;width:165pt;height:6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" strokeweight="1pt">
                <v:stroke startarrowwidth="narrow" startarrowlength="short" endarrowwidth="narrow" endarrowlength="short"/>
                <v:textbox inset="2.53958mm,1.2694mm,2.53958mm,1.2694mm">
                  <w:txbxContent>
                    <w:p w14:paraId="046C1F5C"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*Family support and resilience</w:t>
                      </w:r>
                    </w:p>
                    <w:p w14:paraId="42FBCB23"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*Positive outlook and energy</w:t>
                      </w:r>
                    </w:p>
                    <w:p w14:paraId="50ACD8D4"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w:t>
                      </w:r>
                      <w:r w:rsidRPr="00D96E86">
                        <w:rPr>
                          <w:rFonts w:ascii="Times New Roman" w:eastAsia="Times New Roman" w:hAnsi="Times New Roman" w:cs="Times New Roman"/>
                          <w:color w:val="000000"/>
                          <w:sz w:val="20"/>
                        </w:rPr>
                        <w:t>L</w:t>
                      </w:r>
                      <w:r>
                        <w:rPr>
                          <w:rFonts w:ascii="Times New Roman" w:eastAsia="Times New Roman" w:hAnsi="Times New Roman" w:cs="Times New Roman"/>
                          <w:color w:val="000000"/>
                          <w:sz w:val="20"/>
                        </w:rPr>
                        <w:t>ong term goals and motivation</w:t>
                      </w:r>
                    </w:p>
                    <w:p w14:paraId="12071210" w14:textId="77777777" w:rsidR="000064D4" w:rsidRDefault="000064D4" w:rsidP="000064D4">
                      <w:pPr>
                        <w:spacing w:after="0" w:line="240" w:lineRule="auto"/>
                        <w:textDirection w:val="btLr"/>
                      </w:pPr>
                    </w:p>
                  </w:txbxContent>
                </v:textbox>
              </v:rect>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87936" behindDoc="0" locked="0" layoutInCell="1" hidden="0" allowOverlap="1" wp14:anchorId="5FECBC08" wp14:editId="17F674FF">
                <wp:simplePos x="0" y="0"/>
                <wp:positionH relativeFrom="column">
                  <wp:posOffset>4632960</wp:posOffset>
                </wp:positionH>
                <wp:positionV relativeFrom="paragraph">
                  <wp:posOffset>177165</wp:posOffset>
                </wp:positionV>
                <wp:extent cx="1638300" cy="1196340"/>
                <wp:effectExtent l="0" t="0" r="19050" b="22860"/>
                <wp:wrapNone/>
                <wp:docPr id="209" name="Oval 209"/>
                <wp:cNvGraphicFramePr/>
                <a:graphic xmlns:a="http://schemas.openxmlformats.org/drawingml/2006/main">
                  <a:graphicData uri="http://schemas.microsoft.com/office/word/2010/wordprocessingShape">
                    <wps:wsp>
                      <wps:cNvSpPr/>
                      <wps:spPr>
                        <a:xfrm>
                          <a:off x="0" y="0"/>
                          <a:ext cx="1638300" cy="1196340"/>
                        </a:xfrm>
                        <a:prstGeom prst="ellipse">
                          <a:avLst/>
                        </a:prstGeom>
                        <a:solidFill>
                          <a:srgbClr val="FFFFFF"/>
                        </a:solidFill>
                        <a:ln w="12700" cap="flat" cmpd="sng">
                          <a:solidFill>
                            <a:srgbClr val="000000"/>
                          </a:solidFill>
                          <a:prstDash val="solid"/>
                          <a:miter lim="800000"/>
                          <a:headEnd type="none" w="sm" len="sm"/>
                          <a:tailEnd type="none" w="sm" len="sm"/>
                        </a:ln>
                      </wps:spPr>
                      <wps:txbx>
                        <w:txbxContent>
                          <w:p w14:paraId="7C0FB4D1" w14:textId="77777777" w:rsidR="000064D4" w:rsidRPr="0011526A" w:rsidRDefault="000064D4" w:rsidP="000064D4">
                            <w:pPr>
                              <w:spacing w:line="255" w:lineRule="auto"/>
                              <w:jc w:val="center"/>
                              <w:textDirection w:val="btL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Professional Growth with Resilience</w:t>
                            </w:r>
                          </w:p>
                          <w:p w14:paraId="0198B8E8" w14:textId="77777777" w:rsidR="000064D4" w:rsidRDefault="000064D4" w:rsidP="000064D4">
                            <w:pPr>
                              <w:spacing w:line="255" w:lineRule="auto"/>
                              <w:jc w:val="center"/>
                              <w:textDirection w:val="btLr"/>
                            </w:pPr>
                          </w:p>
                          <w:p w14:paraId="5AFA3CE0" w14:textId="77777777" w:rsidR="000064D4" w:rsidRDefault="000064D4" w:rsidP="000064D4">
                            <w:pPr>
                              <w:spacing w:line="255"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oval w14:anchorId="5FECBC08" id="Oval 209" o:spid="_x0000_s1045" style="position:absolute;margin-left:364.8pt;margin-top:13.95pt;width:129pt;height:94.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" strokeweight="1pt">
                <v:stroke startarrowwidth="narrow" startarrowlength="short" endarrowwidth="narrow" endarrowlength="short" joinstyle="miter"/>
                <v:textbox inset="2.53958mm,1.2694mm,2.53958mm,1.2694mm">
                  <w:txbxContent>
                    <w:p w14:paraId="7C0FB4D1" w14:textId="77777777" w:rsidR="000064D4" w:rsidRPr="0011526A" w:rsidRDefault="000064D4" w:rsidP="000064D4">
                      <w:pPr>
                        <w:spacing w:line="255" w:lineRule="auto"/>
                        <w:jc w:val="center"/>
                        <w:textDirection w:val="btL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Professional Growth with Resilience</w:t>
                      </w:r>
                    </w:p>
                    <w:p w14:paraId="0198B8E8" w14:textId="77777777" w:rsidR="000064D4" w:rsidRDefault="000064D4" w:rsidP="000064D4">
                      <w:pPr>
                        <w:spacing w:line="255" w:lineRule="auto"/>
                        <w:jc w:val="center"/>
                        <w:textDirection w:val="btLr"/>
                      </w:pPr>
                    </w:p>
                    <w:p w14:paraId="5AFA3CE0" w14:textId="77777777" w:rsidR="000064D4" w:rsidRDefault="000064D4" w:rsidP="000064D4">
                      <w:pPr>
                        <w:spacing w:line="255" w:lineRule="auto"/>
                        <w:jc w:val="center"/>
                        <w:textDirection w:val="btLr"/>
                      </w:pPr>
                    </w:p>
                  </w:txbxContent>
                </v:textbox>
              </v:oval>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85888" behindDoc="0" locked="0" layoutInCell="1" hidden="0" allowOverlap="1" wp14:anchorId="64F3184D" wp14:editId="5CF82E9E">
                <wp:simplePos x="0" y="0"/>
                <wp:positionH relativeFrom="column">
                  <wp:posOffset>1879600</wp:posOffset>
                </wp:positionH>
                <wp:positionV relativeFrom="paragraph">
                  <wp:posOffset>12700</wp:posOffset>
                </wp:positionV>
                <wp:extent cx="7620" cy="25400"/>
                <wp:effectExtent l="0" t="0" r="0" b="0"/>
                <wp:wrapNone/>
                <wp:docPr id="213" name="Straight Arrow Connector 213"/>
                <wp:cNvGraphicFramePr/>
                <a:graphic xmlns:a="http://schemas.openxmlformats.org/drawingml/2006/main">
                  <a:graphicData uri="http://schemas.microsoft.com/office/word/2010/wordprocessingShape">
                    <wps:wsp>
                      <wps:cNvCnPr/>
                      <wps:spPr>
                        <a:xfrm rot="10800000" flipH="1">
                          <a:off x="5174550" y="3776190"/>
                          <a:ext cx="342900" cy="7620"/>
                        </a:xfrm>
                        <a:prstGeom prst="straightConnector1">
                          <a:avLst/>
                        </a:prstGeom>
                        <a:noFill/>
                        <a:ln w="9525" cap="flat" cmpd="sng">
                          <a:solidFill>
                            <a:srgbClr val="000000"/>
                          </a:solidFill>
                          <a:prstDash val="solid"/>
                          <a:miter lim="800000"/>
                          <a:headEnd type="none" w="sm" len="sm"/>
                          <a:tailEnd type="triangle" w="med" len="med"/>
                        </a:ln>
                      </wps:spPr>
                      <wps:bodyPr/>
                    </wps:wsp>
                  </a:graphicData>
                </a:graphic>
              </wp:anchor>
            </w:drawing>
          </mc:Choice>
          <mc:Fallback>
            <w:pict>
              <v:shape w14:anchorId="1A7521D8" id="Straight Arrow Connector 213" o:spid="_x0000_s1026" type="#_x0000_t32" style="position:absolute;margin-left:148pt;margin-top:1pt;width:.6pt;height:2pt;rotation:180;flip:x;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">
                <v:stroke startarrowwidth="narrow" startarrowlength="short" endarrow="block" joinstyle="miter"/>
              </v:shape>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86912" behindDoc="0" locked="0" layoutInCell="1" hidden="0" allowOverlap="1" wp14:anchorId="38214BC6" wp14:editId="7064C5BD">
                <wp:simplePos x="0" y="0"/>
                <wp:positionH relativeFrom="column">
                  <wp:posOffset>4114800</wp:posOffset>
                </wp:positionH>
                <wp:positionV relativeFrom="paragraph">
                  <wp:posOffset>0</wp:posOffset>
                </wp:positionV>
                <wp:extent cx="180340" cy="1818005"/>
                <wp:effectExtent l="0" t="0" r="0" b="0"/>
                <wp:wrapNone/>
                <wp:docPr id="205" name="Right Brace 205"/>
                <wp:cNvGraphicFramePr/>
                <a:graphic xmlns:a="http://schemas.openxmlformats.org/drawingml/2006/main">
                  <a:graphicData uri="http://schemas.microsoft.com/office/word/2010/wordprocessingShape">
                    <wps:wsp>
                      <wps:cNvSpPr/>
                      <wps:spPr>
                        <a:xfrm>
                          <a:off x="5260593" y="2875760"/>
                          <a:ext cx="170815" cy="1808480"/>
                        </a:xfrm>
                        <a:prstGeom prst="rightBrace">
                          <a:avLst>
                            <a:gd name="adj1" fmla="val 8333"/>
                            <a:gd name="adj2" fmla="val 50000"/>
                          </a:avLst>
                        </a:prstGeom>
                        <a:noFill/>
                        <a:ln w="9525" cap="flat" cmpd="sng">
                          <a:solidFill>
                            <a:sysClr val="windowText" lastClr="000000"/>
                          </a:solidFill>
                          <a:prstDash val="solid"/>
                          <a:miter lim="800000"/>
                          <a:headEnd type="none" w="sm" len="sm"/>
                          <a:tailEnd type="none" w="sm" len="sm"/>
                        </a:ln>
                      </wps:spPr>
                      <wps:txbx>
                        <w:txbxContent>
                          <w:p w14:paraId="4FAD3536" w14:textId="77777777" w:rsidR="000064D4" w:rsidRDefault="000064D4" w:rsidP="000064D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38214BC6" id="Right Brace 205" o:spid="_x0000_s1046" type="#_x0000_t88" style="position:absolute;margin-left:324pt;margin-top:0;width:14.2pt;height:143.1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" adj="170" strokecolor="windowText">
                <v:stroke startarrowwidth="narrow" startarrowlength="short" endarrowwidth="narrow" endarrowlength="short" joinstyle="miter"/>
                <v:textbox inset="2.53958mm,2.53958mm,2.53958mm,2.53958mm">
                  <w:txbxContent>
                    <w:p w14:paraId="4FAD3536" w14:textId="77777777" w:rsidR="000064D4" w:rsidRDefault="000064D4" w:rsidP="000064D4">
                      <w:pPr>
                        <w:spacing w:after="0" w:line="240" w:lineRule="auto"/>
                        <w:textDirection w:val="btLr"/>
                      </w:pPr>
                    </w:p>
                  </w:txbxContent>
                </v:textbox>
              </v:shape>
            </w:pict>
          </mc:Fallback>
        </mc:AlternateContent>
      </w:r>
    </w:p>
    <w:p w14:paraId="1F288595" w14:textId="77777777" w:rsidR="000064D4" w:rsidRPr="00AE4E03" w:rsidRDefault="000064D4" w:rsidP="000064D4">
      <w:pPr>
        <w:spacing w:line="240" w:lineRule="auto"/>
        <w:jc w:val="center"/>
        <w:rPr>
          <w:rFonts w:ascii="Times New Roman" w:eastAsia="Times New Roman" w:hAnsi="Times New Roman" w:cs="Times New Roman"/>
          <w:color w:val="000000" w:themeColor="text1"/>
          <w:kern w:val="0"/>
          <w:lang w:eastAsia="en-IN" w:bidi="ml-IN"/>
          <w14:ligatures w14:val="none"/>
        </w:rPr>
      </w:pPr>
      <w:r w:rsidRPr="00AE4E03">
        <w:rPr>
          <w:rFonts w:ascii="Times New Roman" w:eastAsia="Times New Roman" w:hAnsi="Times New Roman" w:cs="Times New Roman"/>
          <w:color w:val="000000" w:themeColor="text1"/>
          <w:kern w:val="0"/>
          <w:lang w:eastAsia="en-IN" w:bidi="ml-IN"/>
          <w14:ligatures w14:val="none"/>
        </w:rPr>
        <w:tab/>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88960" behindDoc="0" locked="0" layoutInCell="1" hidden="0" allowOverlap="1" wp14:anchorId="6502E98E" wp14:editId="3BC6DD34">
                <wp:simplePos x="0" y="0"/>
                <wp:positionH relativeFrom="column">
                  <wp:posOffset>2247900</wp:posOffset>
                </wp:positionH>
                <wp:positionV relativeFrom="paragraph">
                  <wp:posOffset>215900</wp:posOffset>
                </wp:positionV>
                <wp:extent cx="1716405" cy="643890"/>
                <wp:effectExtent l="0" t="0" r="0" b="0"/>
                <wp:wrapNone/>
                <wp:docPr id="215" name="Rectangle: Rounded Corners 215"/>
                <wp:cNvGraphicFramePr/>
                <a:graphic xmlns:a="http://schemas.openxmlformats.org/drawingml/2006/main">
                  <a:graphicData uri="http://schemas.microsoft.com/office/word/2010/wordprocessingShape">
                    <wps:wsp>
                      <wps:cNvSpPr/>
                      <wps:spPr>
                        <a:xfrm>
                          <a:off x="4494148" y="3464405"/>
                          <a:ext cx="1703705" cy="631190"/>
                        </a:xfrm>
                        <a:prstGeom prst="roundRect">
                          <a:avLst>
                            <a:gd name="adj" fmla="val 16667"/>
                          </a:avLst>
                        </a:prstGeom>
                        <a:solidFill>
                          <a:srgbClr val="FFFFFF"/>
                        </a:solidFill>
                        <a:ln w="12700" cap="flat" cmpd="sng">
                          <a:solidFill>
                            <a:srgbClr val="000000"/>
                          </a:solidFill>
                          <a:prstDash val="solid"/>
                          <a:miter lim="800000"/>
                          <a:headEnd type="none" w="sm" len="sm"/>
                          <a:tailEnd type="none" w="sm" len="sm"/>
                        </a:ln>
                      </wps:spPr>
                      <wps:txbx>
                        <w:txbxContent>
                          <w:p w14:paraId="07C7C25E" w14:textId="77777777" w:rsidR="000064D4" w:rsidRPr="0052354D" w:rsidRDefault="000064D4" w:rsidP="000064D4">
                            <w:pPr>
                              <w:spacing w:after="0" w:line="240" w:lineRule="auto"/>
                              <w:jc w:val="center"/>
                              <w:textDirection w:val="btLr"/>
                              <w:rPr>
                                <w:rFonts w:ascii="Times New Roman" w:eastAsia="Times New Roman" w:hAnsi="Times New Roman" w:cs="Times New Roman"/>
                                <w:color w:val="000000"/>
                                <w:sz w:val="24"/>
                                <w:szCs w:val="20"/>
                                <w:lang w:val="en-US"/>
                              </w:rPr>
                            </w:pPr>
                            <w:r>
                              <w:rPr>
                                <w:rFonts w:ascii="Times New Roman" w:eastAsia="Times New Roman" w:hAnsi="Times New Roman" w:cs="Times New Roman"/>
                                <w:color w:val="000000"/>
                                <w:sz w:val="24"/>
                                <w:szCs w:val="20"/>
                                <w:lang w:val="en-US"/>
                              </w:rPr>
                              <w:t>Means to the family’s cause</w:t>
                            </w:r>
                          </w:p>
                        </w:txbxContent>
                      </wps:txbx>
                      <wps:bodyPr spcFirstLastPara="1" wrap="square" lIns="91425" tIns="45700" rIns="91425" bIns="45700" anchor="ctr" anchorCtr="0">
                        <a:noAutofit/>
                      </wps:bodyPr>
                    </wps:wsp>
                  </a:graphicData>
                </a:graphic>
              </wp:anchor>
            </w:drawing>
          </mc:Choice>
          <mc:Fallback>
            <w:pict>
              <v:roundrect w14:anchorId="6502E98E" id="Rectangle: Rounded Corners 215" o:spid="_x0000_s1047" style="position:absolute;left:0;text-align:left;margin-left:177pt;margin-top:17pt;width:135.15pt;height:50.7pt;z-index:2516889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" strokeweight="1pt">
                <v:stroke startarrowwidth="narrow" startarrowlength="short" endarrowwidth="narrow" endarrowlength="short" joinstyle="miter"/>
                <v:textbox inset="2.53958mm,1.2694mm,2.53958mm,1.2694mm">
                  <w:txbxContent>
                    <w:p w14:paraId="07C7C25E" w14:textId="77777777" w:rsidR="000064D4" w:rsidRPr="0052354D" w:rsidRDefault="000064D4" w:rsidP="000064D4">
                      <w:pPr>
                        <w:spacing w:after="0" w:line="240" w:lineRule="auto"/>
                        <w:jc w:val="center"/>
                        <w:textDirection w:val="btLr"/>
                        <w:rPr>
                          <w:rFonts w:ascii="Times New Roman" w:eastAsia="Times New Roman" w:hAnsi="Times New Roman" w:cs="Times New Roman"/>
                          <w:color w:val="000000"/>
                          <w:sz w:val="24"/>
                          <w:szCs w:val="20"/>
                          <w:lang w:val="en-US"/>
                        </w:rPr>
                      </w:pPr>
                      <w:r>
                        <w:rPr>
                          <w:rFonts w:ascii="Times New Roman" w:eastAsia="Times New Roman" w:hAnsi="Times New Roman" w:cs="Times New Roman"/>
                          <w:color w:val="000000"/>
                          <w:sz w:val="24"/>
                          <w:szCs w:val="20"/>
                          <w:lang w:val="en-US"/>
                        </w:rPr>
                        <w:t>Means to the family’s cause</w:t>
                      </w:r>
                    </w:p>
                  </w:txbxContent>
                </v:textbox>
              </v:roundrect>
            </w:pict>
          </mc:Fallback>
        </mc:AlternateContent>
      </w:r>
    </w:p>
    <w:p w14:paraId="709964E4" w14:textId="77777777" w:rsidR="000064D4" w:rsidRPr="00AE4E03" w:rsidRDefault="000064D4" w:rsidP="000064D4">
      <w:pPr>
        <w:spacing w:line="240" w:lineRule="auto"/>
        <w:jc w:val="center"/>
        <w:rPr>
          <w:rFonts w:ascii="Times New Roman" w:eastAsia="Times New Roman" w:hAnsi="Times New Roman" w:cs="Times New Roman"/>
          <w:color w:val="000000" w:themeColor="text1"/>
          <w:kern w:val="0"/>
          <w:lang w:eastAsia="en-IN" w:bidi="ml-IN"/>
          <w14:ligatures w14:val="none"/>
        </w:rPr>
      </w:pPr>
    </w:p>
    <w:p w14:paraId="47C06EC5" w14:textId="77777777" w:rsidR="000064D4" w:rsidRPr="00AE4E03" w:rsidRDefault="000064D4" w:rsidP="000064D4">
      <w:pPr>
        <w:spacing w:line="240" w:lineRule="auto"/>
        <w:jc w:val="center"/>
        <w:rPr>
          <w:rFonts w:ascii="Times New Roman" w:eastAsia="Times New Roman" w:hAnsi="Times New Roman" w:cs="Times New Roman"/>
          <w:b/>
          <w:color w:val="000000" w:themeColor="text1"/>
          <w:kern w:val="0"/>
          <w:sz w:val="24"/>
          <w:szCs w:val="24"/>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702272" behindDoc="0" locked="0" layoutInCell="1" allowOverlap="1" wp14:anchorId="5720EDF4" wp14:editId="25559038">
                <wp:simplePos x="0" y="0"/>
                <wp:positionH relativeFrom="column">
                  <wp:posOffset>1780540</wp:posOffset>
                </wp:positionH>
                <wp:positionV relativeFrom="paragraph">
                  <wp:posOffset>14604</wp:posOffset>
                </wp:positionV>
                <wp:extent cx="411481" cy="114300"/>
                <wp:effectExtent l="0" t="19050" r="45720" b="38100"/>
                <wp:wrapNone/>
                <wp:docPr id="20" name="Arrow: Right 20"/>
                <wp:cNvGraphicFramePr/>
                <a:graphic xmlns:a="http://schemas.openxmlformats.org/drawingml/2006/main">
                  <a:graphicData uri="http://schemas.microsoft.com/office/word/2010/wordprocessingShape">
                    <wps:wsp>
                      <wps:cNvSpPr/>
                      <wps:spPr>
                        <a:xfrm>
                          <a:off x="0" y="0"/>
                          <a:ext cx="411481" cy="114300"/>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553337" id="Arrow: Right 20" o:spid="_x0000_s1026" type="#_x0000_t13" style="position:absolute;margin-left:140.2pt;margin-top:1.15pt;width:32.4pt;height:9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" adj="18600" fillcolor="windowText" strokeweight="1pt"/>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91008" behindDoc="0" locked="0" layoutInCell="1" hidden="0" allowOverlap="1" wp14:anchorId="5E8A815E" wp14:editId="0291E8DD">
                <wp:simplePos x="0" y="0"/>
                <wp:positionH relativeFrom="column">
                  <wp:posOffset>4140200</wp:posOffset>
                </wp:positionH>
                <wp:positionV relativeFrom="paragraph">
                  <wp:posOffset>12700</wp:posOffset>
                </wp:positionV>
                <wp:extent cx="387350" cy="191770"/>
                <wp:effectExtent l="0" t="0" r="0" b="0"/>
                <wp:wrapNone/>
                <wp:docPr id="201" name="Arrow: Right 201"/>
                <wp:cNvGraphicFramePr/>
                <a:graphic xmlns:a="http://schemas.openxmlformats.org/drawingml/2006/main">
                  <a:graphicData uri="http://schemas.microsoft.com/office/word/2010/wordprocessingShape">
                    <wps:wsp>
                      <wps:cNvSpPr/>
                      <wps:spPr>
                        <a:xfrm rot="10800000" flipH="1">
                          <a:off x="5158675" y="3690465"/>
                          <a:ext cx="374650" cy="179070"/>
                        </a:xfrm>
                        <a:prstGeom prst="rightArrow">
                          <a:avLst>
                            <a:gd name="adj1" fmla="val 50000"/>
                            <a:gd name="adj2" fmla="val 50000"/>
                          </a:avLst>
                        </a:prstGeom>
                        <a:solidFill>
                          <a:srgbClr val="000000"/>
                        </a:solidFill>
                        <a:ln w="12700" cap="flat" cmpd="sng">
                          <a:solidFill>
                            <a:srgbClr val="000000"/>
                          </a:solidFill>
                          <a:prstDash val="solid"/>
                          <a:miter lim="800000"/>
                          <a:headEnd type="none" w="sm" len="sm"/>
                          <a:tailEnd type="none" w="sm" len="sm"/>
                        </a:ln>
                      </wps:spPr>
                      <wps:txbx>
                        <w:txbxContent>
                          <w:p w14:paraId="449002B9" w14:textId="77777777" w:rsidR="000064D4" w:rsidRDefault="000064D4" w:rsidP="000064D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5E8A815E" id="Arrow: Right 201" o:spid="_x0000_s1048" type="#_x0000_t13" style="position:absolute;left:0;text-align:left;margin-left:326pt;margin-top:1pt;width:30.5pt;height:15.1pt;rotation:180;flip:x;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" adj="16438" fillcolor="black" strokeweight="1pt">
                <v:stroke startarrowwidth="narrow" startarrowlength="short" endarrowwidth="narrow" endarrowlength="short"/>
                <v:textbox inset="2.53958mm,2.53958mm,2.53958mm,2.53958mm">
                  <w:txbxContent>
                    <w:p w14:paraId="449002B9" w14:textId="77777777" w:rsidR="000064D4" w:rsidRDefault="000064D4" w:rsidP="000064D4">
                      <w:pPr>
                        <w:spacing w:after="0" w:line="240" w:lineRule="auto"/>
                        <w:textDirection w:val="btLr"/>
                      </w:pPr>
                    </w:p>
                  </w:txbxContent>
                </v:textbox>
              </v:shape>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92032" behindDoc="0" locked="0" layoutInCell="1" hidden="0" allowOverlap="1" wp14:anchorId="329F2779" wp14:editId="1EBA27DA">
                <wp:simplePos x="0" y="0"/>
                <wp:positionH relativeFrom="column">
                  <wp:posOffset>1828800</wp:posOffset>
                </wp:positionH>
                <wp:positionV relativeFrom="paragraph">
                  <wp:posOffset>38100</wp:posOffset>
                </wp:positionV>
                <wp:extent cx="7620" cy="25400"/>
                <wp:effectExtent l="0" t="0" r="0" b="0"/>
                <wp:wrapNone/>
                <wp:docPr id="221" name="Straight Arrow Connector 221"/>
                <wp:cNvGraphicFramePr/>
                <a:graphic xmlns:a="http://schemas.openxmlformats.org/drawingml/2006/main">
                  <a:graphicData uri="http://schemas.microsoft.com/office/word/2010/wordprocessingShape">
                    <wps:wsp>
                      <wps:cNvCnPr/>
                      <wps:spPr>
                        <a:xfrm rot="10800000" flipH="1">
                          <a:off x="5174550" y="3776190"/>
                          <a:ext cx="342900" cy="7620"/>
                        </a:xfrm>
                        <a:prstGeom prst="straightConnector1">
                          <a:avLst/>
                        </a:prstGeom>
                        <a:noFill/>
                        <a:ln w="9525" cap="flat" cmpd="sng">
                          <a:solidFill>
                            <a:srgbClr val="000000"/>
                          </a:solidFill>
                          <a:prstDash val="solid"/>
                          <a:miter lim="800000"/>
                          <a:headEnd type="none" w="sm" len="sm"/>
                          <a:tailEnd type="triangle" w="med" len="med"/>
                        </a:ln>
                      </wps:spPr>
                      <wps:bodyPr/>
                    </wps:wsp>
                  </a:graphicData>
                </a:graphic>
              </wp:anchor>
            </w:drawing>
          </mc:Choice>
          <mc:Fallback>
            <w:pict>
              <v:shape w14:anchorId="541326CB" id="Straight Arrow Connector 221" o:spid="_x0000_s1026" type="#_x0000_t32" style="position:absolute;margin-left:2in;margin-top:3pt;width:.6pt;height:2pt;rotation:180;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">
                <v:stroke startarrowwidth="narrow" startarrowlength="short" endarrow="block" joinstyle="miter"/>
              </v:shape>
            </w:pict>
          </mc:Fallback>
        </mc:AlternateContent>
      </w:r>
    </w:p>
    <w:p w14:paraId="3C6663CB" w14:textId="77777777" w:rsidR="000064D4" w:rsidRPr="00AE4E03" w:rsidRDefault="000064D4" w:rsidP="000064D4">
      <w:pPr>
        <w:spacing w:line="240" w:lineRule="auto"/>
        <w:jc w:val="center"/>
        <w:rPr>
          <w:rFonts w:ascii="Times New Roman" w:eastAsia="Times New Roman" w:hAnsi="Times New Roman" w:cs="Times New Roman"/>
          <w:b/>
          <w:color w:val="000000" w:themeColor="text1"/>
          <w:kern w:val="0"/>
          <w:sz w:val="24"/>
          <w:szCs w:val="24"/>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93056" behindDoc="0" locked="0" layoutInCell="1" hidden="0" allowOverlap="1" wp14:anchorId="669786F9" wp14:editId="5E21E1CF">
                <wp:simplePos x="0" y="0"/>
                <wp:positionH relativeFrom="column">
                  <wp:posOffset>-342900</wp:posOffset>
                </wp:positionH>
                <wp:positionV relativeFrom="paragraph">
                  <wp:posOffset>210820</wp:posOffset>
                </wp:positionV>
                <wp:extent cx="2049780" cy="998220"/>
                <wp:effectExtent l="0" t="0" r="26670" b="11430"/>
                <wp:wrapNone/>
                <wp:docPr id="199" name="Rectangle 199"/>
                <wp:cNvGraphicFramePr/>
                <a:graphic xmlns:a="http://schemas.openxmlformats.org/drawingml/2006/main">
                  <a:graphicData uri="http://schemas.microsoft.com/office/word/2010/wordprocessingShape">
                    <wps:wsp>
                      <wps:cNvSpPr/>
                      <wps:spPr>
                        <a:xfrm>
                          <a:off x="0" y="0"/>
                          <a:ext cx="2049780" cy="99822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5294003"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*Boundary setting and adaptation</w:t>
                            </w:r>
                          </w:p>
                          <w:p w14:paraId="3A8987D6"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*Efficient teamwork &amp; communication</w:t>
                            </w:r>
                          </w:p>
                          <w:p w14:paraId="492CE0ED"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*Enabling a supportive work environment &amp; recovery</w:t>
                            </w:r>
                          </w:p>
                          <w:p w14:paraId="59BDC92D" w14:textId="77777777" w:rsidR="000064D4" w:rsidRDefault="000064D4" w:rsidP="000064D4">
                            <w:pPr>
                              <w:spacing w:after="0" w:line="240" w:lineRule="auto"/>
                              <w:textDirection w:val="btLr"/>
                            </w:pPr>
                          </w:p>
                          <w:p w14:paraId="60DB9E75" w14:textId="77777777" w:rsidR="000064D4" w:rsidRDefault="000064D4" w:rsidP="000064D4">
                            <w:pPr>
                              <w:spacing w:after="0" w:line="240" w:lineRule="auto"/>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69786F9" id="Rectangle 199" o:spid="_x0000_s1049" style="position:absolute;left:0;text-align:left;margin-left:-27pt;margin-top:16.6pt;width:161.4pt;height:78.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" strokeweight="1pt">
                <v:stroke startarrowwidth="narrow" startarrowlength="short" endarrowwidth="narrow" endarrowlength="short"/>
                <v:textbox inset="2.53958mm,1.2694mm,2.53958mm,1.2694mm">
                  <w:txbxContent>
                    <w:p w14:paraId="25294003"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*Boundary setting and adaptation</w:t>
                      </w:r>
                    </w:p>
                    <w:p w14:paraId="3A8987D6"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*Efficient teamwork &amp; communication</w:t>
                      </w:r>
                    </w:p>
                    <w:p w14:paraId="492CE0ED" w14:textId="77777777" w:rsidR="000064D4" w:rsidRDefault="000064D4" w:rsidP="000064D4">
                      <w:pPr>
                        <w:spacing w:after="0" w:line="240" w:lineRule="auto"/>
                        <w:textDirection w:val="btLr"/>
                      </w:pPr>
                      <w:r>
                        <w:rPr>
                          <w:rFonts w:ascii="Times New Roman" w:eastAsia="Times New Roman" w:hAnsi="Times New Roman" w:cs="Times New Roman"/>
                          <w:color w:val="000000"/>
                          <w:sz w:val="20"/>
                        </w:rPr>
                        <w:t>*Enabling a supportive work environment &amp; recovery</w:t>
                      </w:r>
                    </w:p>
                    <w:p w14:paraId="59BDC92D" w14:textId="77777777" w:rsidR="000064D4" w:rsidRDefault="000064D4" w:rsidP="000064D4">
                      <w:pPr>
                        <w:spacing w:after="0" w:line="240" w:lineRule="auto"/>
                        <w:textDirection w:val="btLr"/>
                      </w:pPr>
                    </w:p>
                    <w:p w14:paraId="60DB9E75" w14:textId="77777777" w:rsidR="000064D4" w:rsidRDefault="000064D4" w:rsidP="000064D4">
                      <w:pPr>
                        <w:spacing w:after="0" w:line="240" w:lineRule="auto"/>
                        <w:textDirection w:val="btLr"/>
                      </w:pPr>
                    </w:p>
                  </w:txbxContent>
                </v:textbox>
              </v:rect>
            </w:pict>
          </mc:Fallback>
        </mc:AlternateContent>
      </w:r>
    </w:p>
    <w:p w14:paraId="3F0F2F9F" w14:textId="77777777" w:rsidR="000064D4" w:rsidRPr="00AE4E03" w:rsidRDefault="000064D4" w:rsidP="000064D4">
      <w:pPr>
        <w:spacing w:line="240" w:lineRule="auto"/>
        <w:jc w:val="center"/>
        <w:rPr>
          <w:rFonts w:ascii="Times New Roman" w:eastAsia="Times New Roman" w:hAnsi="Times New Roman" w:cs="Times New Roman"/>
          <w:b/>
          <w:color w:val="000000" w:themeColor="text1"/>
          <w:kern w:val="0"/>
          <w:sz w:val="24"/>
          <w:szCs w:val="24"/>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94080" behindDoc="0" locked="0" layoutInCell="1" hidden="0" allowOverlap="1" wp14:anchorId="54E0BCDB" wp14:editId="4CBA04A9">
                <wp:simplePos x="0" y="0"/>
                <wp:positionH relativeFrom="column">
                  <wp:posOffset>2247900</wp:posOffset>
                </wp:positionH>
                <wp:positionV relativeFrom="paragraph">
                  <wp:posOffset>45720</wp:posOffset>
                </wp:positionV>
                <wp:extent cx="1716405" cy="698500"/>
                <wp:effectExtent l="0" t="0" r="0" b="0"/>
                <wp:wrapNone/>
                <wp:docPr id="228" name="Rectangle: Rounded Corners 228"/>
                <wp:cNvGraphicFramePr/>
                <a:graphic xmlns:a="http://schemas.openxmlformats.org/drawingml/2006/main">
                  <a:graphicData uri="http://schemas.microsoft.com/office/word/2010/wordprocessingShape">
                    <wps:wsp>
                      <wps:cNvSpPr/>
                      <wps:spPr>
                        <a:xfrm>
                          <a:off x="0" y="0"/>
                          <a:ext cx="1716405" cy="698500"/>
                        </a:xfrm>
                        <a:prstGeom prst="roundRect">
                          <a:avLst>
                            <a:gd name="adj" fmla="val 16667"/>
                          </a:avLst>
                        </a:prstGeom>
                        <a:solidFill>
                          <a:srgbClr val="FFFFFF"/>
                        </a:solidFill>
                        <a:ln w="12700" cap="flat" cmpd="sng">
                          <a:solidFill>
                            <a:srgbClr val="000000"/>
                          </a:solidFill>
                          <a:prstDash val="solid"/>
                          <a:miter lim="800000"/>
                          <a:headEnd type="none" w="sm" len="sm"/>
                          <a:tailEnd type="none" w="sm" len="sm"/>
                        </a:ln>
                      </wps:spPr>
                      <wps:txbx>
                        <w:txbxContent>
                          <w:p w14:paraId="0ECC6FB5" w14:textId="77777777" w:rsidR="000064D4" w:rsidRPr="0052354D" w:rsidRDefault="000064D4" w:rsidP="000064D4">
                            <w:pPr>
                              <w:spacing w:after="0" w:line="240" w:lineRule="auto"/>
                              <w:jc w:val="center"/>
                              <w:textDirection w:val="btLr"/>
                              <w:rPr>
                                <w:rFonts w:ascii="Times New Roman" w:hAnsi="Times New Roman" w:cs="Times New Roman"/>
                                <w:sz w:val="24"/>
                                <w:szCs w:val="24"/>
                                <w:lang w:val="en-US"/>
                              </w:rPr>
                            </w:pPr>
                            <w:r w:rsidRPr="0052354D">
                              <w:rPr>
                                <w:rFonts w:ascii="Times New Roman" w:hAnsi="Times New Roman" w:cs="Times New Roman"/>
                                <w:sz w:val="24"/>
                                <w:szCs w:val="24"/>
                                <w:lang w:val="en-US"/>
                              </w:rPr>
                              <w:t>Leaning In</w:t>
                            </w:r>
                          </w:p>
                        </w:txbxContent>
                      </wps:txbx>
                      <wps:bodyPr spcFirstLastPara="1" wrap="square" lIns="91425" tIns="45700" rIns="91425" bIns="45700" anchor="ctr" anchorCtr="0">
                        <a:noAutofit/>
                      </wps:bodyPr>
                    </wps:wsp>
                  </a:graphicData>
                </a:graphic>
              </wp:anchor>
            </w:drawing>
          </mc:Choice>
          <mc:Fallback>
            <w:pict>
              <v:roundrect w14:anchorId="54E0BCDB" id="Rectangle: Rounded Corners 228" o:spid="_x0000_s1050" style="position:absolute;left:0;text-align:left;margin-left:177pt;margin-top:3.6pt;width:135.15pt;height:55pt;z-index:251694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" strokeweight="1pt">
                <v:stroke startarrowwidth="narrow" startarrowlength="short" endarrowwidth="narrow" endarrowlength="short" joinstyle="miter"/>
                <v:textbox inset="2.53958mm,1.2694mm,2.53958mm,1.2694mm">
                  <w:txbxContent>
                    <w:p w14:paraId="0ECC6FB5" w14:textId="77777777" w:rsidR="000064D4" w:rsidRPr="0052354D" w:rsidRDefault="000064D4" w:rsidP="000064D4">
                      <w:pPr>
                        <w:spacing w:after="0" w:line="240" w:lineRule="auto"/>
                        <w:jc w:val="center"/>
                        <w:textDirection w:val="btLr"/>
                        <w:rPr>
                          <w:rFonts w:ascii="Times New Roman" w:hAnsi="Times New Roman" w:cs="Times New Roman"/>
                          <w:sz w:val="24"/>
                          <w:szCs w:val="24"/>
                          <w:lang w:val="en-US"/>
                        </w:rPr>
                      </w:pPr>
                      <w:r w:rsidRPr="0052354D">
                        <w:rPr>
                          <w:rFonts w:ascii="Times New Roman" w:hAnsi="Times New Roman" w:cs="Times New Roman"/>
                          <w:sz w:val="24"/>
                          <w:szCs w:val="24"/>
                          <w:lang w:val="en-US"/>
                        </w:rPr>
                        <w:t>Leaning In</w:t>
                      </w:r>
                    </w:p>
                  </w:txbxContent>
                </v:textbox>
              </v:roundrect>
            </w:pict>
          </mc:Fallback>
        </mc:AlternateContent>
      </w:r>
    </w:p>
    <w:p w14:paraId="44A2CE8A" w14:textId="77777777" w:rsidR="000064D4" w:rsidRPr="00AE4E03" w:rsidRDefault="000064D4" w:rsidP="000064D4">
      <w:pPr>
        <w:spacing w:line="240" w:lineRule="auto"/>
        <w:jc w:val="center"/>
        <w:rPr>
          <w:rFonts w:ascii="Times New Roman" w:eastAsia="Times New Roman" w:hAnsi="Times New Roman" w:cs="Times New Roman"/>
          <w:b/>
          <w:color w:val="000000" w:themeColor="text1"/>
          <w:kern w:val="0"/>
          <w:sz w:val="24"/>
          <w:szCs w:val="24"/>
          <w:lang w:eastAsia="en-IN" w:bidi="ml-IN"/>
          <w14:ligatures w14:val="none"/>
        </w:rPr>
      </w:pP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703296" behindDoc="0" locked="0" layoutInCell="1" allowOverlap="1" wp14:anchorId="17519ED7" wp14:editId="3147509C">
                <wp:simplePos x="0" y="0"/>
                <wp:positionH relativeFrom="column">
                  <wp:posOffset>1821180</wp:posOffset>
                </wp:positionH>
                <wp:positionV relativeFrom="paragraph">
                  <wp:posOffset>193675</wp:posOffset>
                </wp:positionV>
                <wp:extent cx="411481" cy="114300"/>
                <wp:effectExtent l="0" t="19050" r="45720" b="38100"/>
                <wp:wrapNone/>
                <wp:docPr id="21" name="Arrow: Right 21"/>
                <wp:cNvGraphicFramePr/>
                <a:graphic xmlns:a="http://schemas.openxmlformats.org/drawingml/2006/main">
                  <a:graphicData uri="http://schemas.microsoft.com/office/word/2010/wordprocessingShape">
                    <wps:wsp>
                      <wps:cNvSpPr/>
                      <wps:spPr>
                        <a:xfrm>
                          <a:off x="0" y="0"/>
                          <a:ext cx="411481" cy="114300"/>
                        </a:xfrm>
                        <a:prstGeom prst="right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DB9B8B" id="Arrow: Right 21" o:spid="_x0000_s1026" type="#_x0000_t13" style="position:absolute;margin-left:143.4pt;margin-top:15.25pt;width:32.4pt;height:9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" adj="18600" fillcolor="windowText" strokeweight="1pt"/>
            </w:pict>
          </mc:Fallback>
        </mc:AlternateContent>
      </w:r>
      <w:r w:rsidRPr="00AE4E03">
        <w:rPr>
          <w:rFonts w:ascii="Calibri" w:eastAsia="Calibri" w:hAnsi="Calibri" w:cs="Calibri"/>
          <w:noProof/>
          <w:color w:val="000000" w:themeColor="text1"/>
          <w:kern w:val="0"/>
          <w:lang w:eastAsia="en-IN" w:bidi="ml-IN"/>
          <w14:ligatures w14:val="none"/>
        </w:rPr>
        <mc:AlternateContent>
          <mc:Choice Requires="wps">
            <w:drawing>
              <wp:anchor distT="0" distB="0" distL="114300" distR="114300" simplePos="0" relativeHeight="251695104" behindDoc="0" locked="0" layoutInCell="1" hidden="0" allowOverlap="1" wp14:anchorId="17EC347C" wp14:editId="5BA63B48">
                <wp:simplePos x="0" y="0"/>
                <wp:positionH relativeFrom="column">
                  <wp:posOffset>1841500</wp:posOffset>
                </wp:positionH>
                <wp:positionV relativeFrom="paragraph">
                  <wp:posOffset>228600</wp:posOffset>
                </wp:positionV>
                <wp:extent cx="7620" cy="25400"/>
                <wp:effectExtent l="0" t="0" r="0" b="0"/>
                <wp:wrapNone/>
                <wp:docPr id="208" name="Straight Arrow Connector 208"/>
                <wp:cNvGraphicFramePr/>
                <a:graphic xmlns:a="http://schemas.openxmlformats.org/drawingml/2006/main">
                  <a:graphicData uri="http://schemas.microsoft.com/office/word/2010/wordprocessingShape">
                    <wps:wsp>
                      <wps:cNvCnPr/>
                      <wps:spPr>
                        <a:xfrm rot="10800000" flipH="1">
                          <a:off x="5174550" y="3776190"/>
                          <a:ext cx="342900" cy="7620"/>
                        </a:xfrm>
                        <a:prstGeom prst="straightConnector1">
                          <a:avLst/>
                        </a:prstGeom>
                        <a:noFill/>
                        <a:ln w="9525" cap="flat" cmpd="sng">
                          <a:solidFill>
                            <a:srgbClr val="000000"/>
                          </a:solidFill>
                          <a:prstDash val="solid"/>
                          <a:miter lim="800000"/>
                          <a:headEnd type="none" w="sm" len="sm"/>
                          <a:tailEnd type="triangle" w="med" len="med"/>
                        </a:ln>
                      </wps:spPr>
                      <wps:bodyPr/>
                    </wps:wsp>
                  </a:graphicData>
                </a:graphic>
              </wp:anchor>
            </w:drawing>
          </mc:Choice>
          <mc:Fallback>
            <w:pict>
              <v:shape w14:anchorId="24BB7243" id="Straight Arrow Connector 208" o:spid="_x0000_s1026" type="#_x0000_t32" style="position:absolute;margin-left:145pt;margin-top:18pt;width:.6pt;height:2pt;rotation:180;flip:x;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">
                <v:stroke startarrowwidth="narrow" startarrowlength="short" endarrow="block" joinstyle="miter"/>
              </v:shape>
            </w:pict>
          </mc:Fallback>
        </mc:AlternateContent>
      </w:r>
    </w:p>
    <w:p w14:paraId="34DA4D90" w14:textId="77777777" w:rsidR="000064D4" w:rsidRPr="00AE4E03" w:rsidRDefault="000064D4" w:rsidP="000064D4">
      <w:pPr>
        <w:spacing w:line="240" w:lineRule="auto"/>
        <w:jc w:val="center"/>
        <w:rPr>
          <w:rFonts w:ascii="Times New Roman" w:eastAsia="Times New Roman" w:hAnsi="Times New Roman" w:cs="Times New Roman"/>
          <w:b/>
          <w:color w:val="000000" w:themeColor="text1"/>
          <w:kern w:val="0"/>
          <w:sz w:val="24"/>
          <w:szCs w:val="24"/>
          <w:lang w:eastAsia="en-IN" w:bidi="ml-IN"/>
          <w14:ligatures w14:val="none"/>
        </w:rPr>
      </w:pPr>
    </w:p>
    <w:p w14:paraId="35DE6774" w14:textId="77777777" w:rsidR="000064D4" w:rsidRPr="00AE4E03" w:rsidRDefault="000064D4" w:rsidP="000064D4">
      <w:pPr>
        <w:spacing w:line="240" w:lineRule="auto"/>
        <w:jc w:val="center"/>
        <w:rPr>
          <w:rFonts w:ascii="Times New Roman" w:eastAsia="Times New Roman" w:hAnsi="Times New Roman" w:cs="Times New Roman"/>
          <w:b/>
          <w:color w:val="000000" w:themeColor="text1"/>
          <w:kern w:val="0"/>
          <w:sz w:val="24"/>
          <w:szCs w:val="24"/>
          <w:lang w:eastAsia="en-IN" w:bidi="ml-IN"/>
          <w14:ligatures w14:val="none"/>
        </w:rPr>
      </w:pPr>
    </w:p>
    <w:p w14:paraId="30339453" w14:textId="77777777" w:rsidR="000064D4" w:rsidRPr="00AE4E03" w:rsidRDefault="000064D4" w:rsidP="000064D4">
      <w:pPr>
        <w:spacing w:line="240" w:lineRule="auto"/>
        <w:jc w:val="center"/>
        <w:rPr>
          <w:rFonts w:ascii="Times New Roman" w:eastAsia="Times New Roman" w:hAnsi="Times New Roman" w:cs="Times New Roman"/>
          <w:color w:val="000000" w:themeColor="text1"/>
          <w:kern w:val="0"/>
          <w:sz w:val="24"/>
          <w:szCs w:val="24"/>
          <w:lang w:eastAsia="en-IN" w:bidi="ml-IN"/>
          <w14:ligatures w14:val="none"/>
        </w:rPr>
        <w:sectPr w:rsidR="000064D4" w:rsidRPr="00AE4E03" w:rsidSect="000064D4">
          <w:footerReference w:type="default" r:id="rId6"/>
          <w:headerReference w:type="first" r:id="rId7"/>
          <w:footerReference w:type="first" r:id="rId8"/>
          <w:pgSz w:w="12240" w:h="15840" w:code="1"/>
          <w:pgMar w:top="1440" w:right="1440" w:bottom="1440" w:left="1440" w:header="709" w:footer="709" w:gutter="0"/>
          <w:pgNumType w:start="1"/>
          <w:cols w:space="720"/>
          <w:titlePg/>
          <w:docGrid w:linePitch="299"/>
        </w:sectPr>
      </w:pPr>
      <w:r w:rsidRPr="00AE4E03">
        <w:rPr>
          <w:rFonts w:ascii="Times New Roman" w:eastAsia="Times New Roman" w:hAnsi="Times New Roman" w:cs="Times New Roman"/>
          <w:b/>
          <w:color w:val="000000" w:themeColor="text1"/>
          <w:kern w:val="0"/>
          <w:sz w:val="24"/>
          <w:szCs w:val="24"/>
          <w:lang w:eastAsia="en-IN" w:bidi="ml-IN"/>
          <w14:ligatures w14:val="none"/>
        </w:rPr>
        <w:t xml:space="preserve">Figure 1. </w:t>
      </w:r>
      <w:r w:rsidRPr="00AE4E03">
        <w:rPr>
          <w:rFonts w:ascii="Times New Roman" w:eastAsia="Times New Roman" w:hAnsi="Times New Roman" w:cs="Times New Roman"/>
          <w:color w:val="000000" w:themeColor="text1"/>
          <w:kern w:val="0"/>
          <w:sz w:val="24"/>
          <w:szCs w:val="24"/>
          <w:lang w:eastAsia="en-IN" w:bidi="ml-IN"/>
          <w14:ligatures w14:val="none"/>
        </w:rPr>
        <w:t>Overview of The Data Structure and Themes</w:t>
      </w:r>
    </w:p>
    <w:p w14:paraId="45CDFD0F" w14:textId="77777777" w:rsidR="000064D4" w:rsidRPr="00AE4E03" w:rsidRDefault="000064D4" w:rsidP="000064D4">
      <w:pPr>
        <w:spacing w:after="0"/>
        <w:rPr>
          <w:b/>
          <w:bCs/>
          <w:color w:val="000000" w:themeColor="text1"/>
        </w:rPr>
      </w:pPr>
    </w:p>
    <w:p w14:paraId="4C81C080" w14:textId="77777777" w:rsidR="007D389A" w:rsidRPr="00AE4E03" w:rsidRDefault="007D389A">
      <w:pPr>
        <w:rPr>
          <w:color w:val="000000" w:themeColor="text1"/>
        </w:rPr>
      </w:pPr>
    </w:p>
    <w:sectPr w:rsidR="007D389A" w:rsidRPr="00AE4E03" w:rsidSect="000064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Kartika">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5027683"/>
      <w:docPartObj>
        <w:docPartGallery w:val="Page Numbers (Bottom of Page)"/>
        <w:docPartUnique/>
      </w:docPartObj>
    </w:sdtPr>
    <w:sdtEndPr>
      <w:rPr>
        <w:noProof/>
      </w:rPr>
    </w:sdtEndPr>
    <w:sdtContent>
      <w:p w14:paraId="133D28E1" w14:textId="77777777" w:rsidR="00000000"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55EC8C" w14:textId="77777777" w:rsidR="00000000" w:rsidRDefault="00000000">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4928201"/>
      <w:docPartObj>
        <w:docPartGallery w:val="Page Numbers (Bottom of Page)"/>
        <w:docPartUnique/>
      </w:docPartObj>
    </w:sdtPr>
    <w:sdtEndPr>
      <w:rPr>
        <w:noProof/>
      </w:rPr>
    </w:sdtEndPr>
    <w:sdtContent>
      <w:p w14:paraId="3B30AADF" w14:textId="77777777" w:rsidR="00000000"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17FBC3" w14:textId="77777777" w:rsidR="00000000" w:rsidRDefault="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6E4DCA" w14:textId="77777777" w:rsidR="00000000" w:rsidRPr="00427AD5" w:rsidRDefault="00000000" w:rsidP="00427AD5">
    <w:pPr>
      <w:jc w:val="center"/>
      <w:rPr>
        <w:rFonts w:ascii="Times New Roman" w:hAnsi="Times New Roman" w:cs="Times New Roman"/>
        <w:sz w:val="20"/>
        <w:szCs w:val="20"/>
      </w:rPr>
    </w:pPr>
    <w:r w:rsidRPr="00427AD5">
      <w:rPr>
        <w:rFonts w:ascii="Times New Roman" w:hAnsi="Times New Roman" w:cs="Times New Roman"/>
        <w:sz w:val="20"/>
        <w:szCs w:val="20"/>
      </w:rPr>
      <w:t xml:space="preserve">Beyond the Call of Duty: </w:t>
    </w:r>
    <w:r w:rsidRPr="00427AD5">
      <w:rPr>
        <w:rFonts w:ascii="Times New Roman" w:hAnsi="Times New Roman" w:cs="Times New Roman"/>
        <w:sz w:val="20"/>
        <w:szCs w:val="20"/>
      </w:rPr>
      <w:t>Exploring Early Career Nurses' Resilience and Commitment in the Face of Workplace Challenges</w:t>
    </w:r>
  </w:p>
  <w:p w14:paraId="3EAB11A1" w14:textId="77777777" w:rsidR="00000000" w:rsidRDefault="00000000">
    <w:pPr>
      <w:pStyle w:val="Header"/>
    </w:pPr>
  </w:p>
  <w:p w14:paraId="43D01FC2" w14:textId="77777777" w:rsidR="00000000"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4D4"/>
    <w:rsid w:val="000064D4"/>
    <w:rsid w:val="00376CA9"/>
    <w:rsid w:val="00552540"/>
    <w:rsid w:val="007D389A"/>
    <w:rsid w:val="0088295B"/>
    <w:rsid w:val="00AE4E03"/>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8BA94"/>
  <w15:chartTrackingRefBased/>
  <w15:docId w15:val="{E0DC2D47-D853-4DF2-BF2E-51A77D70B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4D4"/>
  </w:style>
  <w:style w:type="paragraph" w:styleId="Heading1">
    <w:name w:val="heading 1"/>
    <w:basedOn w:val="Normal"/>
    <w:next w:val="Normal"/>
    <w:link w:val="Heading1Char"/>
    <w:uiPriority w:val="9"/>
    <w:qFormat/>
    <w:rsid w:val="000064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064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064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064D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4D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064D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064D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0064D4"/>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0064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4D4"/>
  </w:style>
  <w:style w:type="paragraph" w:styleId="Footer">
    <w:name w:val="footer"/>
    <w:basedOn w:val="Normal"/>
    <w:link w:val="FooterChar"/>
    <w:uiPriority w:val="99"/>
    <w:unhideWhenUsed/>
    <w:rsid w:val="00006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4D4"/>
  </w:style>
  <w:style w:type="character" w:styleId="Hyperlink">
    <w:name w:val="Hyperlink"/>
    <w:basedOn w:val="DefaultParagraphFont"/>
    <w:uiPriority w:val="99"/>
    <w:unhideWhenUsed/>
    <w:rsid w:val="000064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yperlink" Target="mailto:aparnam14phd@iimk.ac.in" TargetMode="External"/><Relationship Id="rId10" Type="http://schemas.openxmlformats.org/officeDocument/2006/relationships/theme" Target="theme/theme1.xml"/><Relationship Id="rId4" Type="http://schemas.openxmlformats.org/officeDocument/2006/relationships/hyperlink" Target="mailto:rahul.skn@nitk.edu.in"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25</Pages>
  <Words>10382</Words>
  <Characters>59184</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Rahul Sivarajan</dc:creator>
  <cp:keywords/>
  <dc:description/>
  <cp:lastModifiedBy>Rahul Sivarajan</cp:lastModifiedBy>
  <cp:revision>3</cp:revision>
  <dcterms:created xsi:type="dcterms:W3CDTF">2024-06-30T11:43:00Z</dcterms:created>
  <dcterms:modified xsi:type="dcterms:W3CDTF">2024-06-30T11:58:00Z</dcterms:modified>
</cp:coreProperties>
</file>