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55140" w14:textId="7EF5EC02" w:rsidR="00DF7C58" w:rsidRDefault="0032673B" w:rsidP="0032673B">
      <w:pPr>
        <w:jc w:val="center"/>
        <w:rPr>
          <w:rFonts w:ascii="Times New Roman" w:hAnsi="Times New Roman" w:cs="Times New Roman"/>
          <w:sz w:val="24"/>
          <w:szCs w:val="24"/>
        </w:rPr>
      </w:pPr>
      <w:r w:rsidRPr="0032673B">
        <w:rPr>
          <w:rFonts w:ascii="Times New Roman" w:hAnsi="Times New Roman" w:cs="Times New Roman"/>
          <w:sz w:val="24"/>
          <w:szCs w:val="24"/>
        </w:rPr>
        <w:t>Ethical Dimensions of Digital Transformation: Aligning AI Strategies with Corporate Values and Responsibilities</w:t>
      </w:r>
    </w:p>
    <w:p w14:paraId="308B7BB4" w14:textId="77777777" w:rsidR="0032673B" w:rsidRDefault="0032673B" w:rsidP="0032673B">
      <w:pPr>
        <w:jc w:val="both"/>
        <w:rPr>
          <w:rFonts w:ascii="Times New Roman" w:hAnsi="Times New Roman" w:cs="Times New Roman"/>
          <w:sz w:val="24"/>
          <w:szCs w:val="24"/>
        </w:rPr>
      </w:pPr>
    </w:p>
    <w:p w14:paraId="6866C901" w14:textId="77777777" w:rsidR="00B7061E" w:rsidRDefault="00CC6373" w:rsidP="00284D9C">
      <w:pPr>
        <w:ind w:left="2880" w:firstLine="720"/>
        <w:rPr>
          <w:rFonts w:ascii="Times New Roman" w:hAnsi="Times New Roman" w:cs="Times New Roman"/>
          <w:sz w:val="24"/>
          <w:szCs w:val="24"/>
        </w:rPr>
      </w:pPr>
      <w:r>
        <w:rPr>
          <w:rFonts w:ascii="Times New Roman" w:hAnsi="Times New Roman" w:cs="Times New Roman"/>
          <w:sz w:val="24"/>
          <w:szCs w:val="24"/>
        </w:rPr>
        <w:t>Cellan Sheldon</w:t>
      </w:r>
    </w:p>
    <w:p w14:paraId="2980CE05" w14:textId="6EEA2244" w:rsidR="00CC6373" w:rsidRDefault="0094130F" w:rsidP="0000261B">
      <w:pPr>
        <w:jc w:val="center"/>
        <w:rPr>
          <w:rFonts w:ascii="Times New Roman" w:hAnsi="Times New Roman" w:cs="Times New Roman"/>
          <w:sz w:val="24"/>
          <w:szCs w:val="24"/>
        </w:rPr>
      </w:pPr>
      <w:r>
        <w:rPr>
          <w:rFonts w:ascii="Times New Roman" w:hAnsi="Times New Roman" w:cs="Times New Roman"/>
          <w:sz w:val="24"/>
          <w:szCs w:val="24"/>
        </w:rPr>
        <w:t>Loughborough University Business School</w:t>
      </w:r>
      <w:r w:rsidR="00EB31D4">
        <w:rPr>
          <w:rFonts w:ascii="Times New Roman" w:hAnsi="Times New Roman" w:cs="Times New Roman"/>
          <w:sz w:val="24"/>
          <w:szCs w:val="24"/>
        </w:rPr>
        <w:t>,</w:t>
      </w:r>
      <w:r w:rsidR="00B519C7">
        <w:rPr>
          <w:rFonts w:ascii="Times New Roman" w:hAnsi="Times New Roman" w:cs="Times New Roman"/>
          <w:sz w:val="24"/>
          <w:szCs w:val="24"/>
        </w:rPr>
        <w:t xml:space="preserve"> Loughborough University</w:t>
      </w:r>
      <w:r w:rsidR="00EB31D4">
        <w:rPr>
          <w:rFonts w:ascii="Times New Roman" w:hAnsi="Times New Roman" w:cs="Times New Roman"/>
          <w:sz w:val="24"/>
          <w:szCs w:val="24"/>
        </w:rPr>
        <w:t xml:space="preserve">, </w:t>
      </w:r>
      <w:hyperlink r:id="rId7" w:history="1">
        <w:r w:rsidR="007D194C" w:rsidRPr="00845E3D">
          <w:rPr>
            <w:rStyle w:val="Hyperlink"/>
            <w:rFonts w:ascii="Times New Roman" w:hAnsi="Times New Roman" w:cs="Times New Roman"/>
            <w:sz w:val="24"/>
            <w:szCs w:val="24"/>
          </w:rPr>
          <w:t>C.Sheldon@lboro.ac.uk</w:t>
        </w:r>
      </w:hyperlink>
    </w:p>
    <w:p w14:paraId="7B3E3CFE" w14:textId="77777777" w:rsidR="007D194C" w:rsidRDefault="007D194C" w:rsidP="0000261B">
      <w:pPr>
        <w:jc w:val="center"/>
        <w:rPr>
          <w:rFonts w:ascii="Times New Roman" w:hAnsi="Times New Roman" w:cs="Times New Roman"/>
          <w:sz w:val="24"/>
          <w:szCs w:val="24"/>
        </w:rPr>
      </w:pPr>
    </w:p>
    <w:p w14:paraId="48F51A71" w14:textId="55B53778" w:rsidR="00B7061E" w:rsidRDefault="00CC6373" w:rsidP="0000261B">
      <w:pPr>
        <w:ind w:left="2880" w:firstLine="720"/>
        <w:rPr>
          <w:rFonts w:ascii="Times New Roman" w:hAnsi="Times New Roman" w:cs="Times New Roman"/>
          <w:sz w:val="24"/>
          <w:szCs w:val="24"/>
        </w:rPr>
      </w:pPr>
      <w:r>
        <w:rPr>
          <w:rFonts w:ascii="Times New Roman" w:hAnsi="Times New Roman" w:cs="Times New Roman"/>
          <w:sz w:val="24"/>
          <w:szCs w:val="24"/>
        </w:rPr>
        <w:t>Prof Nick Hajli</w:t>
      </w:r>
    </w:p>
    <w:p w14:paraId="4F0E9EA7" w14:textId="7CC9F266" w:rsidR="00CE2906" w:rsidRDefault="00CE2906" w:rsidP="0000261B">
      <w:pPr>
        <w:jc w:val="center"/>
        <w:rPr>
          <w:rFonts w:ascii="Times New Roman" w:hAnsi="Times New Roman" w:cs="Times New Roman"/>
          <w:sz w:val="24"/>
          <w:szCs w:val="24"/>
        </w:rPr>
      </w:pPr>
      <w:r>
        <w:rPr>
          <w:rFonts w:ascii="Times New Roman" w:hAnsi="Times New Roman" w:cs="Times New Roman"/>
          <w:sz w:val="24"/>
          <w:szCs w:val="24"/>
        </w:rPr>
        <w:t xml:space="preserve">Loughborough University Business School, Loughborough University,      </w:t>
      </w:r>
      <w:hyperlink r:id="rId8" w:history="1">
        <w:r w:rsidR="007D194C" w:rsidRPr="00845E3D">
          <w:rPr>
            <w:rStyle w:val="Hyperlink"/>
            <w:rFonts w:ascii="Times New Roman" w:hAnsi="Times New Roman" w:cs="Times New Roman"/>
            <w:sz w:val="24"/>
            <w:szCs w:val="24"/>
          </w:rPr>
          <w:t>n.hajli@lboro.ac.uk</w:t>
        </w:r>
      </w:hyperlink>
    </w:p>
    <w:p w14:paraId="61AA0698" w14:textId="77777777" w:rsidR="007D194C" w:rsidRDefault="007D194C" w:rsidP="0000261B">
      <w:pPr>
        <w:jc w:val="center"/>
        <w:rPr>
          <w:rFonts w:ascii="Times New Roman" w:hAnsi="Times New Roman" w:cs="Times New Roman"/>
          <w:sz w:val="24"/>
          <w:szCs w:val="24"/>
        </w:rPr>
      </w:pPr>
    </w:p>
    <w:p w14:paraId="5CD05979" w14:textId="036669F1" w:rsidR="00B7061E" w:rsidRDefault="00CC6373" w:rsidP="0000261B">
      <w:pPr>
        <w:jc w:val="center"/>
        <w:rPr>
          <w:rFonts w:ascii="Times New Roman" w:hAnsi="Times New Roman" w:cs="Times New Roman"/>
          <w:sz w:val="24"/>
          <w:szCs w:val="24"/>
        </w:rPr>
      </w:pPr>
      <w:r>
        <w:rPr>
          <w:rFonts w:ascii="Times New Roman" w:hAnsi="Times New Roman" w:cs="Times New Roman"/>
          <w:sz w:val="24"/>
          <w:szCs w:val="24"/>
        </w:rPr>
        <w:t>Dr Arinze Nwoba</w:t>
      </w:r>
    </w:p>
    <w:p w14:paraId="62A3BCDC" w14:textId="3D118B9E" w:rsidR="009B537E" w:rsidRDefault="009B537E" w:rsidP="0000261B">
      <w:pPr>
        <w:jc w:val="center"/>
        <w:rPr>
          <w:rFonts w:ascii="Times New Roman" w:hAnsi="Times New Roman" w:cs="Times New Roman"/>
          <w:sz w:val="24"/>
          <w:szCs w:val="24"/>
        </w:rPr>
      </w:pPr>
      <w:r>
        <w:rPr>
          <w:rFonts w:ascii="Times New Roman" w:hAnsi="Times New Roman" w:cs="Times New Roman"/>
          <w:sz w:val="24"/>
          <w:szCs w:val="24"/>
        </w:rPr>
        <w:t xml:space="preserve">Loughborough University Business School, Loughborough University, </w:t>
      </w:r>
      <w:hyperlink r:id="rId9" w:history="1">
        <w:r w:rsidR="007D194C" w:rsidRPr="00845E3D">
          <w:rPr>
            <w:rStyle w:val="Hyperlink"/>
            <w:rFonts w:ascii="Times New Roman" w:hAnsi="Times New Roman" w:cs="Times New Roman"/>
            <w:sz w:val="24"/>
            <w:szCs w:val="24"/>
          </w:rPr>
          <w:t>a.c.nwoba@lboro.ac.uk</w:t>
        </w:r>
      </w:hyperlink>
      <w:r w:rsidR="007D194C">
        <w:rPr>
          <w:rFonts w:ascii="Times New Roman" w:hAnsi="Times New Roman" w:cs="Times New Roman"/>
          <w:sz w:val="24"/>
          <w:szCs w:val="24"/>
        </w:rPr>
        <w:t xml:space="preserve"> </w:t>
      </w:r>
    </w:p>
    <w:p w14:paraId="13F52D93" w14:textId="3E913404" w:rsidR="009B537E" w:rsidRDefault="009B537E" w:rsidP="009B537E">
      <w:pPr>
        <w:rPr>
          <w:rFonts w:ascii="Times New Roman" w:hAnsi="Times New Roman" w:cs="Times New Roman"/>
          <w:sz w:val="24"/>
          <w:szCs w:val="24"/>
        </w:rPr>
      </w:pPr>
    </w:p>
    <w:p w14:paraId="52FDC357" w14:textId="77777777" w:rsidR="0001190C" w:rsidRDefault="0001190C" w:rsidP="0032673B">
      <w:pPr>
        <w:jc w:val="both"/>
        <w:rPr>
          <w:rFonts w:ascii="Times New Roman" w:hAnsi="Times New Roman" w:cs="Times New Roman"/>
          <w:sz w:val="24"/>
          <w:szCs w:val="24"/>
        </w:rPr>
      </w:pPr>
    </w:p>
    <w:p w14:paraId="6DF65157" w14:textId="77777777" w:rsidR="00354982" w:rsidRDefault="00354982" w:rsidP="0032673B">
      <w:pPr>
        <w:jc w:val="both"/>
        <w:rPr>
          <w:rFonts w:ascii="Times New Roman" w:hAnsi="Times New Roman" w:cs="Times New Roman"/>
          <w:sz w:val="24"/>
          <w:szCs w:val="24"/>
        </w:rPr>
      </w:pPr>
    </w:p>
    <w:p w14:paraId="6B4A2D12" w14:textId="77777777" w:rsidR="00354982" w:rsidRDefault="00354982" w:rsidP="0032673B">
      <w:pPr>
        <w:jc w:val="both"/>
        <w:rPr>
          <w:rFonts w:ascii="Times New Roman" w:hAnsi="Times New Roman" w:cs="Times New Roman"/>
          <w:sz w:val="24"/>
          <w:szCs w:val="24"/>
        </w:rPr>
      </w:pPr>
    </w:p>
    <w:p w14:paraId="568BB788" w14:textId="77777777" w:rsidR="00354982" w:rsidRDefault="00354982" w:rsidP="0032673B">
      <w:pPr>
        <w:jc w:val="both"/>
        <w:rPr>
          <w:rFonts w:ascii="Times New Roman" w:hAnsi="Times New Roman" w:cs="Times New Roman"/>
          <w:sz w:val="24"/>
          <w:szCs w:val="24"/>
        </w:rPr>
      </w:pPr>
    </w:p>
    <w:p w14:paraId="0A7E609E" w14:textId="77777777" w:rsidR="00354982" w:rsidRDefault="00354982" w:rsidP="0032673B">
      <w:pPr>
        <w:jc w:val="both"/>
        <w:rPr>
          <w:rFonts w:ascii="Times New Roman" w:hAnsi="Times New Roman" w:cs="Times New Roman"/>
          <w:sz w:val="24"/>
          <w:szCs w:val="24"/>
        </w:rPr>
      </w:pPr>
    </w:p>
    <w:p w14:paraId="0A5C64EB" w14:textId="77777777" w:rsidR="00354982" w:rsidRDefault="00354982" w:rsidP="0032673B">
      <w:pPr>
        <w:jc w:val="both"/>
        <w:rPr>
          <w:rFonts w:ascii="Times New Roman" w:hAnsi="Times New Roman" w:cs="Times New Roman"/>
          <w:sz w:val="24"/>
          <w:szCs w:val="24"/>
        </w:rPr>
      </w:pPr>
    </w:p>
    <w:p w14:paraId="0C737F39" w14:textId="77777777" w:rsidR="00354982" w:rsidRDefault="00354982" w:rsidP="0032673B">
      <w:pPr>
        <w:jc w:val="both"/>
        <w:rPr>
          <w:rFonts w:ascii="Times New Roman" w:hAnsi="Times New Roman" w:cs="Times New Roman"/>
          <w:sz w:val="24"/>
          <w:szCs w:val="24"/>
        </w:rPr>
      </w:pPr>
    </w:p>
    <w:p w14:paraId="66D86994" w14:textId="77777777" w:rsidR="00354982" w:rsidRDefault="00354982" w:rsidP="0032673B">
      <w:pPr>
        <w:jc w:val="both"/>
        <w:rPr>
          <w:rFonts w:ascii="Times New Roman" w:hAnsi="Times New Roman" w:cs="Times New Roman"/>
          <w:sz w:val="24"/>
          <w:szCs w:val="24"/>
        </w:rPr>
      </w:pPr>
    </w:p>
    <w:p w14:paraId="099002DE" w14:textId="77777777" w:rsidR="00354982" w:rsidRDefault="00354982" w:rsidP="0032673B">
      <w:pPr>
        <w:jc w:val="both"/>
        <w:rPr>
          <w:rFonts w:ascii="Times New Roman" w:hAnsi="Times New Roman" w:cs="Times New Roman"/>
          <w:sz w:val="24"/>
          <w:szCs w:val="24"/>
        </w:rPr>
      </w:pPr>
    </w:p>
    <w:p w14:paraId="20091CD3" w14:textId="77777777" w:rsidR="00354982" w:rsidRDefault="00354982" w:rsidP="0032673B">
      <w:pPr>
        <w:jc w:val="both"/>
        <w:rPr>
          <w:rFonts w:ascii="Times New Roman" w:hAnsi="Times New Roman" w:cs="Times New Roman"/>
          <w:sz w:val="24"/>
          <w:szCs w:val="24"/>
        </w:rPr>
      </w:pPr>
    </w:p>
    <w:p w14:paraId="54D3F685" w14:textId="77777777" w:rsidR="00354982" w:rsidRDefault="00354982" w:rsidP="0032673B">
      <w:pPr>
        <w:jc w:val="both"/>
        <w:rPr>
          <w:rFonts w:ascii="Times New Roman" w:hAnsi="Times New Roman" w:cs="Times New Roman"/>
          <w:sz w:val="24"/>
          <w:szCs w:val="24"/>
        </w:rPr>
      </w:pPr>
    </w:p>
    <w:p w14:paraId="7539D840" w14:textId="77777777" w:rsidR="00354982" w:rsidRDefault="00354982" w:rsidP="0032673B">
      <w:pPr>
        <w:jc w:val="both"/>
        <w:rPr>
          <w:rFonts w:ascii="Times New Roman" w:hAnsi="Times New Roman" w:cs="Times New Roman"/>
          <w:sz w:val="24"/>
          <w:szCs w:val="24"/>
        </w:rPr>
      </w:pPr>
    </w:p>
    <w:p w14:paraId="33E4A3C9" w14:textId="77777777" w:rsidR="00354982" w:rsidRDefault="00354982" w:rsidP="0032673B">
      <w:pPr>
        <w:jc w:val="both"/>
        <w:rPr>
          <w:rFonts w:ascii="Times New Roman" w:hAnsi="Times New Roman" w:cs="Times New Roman"/>
          <w:sz w:val="24"/>
          <w:szCs w:val="24"/>
        </w:rPr>
      </w:pPr>
    </w:p>
    <w:p w14:paraId="001C17A1" w14:textId="77777777" w:rsidR="00354982" w:rsidRDefault="00354982" w:rsidP="0032673B">
      <w:pPr>
        <w:jc w:val="both"/>
        <w:rPr>
          <w:rFonts w:ascii="Times New Roman" w:hAnsi="Times New Roman" w:cs="Times New Roman"/>
          <w:sz w:val="24"/>
          <w:szCs w:val="24"/>
        </w:rPr>
      </w:pPr>
    </w:p>
    <w:p w14:paraId="67B49085" w14:textId="77777777" w:rsidR="00354982" w:rsidRDefault="00354982" w:rsidP="0032673B">
      <w:pPr>
        <w:jc w:val="both"/>
        <w:rPr>
          <w:rFonts w:ascii="Times New Roman" w:hAnsi="Times New Roman" w:cs="Times New Roman"/>
          <w:sz w:val="24"/>
          <w:szCs w:val="24"/>
        </w:rPr>
      </w:pPr>
    </w:p>
    <w:p w14:paraId="7FDD1B65" w14:textId="77777777" w:rsidR="00354982" w:rsidRDefault="00354982" w:rsidP="0032673B">
      <w:pPr>
        <w:jc w:val="both"/>
        <w:rPr>
          <w:rFonts w:ascii="Times New Roman" w:hAnsi="Times New Roman" w:cs="Times New Roman"/>
          <w:sz w:val="24"/>
          <w:szCs w:val="24"/>
        </w:rPr>
      </w:pPr>
    </w:p>
    <w:p w14:paraId="56836013" w14:textId="77777777" w:rsidR="00354982" w:rsidRDefault="00354982" w:rsidP="0032673B">
      <w:pPr>
        <w:jc w:val="both"/>
        <w:rPr>
          <w:rFonts w:ascii="Times New Roman" w:hAnsi="Times New Roman" w:cs="Times New Roman"/>
          <w:sz w:val="24"/>
          <w:szCs w:val="24"/>
        </w:rPr>
      </w:pPr>
    </w:p>
    <w:p w14:paraId="1BEB10AE" w14:textId="77777777" w:rsidR="00404CD8" w:rsidRDefault="00404CD8" w:rsidP="00404CD8">
      <w:pPr>
        <w:jc w:val="center"/>
        <w:rPr>
          <w:rFonts w:asciiTheme="majorBidi" w:hAnsiTheme="majorBidi" w:cstheme="majorBidi"/>
          <w:sz w:val="24"/>
          <w:szCs w:val="24"/>
        </w:rPr>
      </w:pPr>
      <w:r w:rsidRPr="001B62B4">
        <w:rPr>
          <w:rFonts w:asciiTheme="majorBidi" w:hAnsiTheme="majorBidi" w:cstheme="majorBidi"/>
          <w:sz w:val="24"/>
          <w:szCs w:val="24"/>
        </w:rPr>
        <w:lastRenderedPageBreak/>
        <w:t>Ethical Dimensions of Digital Transformation: Aligning AI Strategies with Corporate Values and Responsibilities</w:t>
      </w:r>
    </w:p>
    <w:p w14:paraId="23EBA992" w14:textId="77777777" w:rsidR="00404CD8" w:rsidRDefault="00404CD8" w:rsidP="00404CD8">
      <w:pPr>
        <w:jc w:val="both"/>
        <w:rPr>
          <w:rFonts w:asciiTheme="majorBidi" w:hAnsiTheme="majorBidi" w:cstheme="majorBidi"/>
          <w:sz w:val="24"/>
          <w:szCs w:val="24"/>
        </w:rPr>
      </w:pPr>
    </w:p>
    <w:p w14:paraId="22D50F05" w14:textId="77777777" w:rsidR="00404CD8" w:rsidRPr="001B62B4" w:rsidRDefault="00404CD8" w:rsidP="00404CD8">
      <w:pPr>
        <w:jc w:val="both"/>
        <w:rPr>
          <w:rFonts w:asciiTheme="majorBidi" w:hAnsiTheme="majorBidi" w:cstheme="majorBidi"/>
          <w:b/>
          <w:bCs/>
          <w:sz w:val="24"/>
          <w:szCs w:val="24"/>
        </w:rPr>
      </w:pPr>
      <w:r w:rsidRPr="001B62B4">
        <w:rPr>
          <w:rFonts w:asciiTheme="majorBidi" w:hAnsiTheme="majorBidi" w:cstheme="majorBidi"/>
          <w:b/>
          <w:bCs/>
          <w:sz w:val="24"/>
          <w:szCs w:val="24"/>
        </w:rPr>
        <w:t>Abstract</w:t>
      </w:r>
    </w:p>
    <w:p w14:paraId="62AE0982" w14:textId="77777777" w:rsidR="00404CD8" w:rsidRDefault="00404CD8" w:rsidP="00404CD8">
      <w:pPr>
        <w:jc w:val="both"/>
        <w:rPr>
          <w:rFonts w:asciiTheme="majorBidi" w:hAnsiTheme="majorBidi" w:cstheme="majorBidi"/>
          <w:sz w:val="24"/>
          <w:szCs w:val="24"/>
        </w:rPr>
      </w:pPr>
      <w:r w:rsidRPr="00CB0DB2">
        <w:rPr>
          <w:rFonts w:asciiTheme="majorBidi" w:hAnsiTheme="majorBidi" w:cstheme="majorBidi"/>
          <w:sz w:val="24"/>
          <w:szCs w:val="24"/>
        </w:rPr>
        <w:t>As the landscape of business evolves amidst the pervasive integration of artificial intelligence (AI), organisations face an imperative to recalibrate their digital strategies to remain competitive. Yet, this paradigm shift towards AI-driven operations has brought forth profound ethical dilemmas, compelling managers to develop strategies that reconcile technological advancement with societal responsibility. In response, scholarly attention has increasingly scrutinized the ethical challenges inherent in AI implementation and their implications for strategic decision-making. This paper presents a systematic literature review aimed at dissecting the nexus between digital strategy, AI ethics, and corporate responsibility. Through an examination of key literature, including seminal works and contemporary discourse, the review identifies pressing challenges such as AI bias, privacy concerns, stakeholder apprehensions regarding unemployment, and regulatory gaps. Left unaddressed, these challenges can have far-reaching strategic consequences for businesses, undermining sustainability. Central to this research is the exploration of how strategic frameworks can serve as navigational tools for managers to effectively mitigate ethical risks associated with AI adoption while leveraging digital strategies for competitive advantage. By elucidating the intersectionality of digital strategy, AI ethics, and corporate responsibility, this paper underscores the imperative for businesses to integrate ethical considerations into their strategic decision-making processes. Moreover, the study identifies opportunities to align digital strategies with principles of sustainability and social responsibility, fostering synergies with the circular economy (CE) paradigm. Through a nuanced analysis of existing literature, this research aims to provide actionable insights for managers seeking to develop responsible AI strategies that uphold ethical standards while driving digital innovation. Finally, this paper contributes to the burgeoning discourse on AI ethics and digital strategy by elucidating the strategic imperatives for businesses in navigating the ethical complexities of AI adoption. By fostering dialogue and offering practical guidance, it seeks to catalyse a paradigm shift towards digital sustainability, where technological progress is harmonized with societal values and ethical principles.</w:t>
      </w:r>
    </w:p>
    <w:p w14:paraId="49AFA022" w14:textId="77777777" w:rsidR="00404CD8" w:rsidRDefault="00404CD8" w:rsidP="00404CD8">
      <w:pPr>
        <w:jc w:val="both"/>
        <w:rPr>
          <w:rFonts w:asciiTheme="majorBidi" w:hAnsiTheme="majorBidi" w:cstheme="majorBidi"/>
          <w:sz w:val="24"/>
          <w:szCs w:val="24"/>
          <w:u w:val="single"/>
        </w:rPr>
      </w:pPr>
      <w:r w:rsidRPr="004D7B91">
        <w:rPr>
          <w:rFonts w:asciiTheme="majorBidi" w:hAnsiTheme="majorBidi" w:cstheme="majorBidi"/>
          <w:b/>
          <w:bCs/>
          <w:sz w:val="24"/>
          <w:szCs w:val="24"/>
          <w:u w:val="single"/>
        </w:rPr>
        <w:t>Keywords</w:t>
      </w:r>
      <w:r>
        <w:rPr>
          <w:rFonts w:asciiTheme="majorBidi" w:hAnsiTheme="majorBidi" w:cstheme="majorBidi"/>
          <w:sz w:val="24"/>
          <w:szCs w:val="24"/>
          <w:u w:val="single"/>
        </w:rPr>
        <w:t>: Digital Strategies; Corporate Social Responsibility; Artificial Intelligence; Ethics; Sustainability; Circular Economy</w:t>
      </w:r>
    </w:p>
    <w:p w14:paraId="719F255F" w14:textId="77777777" w:rsidR="00404CD8" w:rsidRDefault="00404CD8" w:rsidP="00404CD8">
      <w:pPr>
        <w:jc w:val="both"/>
        <w:rPr>
          <w:rFonts w:asciiTheme="majorBidi" w:hAnsiTheme="majorBidi" w:cstheme="majorBidi"/>
          <w:sz w:val="24"/>
          <w:szCs w:val="24"/>
          <w:u w:val="single"/>
        </w:rPr>
      </w:pPr>
    </w:p>
    <w:p w14:paraId="40279BE4" w14:textId="77777777" w:rsidR="00AE609B" w:rsidRDefault="00AE609B" w:rsidP="00404CD8">
      <w:pPr>
        <w:jc w:val="both"/>
        <w:rPr>
          <w:rFonts w:asciiTheme="majorBidi" w:hAnsiTheme="majorBidi" w:cstheme="majorBidi"/>
          <w:sz w:val="24"/>
          <w:szCs w:val="24"/>
        </w:rPr>
      </w:pPr>
    </w:p>
    <w:p w14:paraId="4F6EF346" w14:textId="7BEC91D3" w:rsidR="00354982" w:rsidRDefault="00404CD8" w:rsidP="00404CD8">
      <w:pPr>
        <w:jc w:val="both"/>
        <w:rPr>
          <w:rFonts w:ascii="Times New Roman" w:hAnsi="Times New Roman" w:cs="Times New Roman"/>
          <w:sz w:val="24"/>
          <w:szCs w:val="24"/>
        </w:rPr>
      </w:pPr>
      <w:r w:rsidRPr="00172F35">
        <w:rPr>
          <w:rFonts w:asciiTheme="majorBidi" w:hAnsiTheme="majorBidi" w:cstheme="majorBidi"/>
          <w:sz w:val="24"/>
          <w:szCs w:val="24"/>
        </w:rPr>
        <w:t xml:space="preserve">Word Count - </w:t>
      </w:r>
      <w:r w:rsidR="002C0ECB">
        <w:rPr>
          <w:rFonts w:asciiTheme="majorBidi" w:hAnsiTheme="majorBidi" w:cstheme="majorBidi"/>
          <w:sz w:val="24"/>
          <w:szCs w:val="24"/>
        </w:rPr>
        <w:t>695</w:t>
      </w:r>
      <w:r w:rsidR="007A2725">
        <w:rPr>
          <w:rFonts w:asciiTheme="majorBidi" w:hAnsiTheme="majorBidi" w:cstheme="majorBidi"/>
          <w:sz w:val="24"/>
          <w:szCs w:val="24"/>
        </w:rPr>
        <w:t>9</w:t>
      </w:r>
    </w:p>
    <w:p w14:paraId="7CE2FB8A" w14:textId="77777777" w:rsidR="00354982" w:rsidRDefault="00354982" w:rsidP="0032673B">
      <w:pPr>
        <w:jc w:val="both"/>
        <w:rPr>
          <w:rFonts w:ascii="Times New Roman" w:hAnsi="Times New Roman" w:cs="Times New Roman"/>
          <w:sz w:val="24"/>
          <w:szCs w:val="24"/>
        </w:rPr>
      </w:pPr>
    </w:p>
    <w:p w14:paraId="41CFC937" w14:textId="77777777" w:rsidR="00404CD8" w:rsidRDefault="00404CD8" w:rsidP="0032673B">
      <w:pPr>
        <w:jc w:val="both"/>
        <w:rPr>
          <w:rFonts w:ascii="Times New Roman" w:hAnsi="Times New Roman" w:cs="Times New Roman"/>
          <w:sz w:val="24"/>
          <w:szCs w:val="24"/>
        </w:rPr>
      </w:pPr>
    </w:p>
    <w:p w14:paraId="1ABB9924" w14:textId="77777777" w:rsidR="00404CD8" w:rsidRDefault="00404CD8" w:rsidP="0032673B">
      <w:pPr>
        <w:jc w:val="both"/>
        <w:rPr>
          <w:rFonts w:ascii="Times New Roman" w:hAnsi="Times New Roman" w:cs="Times New Roman"/>
          <w:sz w:val="24"/>
          <w:szCs w:val="24"/>
        </w:rPr>
      </w:pPr>
    </w:p>
    <w:p w14:paraId="45B5A48D" w14:textId="77777777" w:rsidR="00404CD8" w:rsidRDefault="00404CD8" w:rsidP="0032673B">
      <w:pPr>
        <w:jc w:val="both"/>
        <w:rPr>
          <w:rFonts w:ascii="Times New Roman" w:hAnsi="Times New Roman" w:cs="Times New Roman"/>
          <w:sz w:val="24"/>
          <w:szCs w:val="24"/>
        </w:rPr>
      </w:pPr>
    </w:p>
    <w:p w14:paraId="09A96D72" w14:textId="77777777" w:rsidR="00904E6D" w:rsidRPr="007B0737" w:rsidRDefault="00904E6D" w:rsidP="00904E6D">
      <w:pPr>
        <w:jc w:val="both"/>
        <w:rPr>
          <w:rFonts w:asciiTheme="majorBidi" w:hAnsiTheme="majorBidi" w:cstheme="majorBidi"/>
          <w:sz w:val="24"/>
          <w:szCs w:val="24"/>
          <w:u w:val="single"/>
        </w:rPr>
      </w:pPr>
      <w:r w:rsidRPr="007B0737">
        <w:rPr>
          <w:rFonts w:asciiTheme="majorBidi" w:hAnsiTheme="majorBidi" w:cstheme="majorBidi"/>
          <w:sz w:val="24"/>
          <w:szCs w:val="24"/>
          <w:u w:val="single"/>
        </w:rPr>
        <w:lastRenderedPageBreak/>
        <w:t>1.0 Introduction</w:t>
      </w:r>
    </w:p>
    <w:p w14:paraId="380EC4A6" w14:textId="77777777" w:rsidR="00362234" w:rsidRPr="00957072" w:rsidRDefault="00362234" w:rsidP="00362234">
      <w:pPr>
        <w:jc w:val="both"/>
        <w:rPr>
          <w:rFonts w:asciiTheme="majorBidi" w:hAnsiTheme="majorBidi" w:cstheme="majorBidi"/>
          <w:color w:val="000000"/>
          <w:sz w:val="24"/>
          <w:szCs w:val="24"/>
        </w:rPr>
      </w:pPr>
      <w:r w:rsidRPr="007B0737">
        <w:rPr>
          <w:rFonts w:asciiTheme="majorBidi" w:hAnsiTheme="majorBidi" w:cstheme="majorBidi"/>
          <w:sz w:val="24"/>
          <w:szCs w:val="24"/>
        </w:rPr>
        <w:t>In the continually evolving world of business, technological advancements, combined with the growing importance of sustainability, ha</w:t>
      </w:r>
      <w:r>
        <w:rPr>
          <w:rFonts w:asciiTheme="majorBidi" w:hAnsiTheme="majorBidi" w:cstheme="majorBidi"/>
          <w:sz w:val="24"/>
          <w:szCs w:val="24"/>
        </w:rPr>
        <w:t>ve</w:t>
      </w:r>
      <w:r w:rsidRPr="007B0737">
        <w:rPr>
          <w:rFonts w:asciiTheme="majorBidi" w:hAnsiTheme="majorBidi" w:cstheme="majorBidi"/>
          <w:sz w:val="24"/>
          <w:szCs w:val="24"/>
        </w:rPr>
        <w:t xml:space="preserve"> caused difficulty for organisations trying to balance economic success with social and environmental responsibility, typically referred to as corporate responsibility </w:t>
      </w:r>
      <w:r>
        <w:rPr>
          <w:rFonts w:asciiTheme="majorBidi" w:hAnsiTheme="majorBidi" w:cstheme="majorBidi"/>
          <w:sz w:val="24"/>
          <w:szCs w:val="24"/>
        </w:rPr>
        <w:t>(</w:t>
      </w:r>
      <w:r w:rsidRPr="007B0737">
        <w:rPr>
          <w:rFonts w:asciiTheme="majorBidi" w:hAnsiTheme="majorBidi" w:cstheme="majorBidi"/>
          <w:color w:val="000000"/>
          <w:sz w:val="24"/>
          <w:szCs w:val="24"/>
        </w:rPr>
        <w:t>Barauskaite and Streimikiene, 2021; Martinez, 2012; Park et al</w:t>
      </w:r>
      <w:r>
        <w:rPr>
          <w:rFonts w:asciiTheme="majorBidi" w:hAnsiTheme="majorBidi" w:cstheme="majorBidi"/>
          <w:color w:val="000000"/>
          <w:sz w:val="24"/>
          <w:szCs w:val="24"/>
        </w:rPr>
        <w:t>,</w:t>
      </w:r>
      <w:r w:rsidRPr="007B0737">
        <w:rPr>
          <w:rFonts w:asciiTheme="majorBidi" w:hAnsiTheme="majorBidi" w:cstheme="majorBidi"/>
          <w:color w:val="000000"/>
          <w:sz w:val="24"/>
          <w:szCs w:val="24"/>
        </w:rPr>
        <w:t xml:space="preserve"> 2014)</w:t>
      </w:r>
      <w:r>
        <w:rPr>
          <w:rFonts w:asciiTheme="majorBidi" w:hAnsiTheme="majorBidi" w:cstheme="majorBidi"/>
          <w:color w:val="000000"/>
          <w:sz w:val="24"/>
          <w:szCs w:val="24"/>
        </w:rPr>
        <w:t>.</w:t>
      </w:r>
      <w:r w:rsidRPr="007B0737">
        <w:rPr>
          <w:rFonts w:asciiTheme="majorBidi" w:hAnsiTheme="majorBidi" w:cstheme="majorBidi"/>
          <w:color w:val="000000"/>
          <w:sz w:val="24"/>
          <w:szCs w:val="24"/>
        </w:rPr>
        <w:t xml:space="preserve"> </w:t>
      </w:r>
    </w:p>
    <w:p w14:paraId="3BA47A95" w14:textId="5FAF5F2E" w:rsidR="00056FC4" w:rsidRDefault="00056FC4" w:rsidP="00056FC4">
      <w:pPr>
        <w:jc w:val="both"/>
        <w:rPr>
          <w:rFonts w:asciiTheme="majorBidi" w:hAnsiTheme="majorBidi" w:cstheme="majorBidi"/>
          <w:sz w:val="24"/>
          <w:szCs w:val="24"/>
        </w:rPr>
      </w:pPr>
      <w:r w:rsidRPr="007B0737">
        <w:rPr>
          <w:rFonts w:asciiTheme="majorBidi" w:hAnsiTheme="majorBidi" w:cstheme="majorBidi"/>
          <w:sz w:val="24"/>
          <w:szCs w:val="24"/>
        </w:rPr>
        <w:t>In recent years, the preservation of the planet’s natural resources has become an increasing priority, leading to sustainability concepts becoming even more influential for stakeholders (Nobre and Tavares, 2021).</w:t>
      </w:r>
      <w:r>
        <w:rPr>
          <w:rFonts w:asciiTheme="majorBidi" w:hAnsiTheme="majorBidi" w:cstheme="majorBidi"/>
          <w:sz w:val="24"/>
          <w:szCs w:val="24"/>
        </w:rPr>
        <w:t xml:space="preserve"> The circular economy (CE) has increased in popularity as t</w:t>
      </w:r>
      <w:r w:rsidRPr="007B0737">
        <w:rPr>
          <w:rFonts w:asciiTheme="majorBidi" w:hAnsiTheme="majorBidi" w:cstheme="majorBidi"/>
          <w:sz w:val="24"/>
          <w:szCs w:val="24"/>
        </w:rPr>
        <w:t>he linear economy is</w:t>
      </w:r>
      <w:r>
        <w:rPr>
          <w:rFonts w:asciiTheme="majorBidi" w:hAnsiTheme="majorBidi" w:cstheme="majorBidi"/>
          <w:sz w:val="24"/>
          <w:szCs w:val="24"/>
        </w:rPr>
        <w:t xml:space="preserve"> deemed</w:t>
      </w:r>
      <w:r w:rsidRPr="007B0737">
        <w:rPr>
          <w:rFonts w:asciiTheme="majorBidi" w:hAnsiTheme="majorBidi" w:cstheme="majorBidi"/>
          <w:sz w:val="24"/>
          <w:szCs w:val="24"/>
        </w:rPr>
        <w:t xml:space="preserve"> unsustainable as its take-make-dispose model encourages huge waste of limited natural resources, causing harm to the environment (Esposito et al, 2018; Ki et al, 2021; Leitao et al, 2023). </w:t>
      </w:r>
    </w:p>
    <w:p w14:paraId="6FF47D01" w14:textId="79B549EB" w:rsidR="004C2E6A" w:rsidRPr="004C2E6A" w:rsidRDefault="00904E6D" w:rsidP="005A34B7">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 xml:space="preserve">Advancements in artificial intelligence (AI) are influencing corporate strategies towards more sustainable and responsible </w:t>
      </w:r>
      <w:r w:rsidRPr="0022060B">
        <w:rPr>
          <w:rFonts w:asciiTheme="majorBidi" w:hAnsiTheme="majorBidi" w:cstheme="majorBidi"/>
          <w:color w:val="000000"/>
          <w:sz w:val="24"/>
          <w:szCs w:val="24"/>
        </w:rPr>
        <w:t xml:space="preserve">practises, thus potentially impacting the transition towards a </w:t>
      </w:r>
      <w:r w:rsidR="00640469" w:rsidRPr="0022060B">
        <w:rPr>
          <w:rFonts w:asciiTheme="majorBidi" w:hAnsiTheme="majorBidi" w:cstheme="majorBidi"/>
          <w:color w:val="000000"/>
          <w:sz w:val="24"/>
          <w:szCs w:val="24"/>
        </w:rPr>
        <w:t>C</w:t>
      </w:r>
      <w:r w:rsidRPr="0022060B">
        <w:rPr>
          <w:rFonts w:asciiTheme="majorBidi" w:hAnsiTheme="majorBidi" w:cstheme="majorBidi"/>
          <w:color w:val="000000"/>
          <w:sz w:val="24"/>
          <w:szCs w:val="24"/>
        </w:rPr>
        <w:t>E (Khan et al, 2021; Snihur and Markmann, 2023; Suchek et al, 2021).</w:t>
      </w:r>
      <w:r w:rsidR="004C2E6A" w:rsidRPr="0022060B">
        <w:rPr>
          <w:rFonts w:asciiTheme="majorBidi" w:hAnsiTheme="majorBidi" w:cstheme="majorBidi"/>
          <w:color w:val="000000"/>
          <w:sz w:val="24"/>
          <w:szCs w:val="24"/>
        </w:rPr>
        <w:t xml:space="preserve"> </w:t>
      </w:r>
      <w:r w:rsidR="004C2E6A" w:rsidRPr="0022060B">
        <w:rPr>
          <w:rFonts w:asciiTheme="majorBidi" w:hAnsiTheme="majorBidi" w:cstheme="majorBidi"/>
          <w:sz w:val="24"/>
          <w:szCs w:val="24"/>
        </w:rPr>
        <w:t>The</w:t>
      </w:r>
      <w:r w:rsidR="004C2E6A" w:rsidRPr="007B0737">
        <w:rPr>
          <w:rFonts w:asciiTheme="majorBidi" w:hAnsiTheme="majorBidi" w:cstheme="majorBidi"/>
          <w:sz w:val="24"/>
          <w:szCs w:val="24"/>
        </w:rPr>
        <w:t xml:space="preserve"> transformative power of AI is expected to be a central component in the shift away from a linear economy towards a circular economy</w:t>
      </w:r>
      <w:r w:rsidR="004C2E6A">
        <w:rPr>
          <w:rFonts w:asciiTheme="majorBidi" w:hAnsiTheme="majorBidi" w:cstheme="majorBidi"/>
          <w:sz w:val="24"/>
          <w:szCs w:val="24"/>
        </w:rPr>
        <w:t xml:space="preserve"> and organisations must focus their efforts towards implementing AI</w:t>
      </w:r>
      <w:r w:rsidR="004C2E6A" w:rsidRPr="007B0737">
        <w:rPr>
          <w:rFonts w:asciiTheme="majorBidi" w:hAnsiTheme="majorBidi" w:cstheme="majorBidi"/>
          <w:sz w:val="24"/>
          <w:szCs w:val="24"/>
        </w:rPr>
        <w:t xml:space="preserve"> (Ghoreishi</w:t>
      </w:r>
      <w:r w:rsidR="004C2E6A" w:rsidRPr="000130CA">
        <w:rPr>
          <w:rFonts w:asciiTheme="majorBidi" w:hAnsiTheme="majorBidi" w:cstheme="majorBidi"/>
          <w:sz w:val="24"/>
          <w:szCs w:val="24"/>
        </w:rPr>
        <w:t xml:space="preserve"> </w:t>
      </w:r>
      <w:r w:rsidR="004C2E6A">
        <w:rPr>
          <w:rFonts w:asciiTheme="majorBidi" w:hAnsiTheme="majorBidi" w:cstheme="majorBidi"/>
          <w:sz w:val="24"/>
          <w:szCs w:val="24"/>
        </w:rPr>
        <w:t xml:space="preserve">and </w:t>
      </w:r>
      <w:r w:rsidR="004C2E6A" w:rsidRPr="007B0737">
        <w:rPr>
          <w:rFonts w:asciiTheme="majorBidi" w:hAnsiTheme="majorBidi" w:cstheme="majorBidi"/>
          <w:sz w:val="24"/>
          <w:szCs w:val="24"/>
        </w:rPr>
        <w:t>Happonen, 20</w:t>
      </w:r>
      <w:r w:rsidR="004C2E6A">
        <w:rPr>
          <w:rFonts w:asciiTheme="majorBidi" w:hAnsiTheme="majorBidi" w:cstheme="majorBidi"/>
          <w:sz w:val="24"/>
          <w:szCs w:val="24"/>
        </w:rPr>
        <w:t xml:space="preserve">19; </w:t>
      </w:r>
      <w:r w:rsidR="004C2E6A" w:rsidRPr="007B0737">
        <w:rPr>
          <w:rFonts w:asciiTheme="majorBidi" w:hAnsiTheme="majorBidi" w:cstheme="majorBidi"/>
          <w:sz w:val="24"/>
          <w:szCs w:val="24"/>
        </w:rPr>
        <w:t>Roberts et al, 2022</w:t>
      </w:r>
      <w:r w:rsidR="004C2E6A">
        <w:rPr>
          <w:rFonts w:asciiTheme="majorBidi" w:hAnsiTheme="majorBidi" w:cstheme="majorBidi"/>
          <w:sz w:val="24"/>
          <w:szCs w:val="24"/>
        </w:rPr>
        <w:t>;</w:t>
      </w:r>
      <w:r w:rsidR="004C2E6A" w:rsidRPr="001D5520">
        <w:rPr>
          <w:rFonts w:asciiTheme="majorBidi" w:hAnsiTheme="majorBidi" w:cstheme="majorBidi"/>
          <w:sz w:val="24"/>
          <w:szCs w:val="24"/>
        </w:rPr>
        <w:t xml:space="preserve"> </w:t>
      </w:r>
      <w:r w:rsidR="004C2E6A">
        <w:rPr>
          <w:rFonts w:asciiTheme="majorBidi" w:hAnsiTheme="majorBidi" w:cstheme="majorBidi"/>
          <w:sz w:val="24"/>
          <w:szCs w:val="24"/>
        </w:rPr>
        <w:t>Tutore et al, 2024</w:t>
      </w:r>
      <w:r w:rsidR="004C2E6A" w:rsidRPr="007B0737">
        <w:rPr>
          <w:rFonts w:asciiTheme="majorBidi" w:hAnsiTheme="majorBidi" w:cstheme="majorBidi"/>
          <w:sz w:val="24"/>
          <w:szCs w:val="24"/>
        </w:rPr>
        <w:t>).</w:t>
      </w:r>
      <w:r w:rsidR="004C2E6A">
        <w:rPr>
          <w:rFonts w:asciiTheme="majorBidi" w:hAnsiTheme="majorBidi" w:cstheme="majorBidi"/>
          <w:sz w:val="24"/>
          <w:szCs w:val="24"/>
        </w:rPr>
        <w:t xml:space="preserve"> </w:t>
      </w:r>
    </w:p>
    <w:p w14:paraId="391B29E5" w14:textId="45C783E8" w:rsidR="00082FE9" w:rsidRDefault="005A34B7" w:rsidP="005A34B7">
      <w:pPr>
        <w:jc w:val="both"/>
        <w:rPr>
          <w:rFonts w:asciiTheme="majorBidi" w:hAnsiTheme="majorBidi" w:cstheme="majorBidi"/>
          <w:sz w:val="24"/>
          <w:szCs w:val="24"/>
        </w:rPr>
      </w:pPr>
      <w:r w:rsidRPr="007B0737">
        <w:rPr>
          <w:rFonts w:asciiTheme="majorBidi" w:hAnsiTheme="majorBidi" w:cstheme="majorBidi"/>
          <w:sz w:val="24"/>
          <w:szCs w:val="24"/>
        </w:rPr>
        <w:t>However, there are possible downsides to AI with wider societal issues such as deepfake</w:t>
      </w:r>
      <w:r w:rsidR="000739D7">
        <w:rPr>
          <w:rFonts w:asciiTheme="majorBidi" w:hAnsiTheme="majorBidi" w:cstheme="majorBidi"/>
          <w:sz w:val="24"/>
          <w:szCs w:val="24"/>
        </w:rPr>
        <w:t>s</w:t>
      </w:r>
      <w:r w:rsidRPr="007B0737">
        <w:rPr>
          <w:rFonts w:asciiTheme="majorBidi" w:hAnsiTheme="majorBidi" w:cstheme="majorBidi"/>
          <w:sz w:val="24"/>
          <w:szCs w:val="24"/>
        </w:rPr>
        <w:t>, election tampering,</w:t>
      </w:r>
      <w:r w:rsidR="009E6429">
        <w:rPr>
          <w:rFonts w:asciiTheme="majorBidi" w:hAnsiTheme="majorBidi" w:cstheme="majorBidi"/>
          <w:sz w:val="24"/>
          <w:szCs w:val="24"/>
        </w:rPr>
        <w:t xml:space="preserve"> privacy</w:t>
      </w:r>
      <w:r w:rsidRPr="007B0737">
        <w:rPr>
          <w:rFonts w:asciiTheme="majorBidi" w:hAnsiTheme="majorBidi" w:cstheme="majorBidi"/>
          <w:sz w:val="24"/>
          <w:szCs w:val="24"/>
        </w:rPr>
        <w:t xml:space="preserve"> and job losses being a concerning by</w:t>
      </w:r>
      <w:r w:rsidR="00303962">
        <w:rPr>
          <w:rFonts w:asciiTheme="majorBidi" w:hAnsiTheme="majorBidi" w:cstheme="majorBidi"/>
          <w:sz w:val="24"/>
          <w:szCs w:val="24"/>
        </w:rPr>
        <w:t>-</w:t>
      </w:r>
      <w:r w:rsidRPr="007B0737">
        <w:rPr>
          <w:rFonts w:asciiTheme="majorBidi" w:hAnsiTheme="majorBidi" w:cstheme="majorBidi"/>
          <w:sz w:val="24"/>
          <w:szCs w:val="24"/>
        </w:rPr>
        <w:t>product (Cheng et al, 2022; Knowles and Richards, 2021; Wirtz et al, 2020). This has led many to claim AI can be an existential risk to humanity (Velarde, 2019; Yang and Gross, 2023).</w:t>
      </w:r>
      <w:r w:rsidR="00AB7F93">
        <w:rPr>
          <w:rFonts w:asciiTheme="majorBidi" w:hAnsiTheme="majorBidi" w:cstheme="majorBidi"/>
          <w:sz w:val="24"/>
          <w:szCs w:val="24"/>
        </w:rPr>
        <w:t xml:space="preserve"> </w:t>
      </w:r>
    </w:p>
    <w:p w14:paraId="674A7A7D" w14:textId="61FA8859" w:rsidR="005A34B7" w:rsidRPr="007B0737" w:rsidRDefault="00390B23" w:rsidP="005A34B7">
      <w:pPr>
        <w:jc w:val="both"/>
        <w:rPr>
          <w:rFonts w:asciiTheme="majorBidi" w:hAnsiTheme="majorBidi" w:cstheme="majorBidi"/>
          <w:sz w:val="24"/>
          <w:szCs w:val="24"/>
        </w:rPr>
      </w:pPr>
      <w:r>
        <w:rPr>
          <w:rFonts w:asciiTheme="majorBidi" w:hAnsiTheme="majorBidi" w:cstheme="majorBidi"/>
          <w:sz w:val="24"/>
          <w:szCs w:val="24"/>
        </w:rPr>
        <w:t xml:space="preserve">These factors have the potential </w:t>
      </w:r>
      <w:r w:rsidR="00E27029">
        <w:rPr>
          <w:rFonts w:asciiTheme="majorBidi" w:hAnsiTheme="majorBidi" w:cstheme="majorBidi"/>
          <w:sz w:val="24"/>
          <w:szCs w:val="24"/>
        </w:rPr>
        <w:t xml:space="preserve">to lead to a lack of trust and acceptance </w:t>
      </w:r>
      <w:r w:rsidR="004B646D">
        <w:rPr>
          <w:rFonts w:asciiTheme="majorBidi" w:hAnsiTheme="majorBidi" w:cstheme="majorBidi"/>
          <w:sz w:val="24"/>
          <w:szCs w:val="24"/>
        </w:rPr>
        <w:t>towards</w:t>
      </w:r>
      <w:r w:rsidR="00E27029">
        <w:rPr>
          <w:rFonts w:asciiTheme="majorBidi" w:hAnsiTheme="majorBidi" w:cstheme="majorBidi"/>
          <w:sz w:val="24"/>
          <w:szCs w:val="24"/>
        </w:rPr>
        <w:t xml:space="preserve"> AI from the public and become an obstacle towards implementing AI effectively </w:t>
      </w:r>
      <w:r w:rsidR="00523814">
        <w:rPr>
          <w:rFonts w:asciiTheme="majorBidi" w:hAnsiTheme="majorBidi" w:cstheme="majorBidi"/>
          <w:sz w:val="24"/>
          <w:szCs w:val="24"/>
        </w:rPr>
        <w:t>which will make it difficult to transition towards a circular economy</w:t>
      </w:r>
      <w:r w:rsidR="00F1317F">
        <w:rPr>
          <w:rFonts w:asciiTheme="majorBidi" w:hAnsiTheme="majorBidi" w:cstheme="majorBidi"/>
          <w:sz w:val="24"/>
          <w:szCs w:val="24"/>
        </w:rPr>
        <w:t xml:space="preserve"> (</w:t>
      </w:r>
      <w:r w:rsidR="005C6968" w:rsidRPr="005C6968">
        <w:rPr>
          <w:rFonts w:asciiTheme="majorBidi" w:hAnsiTheme="majorBidi" w:cstheme="majorBidi"/>
          <w:sz w:val="24"/>
          <w:szCs w:val="24"/>
        </w:rPr>
        <w:t>Habbal et al, 2024</w:t>
      </w:r>
      <w:r w:rsidR="005C6968">
        <w:rPr>
          <w:rFonts w:asciiTheme="majorBidi" w:hAnsiTheme="majorBidi" w:cstheme="majorBidi"/>
          <w:sz w:val="24"/>
          <w:szCs w:val="24"/>
        </w:rPr>
        <w:t>;</w:t>
      </w:r>
      <w:r w:rsidR="005C6968" w:rsidRPr="005C6968">
        <w:rPr>
          <w:rFonts w:asciiTheme="majorBidi" w:hAnsiTheme="majorBidi" w:cstheme="majorBidi"/>
          <w:sz w:val="24"/>
          <w:szCs w:val="24"/>
        </w:rPr>
        <w:t xml:space="preserve"> </w:t>
      </w:r>
      <w:r w:rsidR="00F634AE">
        <w:rPr>
          <w:rFonts w:asciiTheme="majorBidi" w:hAnsiTheme="majorBidi" w:cstheme="majorBidi"/>
          <w:sz w:val="24"/>
          <w:szCs w:val="24"/>
        </w:rPr>
        <w:t>Roberts</w:t>
      </w:r>
      <w:r w:rsidR="00E24E34">
        <w:rPr>
          <w:rFonts w:asciiTheme="majorBidi" w:hAnsiTheme="majorBidi" w:cstheme="majorBidi"/>
          <w:sz w:val="24"/>
          <w:szCs w:val="24"/>
        </w:rPr>
        <w:t xml:space="preserve"> et al</w:t>
      </w:r>
      <w:r w:rsidR="00F634AE">
        <w:rPr>
          <w:rFonts w:asciiTheme="majorBidi" w:hAnsiTheme="majorBidi" w:cstheme="majorBidi"/>
          <w:sz w:val="24"/>
          <w:szCs w:val="24"/>
        </w:rPr>
        <w:t>, 2022</w:t>
      </w:r>
      <w:r w:rsidR="00F1317F">
        <w:rPr>
          <w:rFonts w:asciiTheme="majorBidi" w:hAnsiTheme="majorBidi" w:cstheme="majorBidi"/>
          <w:sz w:val="24"/>
          <w:szCs w:val="24"/>
        </w:rPr>
        <w:t xml:space="preserve">). </w:t>
      </w:r>
      <w:r w:rsidR="00D92EF0">
        <w:rPr>
          <w:rFonts w:asciiTheme="majorBidi" w:hAnsiTheme="majorBidi" w:cstheme="majorBidi"/>
          <w:sz w:val="24"/>
          <w:szCs w:val="24"/>
        </w:rPr>
        <w:t>Therefore,</w:t>
      </w:r>
      <w:r w:rsidR="002771EC">
        <w:rPr>
          <w:rFonts w:asciiTheme="majorBidi" w:hAnsiTheme="majorBidi" w:cstheme="majorBidi"/>
          <w:sz w:val="24"/>
          <w:szCs w:val="24"/>
        </w:rPr>
        <w:t xml:space="preserve"> </w:t>
      </w:r>
      <w:r w:rsidR="00D92EF0">
        <w:rPr>
          <w:rFonts w:asciiTheme="majorBidi" w:hAnsiTheme="majorBidi" w:cstheme="majorBidi"/>
          <w:sz w:val="24"/>
          <w:szCs w:val="24"/>
        </w:rPr>
        <w:t>c</w:t>
      </w:r>
      <w:r w:rsidR="005A34B7" w:rsidRPr="007B0737">
        <w:rPr>
          <w:rFonts w:asciiTheme="majorBidi" w:hAnsiTheme="majorBidi" w:cstheme="majorBidi"/>
          <w:sz w:val="24"/>
          <w:szCs w:val="24"/>
        </w:rPr>
        <w:t>ombating such scepticism of AI</w:t>
      </w:r>
      <w:r w:rsidR="008D6CD1">
        <w:rPr>
          <w:rFonts w:asciiTheme="majorBidi" w:hAnsiTheme="majorBidi" w:cstheme="majorBidi"/>
          <w:sz w:val="24"/>
          <w:szCs w:val="24"/>
        </w:rPr>
        <w:t xml:space="preserve"> is crucial and</w:t>
      </w:r>
      <w:r w:rsidR="005A34B7" w:rsidRPr="007B0737">
        <w:rPr>
          <w:rFonts w:asciiTheme="majorBidi" w:hAnsiTheme="majorBidi" w:cstheme="majorBidi"/>
          <w:sz w:val="24"/>
          <w:szCs w:val="24"/>
        </w:rPr>
        <w:t xml:space="preserve"> will require organisations to demonstrate that AI will have embedded ethical values and provide social benefits, thus making corporate responsibility concepts essential in the new age of technology (D’Cruz et al, 2022).</w:t>
      </w:r>
    </w:p>
    <w:p w14:paraId="1ABDA7DA" w14:textId="61C003DC" w:rsidR="00397A6F" w:rsidRDefault="00E52C74" w:rsidP="00904E6D">
      <w:pPr>
        <w:jc w:val="both"/>
        <w:rPr>
          <w:rFonts w:asciiTheme="majorBidi" w:hAnsiTheme="majorBidi" w:cstheme="majorBidi"/>
          <w:sz w:val="24"/>
          <w:szCs w:val="24"/>
        </w:rPr>
      </w:pPr>
      <w:r>
        <w:rPr>
          <w:rFonts w:asciiTheme="majorBidi" w:hAnsiTheme="majorBidi" w:cstheme="majorBidi"/>
          <w:sz w:val="24"/>
          <w:szCs w:val="24"/>
        </w:rPr>
        <w:t>Whi</w:t>
      </w:r>
      <w:r w:rsidR="00397A6F">
        <w:rPr>
          <w:rFonts w:asciiTheme="majorBidi" w:hAnsiTheme="majorBidi" w:cstheme="majorBidi"/>
          <w:sz w:val="24"/>
          <w:szCs w:val="24"/>
        </w:rPr>
        <w:t>le there are ample studies into AI</w:t>
      </w:r>
      <w:r w:rsidR="00391BE6">
        <w:rPr>
          <w:rFonts w:asciiTheme="majorBidi" w:hAnsiTheme="majorBidi" w:cstheme="majorBidi"/>
          <w:sz w:val="24"/>
          <w:szCs w:val="24"/>
        </w:rPr>
        <w:t>, CE</w:t>
      </w:r>
      <w:r w:rsidR="000A673F">
        <w:rPr>
          <w:rFonts w:asciiTheme="majorBidi" w:hAnsiTheme="majorBidi" w:cstheme="majorBidi"/>
          <w:sz w:val="24"/>
          <w:szCs w:val="24"/>
        </w:rPr>
        <w:t>,</w:t>
      </w:r>
      <w:r w:rsidR="00391BE6">
        <w:rPr>
          <w:rFonts w:asciiTheme="majorBidi" w:hAnsiTheme="majorBidi" w:cstheme="majorBidi"/>
          <w:sz w:val="24"/>
          <w:szCs w:val="24"/>
        </w:rPr>
        <w:t xml:space="preserve"> and corporate responsibility</w:t>
      </w:r>
      <w:r w:rsidR="008F77DB">
        <w:rPr>
          <w:rFonts w:asciiTheme="majorBidi" w:hAnsiTheme="majorBidi" w:cstheme="majorBidi"/>
          <w:sz w:val="24"/>
          <w:szCs w:val="24"/>
        </w:rPr>
        <w:t xml:space="preserve"> </w:t>
      </w:r>
      <w:r w:rsidR="00211B17">
        <w:rPr>
          <w:rFonts w:asciiTheme="majorBidi" w:hAnsiTheme="majorBidi" w:cstheme="majorBidi"/>
          <w:sz w:val="24"/>
          <w:szCs w:val="24"/>
        </w:rPr>
        <w:t>as separate concepts</w:t>
      </w:r>
      <w:r w:rsidR="00391BE6">
        <w:rPr>
          <w:rFonts w:asciiTheme="majorBidi" w:hAnsiTheme="majorBidi" w:cstheme="majorBidi"/>
          <w:sz w:val="24"/>
          <w:szCs w:val="24"/>
        </w:rPr>
        <w:t>,</w:t>
      </w:r>
      <w:r w:rsidR="00B91C51" w:rsidRPr="00B91C51">
        <w:rPr>
          <w:rFonts w:asciiTheme="majorBidi" w:hAnsiTheme="majorBidi" w:cstheme="majorBidi"/>
          <w:sz w:val="24"/>
          <w:szCs w:val="24"/>
        </w:rPr>
        <w:t xml:space="preserve"> </w:t>
      </w:r>
      <w:r w:rsidR="00B91C51">
        <w:rPr>
          <w:rFonts w:asciiTheme="majorBidi" w:hAnsiTheme="majorBidi" w:cstheme="majorBidi"/>
          <w:sz w:val="24"/>
          <w:szCs w:val="24"/>
        </w:rPr>
        <w:t>current</w:t>
      </w:r>
      <w:r w:rsidR="00B91C51" w:rsidRPr="007B0737">
        <w:rPr>
          <w:rFonts w:asciiTheme="majorBidi" w:hAnsiTheme="majorBidi" w:cstheme="majorBidi"/>
          <w:sz w:val="24"/>
          <w:szCs w:val="24"/>
        </w:rPr>
        <w:t xml:space="preserve"> research into the intersection of these issues is scarce, particularly regarding </w:t>
      </w:r>
      <w:r w:rsidR="00B91C51">
        <w:rPr>
          <w:rFonts w:asciiTheme="majorBidi" w:hAnsiTheme="majorBidi" w:cstheme="majorBidi"/>
          <w:sz w:val="24"/>
          <w:szCs w:val="24"/>
        </w:rPr>
        <w:t xml:space="preserve">the </w:t>
      </w:r>
      <w:r w:rsidR="00B91C51" w:rsidRPr="007B0737">
        <w:rPr>
          <w:rFonts w:asciiTheme="majorBidi" w:hAnsiTheme="majorBidi" w:cstheme="majorBidi"/>
          <w:sz w:val="24"/>
          <w:szCs w:val="24"/>
        </w:rPr>
        <w:t xml:space="preserve">sustainable </w:t>
      </w:r>
      <w:r w:rsidR="009B4D96">
        <w:rPr>
          <w:rFonts w:asciiTheme="majorBidi" w:hAnsiTheme="majorBidi" w:cstheme="majorBidi"/>
          <w:sz w:val="24"/>
          <w:szCs w:val="24"/>
        </w:rPr>
        <w:t xml:space="preserve">and ethical </w:t>
      </w:r>
      <w:r w:rsidR="00B91C51" w:rsidRPr="007B0737">
        <w:rPr>
          <w:rFonts w:asciiTheme="majorBidi" w:hAnsiTheme="majorBidi" w:cstheme="majorBidi"/>
          <w:sz w:val="24"/>
          <w:szCs w:val="24"/>
        </w:rPr>
        <w:t>adoption of AI and the challenges facing organisations (Sipola et al, 2023).</w:t>
      </w:r>
    </w:p>
    <w:p w14:paraId="4F63429E" w14:textId="542AEBE4" w:rsidR="00904E6D" w:rsidRPr="007B0737" w:rsidRDefault="00904E6D" w:rsidP="00904E6D">
      <w:pPr>
        <w:jc w:val="both"/>
        <w:rPr>
          <w:rFonts w:asciiTheme="majorBidi" w:hAnsiTheme="majorBidi" w:cstheme="majorBidi"/>
          <w:sz w:val="24"/>
          <w:szCs w:val="24"/>
        </w:rPr>
      </w:pPr>
      <w:r>
        <w:rPr>
          <w:rFonts w:asciiTheme="majorBidi" w:hAnsiTheme="majorBidi" w:cstheme="majorBidi"/>
          <w:sz w:val="24"/>
          <w:szCs w:val="24"/>
        </w:rPr>
        <w:t xml:space="preserve">The above argument encourages us to develop digital strategies to manage the challenges of AI for businesses. </w:t>
      </w:r>
      <w:r w:rsidRPr="007B0737">
        <w:rPr>
          <w:rFonts w:asciiTheme="majorBidi" w:hAnsiTheme="majorBidi" w:cstheme="majorBidi"/>
          <w:sz w:val="24"/>
          <w:szCs w:val="24"/>
        </w:rPr>
        <w:t>Therefore, this systematic literature review (SLR) will attempt to provide clarity to the following research questions:</w:t>
      </w:r>
    </w:p>
    <w:p w14:paraId="2DFF8848" w14:textId="77777777" w:rsidR="00904E6D" w:rsidRPr="004D7B91" w:rsidRDefault="00904E6D" w:rsidP="00904E6D">
      <w:pPr>
        <w:pStyle w:val="ListParagraph"/>
        <w:numPr>
          <w:ilvl w:val="0"/>
          <w:numId w:val="1"/>
        </w:numPr>
        <w:spacing w:line="240" w:lineRule="auto"/>
        <w:jc w:val="both"/>
        <w:rPr>
          <w:rFonts w:asciiTheme="majorBidi" w:hAnsiTheme="majorBidi" w:cstheme="majorBidi"/>
          <w:sz w:val="24"/>
          <w:szCs w:val="24"/>
        </w:rPr>
      </w:pPr>
      <w:r w:rsidRPr="007B0737">
        <w:rPr>
          <w:rFonts w:asciiTheme="majorBidi" w:hAnsiTheme="majorBidi" w:cstheme="majorBidi"/>
          <w:sz w:val="24"/>
          <w:szCs w:val="24"/>
        </w:rPr>
        <w:t>RQ1 - What are the social and technological ethical challenges facing managers in the implementation of AI technologies?</w:t>
      </w:r>
    </w:p>
    <w:p w14:paraId="3F1C06AD" w14:textId="77777777" w:rsidR="00904E6D" w:rsidRPr="007B0737" w:rsidRDefault="00904E6D" w:rsidP="00904E6D">
      <w:pPr>
        <w:pStyle w:val="ListParagraph"/>
        <w:numPr>
          <w:ilvl w:val="0"/>
          <w:numId w:val="1"/>
        </w:numPr>
        <w:spacing w:line="240" w:lineRule="auto"/>
        <w:jc w:val="both"/>
        <w:rPr>
          <w:rFonts w:asciiTheme="majorBidi" w:hAnsiTheme="majorBidi" w:cstheme="majorBidi"/>
          <w:sz w:val="24"/>
          <w:szCs w:val="24"/>
        </w:rPr>
      </w:pPr>
      <w:r w:rsidRPr="007B0737">
        <w:rPr>
          <w:rFonts w:asciiTheme="majorBidi" w:hAnsiTheme="majorBidi" w:cstheme="majorBidi"/>
          <w:sz w:val="24"/>
          <w:szCs w:val="24"/>
        </w:rPr>
        <w:t>RQ2 - From a managerial perspective, how can these challenges impact the transition towards a circular economy?</w:t>
      </w:r>
    </w:p>
    <w:p w14:paraId="3138F07E" w14:textId="3A04CFCB" w:rsidR="00904E6D" w:rsidRDefault="00904E6D" w:rsidP="00904E6D">
      <w:pPr>
        <w:jc w:val="both"/>
        <w:rPr>
          <w:rFonts w:asciiTheme="majorBidi" w:hAnsiTheme="majorBidi" w:cstheme="majorBidi"/>
          <w:sz w:val="24"/>
          <w:szCs w:val="24"/>
        </w:rPr>
      </w:pPr>
      <w:r w:rsidRPr="007B0737">
        <w:rPr>
          <w:rFonts w:asciiTheme="majorBidi" w:hAnsiTheme="majorBidi" w:cstheme="majorBidi"/>
          <w:sz w:val="24"/>
          <w:szCs w:val="24"/>
        </w:rPr>
        <w:t>This SLR will make significant contributions to the literature o</w:t>
      </w:r>
      <w:r>
        <w:rPr>
          <w:rFonts w:asciiTheme="majorBidi" w:hAnsiTheme="majorBidi" w:cstheme="majorBidi"/>
          <w:sz w:val="24"/>
          <w:szCs w:val="24"/>
        </w:rPr>
        <w:t>n</w:t>
      </w:r>
      <w:r w:rsidRPr="007B0737">
        <w:rPr>
          <w:rFonts w:asciiTheme="majorBidi" w:hAnsiTheme="majorBidi" w:cstheme="majorBidi"/>
          <w:sz w:val="24"/>
          <w:szCs w:val="24"/>
        </w:rPr>
        <w:t xml:space="preserve"> AI ethics. The study will identify the main challenges of AI from a managerial and corporate responsibility perspective. The study also analyses studies examining the impact of AI challenges on the transition towards </w:t>
      </w:r>
      <w:r w:rsidRPr="007B0737">
        <w:rPr>
          <w:rFonts w:asciiTheme="majorBidi" w:hAnsiTheme="majorBidi" w:cstheme="majorBidi"/>
          <w:sz w:val="24"/>
          <w:szCs w:val="24"/>
        </w:rPr>
        <w:lastRenderedPageBreak/>
        <w:t>the circular economy. The review will also identify areas of future research regarding a wide range of topics within AI</w:t>
      </w:r>
      <w:r w:rsidR="00165934">
        <w:rPr>
          <w:rFonts w:asciiTheme="majorBidi" w:hAnsiTheme="majorBidi" w:cstheme="majorBidi"/>
          <w:sz w:val="24"/>
          <w:szCs w:val="24"/>
        </w:rPr>
        <w:t>, CE and corporate responsibility</w:t>
      </w:r>
      <w:r w:rsidRPr="007B0737">
        <w:rPr>
          <w:rFonts w:asciiTheme="majorBidi" w:hAnsiTheme="majorBidi" w:cstheme="majorBidi"/>
          <w:sz w:val="24"/>
          <w:szCs w:val="24"/>
        </w:rPr>
        <w:t>.</w:t>
      </w:r>
    </w:p>
    <w:p w14:paraId="0B00A5F0" w14:textId="77777777" w:rsidR="006B468E" w:rsidRPr="007F6F57" w:rsidRDefault="006B468E" w:rsidP="006B468E">
      <w:pPr>
        <w:jc w:val="both"/>
        <w:rPr>
          <w:rFonts w:ascii="Times New Roman" w:hAnsi="Times New Roman" w:cs="Times New Roman"/>
          <w:sz w:val="24"/>
          <w:szCs w:val="24"/>
          <w:u w:val="single"/>
        </w:rPr>
      </w:pPr>
      <w:r w:rsidRPr="007F6F57">
        <w:rPr>
          <w:rFonts w:ascii="Times New Roman" w:hAnsi="Times New Roman" w:cs="Times New Roman"/>
          <w:sz w:val="24"/>
          <w:szCs w:val="24"/>
          <w:u w:val="single"/>
        </w:rPr>
        <w:t>2.0 Context</w:t>
      </w:r>
    </w:p>
    <w:p w14:paraId="32EAA57B" w14:textId="77777777" w:rsidR="006B468E" w:rsidRPr="007F6F57" w:rsidRDefault="006B468E" w:rsidP="006B468E">
      <w:pPr>
        <w:jc w:val="both"/>
        <w:rPr>
          <w:rFonts w:ascii="Times New Roman" w:hAnsi="Times New Roman" w:cs="Times New Roman"/>
          <w:sz w:val="24"/>
          <w:szCs w:val="24"/>
          <w:u w:val="single"/>
        </w:rPr>
      </w:pPr>
      <w:r w:rsidRPr="007F6F57">
        <w:rPr>
          <w:rFonts w:ascii="Times New Roman" w:hAnsi="Times New Roman" w:cs="Times New Roman"/>
          <w:sz w:val="24"/>
          <w:szCs w:val="24"/>
          <w:u w:val="single"/>
        </w:rPr>
        <w:t>2.1 Corporate Social Responsibility</w:t>
      </w:r>
    </w:p>
    <w:p w14:paraId="6EDB297C" w14:textId="1A838AA0" w:rsidR="006B468E" w:rsidRPr="006B468E" w:rsidRDefault="006B468E" w:rsidP="006B468E">
      <w:pPr>
        <w:jc w:val="both"/>
        <w:rPr>
          <w:rFonts w:ascii="Times New Roman" w:hAnsi="Times New Roman" w:cs="Times New Roman"/>
          <w:sz w:val="24"/>
          <w:szCs w:val="24"/>
        </w:rPr>
      </w:pPr>
      <w:r w:rsidRPr="006B468E">
        <w:rPr>
          <w:rFonts w:ascii="Times New Roman" w:hAnsi="Times New Roman" w:cs="Times New Roman"/>
          <w:sz w:val="24"/>
          <w:szCs w:val="24"/>
        </w:rPr>
        <w:t>Numerous concepts have been developed under the corporate responsibility umbrella with Corporate Social Responsibility (CSR), Environmental, Social and Governance (ESG), Corporate Citizenship and Triple Bottom Line (TBL) being a few examples. Over the last few decades, ideas such as CSR and ESG have increased in prominence, with these concepts becoming increasingly popular among organisations as they allocate more of their resources to corporate responsibility initiatives and make CSR and ESG a core feature of their overall strategy (</w:t>
      </w:r>
      <w:r w:rsidR="009967DC" w:rsidRPr="006B468E">
        <w:rPr>
          <w:rFonts w:ascii="Times New Roman" w:hAnsi="Times New Roman" w:cs="Times New Roman"/>
          <w:sz w:val="24"/>
          <w:szCs w:val="24"/>
        </w:rPr>
        <w:t xml:space="preserve">Dahlsrud, 2008; </w:t>
      </w:r>
      <w:r w:rsidRPr="006B468E">
        <w:rPr>
          <w:rFonts w:ascii="Times New Roman" w:hAnsi="Times New Roman" w:cs="Times New Roman"/>
          <w:sz w:val="24"/>
          <w:szCs w:val="24"/>
        </w:rPr>
        <w:t xml:space="preserve">McEachern, 2015; Mosca and Civera, 2017; Billio et al, 2021). </w:t>
      </w:r>
    </w:p>
    <w:p w14:paraId="68D37706" w14:textId="7F104480" w:rsidR="006B468E" w:rsidRPr="006B468E" w:rsidRDefault="006B468E" w:rsidP="006B468E">
      <w:pPr>
        <w:jc w:val="both"/>
        <w:rPr>
          <w:rFonts w:ascii="Times New Roman" w:hAnsi="Times New Roman" w:cs="Times New Roman"/>
          <w:sz w:val="24"/>
          <w:szCs w:val="24"/>
        </w:rPr>
      </w:pPr>
      <w:r w:rsidRPr="006B468E">
        <w:rPr>
          <w:rFonts w:ascii="Times New Roman" w:hAnsi="Times New Roman" w:cs="Times New Roman"/>
          <w:sz w:val="24"/>
          <w:szCs w:val="24"/>
        </w:rPr>
        <w:t>However, a common theme among these concepts is the lack of an unanimously accepted definition. For instance, despite the progressively comprehensive influence of ESG on organisational strategy, there is no universally accepted definition of ESG which has led to differing methodologies for measuring ESG (Bilio et al 2021). While Barnett et al (2020), examined 6,254 published articles over the last 50 years analysing CSR and found no universally accepted definition of CSR (</w:t>
      </w:r>
      <w:r w:rsidR="003E5611" w:rsidRPr="006B468E">
        <w:rPr>
          <w:rFonts w:ascii="Times New Roman" w:hAnsi="Times New Roman" w:cs="Times New Roman"/>
          <w:sz w:val="24"/>
          <w:szCs w:val="24"/>
        </w:rPr>
        <w:t>Margolis and Walsh, 2001</w:t>
      </w:r>
      <w:r w:rsidR="003E5611">
        <w:rPr>
          <w:rFonts w:ascii="Times New Roman" w:hAnsi="Times New Roman" w:cs="Times New Roman"/>
          <w:sz w:val="24"/>
          <w:szCs w:val="24"/>
        </w:rPr>
        <w:t xml:space="preserve">; </w:t>
      </w:r>
      <w:r w:rsidRPr="006B468E">
        <w:rPr>
          <w:rFonts w:ascii="Times New Roman" w:hAnsi="Times New Roman" w:cs="Times New Roman"/>
          <w:sz w:val="24"/>
          <w:szCs w:val="24"/>
        </w:rPr>
        <w:t xml:space="preserve">Sheehy, 2015). </w:t>
      </w:r>
    </w:p>
    <w:p w14:paraId="138A207C" w14:textId="77777777" w:rsidR="006B468E" w:rsidRPr="006B468E" w:rsidRDefault="006B468E" w:rsidP="006B468E">
      <w:pPr>
        <w:jc w:val="both"/>
        <w:rPr>
          <w:rFonts w:ascii="Times New Roman" w:hAnsi="Times New Roman" w:cs="Times New Roman"/>
          <w:sz w:val="24"/>
          <w:szCs w:val="24"/>
        </w:rPr>
      </w:pPr>
      <w:r w:rsidRPr="006B468E">
        <w:rPr>
          <w:rFonts w:ascii="Times New Roman" w:hAnsi="Times New Roman" w:cs="Times New Roman"/>
          <w:sz w:val="24"/>
          <w:szCs w:val="24"/>
        </w:rPr>
        <w:t xml:space="preserve">The struggle to agree on a specific definition for each concept may be a result of academics failing to understand the enormity of these concepts and fail to incorporate the positions of all stakeholders into the economic, social, and environmental responsibilities of an organisation, thus making the definitions too narrow (Mosca and Civera, 2017; Sheehy, 2015; Van Marrewijk, 2003). </w:t>
      </w:r>
    </w:p>
    <w:p w14:paraId="350CFFD4" w14:textId="77777777" w:rsidR="006B468E" w:rsidRPr="006B468E" w:rsidRDefault="006B468E" w:rsidP="006B468E">
      <w:pPr>
        <w:jc w:val="both"/>
        <w:rPr>
          <w:rFonts w:ascii="Times New Roman" w:hAnsi="Times New Roman" w:cs="Times New Roman"/>
          <w:sz w:val="24"/>
          <w:szCs w:val="24"/>
        </w:rPr>
      </w:pPr>
      <w:r w:rsidRPr="006B468E">
        <w:rPr>
          <w:rFonts w:ascii="Times New Roman" w:hAnsi="Times New Roman" w:cs="Times New Roman"/>
          <w:sz w:val="24"/>
          <w:szCs w:val="24"/>
        </w:rPr>
        <w:t xml:space="preserve">For example, economists may focus on bringing economic value to an organisation but may neglect the social-cultural and environmental consequences, while environmental and social activists may focus on the societal and environmental impacts with little interest in economic value (Sheehy, 2015; Subramanian 2017). However, despite this, many scholars agree that most definitions within each concept generally overlap, thus minimising potential issues in the study and development of corporate responsibility (Dahlsrud, 2008). </w:t>
      </w:r>
    </w:p>
    <w:p w14:paraId="4EBF2621" w14:textId="77777777" w:rsidR="006B468E" w:rsidRPr="006B468E" w:rsidRDefault="006B468E" w:rsidP="006B468E">
      <w:pPr>
        <w:jc w:val="both"/>
        <w:rPr>
          <w:rFonts w:ascii="Times New Roman" w:hAnsi="Times New Roman" w:cs="Times New Roman"/>
          <w:sz w:val="24"/>
          <w:szCs w:val="24"/>
        </w:rPr>
      </w:pPr>
      <w:r w:rsidRPr="006B468E">
        <w:rPr>
          <w:rFonts w:ascii="Times New Roman" w:hAnsi="Times New Roman" w:cs="Times New Roman"/>
          <w:sz w:val="24"/>
          <w:szCs w:val="24"/>
        </w:rPr>
        <w:t xml:space="preserve">Therefore, a historical analysis of business would indicate that organisations striving to find the balance between their economic, social, and environmental responsibilities is not a recent phenomenon, with CSR and other corporate responsibility concepts consistently increasing in influence since at least the 1950s (Bowen, 1953). Thus, the recently developing and dynamic nature of AI will lead organisations to uncharted territory in striving to achieve a balance between their corporate responsibilities. </w:t>
      </w:r>
    </w:p>
    <w:p w14:paraId="1626B015" w14:textId="77777777" w:rsidR="006B468E" w:rsidRPr="007F6F57" w:rsidRDefault="006B468E" w:rsidP="006B468E">
      <w:pPr>
        <w:jc w:val="both"/>
        <w:rPr>
          <w:rFonts w:ascii="Times New Roman" w:hAnsi="Times New Roman" w:cs="Times New Roman"/>
          <w:sz w:val="24"/>
          <w:szCs w:val="24"/>
          <w:u w:val="single"/>
        </w:rPr>
      </w:pPr>
      <w:r w:rsidRPr="007F6F57">
        <w:rPr>
          <w:rFonts w:ascii="Times New Roman" w:hAnsi="Times New Roman" w:cs="Times New Roman"/>
          <w:sz w:val="24"/>
          <w:szCs w:val="24"/>
          <w:u w:val="single"/>
        </w:rPr>
        <w:t>2.2 Circular Economy</w:t>
      </w:r>
    </w:p>
    <w:p w14:paraId="653DE547" w14:textId="41474F83" w:rsidR="006B468E" w:rsidRPr="006B468E" w:rsidRDefault="006B468E" w:rsidP="006B468E">
      <w:pPr>
        <w:jc w:val="both"/>
        <w:rPr>
          <w:rFonts w:ascii="Times New Roman" w:hAnsi="Times New Roman" w:cs="Times New Roman"/>
          <w:sz w:val="24"/>
          <w:szCs w:val="24"/>
        </w:rPr>
      </w:pPr>
      <w:r w:rsidRPr="006B468E">
        <w:rPr>
          <w:rFonts w:ascii="Times New Roman" w:hAnsi="Times New Roman" w:cs="Times New Roman"/>
          <w:sz w:val="24"/>
          <w:szCs w:val="24"/>
        </w:rPr>
        <w:t>The CE is defined by its three principles</w:t>
      </w:r>
      <w:r w:rsidR="000E52BB">
        <w:rPr>
          <w:rFonts w:ascii="Times New Roman" w:hAnsi="Times New Roman" w:cs="Times New Roman"/>
          <w:sz w:val="24"/>
          <w:szCs w:val="24"/>
        </w:rPr>
        <w:t xml:space="preserve"> of</w:t>
      </w:r>
      <w:r w:rsidRPr="006B468E">
        <w:rPr>
          <w:rFonts w:ascii="Times New Roman" w:hAnsi="Times New Roman" w:cs="Times New Roman"/>
          <w:sz w:val="24"/>
          <w:szCs w:val="24"/>
        </w:rPr>
        <w:t xml:space="preserve"> eliminating waste and pollution, circulating products and materials at their highest value, and regenerating nature (Ellen MacArthur Foundation, 2023). The CE is a shift from the linear economy, as CE aims to ensure the regeneration of nature and waste and that products are kept in circulation through processes such as reuse, recycling, remanufacture and composting (Ellen MacArthur Foundation, 2023; Pathan et al, 2023). The CE is regarded as a necessity for organisations as the linear economy </w:t>
      </w:r>
      <w:r w:rsidRPr="006B468E">
        <w:rPr>
          <w:rFonts w:ascii="Times New Roman" w:hAnsi="Times New Roman" w:cs="Times New Roman"/>
          <w:sz w:val="24"/>
          <w:szCs w:val="24"/>
        </w:rPr>
        <w:lastRenderedPageBreak/>
        <w:t>can leave businesses vulnerable to supply disruptions and volatile resource prices resulting from the lack of resources available due to the wasteful nature (Tan et al, 2022).</w:t>
      </w:r>
    </w:p>
    <w:p w14:paraId="1291B1DB" w14:textId="759C2A4A" w:rsidR="006B468E" w:rsidRPr="006B468E" w:rsidRDefault="006B468E" w:rsidP="006B468E">
      <w:pPr>
        <w:jc w:val="both"/>
        <w:rPr>
          <w:rFonts w:ascii="Times New Roman" w:hAnsi="Times New Roman" w:cs="Times New Roman"/>
          <w:sz w:val="24"/>
          <w:szCs w:val="24"/>
        </w:rPr>
      </w:pPr>
      <w:r w:rsidRPr="006B468E">
        <w:rPr>
          <w:rFonts w:ascii="Times New Roman" w:hAnsi="Times New Roman" w:cs="Times New Roman"/>
          <w:sz w:val="24"/>
          <w:szCs w:val="24"/>
        </w:rPr>
        <w:t>The concept of CE has risen in conjunction with the Sustainable Development Goals (SDG) developed by the United Nations. SDG consists of 17 goals and while CE strategies can contribute to all SDGs, they most effectively overlap with SDGs 8, 12, 13, 14 and 15 (Ortiz-De-Montellano, 2023). Despite this, many argue that SDGs are capable of negatively impacting one another, for example, if AI is implemented to improve sustainable production and consumption (SDG 12) patterns, it may negatively impact good health and well-being (SDG 3) while also aggravating social inequality (</w:t>
      </w:r>
      <w:r w:rsidR="00236C41" w:rsidRPr="006B468E">
        <w:rPr>
          <w:rFonts w:ascii="Times New Roman" w:hAnsi="Times New Roman" w:cs="Times New Roman"/>
          <w:sz w:val="24"/>
          <w:szCs w:val="24"/>
        </w:rPr>
        <w:t>Fonseca et al, 2020</w:t>
      </w:r>
      <w:r w:rsidR="00236C41">
        <w:rPr>
          <w:rFonts w:ascii="Times New Roman" w:hAnsi="Times New Roman" w:cs="Times New Roman"/>
          <w:sz w:val="24"/>
          <w:szCs w:val="24"/>
        </w:rPr>
        <w:t xml:space="preserve">; </w:t>
      </w:r>
      <w:r w:rsidRPr="006B468E">
        <w:rPr>
          <w:rFonts w:ascii="Times New Roman" w:hAnsi="Times New Roman" w:cs="Times New Roman"/>
          <w:sz w:val="24"/>
          <w:szCs w:val="24"/>
        </w:rPr>
        <w:t xml:space="preserve">Satornino et al; 2024).  </w:t>
      </w:r>
    </w:p>
    <w:p w14:paraId="7A60E8F6" w14:textId="77777777" w:rsidR="006B468E" w:rsidRPr="006B468E" w:rsidRDefault="006B468E" w:rsidP="006B468E">
      <w:pPr>
        <w:jc w:val="both"/>
        <w:rPr>
          <w:rFonts w:ascii="Times New Roman" w:hAnsi="Times New Roman" w:cs="Times New Roman"/>
          <w:sz w:val="24"/>
          <w:szCs w:val="24"/>
        </w:rPr>
      </w:pPr>
      <w:r w:rsidRPr="006B468E">
        <w:rPr>
          <w:rFonts w:ascii="Times New Roman" w:hAnsi="Times New Roman" w:cs="Times New Roman"/>
          <w:sz w:val="24"/>
          <w:szCs w:val="24"/>
        </w:rPr>
        <w:t>A possible reason for this is that AI is dependent on available data and there is a lack of data from marginalised and deprived communities, thus potentially embedding a bias into the AI system (Roosli et al, 2021; Satornino et al, 2024). Despite this, in general, SDGs can be regarded as beneficial for businesses as SDGs can outline which strategic decisions will be required and accepted by societies over the next few decades and consequently, what will be demanded by the markets long-term (Pedersen, 2018).</w:t>
      </w:r>
    </w:p>
    <w:p w14:paraId="72D60D5D" w14:textId="77777777" w:rsidR="006B468E" w:rsidRPr="007F6F57" w:rsidRDefault="006B468E" w:rsidP="006B468E">
      <w:pPr>
        <w:jc w:val="both"/>
        <w:rPr>
          <w:rFonts w:ascii="Times New Roman" w:hAnsi="Times New Roman" w:cs="Times New Roman"/>
          <w:sz w:val="24"/>
          <w:szCs w:val="24"/>
          <w:u w:val="single"/>
        </w:rPr>
      </w:pPr>
      <w:r w:rsidRPr="007F6F57">
        <w:rPr>
          <w:rFonts w:ascii="Times New Roman" w:hAnsi="Times New Roman" w:cs="Times New Roman"/>
          <w:sz w:val="24"/>
          <w:szCs w:val="24"/>
          <w:u w:val="single"/>
        </w:rPr>
        <w:t>2.3 Artificial Intelligence</w:t>
      </w:r>
    </w:p>
    <w:p w14:paraId="18CBAD7C" w14:textId="48286DD3" w:rsidR="006B468E" w:rsidRPr="006B468E" w:rsidRDefault="006B468E" w:rsidP="006B468E">
      <w:pPr>
        <w:jc w:val="both"/>
        <w:rPr>
          <w:rFonts w:ascii="Times New Roman" w:hAnsi="Times New Roman" w:cs="Times New Roman"/>
          <w:sz w:val="24"/>
          <w:szCs w:val="24"/>
        </w:rPr>
      </w:pPr>
      <w:r w:rsidRPr="006B468E">
        <w:rPr>
          <w:rFonts w:ascii="Times New Roman" w:hAnsi="Times New Roman" w:cs="Times New Roman"/>
          <w:sz w:val="24"/>
          <w:szCs w:val="24"/>
        </w:rPr>
        <w:t>Since the first industrial revolution, there have been major advancements in technology, resulting in businesses employing more technology in the workplace and changing the nature of many jobs (</w:t>
      </w:r>
      <w:r w:rsidR="00773E28" w:rsidRPr="006B468E">
        <w:rPr>
          <w:rFonts w:ascii="Times New Roman" w:hAnsi="Times New Roman" w:cs="Times New Roman"/>
          <w:sz w:val="24"/>
          <w:szCs w:val="24"/>
        </w:rPr>
        <w:t xml:space="preserve">Chien et al, 2020; </w:t>
      </w:r>
      <w:r w:rsidRPr="006B468E">
        <w:rPr>
          <w:rFonts w:ascii="Times New Roman" w:hAnsi="Times New Roman" w:cs="Times New Roman"/>
          <w:sz w:val="24"/>
          <w:szCs w:val="24"/>
        </w:rPr>
        <w:t>Li et al, 2017; Mohajan, 2019). The further integration of AI, alongside other emerging technologies, is regarded as a key driver of the current fourth industrial revolution and is blurring the boundaries between the physical, biological, and digital realms (</w:t>
      </w:r>
      <w:r w:rsidR="00773E28" w:rsidRPr="006B468E">
        <w:rPr>
          <w:rFonts w:ascii="Times New Roman" w:hAnsi="Times New Roman" w:cs="Times New Roman"/>
          <w:sz w:val="24"/>
          <w:szCs w:val="24"/>
        </w:rPr>
        <w:t xml:space="preserve">Krafft et al, 2020; </w:t>
      </w:r>
      <w:r w:rsidRPr="006B468E">
        <w:rPr>
          <w:rFonts w:ascii="Times New Roman" w:hAnsi="Times New Roman" w:cs="Times New Roman"/>
          <w:sz w:val="24"/>
          <w:szCs w:val="24"/>
        </w:rPr>
        <w:t>Schwab, 2017; WEF, 2024).</w:t>
      </w:r>
    </w:p>
    <w:p w14:paraId="58CB3BE5" w14:textId="77777777" w:rsidR="006B468E" w:rsidRPr="006B468E" w:rsidRDefault="006B468E" w:rsidP="006B468E">
      <w:pPr>
        <w:jc w:val="both"/>
        <w:rPr>
          <w:rFonts w:ascii="Times New Roman" w:hAnsi="Times New Roman" w:cs="Times New Roman"/>
          <w:sz w:val="24"/>
          <w:szCs w:val="24"/>
        </w:rPr>
      </w:pPr>
      <w:r w:rsidRPr="006B468E">
        <w:rPr>
          <w:rFonts w:ascii="Times New Roman" w:hAnsi="Times New Roman" w:cs="Times New Roman"/>
          <w:sz w:val="24"/>
          <w:szCs w:val="24"/>
        </w:rPr>
        <w:t>From a managerial perspective, the increasing integration of AI in organisations and society introduces novel challenges and opportunities (Krafft et al, 2020; Newell and Marabelli, 2015). The advancement of new technologies has already led businesses to improve the quality of goods, increase the customisation of services, decrease costs, and transform their management and marketing processes (Bednárová and Serpeninova, 2023; Benbya et al, 2021; Hoffman et al, 2022).</w:t>
      </w:r>
    </w:p>
    <w:p w14:paraId="07C5B5D5" w14:textId="3E70BBB6" w:rsidR="006B468E" w:rsidRPr="006B468E" w:rsidRDefault="006B468E" w:rsidP="006B468E">
      <w:pPr>
        <w:jc w:val="both"/>
        <w:rPr>
          <w:rFonts w:ascii="Times New Roman" w:hAnsi="Times New Roman" w:cs="Times New Roman"/>
          <w:sz w:val="24"/>
          <w:szCs w:val="24"/>
        </w:rPr>
      </w:pPr>
      <w:r w:rsidRPr="006B468E">
        <w:rPr>
          <w:rFonts w:ascii="Times New Roman" w:hAnsi="Times New Roman" w:cs="Times New Roman"/>
          <w:sz w:val="24"/>
          <w:szCs w:val="24"/>
        </w:rPr>
        <w:t>AI integration is expected to go even further and greatly impact all internal and external aspects of organisations from recruitment, supply chains, marketing, and the decision-making process to name a few (Bednárová and Serpeninova, 2023; Chowdhury and Oredo, 2023; Frick et al, 2021; Newell and Marabelli, 2015). In addition, despite shortages of talent having the necessary skills in AI, organisations are predicted to further intensify their employment of AI in areas such as automation, management software and machine learning, attracting the largest area</w:t>
      </w:r>
      <w:r w:rsidR="000F3439">
        <w:rPr>
          <w:rFonts w:ascii="Times New Roman" w:hAnsi="Times New Roman" w:cs="Times New Roman"/>
          <w:sz w:val="24"/>
          <w:szCs w:val="24"/>
        </w:rPr>
        <w:t>s</w:t>
      </w:r>
      <w:r w:rsidRPr="006B468E">
        <w:rPr>
          <w:rFonts w:ascii="Times New Roman" w:hAnsi="Times New Roman" w:cs="Times New Roman"/>
          <w:sz w:val="24"/>
          <w:szCs w:val="24"/>
        </w:rPr>
        <w:t xml:space="preserve"> of investment (Bednárová and Serpeninova, 2023; Gärtner, 2019; Wilson et al, 2017). This trend is further demonstrated by the global AI market size being valued at $150.2 billion in 2022, a significant increase from its value of £16.06 billion in 2017 and is </w:t>
      </w:r>
      <w:r w:rsidR="00726253">
        <w:rPr>
          <w:rFonts w:ascii="Times New Roman" w:hAnsi="Times New Roman" w:cs="Times New Roman"/>
          <w:sz w:val="24"/>
          <w:szCs w:val="24"/>
        </w:rPr>
        <w:t>predicted</w:t>
      </w:r>
      <w:r w:rsidRPr="006B468E">
        <w:rPr>
          <w:rFonts w:ascii="Times New Roman" w:hAnsi="Times New Roman" w:cs="Times New Roman"/>
          <w:sz w:val="24"/>
          <w:szCs w:val="24"/>
        </w:rPr>
        <w:t xml:space="preserve"> to be valued at £13 trillion within the next decade (Akter, 2023; Fountaine et al, 2019; Markets and Markets</w:t>
      </w:r>
      <w:r w:rsidR="00D14A89">
        <w:rPr>
          <w:rFonts w:ascii="Times New Roman" w:hAnsi="Times New Roman" w:cs="Times New Roman"/>
          <w:sz w:val="24"/>
          <w:szCs w:val="24"/>
        </w:rPr>
        <w:t>,</w:t>
      </w:r>
      <w:r w:rsidRPr="006B468E">
        <w:rPr>
          <w:rFonts w:ascii="Times New Roman" w:hAnsi="Times New Roman" w:cs="Times New Roman"/>
          <w:sz w:val="24"/>
          <w:szCs w:val="24"/>
        </w:rPr>
        <w:t xml:space="preserve"> 2023).</w:t>
      </w:r>
    </w:p>
    <w:p w14:paraId="46DD6699" w14:textId="640B2478" w:rsidR="006B468E" w:rsidRPr="006B468E" w:rsidRDefault="006B468E" w:rsidP="006B468E">
      <w:pPr>
        <w:jc w:val="both"/>
        <w:rPr>
          <w:rFonts w:ascii="Times New Roman" w:hAnsi="Times New Roman" w:cs="Times New Roman"/>
          <w:sz w:val="24"/>
          <w:szCs w:val="24"/>
        </w:rPr>
      </w:pPr>
      <w:r w:rsidRPr="006B468E">
        <w:rPr>
          <w:rFonts w:ascii="Times New Roman" w:hAnsi="Times New Roman" w:cs="Times New Roman"/>
          <w:sz w:val="24"/>
          <w:szCs w:val="24"/>
        </w:rPr>
        <w:t>Industry 4.0 and emerging technology have expedited the long-term actions required to achieve a circular economy (</w:t>
      </w:r>
      <w:r w:rsidR="008406D8" w:rsidRPr="006B468E">
        <w:rPr>
          <w:rFonts w:ascii="Times New Roman" w:hAnsi="Times New Roman" w:cs="Times New Roman"/>
          <w:sz w:val="24"/>
          <w:szCs w:val="24"/>
        </w:rPr>
        <w:t>Bressanelli et al, 2018</w:t>
      </w:r>
      <w:r w:rsidR="004B0C1A">
        <w:rPr>
          <w:rFonts w:ascii="Times New Roman" w:hAnsi="Times New Roman" w:cs="Times New Roman"/>
          <w:sz w:val="24"/>
          <w:szCs w:val="24"/>
        </w:rPr>
        <w:t xml:space="preserve">; </w:t>
      </w:r>
      <w:r w:rsidRPr="006B468E">
        <w:rPr>
          <w:rFonts w:ascii="Times New Roman" w:hAnsi="Times New Roman" w:cs="Times New Roman"/>
          <w:sz w:val="24"/>
          <w:szCs w:val="24"/>
        </w:rPr>
        <w:t xml:space="preserve">Ghoreishi and Happonen, 2020). Consequently, many academics argue that emerging technology such as AI is closely connected to CE and the challenges facing the transition to CE such as data unavailability and integration can be solved </w:t>
      </w:r>
      <w:r w:rsidRPr="006B468E">
        <w:rPr>
          <w:rFonts w:ascii="Times New Roman" w:hAnsi="Times New Roman" w:cs="Times New Roman"/>
          <w:sz w:val="24"/>
          <w:szCs w:val="24"/>
        </w:rPr>
        <w:lastRenderedPageBreak/>
        <w:t>by further advancement and incorporation of AI (Ajwani-Ramchandani et al, 2021; Chauhan et al, 2022; Ingemarsdotter et al, 2019).</w:t>
      </w:r>
    </w:p>
    <w:p w14:paraId="3110C4DE" w14:textId="36B5DA98" w:rsidR="00404CD8" w:rsidRDefault="006B468E" w:rsidP="006B468E">
      <w:pPr>
        <w:jc w:val="both"/>
        <w:rPr>
          <w:rFonts w:ascii="Times New Roman" w:hAnsi="Times New Roman" w:cs="Times New Roman"/>
          <w:sz w:val="24"/>
          <w:szCs w:val="24"/>
        </w:rPr>
      </w:pPr>
      <w:r w:rsidRPr="006B468E">
        <w:rPr>
          <w:rFonts w:ascii="Times New Roman" w:hAnsi="Times New Roman" w:cs="Times New Roman"/>
          <w:sz w:val="24"/>
          <w:szCs w:val="24"/>
        </w:rPr>
        <w:t>We are currently amidst the fourth industrial revolution and the fifth is fast approaching. As we stand on the precipice of this new era, we must look at the challenges of AI from an organisational perspective and the future trends on this topic. If the aim is to create a CE, and AI is crucial in achieving a CE, then an examination of the challenges of AI from a managerial perspective is essential.</w:t>
      </w:r>
    </w:p>
    <w:p w14:paraId="6C54811B" w14:textId="77777777" w:rsidR="001D194E" w:rsidRPr="001D194E" w:rsidRDefault="001D194E" w:rsidP="001D194E">
      <w:pPr>
        <w:spacing w:line="240" w:lineRule="auto"/>
        <w:jc w:val="both"/>
        <w:rPr>
          <w:rFonts w:asciiTheme="majorBidi" w:hAnsiTheme="majorBidi" w:cstheme="majorBidi"/>
          <w:sz w:val="24"/>
          <w:szCs w:val="24"/>
          <w:u w:val="single"/>
        </w:rPr>
      </w:pPr>
      <w:r w:rsidRPr="001D194E">
        <w:rPr>
          <w:rFonts w:asciiTheme="majorBidi" w:hAnsiTheme="majorBidi" w:cstheme="majorBidi"/>
          <w:sz w:val="24"/>
          <w:szCs w:val="24"/>
          <w:u w:val="single"/>
        </w:rPr>
        <w:t>3.0 Methodology</w:t>
      </w:r>
    </w:p>
    <w:p w14:paraId="00E9CFD7" w14:textId="77777777" w:rsidR="001D194E" w:rsidRDefault="001D194E" w:rsidP="001D194E">
      <w:pPr>
        <w:spacing w:line="240" w:lineRule="auto"/>
        <w:jc w:val="both"/>
        <w:rPr>
          <w:rFonts w:asciiTheme="majorBidi" w:hAnsiTheme="majorBidi" w:cstheme="majorBidi"/>
          <w:sz w:val="24"/>
          <w:szCs w:val="24"/>
        </w:rPr>
      </w:pPr>
      <w:r w:rsidRPr="001D194E">
        <w:rPr>
          <w:rFonts w:asciiTheme="majorBidi" w:hAnsiTheme="majorBidi" w:cstheme="majorBidi"/>
          <w:sz w:val="24"/>
          <w:szCs w:val="24"/>
        </w:rPr>
        <w:t xml:space="preserve">To provide a deep understanding of the organisational challenges within the context of corporate responsibility, AI, and the potential transition towards a CE a systematic literature review will be conducted. To perform this SLR, the data collection was divided into three phases. The first stage involved a search utilising the Scopus database. Scopus was chosen to conduct the search as they are one of the largest and most reputable databases, containing over 87 million documents, possessing high-ranking journals and peer-reviewed publications (Atanasov et al, 2023; Meseguer-Sanchez et al, 2021). This review will also apply the Preferred Reporting Items for Systematic Reviews and Meta-Analyses (PRISMA) methodology of conducting a systematic review. </w:t>
      </w:r>
    </w:p>
    <w:tbl>
      <w:tblPr>
        <w:tblStyle w:val="PlainTable2"/>
        <w:tblpPr w:leftFromText="180" w:rightFromText="180" w:vertAnchor="text" w:horzAnchor="margin" w:tblpY="297"/>
        <w:tblW w:w="9397" w:type="dxa"/>
        <w:tblLook w:val="04A0" w:firstRow="1" w:lastRow="0" w:firstColumn="1" w:lastColumn="0" w:noHBand="0" w:noVBand="1"/>
      </w:tblPr>
      <w:tblGrid>
        <w:gridCol w:w="3131"/>
        <w:gridCol w:w="3133"/>
        <w:gridCol w:w="3133"/>
      </w:tblGrid>
      <w:tr w:rsidR="000E52BB" w:rsidRPr="008324F1" w14:paraId="61B987B6" w14:textId="77777777" w:rsidTr="000E52BB">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131" w:type="dxa"/>
          </w:tcPr>
          <w:p w14:paraId="664235C4" w14:textId="77777777" w:rsidR="000E52BB" w:rsidRPr="008324F1" w:rsidRDefault="000E52BB" w:rsidP="000E52BB">
            <w:pPr>
              <w:jc w:val="both"/>
              <w:rPr>
                <w:rFonts w:asciiTheme="majorBidi" w:hAnsiTheme="majorBidi" w:cstheme="majorBidi"/>
                <w:sz w:val="24"/>
                <w:szCs w:val="24"/>
              </w:rPr>
            </w:pPr>
            <w:r w:rsidRPr="008324F1">
              <w:rPr>
                <w:rFonts w:asciiTheme="majorBidi" w:hAnsiTheme="majorBidi" w:cstheme="majorBidi"/>
                <w:sz w:val="24"/>
                <w:szCs w:val="24"/>
              </w:rPr>
              <w:t>Corporate Responsibility Related Keywords</w:t>
            </w:r>
          </w:p>
        </w:tc>
        <w:tc>
          <w:tcPr>
            <w:tcW w:w="3133" w:type="dxa"/>
          </w:tcPr>
          <w:p w14:paraId="15159A1D" w14:textId="77777777" w:rsidR="000E52BB" w:rsidRPr="008324F1" w:rsidRDefault="000E52BB" w:rsidP="000E52BB">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8324F1">
              <w:rPr>
                <w:rFonts w:asciiTheme="majorBidi" w:hAnsiTheme="majorBidi" w:cstheme="majorBidi"/>
                <w:sz w:val="24"/>
                <w:szCs w:val="24"/>
              </w:rPr>
              <w:t>Additional Keywords</w:t>
            </w:r>
          </w:p>
        </w:tc>
        <w:tc>
          <w:tcPr>
            <w:tcW w:w="3133" w:type="dxa"/>
          </w:tcPr>
          <w:p w14:paraId="78C61250" w14:textId="77777777" w:rsidR="000E52BB" w:rsidRPr="008324F1" w:rsidRDefault="000E52BB" w:rsidP="000E52BB">
            <w:pPr>
              <w:jc w:val="both"/>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4"/>
                <w:szCs w:val="24"/>
              </w:rPr>
            </w:pPr>
            <w:r w:rsidRPr="008324F1">
              <w:rPr>
                <w:rFonts w:asciiTheme="majorBidi" w:hAnsiTheme="majorBidi" w:cstheme="majorBidi"/>
                <w:sz w:val="24"/>
                <w:szCs w:val="24"/>
              </w:rPr>
              <w:t>Search String</w:t>
            </w:r>
          </w:p>
        </w:tc>
      </w:tr>
      <w:tr w:rsidR="000E52BB" w:rsidRPr="008324F1" w14:paraId="4DA1F23E" w14:textId="77777777" w:rsidTr="000E52BB">
        <w:trPr>
          <w:cnfStyle w:val="000000100000" w:firstRow="0" w:lastRow="0" w:firstColumn="0" w:lastColumn="0" w:oddVBand="0" w:evenVBand="0" w:oddHBand="1" w:evenHBand="0" w:firstRowFirstColumn="0" w:firstRowLastColumn="0" w:lastRowFirstColumn="0" w:lastRowLastColumn="0"/>
          <w:trHeight w:val="4842"/>
        </w:trPr>
        <w:tc>
          <w:tcPr>
            <w:cnfStyle w:val="001000000000" w:firstRow="0" w:lastRow="0" w:firstColumn="1" w:lastColumn="0" w:oddVBand="0" w:evenVBand="0" w:oddHBand="0" w:evenHBand="0" w:firstRowFirstColumn="0" w:firstRowLastColumn="0" w:lastRowFirstColumn="0" w:lastRowLastColumn="0"/>
            <w:tcW w:w="3131" w:type="dxa"/>
          </w:tcPr>
          <w:p w14:paraId="25984CAD"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CSR</w:t>
            </w:r>
          </w:p>
          <w:p w14:paraId="5EC2507A"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Corporate Social Responsibility</w:t>
            </w:r>
          </w:p>
          <w:p w14:paraId="5F964B09"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ESG</w:t>
            </w:r>
          </w:p>
          <w:p w14:paraId="23C975A2"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Environmental, Social and Governance</w:t>
            </w:r>
          </w:p>
          <w:p w14:paraId="02B287C5"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Digital Ethi*</w:t>
            </w:r>
          </w:p>
          <w:p w14:paraId="160F41B9"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Business Ethics</w:t>
            </w:r>
          </w:p>
          <w:p w14:paraId="62590FAD"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Triple Bottom Line</w:t>
            </w:r>
          </w:p>
          <w:p w14:paraId="0DBB5CE8"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 xml:space="preserve">Sustainable Business Practices </w:t>
            </w:r>
          </w:p>
          <w:p w14:paraId="67E7E9D3"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Business Sustainab*</w:t>
            </w:r>
          </w:p>
          <w:p w14:paraId="470230AC"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Organisational Sustainab*</w:t>
            </w:r>
          </w:p>
          <w:p w14:paraId="3A121B57"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Corporate Sustainab*</w:t>
            </w:r>
          </w:p>
          <w:p w14:paraId="63AF9ED0"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AI Governance</w:t>
            </w:r>
          </w:p>
          <w:p w14:paraId="636C72F8"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AI Ethics</w:t>
            </w:r>
          </w:p>
          <w:p w14:paraId="52837307"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Corporate Accountability</w:t>
            </w:r>
          </w:p>
          <w:p w14:paraId="17E0B2B4"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Corporate Governance</w:t>
            </w:r>
          </w:p>
          <w:p w14:paraId="22347118"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 xml:space="preserve">Corporate Citizenship </w:t>
            </w:r>
          </w:p>
          <w:p w14:paraId="50E3670E" w14:textId="77777777" w:rsidR="000E52BB" w:rsidRPr="008324F1" w:rsidRDefault="000E52BB" w:rsidP="000E52BB">
            <w:pPr>
              <w:jc w:val="both"/>
              <w:rPr>
                <w:rFonts w:asciiTheme="majorBidi" w:hAnsiTheme="majorBidi" w:cstheme="majorBidi"/>
                <w:b w:val="0"/>
                <w:bCs w:val="0"/>
                <w:sz w:val="24"/>
                <w:szCs w:val="24"/>
              </w:rPr>
            </w:pPr>
            <w:r w:rsidRPr="008324F1">
              <w:rPr>
                <w:rFonts w:asciiTheme="majorBidi" w:hAnsiTheme="majorBidi" w:cstheme="majorBidi"/>
                <w:b w:val="0"/>
                <w:bCs w:val="0"/>
                <w:sz w:val="24"/>
                <w:szCs w:val="24"/>
              </w:rPr>
              <w:t>Responsible AI</w:t>
            </w:r>
          </w:p>
          <w:p w14:paraId="3EF56CE9" w14:textId="77777777" w:rsidR="000E52BB" w:rsidRPr="008324F1" w:rsidRDefault="000E52BB" w:rsidP="000E52BB">
            <w:pPr>
              <w:jc w:val="both"/>
              <w:rPr>
                <w:rFonts w:asciiTheme="majorBidi" w:hAnsiTheme="majorBidi" w:cstheme="majorBidi"/>
                <w:sz w:val="24"/>
                <w:szCs w:val="24"/>
              </w:rPr>
            </w:pPr>
          </w:p>
        </w:tc>
        <w:tc>
          <w:tcPr>
            <w:tcW w:w="3133" w:type="dxa"/>
          </w:tcPr>
          <w:p w14:paraId="686004E7" w14:textId="77777777" w:rsidR="000E52BB" w:rsidRPr="008324F1" w:rsidRDefault="000E52BB" w:rsidP="000E52B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8324F1">
              <w:rPr>
                <w:rFonts w:asciiTheme="majorBidi" w:hAnsiTheme="majorBidi" w:cstheme="majorBidi"/>
                <w:sz w:val="24"/>
                <w:szCs w:val="24"/>
              </w:rPr>
              <w:t>Circular Economy</w:t>
            </w:r>
          </w:p>
          <w:p w14:paraId="46A8FF17" w14:textId="77777777" w:rsidR="000E52BB" w:rsidRPr="008324F1" w:rsidRDefault="000E52BB" w:rsidP="000E52B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8324F1">
              <w:rPr>
                <w:rFonts w:asciiTheme="majorBidi" w:hAnsiTheme="majorBidi" w:cstheme="majorBidi"/>
                <w:sz w:val="24"/>
                <w:szCs w:val="24"/>
              </w:rPr>
              <w:t>AI</w:t>
            </w:r>
          </w:p>
          <w:p w14:paraId="5C4EE1C8" w14:textId="77777777" w:rsidR="000E52BB" w:rsidRPr="008324F1" w:rsidRDefault="000E52BB" w:rsidP="000E52B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4"/>
                <w:szCs w:val="24"/>
              </w:rPr>
            </w:pPr>
            <w:r w:rsidRPr="008324F1">
              <w:rPr>
                <w:rFonts w:asciiTheme="majorBidi" w:hAnsiTheme="majorBidi" w:cstheme="majorBidi"/>
                <w:sz w:val="24"/>
                <w:szCs w:val="24"/>
              </w:rPr>
              <w:t>Artificial Intelligence</w:t>
            </w:r>
            <w:r w:rsidRPr="008324F1">
              <w:rPr>
                <w:rFonts w:asciiTheme="majorBidi" w:hAnsiTheme="majorBidi" w:cstheme="majorBidi"/>
                <w:b/>
                <w:bCs/>
                <w:sz w:val="24"/>
                <w:szCs w:val="24"/>
              </w:rPr>
              <w:t xml:space="preserve"> </w:t>
            </w:r>
          </w:p>
          <w:p w14:paraId="593899FC" w14:textId="77777777" w:rsidR="000E52BB" w:rsidRPr="008324F1" w:rsidRDefault="000E52BB" w:rsidP="000E52B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8324F1">
              <w:rPr>
                <w:rFonts w:asciiTheme="majorBidi" w:hAnsiTheme="majorBidi" w:cstheme="majorBidi"/>
                <w:sz w:val="24"/>
                <w:szCs w:val="24"/>
              </w:rPr>
              <w:t>AI Risk</w:t>
            </w:r>
          </w:p>
          <w:p w14:paraId="6B783AB3" w14:textId="77777777" w:rsidR="000E52BB" w:rsidRPr="008324F1" w:rsidRDefault="000E52BB" w:rsidP="000E52B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8324F1">
              <w:rPr>
                <w:rFonts w:asciiTheme="majorBidi" w:hAnsiTheme="majorBidi" w:cstheme="majorBidi"/>
                <w:sz w:val="24"/>
                <w:szCs w:val="24"/>
              </w:rPr>
              <w:t>Emerging Technology</w:t>
            </w:r>
          </w:p>
          <w:p w14:paraId="7E70E347" w14:textId="77777777" w:rsidR="000E52BB" w:rsidRPr="008324F1" w:rsidRDefault="000E52BB" w:rsidP="000E52B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8324F1">
              <w:rPr>
                <w:rFonts w:asciiTheme="majorBidi" w:hAnsiTheme="majorBidi" w:cstheme="majorBidi"/>
                <w:sz w:val="24"/>
                <w:szCs w:val="24"/>
              </w:rPr>
              <w:t>Digital Strategy</w:t>
            </w:r>
          </w:p>
          <w:p w14:paraId="4BCC1D8B" w14:textId="77777777" w:rsidR="000E52BB" w:rsidRPr="008324F1" w:rsidRDefault="000E52BB" w:rsidP="000E52B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8324F1">
              <w:rPr>
                <w:rFonts w:asciiTheme="majorBidi" w:hAnsiTheme="majorBidi" w:cstheme="majorBidi"/>
                <w:sz w:val="24"/>
                <w:szCs w:val="24"/>
              </w:rPr>
              <w:t>Digital Inclus*</w:t>
            </w:r>
          </w:p>
        </w:tc>
        <w:tc>
          <w:tcPr>
            <w:tcW w:w="3133" w:type="dxa"/>
          </w:tcPr>
          <w:p w14:paraId="709635FC" w14:textId="77777777" w:rsidR="000E52BB" w:rsidRPr="008324F1" w:rsidRDefault="000E52BB" w:rsidP="000E52BB">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rPr>
            </w:pPr>
            <w:r w:rsidRPr="008324F1">
              <w:rPr>
                <w:rFonts w:asciiTheme="majorBidi" w:hAnsiTheme="majorBidi" w:cstheme="majorBidi"/>
                <w:sz w:val="24"/>
                <w:szCs w:val="24"/>
              </w:rPr>
              <w:t>("Triple Bottom Line" OR "Sustainable Business Practices" OR "Business Sustainab*" OR "Organisational Sustainab*" OR "Corporate Sustainab*" ) OR ( "AI Governance" OR "Responsible AI" OR "AI Ethi*" OR "Digital Strat*") OR ("Corporate Accountability" OR "Corporate Citizenship" OR "Business Ethi*") OR ("Corporate Governance" OR "CSR" OR "Corporate Social Responsibility" OR "Digital Ethi*" OR "ESG" OR "Environmental, Social and Governance") AND ("Circular Economy" OR "Artificial Intelligence" OR "AI" OR "AI Risk" OR "Emerging Technology" OR "Digital Inclus*")</w:t>
            </w:r>
          </w:p>
        </w:tc>
      </w:tr>
    </w:tbl>
    <w:p w14:paraId="27EDEE98" w14:textId="55E04A78" w:rsidR="003F1F67" w:rsidRPr="001D194E" w:rsidRDefault="003F1F67" w:rsidP="001D194E">
      <w:pPr>
        <w:spacing w:line="240" w:lineRule="auto"/>
        <w:jc w:val="both"/>
        <w:rPr>
          <w:rFonts w:asciiTheme="majorBidi" w:hAnsiTheme="majorBidi" w:cstheme="majorBidi"/>
          <w:sz w:val="20"/>
          <w:szCs w:val="20"/>
        </w:rPr>
      </w:pPr>
      <w:r w:rsidRPr="001D194E">
        <w:rPr>
          <w:rFonts w:asciiTheme="majorBidi" w:hAnsiTheme="majorBidi" w:cstheme="majorBidi"/>
          <w:sz w:val="20"/>
          <w:szCs w:val="20"/>
        </w:rPr>
        <w:t>Table 1 – Keywords</w:t>
      </w:r>
    </w:p>
    <w:p w14:paraId="41FE76C1" w14:textId="77777777" w:rsidR="003F1F67" w:rsidRDefault="003F1F67" w:rsidP="001D194E">
      <w:pPr>
        <w:spacing w:line="240" w:lineRule="auto"/>
        <w:jc w:val="both"/>
        <w:rPr>
          <w:rFonts w:asciiTheme="majorBidi" w:hAnsiTheme="majorBidi" w:cstheme="majorBidi"/>
          <w:sz w:val="24"/>
          <w:szCs w:val="24"/>
        </w:rPr>
      </w:pPr>
    </w:p>
    <w:p w14:paraId="3EE6EE33" w14:textId="1F4A18F8" w:rsidR="001D194E" w:rsidRPr="001D194E" w:rsidRDefault="001D194E" w:rsidP="001D194E">
      <w:pPr>
        <w:spacing w:line="240" w:lineRule="auto"/>
        <w:jc w:val="both"/>
        <w:rPr>
          <w:rFonts w:asciiTheme="majorBidi" w:hAnsiTheme="majorBidi" w:cstheme="majorBidi"/>
          <w:sz w:val="24"/>
          <w:szCs w:val="24"/>
        </w:rPr>
      </w:pPr>
      <w:r w:rsidRPr="001D194E">
        <w:rPr>
          <w:rFonts w:asciiTheme="majorBidi" w:hAnsiTheme="majorBidi" w:cstheme="majorBidi"/>
          <w:sz w:val="24"/>
          <w:szCs w:val="24"/>
        </w:rPr>
        <w:lastRenderedPageBreak/>
        <w:t xml:space="preserve">As shown in Table 1, the keywords applied include variations of concepts within the corporate responsibility umbrella such as CSR and ESG, while other relevant terms such as circular economy and AI were also included to complement the search. The search query was based on titles, abstracts, and keywords and, using the Boolean operator, a search string was created as shown in Table 1. </w:t>
      </w:r>
    </w:p>
    <w:p w14:paraId="6A589BD6" w14:textId="77777777" w:rsidR="001D194E" w:rsidRPr="001D194E" w:rsidRDefault="001D194E" w:rsidP="001D194E">
      <w:pPr>
        <w:spacing w:line="240" w:lineRule="auto"/>
        <w:jc w:val="both"/>
        <w:rPr>
          <w:rFonts w:asciiTheme="majorBidi" w:hAnsiTheme="majorBidi" w:cstheme="majorBidi"/>
          <w:sz w:val="24"/>
          <w:szCs w:val="24"/>
        </w:rPr>
      </w:pPr>
      <w:r w:rsidRPr="001D194E">
        <w:rPr>
          <w:rFonts w:asciiTheme="majorBidi" w:hAnsiTheme="majorBidi" w:cstheme="majorBidi"/>
          <w:sz w:val="24"/>
          <w:szCs w:val="24"/>
        </w:rPr>
        <w:t xml:space="preserve">To answer the research question, it is important to include several ethical terms to allow the study to have a larger scope as the topics of AI and the Circular Economy are too new to adopt strict criteria. These keywords were chosen as they provide a comprehensive view of the considerations required to assess the future challenges of AI within organisations. </w:t>
      </w:r>
    </w:p>
    <w:p w14:paraId="681A2BC8" w14:textId="46B9FBF2" w:rsidR="001D194E" w:rsidRPr="001D194E" w:rsidRDefault="001D194E" w:rsidP="001D194E">
      <w:pPr>
        <w:spacing w:line="240" w:lineRule="auto"/>
        <w:jc w:val="both"/>
        <w:rPr>
          <w:rFonts w:asciiTheme="majorBidi" w:hAnsiTheme="majorBidi" w:cstheme="majorBidi"/>
          <w:sz w:val="20"/>
          <w:szCs w:val="20"/>
        </w:rPr>
      </w:pPr>
      <w:r w:rsidRPr="001D194E">
        <w:rPr>
          <w:rFonts w:asciiTheme="majorBidi" w:hAnsiTheme="majorBidi" w:cstheme="majorBidi"/>
          <w:sz w:val="24"/>
          <w:szCs w:val="24"/>
        </w:rPr>
        <w:t>However, it should be acknowledged that some potential keywords such as blockchain, machine learning, internet of things (IoT) and sustainability were not included in the search to avoid diluting the original aim of the study. Sustainability is a broad term; therefore, phrases such as corporate, business, and organisational were used in conjunction with sustainability to maintain the study’s focus on addressing these issues from a business discipline. However, it is imperative to mention that articles contain</w:t>
      </w:r>
      <w:r w:rsidR="004648BB">
        <w:rPr>
          <w:rFonts w:asciiTheme="majorBidi" w:hAnsiTheme="majorBidi" w:cstheme="majorBidi"/>
          <w:sz w:val="24"/>
          <w:szCs w:val="24"/>
        </w:rPr>
        <w:t>ing</w:t>
      </w:r>
      <w:r w:rsidRPr="001D194E">
        <w:rPr>
          <w:rFonts w:asciiTheme="majorBidi" w:hAnsiTheme="majorBidi" w:cstheme="majorBidi"/>
          <w:sz w:val="24"/>
          <w:szCs w:val="24"/>
        </w:rPr>
        <w:t xml:space="preserve"> these terms are not automatically </w:t>
      </w:r>
      <w:r w:rsidR="00B5339A">
        <w:rPr>
          <w:rFonts w:asciiTheme="majorBidi" w:hAnsiTheme="majorBidi" w:cstheme="majorBidi"/>
          <w:sz w:val="24"/>
          <w:szCs w:val="24"/>
        </w:rPr>
        <w:t>removed</w:t>
      </w:r>
      <w:r w:rsidRPr="001D194E">
        <w:rPr>
          <w:rFonts w:asciiTheme="majorBidi" w:hAnsiTheme="majorBidi" w:cstheme="majorBidi"/>
          <w:sz w:val="24"/>
          <w:szCs w:val="24"/>
        </w:rPr>
        <w:t xml:space="preserve"> </w:t>
      </w:r>
      <w:r w:rsidR="00B44E8D">
        <w:rPr>
          <w:rFonts w:asciiTheme="majorBidi" w:hAnsiTheme="majorBidi" w:cstheme="majorBidi"/>
          <w:sz w:val="24"/>
          <w:szCs w:val="24"/>
        </w:rPr>
        <w:t xml:space="preserve">if they are found after the application of the search string </w:t>
      </w:r>
      <w:r w:rsidR="00321692">
        <w:rPr>
          <w:rFonts w:asciiTheme="majorBidi" w:hAnsiTheme="majorBidi" w:cstheme="majorBidi"/>
          <w:sz w:val="24"/>
          <w:szCs w:val="24"/>
        </w:rPr>
        <w:t>and</w:t>
      </w:r>
      <w:r w:rsidR="00411584">
        <w:rPr>
          <w:rFonts w:asciiTheme="majorBidi" w:hAnsiTheme="majorBidi" w:cstheme="majorBidi"/>
          <w:sz w:val="24"/>
          <w:szCs w:val="24"/>
        </w:rPr>
        <w:t xml:space="preserve"> </w:t>
      </w:r>
      <w:r w:rsidRPr="001D194E">
        <w:rPr>
          <w:rFonts w:asciiTheme="majorBidi" w:hAnsiTheme="majorBidi" w:cstheme="majorBidi"/>
          <w:sz w:val="24"/>
          <w:szCs w:val="24"/>
        </w:rPr>
        <w:t>closely relate to the aims of the study. The initial search provided the study with 3,065 articles.</w:t>
      </w:r>
    </w:p>
    <w:p w14:paraId="3340C9B8" w14:textId="2E223F00" w:rsidR="000D62F5" w:rsidRPr="001D194E" w:rsidRDefault="000D62F5" w:rsidP="000D62F5">
      <w:pPr>
        <w:spacing w:line="240" w:lineRule="auto"/>
        <w:jc w:val="both"/>
        <w:rPr>
          <w:rFonts w:asciiTheme="majorBidi" w:hAnsiTheme="majorBidi" w:cstheme="majorBidi"/>
          <w:sz w:val="24"/>
          <w:szCs w:val="24"/>
        </w:rPr>
      </w:pPr>
      <w:r w:rsidRPr="001D194E">
        <w:rPr>
          <w:rFonts w:asciiTheme="majorBidi" w:hAnsiTheme="majorBidi" w:cstheme="majorBidi"/>
          <w:sz w:val="24"/>
          <w:szCs w:val="24"/>
        </w:rPr>
        <w:t xml:space="preserve">The second phase applied the inclusion and exclusion criteria as demonstrated in </w:t>
      </w:r>
      <w:r w:rsidR="00C66583">
        <w:rPr>
          <w:rFonts w:asciiTheme="majorBidi" w:hAnsiTheme="majorBidi" w:cstheme="majorBidi"/>
          <w:sz w:val="24"/>
          <w:szCs w:val="24"/>
        </w:rPr>
        <w:t>T</w:t>
      </w:r>
      <w:r w:rsidRPr="001D194E">
        <w:rPr>
          <w:rFonts w:asciiTheme="majorBidi" w:hAnsiTheme="majorBidi" w:cstheme="majorBidi"/>
          <w:sz w:val="24"/>
          <w:szCs w:val="24"/>
        </w:rPr>
        <w:t>able 2 to the articles found using the keywords. The study included articles published up until 31</w:t>
      </w:r>
      <w:r w:rsidRPr="001D194E">
        <w:rPr>
          <w:rFonts w:asciiTheme="majorBidi" w:hAnsiTheme="majorBidi" w:cstheme="majorBidi"/>
          <w:sz w:val="24"/>
          <w:szCs w:val="24"/>
          <w:vertAlign w:val="superscript"/>
        </w:rPr>
        <w:t>st</w:t>
      </w:r>
      <w:r w:rsidRPr="001D194E">
        <w:rPr>
          <w:rFonts w:asciiTheme="majorBidi" w:hAnsiTheme="majorBidi" w:cstheme="majorBidi"/>
          <w:sz w:val="24"/>
          <w:szCs w:val="24"/>
        </w:rPr>
        <w:t xml:space="preserve"> December 2023. There is no period excluded before this date. As AI is dynamic in nature, relatively new and the study aims to examine future trends, the paper included conference proceedings to increase the scope of the review and discover the emerging trends in this developing topic. </w:t>
      </w:r>
    </w:p>
    <w:p w14:paraId="14BC9FEE" w14:textId="4EB92200" w:rsidR="000D62F5" w:rsidRDefault="000D62F5" w:rsidP="001D194E">
      <w:pPr>
        <w:spacing w:line="240" w:lineRule="auto"/>
        <w:jc w:val="both"/>
        <w:rPr>
          <w:rFonts w:asciiTheme="majorBidi" w:hAnsiTheme="majorBidi" w:cstheme="majorBidi"/>
          <w:sz w:val="24"/>
          <w:szCs w:val="24"/>
        </w:rPr>
      </w:pPr>
      <w:r w:rsidRPr="001D194E">
        <w:rPr>
          <w:rFonts w:asciiTheme="majorBidi" w:hAnsiTheme="majorBidi" w:cstheme="majorBidi"/>
          <w:sz w:val="20"/>
          <w:szCs w:val="20"/>
        </w:rPr>
        <w:t>Table 2 – Inclusion and Exclusion Criteria</w:t>
      </w:r>
    </w:p>
    <w:tbl>
      <w:tblPr>
        <w:tblStyle w:val="TableGrid"/>
        <w:tblpPr w:leftFromText="180" w:rightFromText="180" w:vertAnchor="page" w:horzAnchor="margin" w:tblpY="8581"/>
        <w:tblW w:w="9080" w:type="dxa"/>
        <w:tblLook w:val="04A0" w:firstRow="1" w:lastRow="0" w:firstColumn="1" w:lastColumn="0" w:noHBand="0" w:noVBand="1"/>
      </w:tblPr>
      <w:tblGrid>
        <w:gridCol w:w="4540"/>
        <w:gridCol w:w="4540"/>
      </w:tblGrid>
      <w:tr w:rsidR="000D62F5" w:rsidRPr="001D194E" w14:paraId="14AF36C6" w14:textId="77777777" w:rsidTr="000D62F5">
        <w:trPr>
          <w:trHeight w:val="243"/>
        </w:trPr>
        <w:tc>
          <w:tcPr>
            <w:tcW w:w="4540" w:type="dxa"/>
          </w:tcPr>
          <w:p w14:paraId="749E65AC" w14:textId="77777777" w:rsidR="000D62F5" w:rsidRPr="001D194E" w:rsidRDefault="000D62F5" w:rsidP="000D62F5">
            <w:pPr>
              <w:jc w:val="both"/>
              <w:rPr>
                <w:rFonts w:asciiTheme="majorBidi" w:hAnsiTheme="majorBidi" w:cstheme="majorBidi"/>
                <w:sz w:val="24"/>
                <w:szCs w:val="24"/>
              </w:rPr>
            </w:pPr>
            <w:r w:rsidRPr="001D194E">
              <w:rPr>
                <w:rFonts w:asciiTheme="majorBidi" w:hAnsiTheme="majorBidi" w:cstheme="majorBidi"/>
                <w:sz w:val="24"/>
                <w:szCs w:val="24"/>
              </w:rPr>
              <w:t>Inclusion Criteria</w:t>
            </w:r>
          </w:p>
        </w:tc>
        <w:tc>
          <w:tcPr>
            <w:tcW w:w="4540" w:type="dxa"/>
          </w:tcPr>
          <w:p w14:paraId="7BAF71D7" w14:textId="77777777" w:rsidR="000D62F5" w:rsidRPr="001D194E" w:rsidRDefault="000D62F5" w:rsidP="000D62F5">
            <w:pPr>
              <w:jc w:val="both"/>
              <w:rPr>
                <w:rFonts w:asciiTheme="majorBidi" w:hAnsiTheme="majorBidi" w:cstheme="majorBidi"/>
                <w:sz w:val="24"/>
                <w:szCs w:val="24"/>
              </w:rPr>
            </w:pPr>
            <w:r w:rsidRPr="001D194E">
              <w:rPr>
                <w:rFonts w:asciiTheme="majorBidi" w:hAnsiTheme="majorBidi" w:cstheme="majorBidi"/>
                <w:sz w:val="24"/>
                <w:szCs w:val="24"/>
              </w:rPr>
              <w:t>Exclusion Criteria</w:t>
            </w:r>
          </w:p>
        </w:tc>
      </w:tr>
      <w:tr w:rsidR="000D62F5" w:rsidRPr="001D194E" w14:paraId="6E4DF0B2" w14:textId="77777777" w:rsidTr="000D62F5">
        <w:trPr>
          <w:trHeight w:val="740"/>
        </w:trPr>
        <w:tc>
          <w:tcPr>
            <w:tcW w:w="4540" w:type="dxa"/>
          </w:tcPr>
          <w:p w14:paraId="20D5128A" w14:textId="7D84ACE5" w:rsidR="000D62F5" w:rsidRPr="001D194E" w:rsidRDefault="000D62F5" w:rsidP="000D62F5">
            <w:pPr>
              <w:jc w:val="both"/>
              <w:rPr>
                <w:rFonts w:asciiTheme="majorBidi" w:hAnsiTheme="majorBidi" w:cstheme="majorBidi"/>
                <w:sz w:val="24"/>
                <w:szCs w:val="24"/>
              </w:rPr>
            </w:pPr>
            <w:r w:rsidRPr="001D194E">
              <w:rPr>
                <w:rFonts w:asciiTheme="majorBidi" w:hAnsiTheme="majorBidi" w:cstheme="majorBidi"/>
                <w:sz w:val="24"/>
                <w:szCs w:val="24"/>
              </w:rPr>
              <w:t xml:space="preserve">Articles relating to </w:t>
            </w:r>
            <w:r w:rsidR="006B7132">
              <w:rPr>
                <w:rFonts w:asciiTheme="majorBidi" w:hAnsiTheme="majorBidi" w:cstheme="majorBidi"/>
                <w:sz w:val="24"/>
                <w:szCs w:val="24"/>
              </w:rPr>
              <w:t>corporate responsibility</w:t>
            </w:r>
            <w:r w:rsidRPr="001D194E">
              <w:rPr>
                <w:rFonts w:asciiTheme="majorBidi" w:hAnsiTheme="majorBidi" w:cstheme="majorBidi"/>
                <w:sz w:val="24"/>
                <w:szCs w:val="24"/>
              </w:rPr>
              <w:t xml:space="preserve"> in the context of either AI or Circular Economy</w:t>
            </w:r>
          </w:p>
        </w:tc>
        <w:tc>
          <w:tcPr>
            <w:tcW w:w="4540" w:type="dxa"/>
          </w:tcPr>
          <w:p w14:paraId="2934EBFC" w14:textId="77777777" w:rsidR="000D62F5" w:rsidRPr="001D194E" w:rsidRDefault="000D62F5" w:rsidP="000D62F5">
            <w:pPr>
              <w:jc w:val="both"/>
              <w:rPr>
                <w:rFonts w:asciiTheme="majorBidi" w:hAnsiTheme="majorBidi" w:cstheme="majorBidi"/>
                <w:sz w:val="24"/>
                <w:szCs w:val="24"/>
              </w:rPr>
            </w:pPr>
            <w:r w:rsidRPr="001D194E">
              <w:rPr>
                <w:rFonts w:asciiTheme="majorBidi" w:hAnsiTheme="majorBidi" w:cstheme="majorBidi"/>
                <w:sz w:val="24"/>
                <w:szCs w:val="24"/>
              </w:rPr>
              <w:t>Anything that is not a Journal Article or Conference Paper such as Books, Reviews and Thesis</w:t>
            </w:r>
          </w:p>
        </w:tc>
      </w:tr>
      <w:tr w:rsidR="000D62F5" w:rsidRPr="001D194E" w14:paraId="11FE61A6" w14:textId="77777777" w:rsidTr="000D62F5">
        <w:trPr>
          <w:trHeight w:val="487"/>
        </w:trPr>
        <w:tc>
          <w:tcPr>
            <w:tcW w:w="4540" w:type="dxa"/>
          </w:tcPr>
          <w:p w14:paraId="3F17C7D0" w14:textId="77777777" w:rsidR="000D62F5" w:rsidRPr="001D194E" w:rsidRDefault="000D62F5" w:rsidP="000D62F5">
            <w:pPr>
              <w:jc w:val="both"/>
              <w:rPr>
                <w:rFonts w:asciiTheme="majorBidi" w:hAnsiTheme="majorBidi" w:cstheme="majorBidi"/>
                <w:sz w:val="24"/>
                <w:szCs w:val="24"/>
              </w:rPr>
            </w:pPr>
            <w:r w:rsidRPr="001D194E">
              <w:rPr>
                <w:rFonts w:asciiTheme="majorBidi" w:hAnsiTheme="majorBidi" w:cstheme="majorBidi"/>
                <w:sz w:val="24"/>
                <w:szCs w:val="24"/>
              </w:rPr>
              <w:t>Includes any time period up until 31st December 2023</w:t>
            </w:r>
          </w:p>
        </w:tc>
        <w:tc>
          <w:tcPr>
            <w:tcW w:w="4540" w:type="dxa"/>
          </w:tcPr>
          <w:p w14:paraId="0E5946D0" w14:textId="77777777" w:rsidR="000D62F5" w:rsidRPr="001D194E" w:rsidRDefault="000D62F5" w:rsidP="000D62F5">
            <w:pPr>
              <w:jc w:val="both"/>
              <w:rPr>
                <w:rFonts w:asciiTheme="majorBidi" w:hAnsiTheme="majorBidi" w:cstheme="majorBidi"/>
                <w:sz w:val="24"/>
                <w:szCs w:val="24"/>
              </w:rPr>
            </w:pPr>
            <w:r w:rsidRPr="001D194E">
              <w:rPr>
                <w:rFonts w:asciiTheme="majorBidi" w:hAnsiTheme="majorBidi" w:cstheme="majorBidi"/>
                <w:sz w:val="24"/>
                <w:szCs w:val="24"/>
              </w:rPr>
              <w:t>Articles Published in languages other than English</w:t>
            </w:r>
          </w:p>
        </w:tc>
      </w:tr>
      <w:tr w:rsidR="000D62F5" w:rsidRPr="001D194E" w14:paraId="5E8CB48E" w14:textId="77777777" w:rsidTr="000D62F5">
        <w:trPr>
          <w:trHeight w:val="243"/>
        </w:trPr>
        <w:tc>
          <w:tcPr>
            <w:tcW w:w="4540" w:type="dxa"/>
          </w:tcPr>
          <w:p w14:paraId="66F4C6BD" w14:textId="77777777" w:rsidR="000D62F5" w:rsidRPr="001D194E" w:rsidRDefault="000D62F5" w:rsidP="000D62F5">
            <w:pPr>
              <w:jc w:val="both"/>
              <w:rPr>
                <w:rFonts w:asciiTheme="majorBidi" w:hAnsiTheme="majorBidi" w:cstheme="majorBidi"/>
                <w:sz w:val="24"/>
                <w:szCs w:val="24"/>
              </w:rPr>
            </w:pPr>
            <w:r w:rsidRPr="001D194E">
              <w:rPr>
                <w:rFonts w:asciiTheme="majorBidi" w:hAnsiTheme="majorBidi" w:cstheme="majorBidi"/>
                <w:sz w:val="24"/>
                <w:szCs w:val="24"/>
              </w:rPr>
              <w:t>Journal Articles and Conference Papers</w:t>
            </w:r>
          </w:p>
        </w:tc>
        <w:tc>
          <w:tcPr>
            <w:tcW w:w="4540" w:type="dxa"/>
          </w:tcPr>
          <w:p w14:paraId="57792BA8" w14:textId="77777777" w:rsidR="000D62F5" w:rsidRPr="001D194E" w:rsidRDefault="000D62F5" w:rsidP="000D62F5">
            <w:pPr>
              <w:jc w:val="both"/>
              <w:rPr>
                <w:rFonts w:asciiTheme="majorBidi" w:hAnsiTheme="majorBidi" w:cstheme="majorBidi"/>
                <w:sz w:val="24"/>
                <w:szCs w:val="24"/>
                <w:highlight w:val="yellow"/>
              </w:rPr>
            </w:pPr>
            <w:r w:rsidRPr="001D194E">
              <w:rPr>
                <w:rFonts w:asciiTheme="majorBidi" w:hAnsiTheme="majorBidi" w:cstheme="majorBidi"/>
                <w:sz w:val="24"/>
                <w:szCs w:val="24"/>
              </w:rPr>
              <w:t xml:space="preserve">Exclude studies with substandard methodology </w:t>
            </w:r>
          </w:p>
        </w:tc>
      </w:tr>
      <w:tr w:rsidR="000D62F5" w:rsidRPr="001D194E" w14:paraId="41BD18B3" w14:textId="77777777" w:rsidTr="000D62F5">
        <w:trPr>
          <w:trHeight w:val="497"/>
        </w:trPr>
        <w:tc>
          <w:tcPr>
            <w:tcW w:w="4540" w:type="dxa"/>
          </w:tcPr>
          <w:p w14:paraId="56F79456" w14:textId="77777777" w:rsidR="000D62F5" w:rsidRPr="001D194E" w:rsidRDefault="000D62F5" w:rsidP="000D62F5">
            <w:pPr>
              <w:jc w:val="both"/>
              <w:rPr>
                <w:rFonts w:asciiTheme="majorBidi" w:hAnsiTheme="majorBidi" w:cstheme="majorBidi"/>
                <w:sz w:val="24"/>
                <w:szCs w:val="24"/>
              </w:rPr>
            </w:pPr>
            <w:r w:rsidRPr="001D194E">
              <w:rPr>
                <w:rFonts w:asciiTheme="majorBidi" w:hAnsiTheme="majorBidi" w:cstheme="majorBidi"/>
                <w:sz w:val="24"/>
                <w:szCs w:val="24"/>
              </w:rPr>
              <w:t>Only included articles written in the Business, Management and Accounting area</w:t>
            </w:r>
          </w:p>
        </w:tc>
        <w:tc>
          <w:tcPr>
            <w:tcW w:w="4540" w:type="dxa"/>
          </w:tcPr>
          <w:p w14:paraId="73027E88" w14:textId="77777777" w:rsidR="000D62F5" w:rsidRPr="001D194E" w:rsidRDefault="000D62F5" w:rsidP="000D62F5">
            <w:pPr>
              <w:jc w:val="both"/>
              <w:rPr>
                <w:rFonts w:asciiTheme="majorBidi" w:hAnsiTheme="majorBidi" w:cstheme="majorBidi"/>
                <w:sz w:val="24"/>
                <w:szCs w:val="24"/>
              </w:rPr>
            </w:pPr>
            <w:r w:rsidRPr="001D194E">
              <w:rPr>
                <w:rFonts w:asciiTheme="majorBidi" w:hAnsiTheme="majorBidi" w:cstheme="majorBidi"/>
                <w:sz w:val="24"/>
                <w:szCs w:val="24"/>
              </w:rPr>
              <w:t>Excluded if article is not free to access</w:t>
            </w:r>
          </w:p>
        </w:tc>
      </w:tr>
      <w:tr w:rsidR="000D62F5" w:rsidRPr="001D194E" w14:paraId="4B12894C" w14:textId="77777777" w:rsidTr="000D62F5">
        <w:trPr>
          <w:trHeight w:val="243"/>
        </w:trPr>
        <w:tc>
          <w:tcPr>
            <w:tcW w:w="4540" w:type="dxa"/>
          </w:tcPr>
          <w:p w14:paraId="0E695715" w14:textId="77777777" w:rsidR="000D62F5" w:rsidRPr="001D194E" w:rsidRDefault="000D62F5" w:rsidP="000D62F5">
            <w:pPr>
              <w:jc w:val="both"/>
              <w:rPr>
                <w:rFonts w:asciiTheme="majorBidi" w:hAnsiTheme="majorBidi" w:cstheme="majorBidi"/>
                <w:sz w:val="24"/>
                <w:szCs w:val="24"/>
              </w:rPr>
            </w:pPr>
            <w:r w:rsidRPr="001D194E">
              <w:rPr>
                <w:rFonts w:asciiTheme="majorBidi" w:hAnsiTheme="majorBidi" w:cstheme="majorBidi"/>
                <w:sz w:val="24"/>
                <w:szCs w:val="24"/>
              </w:rPr>
              <w:t>Must be written in English</w:t>
            </w:r>
          </w:p>
        </w:tc>
        <w:tc>
          <w:tcPr>
            <w:tcW w:w="4540" w:type="dxa"/>
          </w:tcPr>
          <w:p w14:paraId="7A3E821D" w14:textId="77777777" w:rsidR="000D62F5" w:rsidRPr="001D194E" w:rsidRDefault="000D62F5" w:rsidP="000D62F5">
            <w:pPr>
              <w:jc w:val="both"/>
              <w:rPr>
                <w:rFonts w:asciiTheme="majorBidi" w:hAnsiTheme="majorBidi" w:cstheme="majorBidi"/>
                <w:sz w:val="24"/>
                <w:szCs w:val="24"/>
              </w:rPr>
            </w:pPr>
            <w:r w:rsidRPr="001D194E">
              <w:rPr>
                <w:rFonts w:asciiTheme="majorBidi" w:hAnsiTheme="majorBidi" w:cstheme="majorBidi"/>
                <w:sz w:val="24"/>
                <w:szCs w:val="24"/>
              </w:rPr>
              <w:t>Not written in English</w:t>
            </w:r>
          </w:p>
        </w:tc>
      </w:tr>
      <w:tr w:rsidR="000D62F5" w:rsidRPr="001D194E" w14:paraId="6CABB1A2" w14:textId="77777777" w:rsidTr="000D62F5">
        <w:trPr>
          <w:trHeight w:val="243"/>
        </w:trPr>
        <w:tc>
          <w:tcPr>
            <w:tcW w:w="4540" w:type="dxa"/>
          </w:tcPr>
          <w:p w14:paraId="2129FEB4" w14:textId="77777777" w:rsidR="000D62F5" w:rsidRPr="001D194E" w:rsidRDefault="000D62F5" w:rsidP="000D62F5">
            <w:pPr>
              <w:jc w:val="both"/>
              <w:rPr>
                <w:rFonts w:asciiTheme="majorBidi" w:hAnsiTheme="majorBidi" w:cstheme="majorBidi"/>
                <w:sz w:val="24"/>
                <w:szCs w:val="24"/>
              </w:rPr>
            </w:pPr>
            <w:r w:rsidRPr="001D194E">
              <w:rPr>
                <w:rFonts w:asciiTheme="majorBidi" w:hAnsiTheme="majorBidi" w:cstheme="majorBidi"/>
                <w:sz w:val="24"/>
                <w:szCs w:val="24"/>
              </w:rPr>
              <w:t>Study can include any country or sector</w:t>
            </w:r>
          </w:p>
        </w:tc>
        <w:tc>
          <w:tcPr>
            <w:tcW w:w="4540" w:type="dxa"/>
          </w:tcPr>
          <w:p w14:paraId="631D0DEA" w14:textId="77777777" w:rsidR="000D62F5" w:rsidRPr="001D194E" w:rsidRDefault="000D62F5" w:rsidP="000D62F5">
            <w:pPr>
              <w:jc w:val="both"/>
              <w:rPr>
                <w:rFonts w:asciiTheme="majorBidi" w:hAnsiTheme="majorBidi" w:cstheme="majorBidi"/>
                <w:sz w:val="24"/>
                <w:szCs w:val="24"/>
              </w:rPr>
            </w:pPr>
            <w:r w:rsidRPr="001D194E">
              <w:rPr>
                <w:rFonts w:asciiTheme="majorBidi" w:hAnsiTheme="majorBidi" w:cstheme="majorBidi"/>
                <w:sz w:val="24"/>
                <w:szCs w:val="24"/>
              </w:rPr>
              <w:t>Articles unrelated to the research question</w:t>
            </w:r>
          </w:p>
        </w:tc>
      </w:tr>
    </w:tbl>
    <w:p w14:paraId="4D9F2398" w14:textId="77777777" w:rsidR="000D62F5" w:rsidRDefault="000D62F5" w:rsidP="001D194E">
      <w:pPr>
        <w:spacing w:line="240" w:lineRule="auto"/>
        <w:jc w:val="both"/>
        <w:rPr>
          <w:rFonts w:asciiTheme="majorBidi" w:hAnsiTheme="majorBidi" w:cstheme="majorBidi"/>
          <w:sz w:val="24"/>
          <w:szCs w:val="24"/>
        </w:rPr>
      </w:pPr>
    </w:p>
    <w:p w14:paraId="0427F57C" w14:textId="7270DCC1" w:rsidR="001D194E" w:rsidRPr="001D194E" w:rsidRDefault="001D194E" w:rsidP="001D194E">
      <w:pPr>
        <w:spacing w:line="240" w:lineRule="auto"/>
        <w:jc w:val="both"/>
        <w:rPr>
          <w:rFonts w:asciiTheme="majorBidi" w:hAnsiTheme="majorBidi" w:cstheme="majorBidi"/>
          <w:sz w:val="24"/>
          <w:szCs w:val="24"/>
        </w:rPr>
      </w:pPr>
      <w:r w:rsidRPr="001D194E">
        <w:rPr>
          <w:rFonts w:asciiTheme="majorBidi" w:hAnsiTheme="majorBidi" w:cstheme="majorBidi"/>
          <w:sz w:val="24"/>
          <w:szCs w:val="24"/>
        </w:rPr>
        <w:t xml:space="preserve">While ethics is multidisciplinary in nature, the aim of the study is to comprehensively assess the issue from a business discipline, therefore only works written in the Business, Management and Accounting fields were included. The study only included articles written in the English language and did not limit the collection of articles to a particular country or sector with the aim of increasing the range of articles discussing this topic from differing perspectives. The application of the criteria at this stage resulted in 481 documents remaining. </w:t>
      </w:r>
    </w:p>
    <w:p w14:paraId="0C014721" w14:textId="77777777" w:rsidR="001D194E" w:rsidRPr="001D194E" w:rsidRDefault="001D194E" w:rsidP="001D194E">
      <w:pPr>
        <w:spacing w:line="240" w:lineRule="auto"/>
        <w:jc w:val="both"/>
        <w:rPr>
          <w:rFonts w:asciiTheme="majorBidi" w:hAnsiTheme="majorBidi" w:cstheme="majorBidi"/>
        </w:rPr>
      </w:pPr>
      <w:r w:rsidRPr="001D194E">
        <w:rPr>
          <w:rFonts w:asciiTheme="majorBidi" w:hAnsiTheme="majorBidi" w:cstheme="majorBidi"/>
          <w:sz w:val="24"/>
          <w:szCs w:val="24"/>
        </w:rPr>
        <w:t xml:space="preserve">The articles must also be free and available in full. If documents found in Scopus were unavailable on the database, a search online and using Google Scholar was performed to find the studies and were removed if inaccessible. Following the application of the inclusion and </w:t>
      </w:r>
      <w:r w:rsidRPr="001D194E">
        <w:rPr>
          <w:rFonts w:asciiTheme="majorBidi" w:hAnsiTheme="majorBidi" w:cstheme="majorBidi"/>
          <w:sz w:val="24"/>
          <w:szCs w:val="24"/>
        </w:rPr>
        <w:lastRenderedPageBreak/>
        <w:t xml:space="preserve">exclusion criteria, phase three involved the analysis of the abstract of the remaining articles and the removal of articles that were irrelevant to the research question. </w:t>
      </w:r>
    </w:p>
    <w:p w14:paraId="28126F7E" w14:textId="3F0CF6E6" w:rsidR="001D194E" w:rsidRPr="001D194E" w:rsidRDefault="001D194E" w:rsidP="001D194E">
      <w:pPr>
        <w:spacing w:line="240" w:lineRule="auto"/>
        <w:jc w:val="both"/>
        <w:rPr>
          <w:rFonts w:asciiTheme="majorBidi" w:hAnsiTheme="majorBidi" w:cstheme="majorBidi"/>
          <w:sz w:val="24"/>
          <w:szCs w:val="24"/>
        </w:rPr>
      </w:pPr>
      <w:r w:rsidRPr="001D194E">
        <w:rPr>
          <w:rFonts w:asciiTheme="majorBidi" w:hAnsiTheme="majorBidi" w:cstheme="majorBidi"/>
          <w:sz w:val="24"/>
          <w:szCs w:val="24"/>
        </w:rPr>
        <w:t>After the analysis of the abstracts, the study also removed any articles with substandard primary data collection methods such as being overly reliant on surveys and questionnaires as these methods lack the credibility and objectivity to provide meaningful insight into the issue (</w:t>
      </w:r>
      <w:r w:rsidR="0059772A" w:rsidRPr="001D194E">
        <w:rPr>
          <w:rFonts w:asciiTheme="majorBidi" w:hAnsiTheme="majorBidi" w:cstheme="majorBidi"/>
          <w:sz w:val="24"/>
          <w:szCs w:val="24"/>
        </w:rPr>
        <w:t>Pahuja and Agrawal, 2023</w:t>
      </w:r>
      <w:r w:rsidR="0059772A">
        <w:rPr>
          <w:rFonts w:asciiTheme="majorBidi" w:hAnsiTheme="majorBidi" w:cstheme="majorBidi"/>
          <w:sz w:val="24"/>
          <w:szCs w:val="24"/>
        </w:rPr>
        <w:t xml:space="preserve">; </w:t>
      </w:r>
      <w:r w:rsidRPr="001D194E">
        <w:rPr>
          <w:rFonts w:asciiTheme="majorBidi" w:hAnsiTheme="majorBidi" w:cstheme="majorBidi"/>
          <w:sz w:val="24"/>
          <w:szCs w:val="24"/>
        </w:rPr>
        <w:t>Wu et al, 2015). Finally, after reading the articles in full, the works not judged to be relevant to the research questions were also removed, leaving 259 documents remaining.</w:t>
      </w:r>
    </w:p>
    <w:p w14:paraId="4838ED02" w14:textId="77777777" w:rsidR="006D2A6A" w:rsidRPr="007B0737" w:rsidRDefault="006D2A6A" w:rsidP="006D2A6A">
      <w:pPr>
        <w:jc w:val="both"/>
        <w:rPr>
          <w:rFonts w:asciiTheme="majorBidi" w:hAnsiTheme="majorBidi" w:cstheme="majorBidi"/>
          <w:sz w:val="24"/>
          <w:szCs w:val="24"/>
          <w:u w:val="single"/>
        </w:rPr>
      </w:pPr>
      <w:r>
        <w:rPr>
          <w:rFonts w:asciiTheme="majorBidi" w:hAnsiTheme="majorBidi" w:cstheme="majorBidi"/>
          <w:sz w:val="24"/>
          <w:szCs w:val="24"/>
          <w:u w:val="single"/>
        </w:rPr>
        <w:t>4</w:t>
      </w:r>
      <w:r w:rsidRPr="007B0737">
        <w:rPr>
          <w:rFonts w:asciiTheme="majorBidi" w:hAnsiTheme="majorBidi" w:cstheme="majorBidi"/>
          <w:sz w:val="24"/>
          <w:szCs w:val="24"/>
          <w:u w:val="single"/>
        </w:rPr>
        <w:t xml:space="preserve">.0 </w:t>
      </w:r>
      <w:r>
        <w:rPr>
          <w:rFonts w:asciiTheme="majorBidi" w:hAnsiTheme="majorBidi" w:cstheme="majorBidi"/>
          <w:sz w:val="24"/>
          <w:szCs w:val="24"/>
          <w:u w:val="single"/>
        </w:rPr>
        <w:t>Results</w:t>
      </w:r>
    </w:p>
    <w:p w14:paraId="4AE93FB7"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The following section describes the results of the systematic literature review.  Firstly, the review will present the data based on the journals and year published to demonstrate the development of the topics and within which domain is the most popular aspect of study. Second, the review will discuss the current and potential challenges facing managers and organisations in implementing AI. Thirdly, the review will discuss AI and corporate responsibility challenges from a CE aspect. The review will also provide future research suggestions and managerial implications throughout the study.</w:t>
      </w:r>
    </w:p>
    <w:p w14:paraId="713E2F16" w14:textId="05500034" w:rsidR="006D2A6A" w:rsidRPr="00945B1C"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To illustrate the recent development of corporate responsibility, AI and CE, there has been a </w:t>
      </w:r>
      <w:r w:rsidRPr="00456657">
        <w:rPr>
          <w:rFonts w:asciiTheme="majorBidi" w:hAnsiTheme="majorBidi" w:cstheme="majorBidi"/>
          <w:sz w:val="24"/>
          <w:szCs w:val="24"/>
        </w:rPr>
        <w:t>consistent annual increase in studies addressing these topics from 2016-2023 as shown in figure 1.</w:t>
      </w:r>
      <w:r w:rsidR="00E330EB" w:rsidRPr="00456657">
        <w:rPr>
          <w:rFonts w:asciiTheme="majorBidi" w:hAnsiTheme="majorBidi" w:cstheme="majorBidi"/>
          <w:sz w:val="24"/>
          <w:szCs w:val="24"/>
        </w:rPr>
        <w:t xml:space="preserve"> </w:t>
      </w:r>
    </w:p>
    <w:p w14:paraId="79A15680" w14:textId="77777777" w:rsidR="006D2A6A" w:rsidRPr="00945B1C" w:rsidRDefault="006D2A6A" w:rsidP="006D2A6A">
      <w:pPr>
        <w:jc w:val="center"/>
        <w:rPr>
          <w:rFonts w:asciiTheme="majorBidi" w:hAnsiTheme="majorBidi" w:cstheme="majorBidi"/>
          <w:sz w:val="24"/>
          <w:szCs w:val="24"/>
        </w:rPr>
      </w:pPr>
      <w:r w:rsidRPr="00945B1C">
        <w:rPr>
          <w:rFonts w:asciiTheme="majorBidi" w:hAnsiTheme="majorBidi" w:cstheme="majorBidi"/>
          <w:noProof/>
          <w:sz w:val="24"/>
          <w:szCs w:val="24"/>
        </w:rPr>
        <w:drawing>
          <wp:inline distT="0" distB="0" distL="0" distR="0" wp14:anchorId="6227C973" wp14:editId="2B682256">
            <wp:extent cx="4203700" cy="2279650"/>
            <wp:effectExtent l="0" t="0" r="6350" b="6350"/>
            <wp:docPr id="1474480850" name="Chart 1">
              <a:extLst xmlns:a="http://schemas.openxmlformats.org/drawingml/2006/main">
                <a:ext uri="{FF2B5EF4-FFF2-40B4-BE49-F238E27FC236}">
                  <a16:creationId xmlns:a16="http://schemas.microsoft.com/office/drawing/2014/main" id="{B445001D-D320-DDD5-7954-02614AB9A8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D8061EA" w14:textId="77777777" w:rsidR="006D2A6A" w:rsidRPr="00AC3CE5" w:rsidRDefault="006D2A6A" w:rsidP="006D2A6A">
      <w:pPr>
        <w:jc w:val="both"/>
        <w:rPr>
          <w:rFonts w:asciiTheme="majorBidi" w:hAnsiTheme="majorBidi" w:cstheme="majorBidi"/>
          <w:sz w:val="20"/>
          <w:szCs w:val="20"/>
        </w:rPr>
      </w:pPr>
      <w:r w:rsidRPr="00945B1C">
        <w:rPr>
          <w:rFonts w:asciiTheme="majorBidi" w:hAnsiTheme="majorBidi" w:cstheme="majorBidi"/>
          <w:sz w:val="20"/>
          <w:szCs w:val="20"/>
        </w:rPr>
        <w:t>Figure 1 - Number of Studies per year</w:t>
      </w:r>
    </w:p>
    <w:p w14:paraId="013919C4" w14:textId="7CC32E41"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Figure 2 demonstrates all journals with more than one published article studying corporate responsibility, AI, and the circular economy. The Journal of Cleaner Production published the most articles </w:t>
      </w:r>
      <w:r>
        <w:rPr>
          <w:rFonts w:asciiTheme="majorBidi" w:hAnsiTheme="majorBidi" w:cstheme="majorBidi"/>
          <w:sz w:val="24"/>
          <w:szCs w:val="24"/>
        </w:rPr>
        <w:t>on</w:t>
      </w:r>
      <w:r w:rsidRPr="007B0737">
        <w:rPr>
          <w:rFonts w:asciiTheme="majorBidi" w:hAnsiTheme="majorBidi" w:cstheme="majorBidi"/>
          <w:sz w:val="24"/>
          <w:szCs w:val="24"/>
        </w:rPr>
        <w:t xml:space="preserve"> these topics, predominantly focussing on the circular economy and sustainability aspects of the research.</w:t>
      </w:r>
      <w:r>
        <w:rPr>
          <w:rFonts w:asciiTheme="majorBidi" w:hAnsiTheme="majorBidi" w:cstheme="majorBidi"/>
          <w:sz w:val="24"/>
          <w:szCs w:val="24"/>
        </w:rPr>
        <w:t xml:space="preserve"> While </w:t>
      </w:r>
      <w:r w:rsidR="003A00F8">
        <w:rPr>
          <w:rFonts w:asciiTheme="majorBidi" w:hAnsiTheme="majorBidi" w:cstheme="majorBidi"/>
          <w:sz w:val="24"/>
          <w:szCs w:val="24"/>
        </w:rPr>
        <w:t>F</w:t>
      </w:r>
      <w:r>
        <w:rPr>
          <w:rFonts w:asciiTheme="majorBidi" w:hAnsiTheme="majorBidi" w:cstheme="majorBidi"/>
          <w:sz w:val="24"/>
          <w:szCs w:val="24"/>
        </w:rPr>
        <w:t xml:space="preserve">igure 3 displays the type of literature used with 235 (91%) of the literature being sourced from journals and 24 (9%) from conference proceedings. </w:t>
      </w:r>
    </w:p>
    <w:p w14:paraId="069E19D2" w14:textId="77777777" w:rsidR="006D2A6A" w:rsidRPr="007B0737" w:rsidRDefault="006D2A6A" w:rsidP="006D2A6A">
      <w:pPr>
        <w:jc w:val="center"/>
        <w:rPr>
          <w:rFonts w:asciiTheme="majorBidi" w:hAnsiTheme="majorBidi" w:cstheme="majorBidi"/>
          <w:sz w:val="24"/>
          <w:szCs w:val="24"/>
          <w:u w:val="single"/>
        </w:rPr>
      </w:pPr>
      <w:r w:rsidRPr="007B0737">
        <w:rPr>
          <w:rFonts w:asciiTheme="majorBidi" w:hAnsiTheme="majorBidi" w:cstheme="majorBidi"/>
          <w:noProof/>
          <w:sz w:val="24"/>
          <w:szCs w:val="24"/>
        </w:rPr>
        <w:lastRenderedPageBreak/>
        <w:drawing>
          <wp:inline distT="0" distB="0" distL="0" distR="0" wp14:anchorId="54FA03C0" wp14:editId="79581821">
            <wp:extent cx="4648200" cy="2305050"/>
            <wp:effectExtent l="0" t="0" r="0" b="0"/>
            <wp:docPr id="1100081793" name="Chart 1">
              <a:extLst xmlns:a="http://schemas.openxmlformats.org/drawingml/2006/main">
                <a:ext uri="{FF2B5EF4-FFF2-40B4-BE49-F238E27FC236}">
                  <a16:creationId xmlns:a16="http://schemas.microsoft.com/office/drawing/2014/main" id="{2964B2F9-487E-3340-00DB-32E6BA9D8C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A5147CE" w14:textId="77777777" w:rsidR="006D2A6A" w:rsidRDefault="006D2A6A" w:rsidP="006D2A6A">
      <w:pPr>
        <w:jc w:val="both"/>
        <w:rPr>
          <w:rFonts w:asciiTheme="majorBidi" w:hAnsiTheme="majorBidi" w:cstheme="majorBidi"/>
          <w:sz w:val="20"/>
          <w:szCs w:val="20"/>
        </w:rPr>
      </w:pPr>
      <w:r w:rsidRPr="00C95940">
        <w:rPr>
          <w:rFonts w:asciiTheme="majorBidi" w:hAnsiTheme="majorBidi" w:cstheme="majorBidi"/>
          <w:sz w:val="20"/>
          <w:szCs w:val="20"/>
        </w:rPr>
        <w:t>Figure 2 – Number of Studies per Journal Publication</w:t>
      </w:r>
    </w:p>
    <w:p w14:paraId="1B3CB038" w14:textId="77777777" w:rsidR="006D2A6A" w:rsidRDefault="006D2A6A" w:rsidP="006D2A6A">
      <w:pPr>
        <w:jc w:val="center"/>
        <w:rPr>
          <w:rFonts w:asciiTheme="majorBidi" w:hAnsiTheme="majorBidi" w:cstheme="majorBidi"/>
          <w:sz w:val="20"/>
          <w:szCs w:val="20"/>
        </w:rPr>
      </w:pPr>
      <w:r>
        <w:rPr>
          <w:noProof/>
        </w:rPr>
        <w:drawing>
          <wp:inline distT="0" distB="0" distL="0" distR="0" wp14:anchorId="2FEF7593" wp14:editId="6DB5C533">
            <wp:extent cx="4572000" cy="2508250"/>
            <wp:effectExtent l="0" t="0" r="0" b="6350"/>
            <wp:docPr id="190410787" name="Chart 1">
              <a:extLst xmlns:a="http://schemas.openxmlformats.org/drawingml/2006/main">
                <a:ext uri="{FF2B5EF4-FFF2-40B4-BE49-F238E27FC236}">
                  <a16:creationId xmlns:a16="http://schemas.microsoft.com/office/drawing/2014/main" id="{A4B9BF3A-0126-9699-4C86-4EDD90415A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443100D" w14:textId="735F5DDD" w:rsidR="006D2A6A" w:rsidRPr="00C95940" w:rsidRDefault="006D2A6A" w:rsidP="006D2A6A">
      <w:pPr>
        <w:rPr>
          <w:rFonts w:asciiTheme="majorBidi" w:hAnsiTheme="majorBidi" w:cstheme="majorBidi"/>
          <w:sz w:val="20"/>
          <w:szCs w:val="20"/>
        </w:rPr>
      </w:pPr>
      <w:r>
        <w:rPr>
          <w:rFonts w:asciiTheme="majorBidi" w:hAnsiTheme="majorBidi" w:cstheme="majorBidi"/>
          <w:sz w:val="20"/>
          <w:szCs w:val="20"/>
        </w:rPr>
        <w:t>Figure 3 – Type of Literature Used</w:t>
      </w:r>
    </w:p>
    <w:p w14:paraId="6BCB729A" w14:textId="488C069E" w:rsidR="006D2A6A" w:rsidRPr="007B0737" w:rsidRDefault="006D2A6A" w:rsidP="006D2A6A">
      <w:pPr>
        <w:jc w:val="both"/>
        <w:rPr>
          <w:rFonts w:asciiTheme="majorBidi" w:hAnsiTheme="majorBidi" w:cstheme="majorBidi"/>
          <w:sz w:val="24"/>
          <w:szCs w:val="24"/>
          <w:u w:val="single"/>
        </w:rPr>
      </w:pPr>
      <w:r w:rsidRPr="003C2C90">
        <w:rPr>
          <w:rFonts w:asciiTheme="majorBidi" w:hAnsiTheme="majorBidi" w:cstheme="majorBidi"/>
          <w:sz w:val="24"/>
          <w:szCs w:val="24"/>
          <w:u w:val="single"/>
        </w:rPr>
        <w:t>4.1 Challenges</w:t>
      </w:r>
      <w:r w:rsidR="00603A13">
        <w:rPr>
          <w:rFonts w:asciiTheme="majorBidi" w:hAnsiTheme="majorBidi" w:cstheme="majorBidi"/>
          <w:sz w:val="24"/>
          <w:szCs w:val="24"/>
          <w:u w:val="single"/>
        </w:rPr>
        <w:t xml:space="preserve"> of AI</w:t>
      </w:r>
      <w:r w:rsidRPr="003C2C90">
        <w:rPr>
          <w:rFonts w:asciiTheme="majorBidi" w:hAnsiTheme="majorBidi" w:cstheme="majorBidi"/>
          <w:sz w:val="24"/>
          <w:szCs w:val="24"/>
          <w:u w:val="single"/>
        </w:rPr>
        <w:t xml:space="preserve"> </w:t>
      </w:r>
      <w:r w:rsidR="003C2C90" w:rsidRPr="003C2C90">
        <w:rPr>
          <w:rFonts w:asciiTheme="majorBidi" w:hAnsiTheme="majorBidi" w:cstheme="majorBidi"/>
          <w:sz w:val="24"/>
          <w:szCs w:val="24"/>
          <w:u w:val="single"/>
        </w:rPr>
        <w:t>and</w:t>
      </w:r>
      <w:r w:rsidR="003C2C90">
        <w:rPr>
          <w:rFonts w:asciiTheme="majorBidi" w:hAnsiTheme="majorBidi" w:cstheme="majorBidi"/>
          <w:sz w:val="24"/>
          <w:szCs w:val="24"/>
          <w:u w:val="single"/>
        </w:rPr>
        <w:t xml:space="preserve"> Managerial Implications</w:t>
      </w:r>
    </w:p>
    <w:p w14:paraId="76F87168"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The literature highlights several challenges facing managers and organisations in AI implementation, making it difficult for organisations to cultivate the support required from stakeholders. </w:t>
      </w:r>
    </w:p>
    <w:p w14:paraId="34239F8A" w14:textId="4D292AF3"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Du and Xie (2021) claim that the major challenges facing AI implementation are AI bias, ethical design of AI, consumer privacy concerns, unemployment due to automation, cybersecurity issues, and potential reduction in individual autonomy. However, they omit additional challenges such as stakeholder reaction to AI, resource constraints, organisational culture, and accountability. (Chen et al, 2024; Chhillar and Aguilera, 2022; Manita et al, 2020; </w:t>
      </w:r>
      <w:r w:rsidR="0029742A" w:rsidRPr="007B0737">
        <w:rPr>
          <w:rFonts w:asciiTheme="majorBidi" w:hAnsiTheme="majorBidi" w:cstheme="majorBidi"/>
          <w:sz w:val="24"/>
          <w:szCs w:val="24"/>
        </w:rPr>
        <w:t>Xie et al, 2023</w:t>
      </w:r>
      <w:r w:rsidR="0029742A">
        <w:rPr>
          <w:rFonts w:asciiTheme="majorBidi" w:hAnsiTheme="majorBidi" w:cstheme="majorBidi"/>
          <w:sz w:val="24"/>
          <w:szCs w:val="24"/>
        </w:rPr>
        <w:t xml:space="preserve">; </w:t>
      </w:r>
      <w:r w:rsidRPr="007B0737">
        <w:rPr>
          <w:rFonts w:asciiTheme="majorBidi" w:hAnsiTheme="majorBidi" w:cstheme="majorBidi"/>
          <w:sz w:val="24"/>
          <w:szCs w:val="24"/>
        </w:rPr>
        <w:t>Xue and Pang, 2022).</w:t>
      </w:r>
    </w:p>
    <w:p w14:paraId="55AC353E" w14:textId="77777777" w:rsidR="006D2A6A" w:rsidRPr="007B0737" w:rsidRDefault="006D2A6A" w:rsidP="006D2A6A">
      <w:pPr>
        <w:jc w:val="both"/>
        <w:rPr>
          <w:rFonts w:asciiTheme="majorBidi" w:hAnsiTheme="majorBidi" w:cstheme="majorBidi"/>
          <w:sz w:val="24"/>
          <w:szCs w:val="24"/>
          <w:u w:val="single"/>
        </w:rPr>
      </w:pPr>
      <w:r>
        <w:rPr>
          <w:rFonts w:asciiTheme="majorBidi" w:hAnsiTheme="majorBidi" w:cstheme="majorBidi"/>
          <w:sz w:val="24"/>
          <w:szCs w:val="24"/>
          <w:u w:val="single"/>
        </w:rPr>
        <w:t>4</w:t>
      </w:r>
      <w:r w:rsidRPr="007B0737">
        <w:rPr>
          <w:rFonts w:asciiTheme="majorBidi" w:hAnsiTheme="majorBidi" w:cstheme="majorBidi"/>
          <w:sz w:val="24"/>
          <w:szCs w:val="24"/>
          <w:u w:val="single"/>
        </w:rPr>
        <w:t>.1.1 AI Bias and Ethical Design Issues</w:t>
      </w:r>
    </w:p>
    <w:p w14:paraId="4A8369A2"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There is often a misconception that AI technology can be more objective than people. However, AI biases can be a huge concern for managers as it contaminates the quality of AI products and corrodes consumer approval (Du and Xie, 2021; D’Cruz et al, 2022). AI bias resulting from incomplete and corrupt data, alongside AI mimicking existing biases from humans, is a concern </w:t>
      </w:r>
      <w:r w:rsidRPr="007B0737">
        <w:rPr>
          <w:rFonts w:asciiTheme="majorBidi" w:hAnsiTheme="majorBidi" w:cstheme="majorBidi"/>
          <w:sz w:val="24"/>
          <w:szCs w:val="24"/>
        </w:rPr>
        <w:lastRenderedPageBreak/>
        <w:t xml:space="preserve">for consumers and organisations as it may result in gender and racial discrimination, misinformation and perpetuate social inequality (Chavanayarn, 2023; Kelley, 2022; Richardson, 2022). </w:t>
      </w:r>
    </w:p>
    <w:p w14:paraId="2E784B16" w14:textId="3D9B136A"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Research also shows that consumer trust may be negatively impacted by the ethical design of AI products leading to the implementation of irresponsible AI, where a combination of top-down and bottom-up approaches may be necessary to create AI products that align with the ethical principles of stakeholders (Dzhengiz et al, 2023; </w:t>
      </w:r>
      <w:r w:rsidR="005D472A" w:rsidRPr="007B0737">
        <w:rPr>
          <w:rFonts w:asciiTheme="majorBidi" w:hAnsiTheme="majorBidi" w:cstheme="majorBidi"/>
          <w:sz w:val="24"/>
          <w:szCs w:val="24"/>
        </w:rPr>
        <w:t>Du and Xie, 2021</w:t>
      </w:r>
      <w:r w:rsidR="00850F28">
        <w:rPr>
          <w:rFonts w:asciiTheme="majorBidi" w:hAnsiTheme="majorBidi" w:cstheme="majorBidi"/>
          <w:sz w:val="24"/>
          <w:szCs w:val="24"/>
        </w:rPr>
        <w:t>;</w:t>
      </w:r>
      <w:r w:rsidR="00850F28" w:rsidRPr="00850F28">
        <w:rPr>
          <w:rFonts w:asciiTheme="majorBidi" w:hAnsiTheme="majorBidi" w:cstheme="majorBidi"/>
          <w:sz w:val="24"/>
          <w:szCs w:val="24"/>
        </w:rPr>
        <w:t xml:space="preserve"> </w:t>
      </w:r>
      <w:r w:rsidR="00850F28" w:rsidRPr="007B0737">
        <w:rPr>
          <w:rFonts w:asciiTheme="majorBidi" w:hAnsiTheme="majorBidi" w:cstheme="majorBidi"/>
          <w:sz w:val="24"/>
          <w:szCs w:val="24"/>
        </w:rPr>
        <w:t>Nabavi and Browne, 2023</w:t>
      </w:r>
      <w:r w:rsidRPr="007B0737">
        <w:rPr>
          <w:rFonts w:asciiTheme="majorBidi" w:hAnsiTheme="majorBidi" w:cstheme="majorBidi"/>
          <w:sz w:val="24"/>
          <w:szCs w:val="24"/>
        </w:rPr>
        <w:t xml:space="preserve">). A study of AI principles by Kelley (2022), demonstrates how some organisations use external auditors for the technical auditing of algorithms to ensure fairness and transparency, although the number of organisations using this method is limited. </w:t>
      </w:r>
    </w:p>
    <w:p w14:paraId="57E55FA9"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As the implementation of legal regulations is a slow process and AI is fast-evolving, managers should ensure greater transparency regarding AI algorithms and employee training to alleviate stakeholder concerns regarding AI bias (Chhillar and Aguilera, 2022; Du and Xie, 2021). There are also studies that claim the democratisation of AI, particularly in the form of stakeholder engagement, is an essential step for managers in overcoming the challenges of AI (Chhillar and Aguilera, 2022; Nabavi and Browne, 2023). </w:t>
      </w:r>
    </w:p>
    <w:p w14:paraId="1593B9FA" w14:textId="68E6FF38" w:rsidR="006D2A6A" w:rsidRPr="007B0737" w:rsidRDefault="006D2A6A" w:rsidP="006D2A6A">
      <w:pPr>
        <w:jc w:val="both"/>
        <w:rPr>
          <w:rFonts w:asciiTheme="majorBidi" w:hAnsiTheme="majorBidi" w:cstheme="majorBidi"/>
          <w:color w:val="FF0000"/>
          <w:sz w:val="24"/>
          <w:szCs w:val="24"/>
        </w:rPr>
      </w:pPr>
      <w:r w:rsidRPr="00335CFD">
        <w:rPr>
          <w:rFonts w:asciiTheme="majorBidi" w:hAnsiTheme="majorBidi" w:cstheme="majorBidi"/>
          <w:sz w:val="24"/>
          <w:szCs w:val="24"/>
        </w:rPr>
        <w:t>Future research on AI bias could investigate the mechanisms that could be implemented to reduce the risk of AI bias (Chhillar and Aguilera, 2022; Richardson, 2022). There is also a limited number of studies that analyse the potential agency of non-humans such as AI, particularly within the context of CSR and stakeholder theory (</w:t>
      </w:r>
      <w:r w:rsidR="007A2627" w:rsidRPr="007B0737">
        <w:rPr>
          <w:rFonts w:asciiTheme="majorBidi" w:eastAsia="Times New Roman" w:hAnsiTheme="majorBidi" w:cstheme="majorBidi"/>
          <w:sz w:val="24"/>
          <w:szCs w:val="24"/>
        </w:rPr>
        <w:t>Böhm</w:t>
      </w:r>
      <w:r w:rsidR="007A2627" w:rsidRPr="00335CFD">
        <w:rPr>
          <w:rFonts w:asciiTheme="majorBidi" w:hAnsiTheme="majorBidi" w:cstheme="majorBidi"/>
          <w:sz w:val="24"/>
          <w:szCs w:val="24"/>
        </w:rPr>
        <w:t xml:space="preserve"> </w:t>
      </w:r>
      <w:r w:rsidRPr="00335CFD">
        <w:rPr>
          <w:rFonts w:asciiTheme="majorBidi" w:hAnsiTheme="majorBidi" w:cstheme="majorBidi"/>
          <w:sz w:val="24"/>
          <w:szCs w:val="24"/>
        </w:rPr>
        <w:t>et al, 2022).</w:t>
      </w:r>
      <w:r w:rsidRPr="00335CFD">
        <w:rPr>
          <w:rFonts w:asciiTheme="majorBidi" w:hAnsiTheme="majorBidi" w:cstheme="majorBidi"/>
          <w:color w:val="FF0000"/>
          <w:sz w:val="24"/>
          <w:szCs w:val="24"/>
        </w:rPr>
        <w:t xml:space="preserve"> </w:t>
      </w:r>
      <w:r w:rsidRPr="00335CFD">
        <w:rPr>
          <w:rFonts w:asciiTheme="majorBidi" w:hAnsiTheme="majorBidi" w:cstheme="majorBidi"/>
          <w:sz w:val="24"/>
          <w:szCs w:val="24"/>
        </w:rPr>
        <w:t xml:space="preserve">Research could also focus on the decision-making of organisations before and after the implementation of AI in the form of a case study. </w:t>
      </w:r>
    </w:p>
    <w:p w14:paraId="5F526EA8" w14:textId="77777777" w:rsidR="006D2A6A" w:rsidRPr="007B0737" w:rsidRDefault="006D2A6A" w:rsidP="006D2A6A">
      <w:pPr>
        <w:jc w:val="both"/>
        <w:rPr>
          <w:rFonts w:asciiTheme="majorBidi" w:hAnsiTheme="majorBidi" w:cstheme="majorBidi"/>
          <w:sz w:val="24"/>
          <w:szCs w:val="24"/>
          <w:u w:val="single"/>
        </w:rPr>
      </w:pPr>
      <w:r>
        <w:rPr>
          <w:rFonts w:asciiTheme="majorBidi" w:hAnsiTheme="majorBidi" w:cstheme="majorBidi"/>
          <w:sz w:val="24"/>
          <w:szCs w:val="24"/>
          <w:u w:val="single"/>
        </w:rPr>
        <w:t>4</w:t>
      </w:r>
      <w:r w:rsidRPr="007B0737">
        <w:rPr>
          <w:rFonts w:asciiTheme="majorBidi" w:hAnsiTheme="majorBidi" w:cstheme="majorBidi"/>
          <w:sz w:val="24"/>
          <w:szCs w:val="24"/>
          <w:u w:val="single"/>
        </w:rPr>
        <w:t>.1.2 Consumer Privacy and Cybersecurity Concerns</w:t>
      </w:r>
    </w:p>
    <w:p w14:paraId="786BFDC4" w14:textId="344E6D56" w:rsidR="006D2A6A" w:rsidRPr="007B0737" w:rsidRDefault="006D2A6A" w:rsidP="006D2A6A">
      <w:pPr>
        <w:jc w:val="both"/>
        <w:rPr>
          <w:rFonts w:asciiTheme="majorBidi" w:hAnsiTheme="majorBidi" w:cstheme="majorBidi"/>
          <w:sz w:val="24"/>
          <w:szCs w:val="24"/>
        </w:rPr>
      </w:pPr>
      <w:r w:rsidRPr="002C00F3">
        <w:rPr>
          <w:rFonts w:asciiTheme="majorBidi" w:hAnsiTheme="majorBidi" w:cstheme="majorBidi"/>
          <w:sz w:val="24"/>
          <w:szCs w:val="24"/>
        </w:rPr>
        <w:t xml:space="preserve">Consumers have significant privacy concerns about data collection, unauthorised information use and access by third parties (Du and Xie, 2021; Hanisch et al, 2023; Mou and Meng, 2023). There is an increase in organisations implementing AI for targeted recruitment to satisfy organisational skill deficiencies and improve sustainability (Lichtenthaler, 2023). Some studies also show that in the recruitment process, stakeholders who view organisational actions commonly thought to be intrusive of privacy, such as using AI to analyse a candidate’s social media as ethical, tend to have a positive perception of organisational attractiveness, whilst stakeholders who view the actions of AI as intrusive have a negative perception (da Motta Veiga et al, 2023; Hu and Min, 2023). This is especially notable in sectors where high levels of sensitive personal information </w:t>
      </w:r>
      <w:r w:rsidR="00B7593A" w:rsidRPr="002C00F3">
        <w:rPr>
          <w:rFonts w:asciiTheme="majorBidi" w:hAnsiTheme="majorBidi" w:cstheme="majorBidi"/>
          <w:sz w:val="24"/>
          <w:szCs w:val="24"/>
        </w:rPr>
        <w:t>are</w:t>
      </w:r>
      <w:r w:rsidRPr="002C00F3">
        <w:rPr>
          <w:rFonts w:asciiTheme="majorBidi" w:hAnsiTheme="majorBidi" w:cstheme="majorBidi"/>
          <w:sz w:val="24"/>
          <w:szCs w:val="24"/>
        </w:rPr>
        <w:t xml:space="preserve"> shared such as the finance sector (Jeong et al, 2023). Future research could study how organisations can alter the hiring process and target the most suitable candidates whilst removing intrusive and unethical elements.</w:t>
      </w:r>
    </w:p>
    <w:p w14:paraId="61F34721"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Due to AI-enabled products increasingly collecting consumer information, alongside the growth of social media, internet-of-things (IoT) and cloud services, the risk of data breaches and cybercrime is high, which strengthens the need for stringent cybersecurity measures being in place (Asif et al, 2023; Du and Xie, 2021; Du et al 2023; Méndez-Suárez et al, 2023a). </w:t>
      </w:r>
      <w:r w:rsidRPr="00B7593A">
        <w:rPr>
          <w:rFonts w:asciiTheme="majorBidi" w:hAnsiTheme="majorBidi" w:cstheme="majorBidi"/>
          <w:sz w:val="24"/>
          <w:szCs w:val="24"/>
        </w:rPr>
        <w:t>Managers</w:t>
      </w:r>
      <w:r w:rsidRPr="007B0737">
        <w:rPr>
          <w:rFonts w:asciiTheme="majorBidi" w:hAnsiTheme="majorBidi" w:cstheme="majorBidi"/>
          <w:sz w:val="24"/>
          <w:szCs w:val="24"/>
        </w:rPr>
        <w:t xml:space="preserve"> should ensure all AI products have the appropriate security features and implement a rapid response strategy to deal with data breaches and limit any harm caused by the breaches (Ahdadou et al, 2023; Du and Xie, 2021).</w:t>
      </w:r>
    </w:p>
    <w:p w14:paraId="4CFCB1CD"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lastRenderedPageBreak/>
        <w:t>As AI cannot replace board members, it can provide support in the decision-making process of an organisation, particularly in relation to corporate governance (Ahdadou et al, 2023; Conti and Seele, 2023). However, as AI may be susceptible to manipulated data, AI experts are needed on the board of directors to mitigate AI risk and to fulfil the organisations corporate responsibilities (Ahdadou et al, 2023; Conti and Seele, 2023).</w:t>
      </w:r>
    </w:p>
    <w:p w14:paraId="153DE622" w14:textId="491BF22C"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Corporate responsibility concepts such as CSR can act as a form of moral capital for organisations to limit the privacy concerns of stakeholders and increase stakeholder trust (</w:t>
      </w:r>
      <w:r w:rsidR="00F27B9C" w:rsidRPr="000B770A">
        <w:rPr>
          <w:rFonts w:asciiTheme="majorBidi" w:hAnsiTheme="majorBidi" w:cstheme="majorBidi"/>
          <w:sz w:val="24"/>
          <w:szCs w:val="24"/>
        </w:rPr>
        <w:t>Cysneiros and do Prado Leite, 2020</w:t>
      </w:r>
      <w:r w:rsidR="00757D48">
        <w:rPr>
          <w:rFonts w:asciiTheme="majorBidi" w:hAnsiTheme="majorBidi" w:cstheme="majorBidi"/>
          <w:sz w:val="24"/>
          <w:szCs w:val="24"/>
        </w:rPr>
        <w:t>;</w:t>
      </w:r>
      <w:r w:rsidR="00F27B9C" w:rsidRPr="007B0737">
        <w:rPr>
          <w:rFonts w:asciiTheme="majorBidi" w:hAnsiTheme="majorBidi" w:cstheme="majorBidi"/>
          <w:sz w:val="24"/>
          <w:szCs w:val="24"/>
        </w:rPr>
        <w:t xml:space="preserve"> </w:t>
      </w:r>
      <w:r w:rsidRPr="007B0737">
        <w:rPr>
          <w:rFonts w:asciiTheme="majorBidi" w:hAnsiTheme="majorBidi" w:cstheme="majorBidi"/>
          <w:sz w:val="24"/>
          <w:szCs w:val="24"/>
        </w:rPr>
        <w:t xml:space="preserve">Mou and </w:t>
      </w:r>
      <w:r w:rsidRPr="000B770A">
        <w:rPr>
          <w:rFonts w:asciiTheme="majorBidi" w:hAnsiTheme="majorBidi" w:cstheme="majorBidi"/>
          <w:sz w:val="24"/>
          <w:szCs w:val="24"/>
        </w:rPr>
        <w:t>Meng, 2023</w:t>
      </w:r>
      <w:r w:rsidR="00757D48">
        <w:rPr>
          <w:rFonts w:asciiTheme="majorBidi" w:hAnsiTheme="majorBidi" w:cstheme="majorBidi"/>
          <w:sz w:val="24"/>
          <w:szCs w:val="24"/>
        </w:rPr>
        <w:t>).</w:t>
      </w:r>
      <w:r w:rsidRPr="000B770A">
        <w:rPr>
          <w:rFonts w:asciiTheme="majorBidi" w:hAnsiTheme="majorBidi" w:cstheme="majorBidi"/>
          <w:sz w:val="24"/>
          <w:szCs w:val="24"/>
        </w:rPr>
        <w:t xml:space="preserve"> </w:t>
      </w:r>
      <w:r w:rsidRPr="007B0737">
        <w:rPr>
          <w:rFonts w:asciiTheme="majorBidi" w:hAnsiTheme="majorBidi" w:cstheme="majorBidi"/>
          <w:sz w:val="24"/>
          <w:szCs w:val="24"/>
        </w:rPr>
        <w:t xml:space="preserve">Fotaki et al (2021) counter this claim and argue that it is possible for organisations to implement ethical approaches and be less trusted. Using quantitative data, they claim that emerging technology businesses have lower levels of legitimacy compared to non-emerging technology organisations, despite over-conforming to their corporate responsibilities and ethical practices. </w:t>
      </w:r>
    </w:p>
    <w:p w14:paraId="02B265F8"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The main method of ethical conformity that emerging technology organisations employ appear</w:t>
      </w:r>
      <w:r>
        <w:rPr>
          <w:rFonts w:asciiTheme="majorBidi" w:hAnsiTheme="majorBidi" w:cstheme="majorBidi"/>
          <w:sz w:val="24"/>
          <w:szCs w:val="24"/>
        </w:rPr>
        <w:t>s</w:t>
      </w:r>
      <w:r w:rsidRPr="007B0737">
        <w:rPr>
          <w:rFonts w:asciiTheme="majorBidi" w:hAnsiTheme="majorBidi" w:cstheme="majorBidi"/>
          <w:sz w:val="24"/>
          <w:szCs w:val="24"/>
        </w:rPr>
        <w:t xml:space="preserve"> to be from a corporate governance perspective, particularly with regard to board structure and equal treatment of shareholders (Conti and Seele, 2023; Fotaki et al, 2021). There is an issue of legitimacy that managers must overcome when employing ethical initiatives. Fotaki et al (2021) findings offer a sceptical view of an organisation</w:t>
      </w:r>
      <w:r>
        <w:rPr>
          <w:rFonts w:asciiTheme="majorBidi" w:hAnsiTheme="majorBidi" w:cstheme="majorBidi"/>
          <w:sz w:val="24"/>
          <w:szCs w:val="24"/>
        </w:rPr>
        <w:t>’</w:t>
      </w:r>
      <w:r w:rsidRPr="007B0737">
        <w:rPr>
          <w:rFonts w:asciiTheme="majorBidi" w:hAnsiTheme="majorBidi" w:cstheme="majorBidi"/>
          <w:sz w:val="24"/>
          <w:szCs w:val="24"/>
        </w:rPr>
        <w:t>s ethical policies, claiming that organisations take great pride in the announcement of these strategies, however, lack the commitment to fully implement the strategies. This leads to less trust in the organisation as stakeholders regard the ethical policies as superficial and a potential example of greenwashing.</w:t>
      </w:r>
    </w:p>
    <w:p w14:paraId="10FE96BD"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Therefore, from a managerial perspective, the literature emphasises the need for fair and transparent AI policies. To increase transparency in AI and its decision-making process, AI must analyse large amounts of data which increases privacy concerns, therefore managers must </w:t>
      </w:r>
      <w:r w:rsidRPr="000B770A">
        <w:rPr>
          <w:rFonts w:asciiTheme="majorBidi" w:hAnsiTheme="majorBidi" w:cstheme="majorBidi"/>
          <w:sz w:val="24"/>
          <w:szCs w:val="24"/>
        </w:rPr>
        <w:t>find a balance between privacy and transparency (Ahdadou et al, 2023; Chen et al, 2024). Future research could analyse the impact of transparency on privacy concerns and the actions managers may take to alleviate those concerns.</w:t>
      </w:r>
    </w:p>
    <w:p w14:paraId="11E99A9F"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Managers may also implement strategies that clarify the boundaries of the data collected and offer consumers more control over data collection and management such as asking consumers’ permission to use their data whilst also offering incentives for consumers to share their data (Du and Xie, 2021; Mou and Meng, 2023). Also, the sale of consumer data to third-party organisations should be avoided as much as possible, particularly for personalised advertising, as these measures will improve trust in the organisation (De Pelsmacker et al, 2023; Mou and Meng, 2023).</w:t>
      </w:r>
    </w:p>
    <w:p w14:paraId="49DD7497" w14:textId="77777777" w:rsidR="006D2A6A" w:rsidRPr="007B0737" w:rsidRDefault="006D2A6A" w:rsidP="006D2A6A">
      <w:pPr>
        <w:jc w:val="both"/>
        <w:rPr>
          <w:rFonts w:asciiTheme="majorBidi" w:hAnsiTheme="majorBidi" w:cstheme="majorBidi"/>
          <w:sz w:val="24"/>
          <w:szCs w:val="24"/>
          <w:u w:val="single"/>
        </w:rPr>
      </w:pPr>
      <w:r>
        <w:rPr>
          <w:rFonts w:asciiTheme="majorBidi" w:hAnsiTheme="majorBidi" w:cstheme="majorBidi"/>
          <w:sz w:val="24"/>
          <w:szCs w:val="24"/>
          <w:u w:val="single"/>
        </w:rPr>
        <w:t>4</w:t>
      </w:r>
      <w:r w:rsidRPr="007B0737">
        <w:rPr>
          <w:rFonts w:asciiTheme="majorBidi" w:hAnsiTheme="majorBidi" w:cstheme="majorBidi"/>
          <w:sz w:val="24"/>
          <w:szCs w:val="24"/>
          <w:u w:val="single"/>
        </w:rPr>
        <w:t>.1.3 Lack of Regulation and Accountability</w:t>
      </w:r>
    </w:p>
    <w:p w14:paraId="4FCEB2D9"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Literature concerning the governance of AI tend</w:t>
      </w:r>
      <w:r>
        <w:rPr>
          <w:rFonts w:asciiTheme="majorBidi" w:hAnsiTheme="majorBidi" w:cstheme="majorBidi"/>
          <w:sz w:val="24"/>
          <w:szCs w:val="24"/>
        </w:rPr>
        <w:t>s</w:t>
      </w:r>
      <w:r w:rsidRPr="007B0737">
        <w:rPr>
          <w:rFonts w:asciiTheme="majorBidi" w:hAnsiTheme="majorBidi" w:cstheme="majorBidi"/>
          <w:sz w:val="24"/>
          <w:szCs w:val="24"/>
        </w:rPr>
        <w:t xml:space="preserve"> to agree that the current AI regulation is inadequate in preventing organisations </w:t>
      </w:r>
      <w:r>
        <w:rPr>
          <w:rFonts w:asciiTheme="majorBidi" w:hAnsiTheme="majorBidi" w:cstheme="majorBidi"/>
          <w:sz w:val="24"/>
          <w:szCs w:val="24"/>
        </w:rPr>
        <w:t xml:space="preserve">from </w:t>
      </w:r>
      <w:r w:rsidRPr="007B0737">
        <w:rPr>
          <w:rFonts w:asciiTheme="majorBidi" w:hAnsiTheme="majorBidi" w:cstheme="majorBidi"/>
          <w:sz w:val="24"/>
          <w:szCs w:val="24"/>
        </w:rPr>
        <w:t xml:space="preserve">behaving unethically (Hrouga and Michel, 2023; Méndez-Suárez et al, 2023b; Nabavi and Browne, 2023; Wörsdörfer, 2024). Some studies suggest that organisations are willing to commit unethical acts under the threat of sanctions such as data misuse, despite the financial and reputational risk, thus demonstrating the role governments must undertake to implement new AI regulations and improve upon existing regulations such as GDPR (Méndez-Suárez et al, 2023a; Méndez-Suárez et al, 2023b; Wörsdörfer, 2024). </w:t>
      </w:r>
    </w:p>
    <w:p w14:paraId="47B0218C" w14:textId="1887B44A"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lastRenderedPageBreak/>
        <w:t xml:space="preserve">However, other studies claim that organisations intentionally committing unethical acts is rare </w:t>
      </w:r>
      <w:r>
        <w:rPr>
          <w:rFonts w:asciiTheme="majorBidi" w:hAnsiTheme="majorBidi" w:cstheme="majorBidi"/>
          <w:sz w:val="24"/>
          <w:szCs w:val="24"/>
        </w:rPr>
        <w:t xml:space="preserve">      </w:t>
      </w:r>
      <w:r w:rsidRPr="007B0737">
        <w:rPr>
          <w:rFonts w:asciiTheme="majorBidi" w:hAnsiTheme="majorBidi" w:cstheme="majorBidi"/>
          <w:sz w:val="24"/>
          <w:szCs w:val="24"/>
        </w:rPr>
        <w:t xml:space="preserve">as they value legitimacy and trust from </w:t>
      </w:r>
      <w:r w:rsidRPr="000B770A">
        <w:rPr>
          <w:rFonts w:asciiTheme="majorBidi" w:hAnsiTheme="majorBidi" w:cstheme="majorBidi"/>
          <w:sz w:val="24"/>
          <w:szCs w:val="24"/>
        </w:rPr>
        <w:t xml:space="preserve">stakeholders (Martin and Waldman, 2023). Future research should </w:t>
      </w:r>
      <w:r w:rsidR="00921199" w:rsidRPr="000B770A">
        <w:rPr>
          <w:rFonts w:asciiTheme="majorBidi" w:hAnsiTheme="majorBidi" w:cstheme="majorBidi"/>
          <w:sz w:val="24"/>
          <w:szCs w:val="24"/>
        </w:rPr>
        <w:t>examine the</w:t>
      </w:r>
      <w:r w:rsidRPr="000B770A">
        <w:rPr>
          <w:rFonts w:asciiTheme="majorBidi" w:hAnsiTheme="majorBidi" w:cstheme="majorBidi"/>
          <w:sz w:val="24"/>
          <w:szCs w:val="24"/>
        </w:rPr>
        <w:t xml:space="preserve"> regulations </w:t>
      </w:r>
      <w:r w:rsidR="00CF0F23" w:rsidRPr="000B770A">
        <w:rPr>
          <w:rFonts w:asciiTheme="majorBidi" w:hAnsiTheme="majorBidi" w:cstheme="majorBidi"/>
          <w:sz w:val="24"/>
          <w:szCs w:val="24"/>
        </w:rPr>
        <w:t>that would be</w:t>
      </w:r>
      <w:r w:rsidRPr="000B770A">
        <w:rPr>
          <w:rFonts w:asciiTheme="majorBidi" w:hAnsiTheme="majorBidi" w:cstheme="majorBidi"/>
          <w:sz w:val="24"/>
          <w:szCs w:val="24"/>
        </w:rPr>
        <w:t xml:space="preserve"> most effective in preventing organisations from committing unethical actions.</w:t>
      </w:r>
      <w:r w:rsidRPr="007B0737">
        <w:rPr>
          <w:rFonts w:asciiTheme="majorBidi" w:hAnsiTheme="majorBidi" w:cstheme="majorBidi"/>
          <w:sz w:val="24"/>
          <w:szCs w:val="24"/>
        </w:rPr>
        <w:t xml:space="preserve"> </w:t>
      </w:r>
    </w:p>
    <w:p w14:paraId="4B03D538"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From a review of the literature, it is evident that accountability in AI is a challenge facing managers where significant advancements must be made as there is significant confusion over who is truly responsible when AI falters and who owns the data collected by AI. Some of the literature argue</w:t>
      </w:r>
      <w:r>
        <w:rPr>
          <w:rFonts w:asciiTheme="majorBidi" w:hAnsiTheme="majorBidi" w:cstheme="majorBidi"/>
          <w:sz w:val="24"/>
          <w:szCs w:val="24"/>
        </w:rPr>
        <w:t>s</w:t>
      </w:r>
      <w:r w:rsidRPr="007B0737">
        <w:rPr>
          <w:rFonts w:asciiTheme="majorBidi" w:hAnsiTheme="majorBidi" w:cstheme="majorBidi"/>
          <w:sz w:val="24"/>
          <w:szCs w:val="24"/>
        </w:rPr>
        <w:t xml:space="preserve"> that AI will enact the policies of the organisation, therefore the board directors must be held accountable and cannot hide behind AI as they are still free to make their own decisions (Ahdadou et al 2023; D’Cruz et al, 2022).</w:t>
      </w:r>
    </w:p>
    <w:p w14:paraId="6D17AB9E"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However, stakeholders could, for example, lay blame on the manager, the top executive, or the AI designer, this leads to an absence of accountability (Asif et al, 2023; Chhillar and Aguilera, 2022; Hanisch et al, 2023). Effective corporate governance will rely on the appropriate distribution of AI responsibilities and accountability (Ahdadou et al, 2023; John-Mathews, 2022).</w:t>
      </w:r>
    </w:p>
    <w:p w14:paraId="401FCA47" w14:textId="77777777" w:rsidR="006D2A6A" w:rsidRPr="007B0737" w:rsidRDefault="006D2A6A" w:rsidP="006D2A6A">
      <w:pPr>
        <w:jc w:val="both"/>
        <w:rPr>
          <w:rFonts w:asciiTheme="majorBidi" w:hAnsiTheme="majorBidi" w:cstheme="majorBidi"/>
          <w:sz w:val="24"/>
          <w:szCs w:val="24"/>
        </w:rPr>
      </w:pPr>
      <w:r w:rsidRPr="000B770A">
        <w:rPr>
          <w:rFonts w:asciiTheme="majorBidi" w:hAnsiTheme="majorBidi" w:cstheme="majorBidi"/>
          <w:sz w:val="24"/>
          <w:szCs w:val="24"/>
        </w:rPr>
        <w:t>Further research could analyse stakeholder preferences on where the responsibility should be and compare with a real-world case study of where accountability truly lies. Future research opportunities may also involve analysis into when algorithms and data underlying decisions should be made public, how governance mechanisms can prevent antitrust issues, how organisations can reduce the risk of being victims to cybersecurity breaches and into the strategic issues cybersecurity can cause (Hanisch et al, 2023).</w:t>
      </w:r>
      <w:r w:rsidRPr="007B0737">
        <w:rPr>
          <w:rFonts w:asciiTheme="majorBidi" w:hAnsiTheme="majorBidi" w:cstheme="majorBidi"/>
          <w:sz w:val="24"/>
          <w:szCs w:val="24"/>
        </w:rPr>
        <w:t xml:space="preserve"> </w:t>
      </w:r>
    </w:p>
    <w:p w14:paraId="1E9FE5A1" w14:textId="77777777" w:rsidR="006D2A6A" w:rsidRPr="007B0737" w:rsidRDefault="006D2A6A" w:rsidP="006D2A6A">
      <w:pPr>
        <w:jc w:val="both"/>
        <w:rPr>
          <w:rFonts w:asciiTheme="majorBidi" w:hAnsiTheme="majorBidi" w:cstheme="majorBidi"/>
          <w:sz w:val="24"/>
          <w:szCs w:val="24"/>
          <w:u w:val="single"/>
        </w:rPr>
      </w:pPr>
      <w:r>
        <w:rPr>
          <w:rFonts w:asciiTheme="majorBidi" w:hAnsiTheme="majorBidi" w:cstheme="majorBidi"/>
          <w:sz w:val="24"/>
          <w:szCs w:val="24"/>
          <w:u w:val="single"/>
        </w:rPr>
        <w:t>4</w:t>
      </w:r>
      <w:r w:rsidRPr="007B0737">
        <w:rPr>
          <w:rFonts w:asciiTheme="majorBidi" w:hAnsiTheme="majorBidi" w:cstheme="majorBidi"/>
          <w:sz w:val="24"/>
          <w:szCs w:val="24"/>
          <w:u w:val="single"/>
        </w:rPr>
        <w:t>.1.4 Unemployment and Autonomy Concerns</w:t>
      </w:r>
    </w:p>
    <w:p w14:paraId="7739112D"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While AI assisted advertising is effective, it becomes very difficult to determine if a person has autonomy if a significant number of advertisements, they see are personalised to a consumer’s preferences by using their information from platforms such as browsing history, and social media activity (De Pelsmacker et al, 2023; Du and Xie, 2021). To combat this, managers and organisations could implement CSR initiatives to support human well-being and raise awareness of the dangers of digital addiction and provide the tools to combat it (Du and Xie, 2021). </w:t>
      </w:r>
    </w:p>
    <w:p w14:paraId="6354D452"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Based on econometric modelling, Zavyalova et al (2023), found that the humanisation of CSR models in organisations that are AI-intensive such as e-commerce will result in economic, social, and financial advantages. While studies into other organisations and industries regarding this issue </w:t>
      </w:r>
      <w:r>
        <w:rPr>
          <w:rFonts w:asciiTheme="majorBidi" w:hAnsiTheme="majorBidi" w:cstheme="majorBidi"/>
          <w:sz w:val="24"/>
          <w:szCs w:val="24"/>
        </w:rPr>
        <w:t>are</w:t>
      </w:r>
      <w:r w:rsidRPr="007B0737">
        <w:rPr>
          <w:rFonts w:asciiTheme="majorBidi" w:hAnsiTheme="majorBidi" w:cstheme="majorBidi"/>
          <w:sz w:val="24"/>
          <w:szCs w:val="24"/>
        </w:rPr>
        <w:t xml:space="preserve"> limited, Rab-Kettler and Lehnervp (2019) argue that managers must integrate AI and humanistic CSR at the core of an organisations strategic outlook as it will benefit from employee retention and organisational attractiveness for prospective candidates.</w:t>
      </w:r>
    </w:p>
    <w:p w14:paraId="48623A0F"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Another major challenge of AI seems to be the anticipated increase in unemployment due to AI advancement (Du and Xie, 2021; Rab-Kettler and Lehnervp, 2019; Zavyalova et al</w:t>
      </w:r>
      <w:r>
        <w:rPr>
          <w:rFonts w:asciiTheme="majorBidi" w:hAnsiTheme="majorBidi" w:cstheme="majorBidi"/>
          <w:sz w:val="24"/>
          <w:szCs w:val="24"/>
        </w:rPr>
        <w:t>,</w:t>
      </w:r>
      <w:r w:rsidRPr="007B0737">
        <w:rPr>
          <w:rFonts w:asciiTheme="majorBidi" w:hAnsiTheme="majorBidi" w:cstheme="majorBidi"/>
          <w:sz w:val="24"/>
          <w:szCs w:val="24"/>
        </w:rPr>
        <w:t xml:space="preserve"> 2023).  However, while many are concerned about AI replacing humans in the workplace, and drastically raising unemployment levels, others claim that its impact on unemployment is overestimated, and the likely scenario will involve be nature of meaningful work drastically changing with humans collaborating alongside AI which can have its own adverse effects (Böhm et al, 2022; Hauer, 2023; Wang et al, 2023a). </w:t>
      </w:r>
    </w:p>
    <w:p w14:paraId="7B5A3D58"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lastRenderedPageBreak/>
        <w:t>The literature suggests that AI has major implications for the human experience of work as it is estimated 60% of jobs will have at least 30% of tasks being replaced by automation, while this may impact job loss and have economic consequences for people, it may also have disastrous mental health issues (Bankins and Formosa, 2023; Du and Xie, 2021).</w:t>
      </w:r>
    </w:p>
    <w:p w14:paraId="4FF04863"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The literature suggests that employees may perceive their job as having diminished value to the organisation if AI take</w:t>
      </w:r>
      <w:r>
        <w:rPr>
          <w:rFonts w:asciiTheme="majorBidi" w:hAnsiTheme="majorBidi" w:cstheme="majorBidi"/>
          <w:sz w:val="24"/>
          <w:szCs w:val="24"/>
        </w:rPr>
        <w:t>s</w:t>
      </w:r>
      <w:r w:rsidRPr="007B0737">
        <w:rPr>
          <w:rFonts w:asciiTheme="majorBidi" w:hAnsiTheme="majorBidi" w:cstheme="majorBidi"/>
          <w:sz w:val="24"/>
          <w:szCs w:val="24"/>
        </w:rPr>
        <w:t xml:space="preserve"> over significant aspects of their job. Bankins and Formosa (2023) study the ethical implications of AI, regarding meaningful work and claim that AI could cause damage to the autonomy of employees by taking away meaningful tasks and not replaced by other interesting tasks or freeing up employees’ time to conduct other similar tasks. </w:t>
      </w:r>
    </w:p>
    <w:p w14:paraId="5015DBB3"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From a managerial perspective, there must be </w:t>
      </w:r>
      <w:r>
        <w:rPr>
          <w:rFonts w:asciiTheme="majorBidi" w:hAnsiTheme="majorBidi" w:cstheme="majorBidi"/>
          <w:sz w:val="24"/>
          <w:szCs w:val="24"/>
        </w:rPr>
        <w:t xml:space="preserve">a </w:t>
      </w:r>
      <w:r w:rsidRPr="007B0737">
        <w:rPr>
          <w:rFonts w:asciiTheme="majorBidi" w:hAnsiTheme="majorBidi" w:cstheme="majorBidi"/>
          <w:sz w:val="24"/>
          <w:szCs w:val="24"/>
        </w:rPr>
        <w:t xml:space="preserve">collaboration with employees when implementing AI, as AI effectiveness is driven by what work is left for humans (Bankins and Formosa, 2023; Wang et al, 2023a). Wang et al (2023a) used empirical research to conclude that AI implementation adversely impacts employee responsibility </w:t>
      </w:r>
      <w:r>
        <w:rPr>
          <w:rFonts w:asciiTheme="majorBidi" w:hAnsiTheme="majorBidi" w:cstheme="majorBidi"/>
          <w:sz w:val="24"/>
          <w:szCs w:val="24"/>
        </w:rPr>
        <w:t>by damaging</w:t>
      </w:r>
      <w:r w:rsidRPr="007B0737">
        <w:rPr>
          <w:rFonts w:asciiTheme="majorBidi" w:hAnsiTheme="majorBidi" w:cstheme="majorBidi"/>
          <w:sz w:val="24"/>
          <w:szCs w:val="24"/>
        </w:rPr>
        <w:t xml:space="preserve"> commitment to the organisation and job satisfaction despite improvement in organisational productivity and innovation. </w:t>
      </w:r>
    </w:p>
    <w:p w14:paraId="719A44C8" w14:textId="77777777" w:rsidR="006D2A6A" w:rsidRPr="007B0737" w:rsidRDefault="006D2A6A" w:rsidP="006D2A6A">
      <w:pPr>
        <w:jc w:val="both"/>
        <w:rPr>
          <w:rFonts w:asciiTheme="majorBidi" w:hAnsiTheme="majorBidi" w:cstheme="majorBidi"/>
          <w:sz w:val="24"/>
          <w:szCs w:val="24"/>
        </w:rPr>
      </w:pPr>
      <w:r w:rsidRPr="000B770A">
        <w:rPr>
          <w:rFonts w:asciiTheme="majorBidi" w:hAnsiTheme="majorBidi" w:cstheme="majorBidi"/>
          <w:sz w:val="24"/>
          <w:szCs w:val="24"/>
        </w:rPr>
        <w:t>Further research of the literature suggests that organisations have a corporate responsibility to protect their workforce, therefore, managers could provide employees with reskilling opportunities to provide them with adequate AI skills in an intensely competitive market and prepare employees for job transition opportunities as AI becomes more embedded within the organisation (Chen et al, 2024; Du and Xie, 2021; Kelley, 2023; Schmitt, 2023; Wang et al, 2023a).</w:t>
      </w:r>
    </w:p>
    <w:p w14:paraId="464D95EE" w14:textId="77777777" w:rsidR="006D2A6A" w:rsidRPr="007B0737" w:rsidRDefault="006D2A6A" w:rsidP="006D2A6A">
      <w:pPr>
        <w:jc w:val="both"/>
        <w:rPr>
          <w:rFonts w:asciiTheme="majorBidi" w:hAnsiTheme="majorBidi" w:cstheme="majorBidi"/>
          <w:sz w:val="24"/>
          <w:szCs w:val="24"/>
        </w:rPr>
      </w:pPr>
      <w:r w:rsidRPr="000B770A">
        <w:rPr>
          <w:rFonts w:asciiTheme="majorBidi" w:hAnsiTheme="majorBidi" w:cstheme="majorBidi"/>
          <w:sz w:val="24"/>
          <w:szCs w:val="24"/>
        </w:rPr>
        <w:t>Managers must also acknowledge that AI implementation will not reduce the importance of employees on corporate responsibility and the future challenges of AI go beyond improving regulation and will also involve the strengthening of workers’ rights, with trade unions aiming to pressure governments and organisations to protect workers (Doellgast, 2023, Wang et al, 2023a). A possible area of future research can involve the future influence of trade unions on protecting workers as the influence of AI increases.</w:t>
      </w:r>
    </w:p>
    <w:p w14:paraId="297DAD3E" w14:textId="77777777" w:rsidR="006D2A6A" w:rsidRPr="007B0737" w:rsidRDefault="006D2A6A" w:rsidP="006D2A6A">
      <w:pPr>
        <w:jc w:val="both"/>
        <w:rPr>
          <w:rFonts w:asciiTheme="majorBidi" w:hAnsiTheme="majorBidi" w:cstheme="majorBidi"/>
          <w:sz w:val="24"/>
          <w:szCs w:val="24"/>
          <w:u w:val="single"/>
        </w:rPr>
      </w:pPr>
      <w:r>
        <w:rPr>
          <w:rFonts w:asciiTheme="majorBidi" w:hAnsiTheme="majorBidi" w:cstheme="majorBidi"/>
          <w:sz w:val="24"/>
          <w:szCs w:val="24"/>
          <w:u w:val="single"/>
        </w:rPr>
        <w:t>4</w:t>
      </w:r>
      <w:r w:rsidRPr="007B0737">
        <w:rPr>
          <w:rFonts w:asciiTheme="majorBidi" w:hAnsiTheme="majorBidi" w:cstheme="majorBidi"/>
          <w:sz w:val="24"/>
          <w:szCs w:val="24"/>
          <w:u w:val="single"/>
        </w:rPr>
        <w:t xml:space="preserve">.2 The Impact of AI Challenges on Circular Economy Transition </w:t>
      </w:r>
    </w:p>
    <w:p w14:paraId="556BFEEF"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There has been an increasing amount of literature emphasising the importance of transitioning away from the linear economy and the circular economy is now recognised as a model that can replace the unsustainable linear economy (Dzhengiz, 2023; Esposito et al, 2023). A review of the literature suggests that organisations are implementing more sustainable policies and are moving towards CE (Sonar et al, 2023).</w:t>
      </w:r>
    </w:p>
    <w:p w14:paraId="2B2007BE" w14:textId="77777777" w:rsidR="006D2A6A" w:rsidRPr="007B0737" w:rsidRDefault="006D2A6A" w:rsidP="006D2A6A">
      <w:pPr>
        <w:jc w:val="both"/>
        <w:rPr>
          <w:rFonts w:asciiTheme="majorBidi" w:hAnsiTheme="majorBidi" w:cstheme="majorBidi"/>
          <w:sz w:val="24"/>
          <w:szCs w:val="24"/>
          <w:u w:val="single"/>
        </w:rPr>
      </w:pPr>
      <w:r>
        <w:rPr>
          <w:rFonts w:asciiTheme="majorBidi" w:hAnsiTheme="majorBidi" w:cstheme="majorBidi"/>
          <w:sz w:val="24"/>
          <w:szCs w:val="24"/>
          <w:u w:val="single"/>
        </w:rPr>
        <w:t>4</w:t>
      </w:r>
      <w:r w:rsidRPr="007B0737">
        <w:rPr>
          <w:rFonts w:asciiTheme="majorBidi" w:hAnsiTheme="majorBidi" w:cstheme="majorBidi"/>
          <w:sz w:val="24"/>
          <w:szCs w:val="24"/>
          <w:u w:val="single"/>
        </w:rPr>
        <w:t>.2.1 The Impact of AI on SDGs</w:t>
      </w:r>
    </w:p>
    <w:p w14:paraId="06D5D39A"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The literature shows that in general, the challenges facing AI implementation tend to be similar to the challenges facing AI in the transition towards the circular economy. While advantages to AI for organisations </w:t>
      </w:r>
      <w:r>
        <w:rPr>
          <w:rFonts w:asciiTheme="majorBidi" w:hAnsiTheme="majorBidi" w:cstheme="majorBidi"/>
          <w:sz w:val="24"/>
          <w:szCs w:val="24"/>
        </w:rPr>
        <w:t xml:space="preserve">include </w:t>
      </w:r>
      <w:r w:rsidRPr="007B0737">
        <w:rPr>
          <w:rFonts w:asciiTheme="majorBidi" w:hAnsiTheme="majorBidi" w:cstheme="majorBidi"/>
          <w:sz w:val="24"/>
          <w:szCs w:val="24"/>
        </w:rPr>
        <w:t xml:space="preserve">increased efficiency, productivity and profitability, there is also an increasing belief that AI will </w:t>
      </w:r>
      <w:r>
        <w:rPr>
          <w:rFonts w:asciiTheme="majorBidi" w:hAnsiTheme="majorBidi" w:cstheme="majorBidi"/>
          <w:sz w:val="24"/>
          <w:szCs w:val="24"/>
        </w:rPr>
        <w:t>play</w:t>
      </w:r>
      <w:r w:rsidRPr="007B0737">
        <w:rPr>
          <w:rFonts w:asciiTheme="majorBidi" w:hAnsiTheme="majorBidi" w:cstheme="majorBidi"/>
          <w:sz w:val="24"/>
          <w:szCs w:val="24"/>
        </w:rPr>
        <w:t xml:space="preserve"> a key role in improving sustainability and contributing to achieving sustainable development goals.</w:t>
      </w:r>
    </w:p>
    <w:p w14:paraId="54236AAC"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As organisations use the advancement in AI technology to achieve more sustainable results and ease the transition towards a CE, it is suggested that to address the challenges of AI, managers </w:t>
      </w:r>
      <w:r w:rsidRPr="007B0737">
        <w:rPr>
          <w:rFonts w:asciiTheme="majorBidi" w:hAnsiTheme="majorBidi" w:cstheme="majorBidi"/>
          <w:sz w:val="24"/>
          <w:szCs w:val="24"/>
        </w:rPr>
        <w:lastRenderedPageBreak/>
        <w:t>should assess the interdependencies of SDGs and the impact that focussing on one SDG can have on another SDG.</w:t>
      </w:r>
    </w:p>
    <w:p w14:paraId="6DC03D5F"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Kumar et al (2022), claim that strict enforcement of AI and CE policies is required to achieve SDGs. However, analysis of the literature shows that there is debate over whether the impact of organisations implementing CE initiatives will be wholly positive on all stakeholders and SDGs. Addressing SDGs from the viewpoint of corporate responsibility, Ekimova (2023), argues that providing AI training opportunities to employees has no impact on decent work and economic growth (SDG 8).</w:t>
      </w:r>
    </w:p>
    <w:p w14:paraId="02FF4D24"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The research of Satornino et al (2024) claims that if AI implementation improves sustainable production and consumption (SDG 12) patterns, it may worsen social inequality (SDG 10) and increase climate change (SDG 13) risk for organisations. The literature suggests AI bias resulting from the lack of available data from marginalised communities as a factor (Chavanayarn, 2023; Satornino et al, 2024).</w:t>
      </w:r>
    </w:p>
    <w:p w14:paraId="173F19A6"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The literature assumes that AI, in the context of transitioning to CE should support all 17 SDGs. Literature also suggests that there is an asymmetrical emphasis on SDGs focusing on economic success. AI has given more priority to SDG 9 while SDGs 5, 6, 14, and 15 have the lowest, thus suggesting that AI is too focused on economic growth and is neglecting societal and environmental issues (Nasir et al, 2023). </w:t>
      </w:r>
    </w:p>
    <w:p w14:paraId="6AC7B84A" w14:textId="77777777" w:rsidR="006D2A6A" w:rsidRPr="007B0737" w:rsidRDefault="006D2A6A" w:rsidP="006D2A6A">
      <w:pPr>
        <w:jc w:val="both"/>
        <w:rPr>
          <w:rFonts w:asciiTheme="majorBidi" w:hAnsiTheme="majorBidi" w:cstheme="majorBidi"/>
          <w:sz w:val="24"/>
          <w:szCs w:val="24"/>
        </w:rPr>
      </w:pPr>
      <w:r w:rsidRPr="00C519CC">
        <w:rPr>
          <w:rFonts w:asciiTheme="majorBidi" w:hAnsiTheme="majorBidi" w:cstheme="majorBidi"/>
          <w:sz w:val="24"/>
          <w:szCs w:val="24"/>
        </w:rPr>
        <w:t>A review of the literature suggests that many studies examining the impact of organisational strategy on sustainability and SDG ignore the trade-offs that AI implementation can cause. Therefore, managers should be aware of the multidimensional consequences of their AI strategies and implement performance goals that align with multiple SDGs (Satornino et al, 2024). Also, research should be conducted in collaboration with senior managers to ascertain how AI can achieve all SDGs and link the most important implications of AI-ethics and SDGs. This will require cross-disciplinary research and the promotion of human progress alongside the advancement of environmental and societal issues (Nasir et al, 2023; Sarornino et al, 2024).</w:t>
      </w:r>
    </w:p>
    <w:p w14:paraId="0AF5EE90" w14:textId="77777777" w:rsidR="006D2A6A" w:rsidRPr="007B0737" w:rsidRDefault="006D2A6A" w:rsidP="006D2A6A">
      <w:pPr>
        <w:jc w:val="both"/>
        <w:rPr>
          <w:rFonts w:asciiTheme="majorBidi" w:hAnsiTheme="majorBidi" w:cstheme="majorBidi"/>
          <w:sz w:val="24"/>
          <w:szCs w:val="24"/>
          <w:u w:val="single"/>
        </w:rPr>
      </w:pPr>
      <w:r>
        <w:rPr>
          <w:rFonts w:asciiTheme="majorBidi" w:hAnsiTheme="majorBidi" w:cstheme="majorBidi"/>
          <w:sz w:val="24"/>
          <w:szCs w:val="24"/>
          <w:u w:val="single"/>
        </w:rPr>
        <w:t>4</w:t>
      </w:r>
      <w:r w:rsidRPr="007B0737">
        <w:rPr>
          <w:rFonts w:asciiTheme="majorBidi" w:hAnsiTheme="majorBidi" w:cstheme="majorBidi"/>
          <w:sz w:val="24"/>
          <w:szCs w:val="24"/>
          <w:u w:val="single"/>
        </w:rPr>
        <w:t>.2.2 Corporate Responsibility and the Circular Economy</w:t>
      </w:r>
    </w:p>
    <w:p w14:paraId="17CDD192"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The literature shows that, while it is essential for organisations to use AI to implement CE initiatives, it is also important for consumers to signal to organisations if they prefer CE products. According to Sajjad et al (2024), there is a strong relationship between a consumer’s willingness to purchase circular goods and their sustainable and green-based self-identity. It also claimed that exposure to an organisation’s sustainability strategies, including green-marketing and the organisation</w:t>
      </w:r>
      <w:r>
        <w:rPr>
          <w:rFonts w:asciiTheme="majorBidi" w:hAnsiTheme="majorBidi" w:cstheme="majorBidi"/>
          <w:sz w:val="24"/>
          <w:szCs w:val="24"/>
        </w:rPr>
        <w:t>’</w:t>
      </w:r>
      <w:r w:rsidRPr="007B0737">
        <w:rPr>
          <w:rFonts w:asciiTheme="majorBidi" w:hAnsiTheme="majorBidi" w:cstheme="majorBidi"/>
          <w:sz w:val="24"/>
          <w:szCs w:val="24"/>
        </w:rPr>
        <w:t xml:space="preserve">s circular business model, makes consumers more likely to purchase circular products and develop a positive relationship with the organisation. This positive association comes from consumers attributing corporate responsibility to the organisation which aligns with their own personal values (Sajjad et al, 2024; Vătămănescu et al, 2021).  </w:t>
      </w:r>
    </w:p>
    <w:p w14:paraId="4DED9DE9"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From a managerial perspective, consumers generally behave in correspondence to social identity theory, therefore if an organisation can produce a normative environment, it will activate a consumer’s moral obligations to trust and purchase circular products (Sajjad et al, 2024). There is an economic incentive for organisations to offer CE products as consumers are now more aware of the environmental effects of purchasing non-green products and are more likely to purchase sustainable products (Sajjad et al, 2024; de Souza et al, 2021; Ki et al, 2021). </w:t>
      </w:r>
    </w:p>
    <w:p w14:paraId="2FCFE59D" w14:textId="77777777" w:rsidR="006D2A6A" w:rsidRPr="00C519CC"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lastRenderedPageBreak/>
        <w:t>However, Kumar et al (2022), claim a challenge for technology in the transition towards a CE is the lack of green packaging material, combined with a lack of incentives from the government for organisations to adopt CE strategies, meaning that currently there is no economic incentive for organisations to implement CE practices. While literature argue</w:t>
      </w:r>
      <w:r>
        <w:rPr>
          <w:rFonts w:asciiTheme="majorBidi" w:hAnsiTheme="majorBidi" w:cstheme="majorBidi"/>
          <w:sz w:val="24"/>
          <w:szCs w:val="24"/>
        </w:rPr>
        <w:t>s</w:t>
      </w:r>
      <w:r w:rsidRPr="007B0737">
        <w:rPr>
          <w:rFonts w:asciiTheme="majorBidi" w:hAnsiTheme="majorBidi" w:cstheme="majorBidi"/>
          <w:sz w:val="24"/>
          <w:szCs w:val="24"/>
        </w:rPr>
        <w:t xml:space="preserve"> that there is a lack of incentives from governments for organisations, Ma et al, (2023) finds that economic incentives are ineffective in </w:t>
      </w:r>
      <w:r w:rsidRPr="00C519CC">
        <w:rPr>
          <w:rFonts w:asciiTheme="majorBidi" w:hAnsiTheme="majorBidi" w:cstheme="majorBidi"/>
          <w:sz w:val="24"/>
          <w:szCs w:val="24"/>
        </w:rPr>
        <w:t>increasing a consumers’ willingness to engage in CE and managers should be cautious in offering economic incentives when developing strategies to increase sustainability and recycling performance. A review of the literature demonstrates that there are limited studies into the impact of these issues on B2Bs.</w:t>
      </w:r>
    </w:p>
    <w:p w14:paraId="55A87613" w14:textId="77777777" w:rsidR="006D2A6A" w:rsidRPr="00C519CC" w:rsidRDefault="006D2A6A" w:rsidP="006D2A6A">
      <w:pPr>
        <w:jc w:val="both"/>
        <w:rPr>
          <w:rFonts w:asciiTheme="majorBidi" w:hAnsiTheme="majorBidi" w:cstheme="majorBidi"/>
          <w:sz w:val="24"/>
          <w:szCs w:val="24"/>
        </w:rPr>
      </w:pPr>
      <w:r w:rsidRPr="00C519CC">
        <w:rPr>
          <w:rFonts w:asciiTheme="majorBidi" w:hAnsiTheme="majorBidi" w:cstheme="majorBidi"/>
          <w:sz w:val="24"/>
          <w:szCs w:val="24"/>
        </w:rPr>
        <w:t>It is argued that for start-up organisations, particularly organisations in AI-intensive industries, the public do not prioritise the transition to CE and still prioritise economic success over environmental success, thus making it difficult for these organisations to implement strategies to tackle SDGs (Lammers et al, 2022). Hao-Ho et al (2022) challenge these findings and claim that consumers are prioritising social and environmental issues by pressurising organisations to implement CE strategies. This will improve organisational culture and engage employees and suppliers in the strategic outlook of the organisation (Hao-Ho et al, 2022).</w:t>
      </w:r>
    </w:p>
    <w:p w14:paraId="3AC6A007" w14:textId="77777777" w:rsidR="006D2A6A" w:rsidRPr="007B0737" w:rsidRDefault="006D2A6A" w:rsidP="006D2A6A">
      <w:pPr>
        <w:jc w:val="both"/>
        <w:rPr>
          <w:rFonts w:asciiTheme="majorBidi" w:hAnsiTheme="majorBidi" w:cstheme="majorBidi"/>
          <w:sz w:val="24"/>
          <w:szCs w:val="24"/>
        </w:rPr>
      </w:pPr>
      <w:r w:rsidRPr="00C519CC">
        <w:rPr>
          <w:rFonts w:asciiTheme="majorBidi" w:hAnsiTheme="majorBidi" w:cstheme="majorBidi"/>
          <w:sz w:val="24"/>
          <w:szCs w:val="24"/>
        </w:rPr>
        <w:t>To allay fears of greenwashing, managers should actively engage with consumers regarding their sustainable products. Managers should focus on targeting consumers’ moral obligations by providing product information on labels, certifications and by explaining the technological process of manufacturing the products (Sajjad et al, 2024). Future research could analyse the incentives governments could provide to encourage organisations to adopt more sustainable practices.</w:t>
      </w:r>
    </w:p>
    <w:p w14:paraId="70F6004F"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A review of the literature claims a significant need for sufficient CE disclosure from organisations. It was found that an organisations carbon disclosure is an effective tool in persuading consumers to improve their own sustainability behaviours (Ma et al, 2023). The level of CE disclosure is also positively impacted by a boards gender diversity and existence of CSR committees (Esposito et al, 2023). </w:t>
      </w:r>
    </w:p>
    <w:p w14:paraId="2876D9C0"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From a managerial perspective, the literature suggests corporate responsibility</w:t>
      </w:r>
      <w:r>
        <w:rPr>
          <w:rFonts w:asciiTheme="majorBidi" w:hAnsiTheme="majorBidi" w:cstheme="majorBidi"/>
          <w:sz w:val="24"/>
          <w:szCs w:val="24"/>
        </w:rPr>
        <w:t>,</w:t>
      </w:r>
      <w:r w:rsidRPr="007B0737">
        <w:rPr>
          <w:rFonts w:asciiTheme="majorBidi" w:hAnsiTheme="majorBidi" w:cstheme="majorBidi"/>
          <w:sz w:val="24"/>
          <w:szCs w:val="24"/>
        </w:rPr>
        <w:t xml:space="preserve"> </w:t>
      </w:r>
      <w:r>
        <w:rPr>
          <w:rFonts w:asciiTheme="majorBidi" w:hAnsiTheme="majorBidi" w:cstheme="majorBidi"/>
          <w:sz w:val="24"/>
          <w:szCs w:val="24"/>
        </w:rPr>
        <w:t>particularly</w:t>
      </w:r>
      <w:r w:rsidRPr="007B0737">
        <w:rPr>
          <w:rFonts w:asciiTheme="majorBidi" w:hAnsiTheme="majorBidi" w:cstheme="majorBidi"/>
          <w:sz w:val="24"/>
          <w:szCs w:val="24"/>
        </w:rPr>
        <w:t xml:space="preserve"> the social</w:t>
      </w:r>
      <w:r>
        <w:rPr>
          <w:rFonts w:asciiTheme="majorBidi" w:hAnsiTheme="majorBidi" w:cstheme="majorBidi"/>
          <w:sz w:val="24"/>
          <w:szCs w:val="24"/>
        </w:rPr>
        <w:t xml:space="preserve"> </w:t>
      </w:r>
      <w:r w:rsidRPr="007B0737">
        <w:rPr>
          <w:rFonts w:asciiTheme="majorBidi" w:hAnsiTheme="majorBidi" w:cstheme="majorBidi"/>
          <w:sz w:val="24"/>
          <w:szCs w:val="24"/>
        </w:rPr>
        <w:t xml:space="preserve">and environmental aspects should be a priority in AI and CE as they strengthen an organisations credibility and reputation (Wang et al, 2023b). </w:t>
      </w:r>
      <w:r>
        <w:rPr>
          <w:rFonts w:asciiTheme="majorBidi" w:hAnsiTheme="majorBidi" w:cstheme="majorBidi"/>
          <w:sz w:val="24"/>
          <w:szCs w:val="24"/>
        </w:rPr>
        <w:t>The literature shows that</w:t>
      </w:r>
      <w:r w:rsidRPr="007B0737">
        <w:rPr>
          <w:rFonts w:asciiTheme="majorBidi" w:hAnsiTheme="majorBidi" w:cstheme="majorBidi"/>
          <w:sz w:val="24"/>
          <w:szCs w:val="24"/>
        </w:rPr>
        <w:t xml:space="preserve"> </w:t>
      </w:r>
      <w:r>
        <w:rPr>
          <w:rFonts w:asciiTheme="majorBidi" w:hAnsiTheme="majorBidi" w:cstheme="majorBidi"/>
          <w:sz w:val="24"/>
          <w:szCs w:val="24"/>
        </w:rPr>
        <w:t>while</w:t>
      </w:r>
      <w:r w:rsidRPr="007B0737">
        <w:rPr>
          <w:rFonts w:asciiTheme="majorBidi" w:hAnsiTheme="majorBidi" w:cstheme="majorBidi"/>
          <w:sz w:val="24"/>
          <w:szCs w:val="24"/>
        </w:rPr>
        <w:t xml:space="preserve"> CSR has been the most frequently used framework in relation to AI and CE, </w:t>
      </w:r>
      <w:r>
        <w:rPr>
          <w:rFonts w:asciiTheme="majorBidi" w:hAnsiTheme="majorBidi" w:cstheme="majorBidi"/>
          <w:sz w:val="24"/>
          <w:szCs w:val="24"/>
        </w:rPr>
        <w:t>it is dwindling in popularity</w:t>
      </w:r>
      <w:r w:rsidRPr="007B0737">
        <w:rPr>
          <w:rFonts w:asciiTheme="majorBidi" w:hAnsiTheme="majorBidi" w:cstheme="majorBidi"/>
          <w:sz w:val="24"/>
          <w:szCs w:val="24"/>
        </w:rPr>
        <w:t xml:space="preserve">. Although this may be reflective of managers in certain industries downplaying the importance of CSR in favour of alternative frameworks such as ESG, it would be an error for managers to neglect CSR and more appropriate to hire CSR experts in implementing AI and CE strategies whilst continuing to implement ESG (Hrouga and Michel, 2023; Wang et al, 2023b). </w:t>
      </w:r>
    </w:p>
    <w:p w14:paraId="728C68BF" w14:textId="77777777" w:rsidR="006D2A6A"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The literature states that organisations wishing to fulfil their corporate responsibilities over the course of a product</w:t>
      </w:r>
      <w:r>
        <w:rPr>
          <w:rFonts w:asciiTheme="majorBidi" w:hAnsiTheme="majorBidi" w:cstheme="majorBidi"/>
          <w:sz w:val="24"/>
          <w:szCs w:val="24"/>
        </w:rPr>
        <w:t>’</w:t>
      </w:r>
      <w:r w:rsidRPr="007B0737">
        <w:rPr>
          <w:rFonts w:asciiTheme="majorBidi" w:hAnsiTheme="majorBidi" w:cstheme="majorBidi"/>
          <w:sz w:val="24"/>
          <w:szCs w:val="24"/>
        </w:rPr>
        <w:t>s life cycle must include stakeholders, in particular suppliers, consumers, and employees in an organisation</w:t>
      </w:r>
      <w:r>
        <w:rPr>
          <w:rFonts w:asciiTheme="majorBidi" w:hAnsiTheme="majorBidi" w:cstheme="majorBidi"/>
          <w:sz w:val="24"/>
          <w:szCs w:val="24"/>
        </w:rPr>
        <w:t>’</w:t>
      </w:r>
      <w:r w:rsidRPr="007B0737">
        <w:rPr>
          <w:rFonts w:asciiTheme="majorBidi" w:hAnsiTheme="majorBidi" w:cstheme="majorBidi"/>
          <w:sz w:val="24"/>
          <w:szCs w:val="24"/>
        </w:rPr>
        <w:t xml:space="preserve">s CE assessment process (Richardson, 2022; Roos Lindgreen et al, 2022). It is currently unclear how organisations can accurately assess the impact of their CE strategies, particularly with a current lack of expert knowledge and unavailable data, meaning that organisations with high resources may be capable of producing customised CE approaches (Roos Lindgreen et al, 2022; Gupta et al, 2019). </w:t>
      </w:r>
    </w:p>
    <w:p w14:paraId="0F9B6AF7"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lastRenderedPageBreak/>
        <w:t xml:space="preserve">This has led to accusations of greenwashing as organisations can choose CE performance metrics that are beneficial to them (Roos </w:t>
      </w:r>
      <w:r w:rsidRPr="00C519CC">
        <w:rPr>
          <w:rFonts w:asciiTheme="majorBidi" w:hAnsiTheme="majorBidi" w:cstheme="majorBidi"/>
          <w:sz w:val="24"/>
          <w:szCs w:val="24"/>
        </w:rPr>
        <w:t>Lindgreen et al 2022). Future research could investigate CE assessment techniques to create a more standardised approach for organisations that includes short-term and long-term stakeholders and throughout the product life cycle.</w:t>
      </w:r>
    </w:p>
    <w:p w14:paraId="586337B5"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Therefore, there must be a stakeholder-based model for CE where all stakeholders have unified sustainability objectives (Gupta et al, 2019). However, from a managerial perspective, achieving stakeholder engagement can be difficult and AI must be implemented correctly and ethically to ensure an effective decision-making process (Gupta et al, 2019). </w:t>
      </w:r>
    </w:p>
    <w:p w14:paraId="715CFA82" w14:textId="77777777" w:rsidR="006D2A6A" w:rsidRPr="007B0737" w:rsidRDefault="006D2A6A" w:rsidP="006D2A6A">
      <w:pPr>
        <w:jc w:val="both"/>
        <w:rPr>
          <w:rFonts w:asciiTheme="majorBidi" w:hAnsiTheme="majorBidi" w:cstheme="majorBidi"/>
          <w:sz w:val="24"/>
          <w:szCs w:val="24"/>
          <w:u w:val="single"/>
        </w:rPr>
      </w:pPr>
      <w:r>
        <w:rPr>
          <w:rFonts w:asciiTheme="majorBidi" w:hAnsiTheme="majorBidi" w:cstheme="majorBidi"/>
          <w:sz w:val="24"/>
          <w:szCs w:val="24"/>
          <w:u w:val="single"/>
        </w:rPr>
        <w:t>4</w:t>
      </w:r>
      <w:r w:rsidRPr="007B0737">
        <w:rPr>
          <w:rFonts w:asciiTheme="majorBidi" w:hAnsiTheme="majorBidi" w:cstheme="majorBidi"/>
          <w:sz w:val="24"/>
          <w:szCs w:val="24"/>
          <w:u w:val="single"/>
        </w:rPr>
        <w:t xml:space="preserve">.2.3 The </w:t>
      </w:r>
      <w:r>
        <w:rPr>
          <w:rFonts w:asciiTheme="majorBidi" w:hAnsiTheme="majorBidi" w:cstheme="majorBidi"/>
          <w:sz w:val="24"/>
          <w:szCs w:val="24"/>
          <w:u w:val="single"/>
        </w:rPr>
        <w:t>I</w:t>
      </w:r>
      <w:r w:rsidRPr="007B0737">
        <w:rPr>
          <w:rFonts w:asciiTheme="majorBidi" w:hAnsiTheme="majorBidi" w:cstheme="majorBidi"/>
          <w:sz w:val="24"/>
          <w:szCs w:val="24"/>
          <w:u w:val="single"/>
        </w:rPr>
        <w:t>mpact of Artificial Intelligence on the Transition to a Circular Economy</w:t>
      </w:r>
    </w:p>
    <w:p w14:paraId="170352AD"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The literature emphasises the challenges facing the supply chain of organisations. Regarding the food supply chain, Sonar et al (2023)</w:t>
      </w:r>
      <w:r>
        <w:rPr>
          <w:rFonts w:asciiTheme="majorBidi" w:hAnsiTheme="majorBidi" w:cstheme="majorBidi"/>
          <w:sz w:val="24"/>
          <w:szCs w:val="24"/>
        </w:rPr>
        <w:t>,</w:t>
      </w:r>
      <w:r w:rsidRPr="007B0737">
        <w:rPr>
          <w:rFonts w:asciiTheme="majorBidi" w:hAnsiTheme="majorBidi" w:cstheme="majorBidi"/>
          <w:sz w:val="24"/>
          <w:szCs w:val="24"/>
        </w:rPr>
        <w:t xml:space="preserve"> found that barriers to CE include poor CSR implementation, lack of managerial commitment, lack of transparency and lack of incentives for CE adoption. Therefore, for the supply chain to become sustainable, there must be </w:t>
      </w:r>
      <w:r>
        <w:rPr>
          <w:rFonts w:asciiTheme="majorBidi" w:hAnsiTheme="majorBidi" w:cstheme="majorBidi"/>
          <w:sz w:val="24"/>
          <w:szCs w:val="24"/>
        </w:rPr>
        <w:t xml:space="preserve">a </w:t>
      </w:r>
      <w:r w:rsidRPr="007B0737">
        <w:rPr>
          <w:rFonts w:asciiTheme="majorBidi" w:hAnsiTheme="majorBidi" w:cstheme="majorBidi"/>
          <w:sz w:val="24"/>
          <w:szCs w:val="24"/>
        </w:rPr>
        <w:t>commitment from managers to implement strong CSR strategies (Sonar et al, 2023; Ghosh et al, 2023; Kumar et al, 2022; Zerbino et al, 2023).</w:t>
      </w:r>
    </w:p>
    <w:p w14:paraId="75877DA7"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AI can improve visibility, tracing and tracking throughout the supply chain and improve the efficiency and cost-effectiveness of these processes (Kumar et al, 2022). Further improvements in the supply chain could be made by using reverse logistics to reduce environmental damage (Agwaral et al, 2023; Kumar et al, 2022).</w:t>
      </w:r>
    </w:p>
    <w:p w14:paraId="69EC6275" w14:textId="77777777" w:rsidR="006D2A6A" w:rsidRPr="007B0737" w:rsidRDefault="006D2A6A" w:rsidP="006D2A6A">
      <w:pPr>
        <w:jc w:val="both"/>
        <w:rPr>
          <w:rFonts w:asciiTheme="majorBidi" w:hAnsiTheme="majorBidi" w:cstheme="majorBidi"/>
          <w:color w:val="FF0000"/>
          <w:sz w:val="24"/>
          <w:szCs w:val="24"/>
        </w:rPr>
      </w:pPr>
      <w:r w:rsidRPr="007B0737">
        <w:rPr>
          <w:rFonts w:asciiTheme="majorBidi" w:hAnsiTheme="majorBidi" w:cstheme="majorBidi"/>
          <w:sz w:val="24"/>
          <w:szCs w:val="24"/>
        </w:rPr>
        <w:t xml:space="preserve">Ardito (2023), argues that nearly all digital technology positively increases the likelihood of creating </w:t>
      </w:r>
      <w:r w:rsidRPr="00C519CC">
        <w:rPr>
          <w:rFonts w:asciiTheme="majorBidi" w:hAnsiTheme="majorBidi" w:cstheme="majorBidi"/>
          <w:sz w:val="24"/>
          <w:szCs w:val="24"/>
        </w:rPr>
        <w:t>environmental and social innovations with digital technologies aimed at collecting data such as smart sensor devices and blockchain being the most influential. From a managerial perspective, it is advisable to select the technologies that are most suitable for sustainable innovation (Ardito, 2023). There are limited studies regarding the implementation of AI and CE from an organisational viewpoint (Sonar, 2023). Future studies could analyse the impact of AI on innovation and the impact of human and AI collaboration on the development of sustainable innovation for organisations.</w:t>
      </w:r>
      <w:r w:rsidRPr="007B0737">
        <w:rPr>
          <w:rFonts w:asciiTheme="majorBidi" w:hAnsiTheme="majorBidi" w:cstheme="majorBidi"/>
          <w:sz w:val="24"/>
          <w:szCs w:val="24"/>
        </w:rPr>
        <w:t xml:space="preserve"> </w:t>
      </w:r>
    </w:p>
    <w:p w14:paraId="2C8A06D6"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The literature shows that consumers</w:t>
      </w:r>
      <w:r>
        <w:rPr>
          <w:rFonts w:asciiTheme="majorBidi" w:hAnsiTheme="majorBidi" w:cstheme="majorBidi"/>
          <w:sz w:val="24"/>
          <w:szCs w:val="24"/>
        </w:rPr>
        <w:t>’</w:t>
      </w:r>
      <w:r w:rsidRPr="007B0737">
        <w:rPr>
          <w:rFonts w:asciiTheme="majorBidi" w:hAnsiTheme="majorBidi" w:cstheme="majorBidi"/>
          <w:sz w:val="24"/>
          <w:szCs w:val="24"/>
        </w:rPr>
        <w:t xml:space="preserve"> expectations, leniency, and trust towards </w:t>
      </w:r>
      <w:r>
        <w:rPr>
          <w:rFonts w:asciiTheme="majorBidi" w:hAnsiTheme="majorBidi" w:cstheme="majorBidi"/>
          <w:sz w:val="24"/>
          <w:szCs w:val="24"/>
        </w:rPr>
        <w:t>a</w:t>
      </w:r>
      <w:r w:rsidRPr="007B0737">
        <w:rPr>
          <w:rFonts w:asciiTheme="majorBidi" w:hAnsiTheme="majorBidi" w:cstheme="majorBidi"/>
          <w:sz w:val="24"/>
          <w:szCs w:val="24"/>
        </w:rPr>
        <w:t xml:space="preserve">n organisation can fluctuate depending on the industry and country. For example, using empirical data, KI et al (2021) found that there can be an increased level of trust among organisations in the fashion industry in the USA. Ki et al (2021), also found that consumers within certain industries hold organisations to a higher moral standard than to the moral standard of the individual, meaning that consumers expect organisations to become influential leaders in persuading consumers to adopt CE friendly initiatives.  </w:t>
      </w:r>
    </w:p>
    <w:p w14:paraId="4634FB89"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The literature shows that suitable marketing strategies regarding corporate responsibility policies are influential in the transition towards CE, however, organisations must be careful that what they are claiming is true as it could backfire disastrously (Vătămănescu et al, 2021). The literature demonstrates consumer support of CE but requires organisations to implement CE measures first within certain industries. Nonetheless, other industries will need to placate stakeholders and demonstrate how they can benefit from AI implementation and CE strategies. </w:t>
      </w:r>
      <w:r w:rsidRPr="00C519CC">
        <w:rPr>
          <w:rFonts w:asciiTheme="majorBidi" w:hAnsiTheme="majorBidi" w:cstheme="majorBidi"/>
          <w:sz w:val="24"/>
          <w:szCs w:val="24"/>
        </w:rPr>
        <w:t>Future directions could examine stakeholder preferences regarding CE practices in collaboration with AI and corporate responsibility.</w:t>
      </w:r>
    </w:p>
    <w:p w14:paraId="79A28EA8"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lastRenderedPageBreak/>
        <w:t xml:space="preserve">Whilst a large portion of </w:t>
      </w:r>
      <w:r>
        <w:rPr>
          <w:rFonts w:asciiTheme="majorBidi" w:hAnsiTheme="majorBidi" w:cstheme="majorBidi"/>
          <w:sz w:val="24"/>
          <w:szCs w:val="24"/>
        </w:rPr>
        <w:t xml:space="preserve">the </w:t>
      </w:r>
      <w:r w:rsidRPr="007B0737">
        <w:rPr>
          <w:rFonts w:asciiTheme="majorBidi" w:hAnsiTheme="majorBidi" w:cstheme="majorBidi"/>
          <w:sz w:val="24"/>
          <w:szCs w:val="24"/>
        </w:rPr>
        <w:t>literature examine</w:t>
      </w:r>
      <w:r>
        <w:rPr>
          <w:rFonts w:asciiTheme="majorBidi" w:hAnsiTheme="majorBidi" w:cstheme="majorBidi"/>
          <w:sz w:val="24"/>
          <w:szCs w:val="24"/>
        </w:rPr>
        <w:t>s</w:t>
      </w:r>
      <w:r w:rsidRPr="007B0737">
        <w:rPr>
          <w:rFonts w:asciiTheme="majorBidi" w:hAnsiTheme="majorBidi" w:cstheme="majorBidi"/>
          <w:sz w:val="24"/>
          <w:szCs w:val="24"/>
        </w:rPr>
        <w:t xml:space="preserve"> the negative aspects of AI, Chen et al (2024), argue from a managerial perspective, that it is imperative to acknowledge the benefits of AI in regulating resource allocation and thus promote AI technology. From a managerial perspective, studies suggest that responsible implementation of AI can promote sustainable corporate development and play a positive role in meeting stakeholder demands and ensuring that organisations utilise their resources at optimal efficiency (Chen et al, 2024).</w:t>
      </w:r>
    </w:p>
    <w:p w14:paraId="6C47C5B4"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 xml:space="preserve">According to Chen et al (2024), AI has a moderately positive impact on corporate sustainable development, while also possessing a significant impact on environmental governance and social responsibility. From a managerial perspective, AI integrated with CE can allow organisations to implement strategies to extend product value and resource value and exploit the residual value of customer returns (Agrawal et al, 2023). </w:t>
      </w:r>
    </w:p>
    <w:p w14:paraId="18788234" w14:textId="77777777" w:rsidR="006D2A6A" w:rsidRPr="007B0737" w:rsidRDefault="006D2A6A" w:rsidP="006D2A6A">
      <w:pPr>
        <w:jc w:val="both"/>
        <w:rPr>
          <w:rFonts w:asciiTheme="majorBidi" w:hAnsiTheme="majorBidi" w:cstheme="majorBidi"/>
          <w:sz w:val="24"/>
          <w:szCs w:val="24"/>
        </w:rPr>
      </w:pPr>
      <w:r w:rsidRPr="007B0737">
        <w:rPr>
          <w:rFonts w:asciiTheme="majorBidi" w:hAnsiTheme="majorBidi" w:cstheme="majorBidi"/>
          <w:sz w:val="24"/>
          <w:szCs w:val="24"/>
        </w:rPr>
        <w:t>To achieve stakeholder approval</w:t>
      </w:r>
      <w:r>
        <w:rPr>
          <w:rFonts w:asciiTheme="majorBidi" w:hAnsiTheme="majorBidi" w:cstheme="majorBidi"/>
          <w:sz w:val="24"/>
          <w:szCs w:val="24"/>
        </w:rPr>
        <w:t xml:space="preserve"> regarding AI</w:t>
      </w:r>
      <w:r w:rsidRPr="007B0737">
        <w:rPr>
          <w:rFonts w:asciiTheme="majorBidi" w:hAnsiTheme="majorBidi" w:cstheme="majorBidi"/>
          <w:sz w:val="24"/>
          <w:szCs w:val="24"/>
        </w:rPr>
        <w:t>, improve the image of the organisation</w:t>
      </w:r>
      <w:r>
        <w:rPr>
          <w:rFonts w:asciiTheme="majorBidi" w:hAnsiTheme="majorBidi" w:cstheme="majorBidi"/>
          <w:sz w:val="24"/>
          <w:szCs w:val="24"/>
        </w:rPr>
        <w:t>,</w:t>
      </w:r>
      <w:r w:rsidRPr="007B0737">
        <w:rPr>
          <w:rFonts w:asciiTheme="majorBidi" w:hAnsiTheme="majorBidi" w:cstheme="majorBidi"/>
          <w:sz w:val="24"/>
          <w:szCs w:val="24"/>
        </w:rPr>
        <w:t xml:space="preserve"> and drive corporate development, managers should regularly communicate with stakeholders, increase transparency, and ensure a </w:t>
      </w:r>
      <w:r w:rsidRPr="00C519CC">
        <w:rPr>
          <w:rFonts w:asciiTheme="majorBidi" w:hAnsiTheme="majorBidi" w:cstheme="majorBidi"/>
          <w:sz w:val="24"/>
          <w:szCs w:val="24"/>
        </w:rPr>
        <w:t>role for stakeholders in the decision-making processes of the organisation (Chen et al, 2024). Future research should examine the performance of AI in organisations and its relationship with cultural and societal factors (Chen et al, 2024).</w:t>
      </w:r>
      <w:r w:rsidRPr="007B0737">
        <w:rPr>
          <w:rFonts w:asciiTheme="majorBidi" w:hAnsiTheme="majorBidi" w:cstheme="majorBidi"/>
          <w:sz w:val="24"/>
          <w:szCs w:val="24"/>
        </w:rPr>
        <w:t xml:space="preserve"> </w:t>
      </w:r>
    </w:p>
    <w:p w14:paraId="27EAFF66" w14:textId="2D14772D" w:rsidR="00C062B6" w:rsidRDefault="00B30B64" w:rsidP="006B468E">
      <w:pPr>
        <w:jc w:val="both"/>
        <w:rPr>
          <w:rFonts w:ascii="Times New Roman" w:hAnsi="Times New Roman" w:cs="Times New Roman"/>
          <w:sz w:val="24"/>
          <w:szCs w:val="24"/>
          <w:u w:val="single"/>
        </w:rPr>
      </w:pPr>
      <w:r w:rsidRPr="00B30B64">
        <w:rPr>
          <w:rFonts w:ascii="Times New Roman" w:hAnsi="Times New Roman" w:cs="Times New Roman"/>
          <w:sz w:val="24"/>
          <w:szCs w:val="24"/>
          <w:u w:val="single"/>
        </w:rPr>
        <w:t>5.0 Future Research Directions</w:t>
      </w:r>
    </w:p>
    <w:p w14:paraId="55F6DC18" w14:textId="6525A998" w:rsidR="009E2851" w:rsidRPr="002138F9" w:rsidRDefault="009E2851" w:rsidP="006B468E">
      <w:pPr>
        <w:jc w:val="both"/>
        <w:rPr>
          <w:rFonts w:ascii="Times New Roman" w:hAnsi="Times New Roman" w:cs="Times New Roman"/>
          <w:color w:val="FF0000"/>
          <w:sz w:val="24"/>
          <w:szCs w:val="24"/>
        </w:rPr>
      </w:pPr>
      <w:r>
        <w:rPr>
          <w:rFonts w:ascii="Times New Roman" w:hAnsi="Times New Roman" w:cs="Times New Roman"/>
          <w:sz w:val="24"/>
          <w:szCs w:val="24"/>
        </w:rPr>
        <w:t xml:space="preserve">A review of the literature suggests that there are various research gaps within the areas of ethical AI, corporate responsibility, and CE. </w:t>
      </w:r>
      <w:r w:rsidR="00BC0FFC" w:rsidRPr="00A23AB6">
        <w:rPr>
          <w:rFonts w:ascii="Times New Roman" w:hAnsi="Times New Roman" w:cs="Times New Roman"/>
          <w:sz w:val="24"/>
          <w:szCs w:val="24"/>
        </w:rPr>
        <w:t xml:space="preserve">These areas of research are crucial to exploring the avenues that balance the organisations aims of implementing </w:t>
      </w:r>
      <w:r w:rsidR="00BC0FFC">
        <w:rPr>
          <w:rFonts w:ascii="Times New Roman" w:hAnsi="Times New Roman" w:cs="Times New Roman"/>
          <w:sz w:val="24"/>
          <w:szCs w:val="24"/>
        </w:rPr>
        <w:t>ethical</w:t>
      </w:r>
      <w:r w:rsidR="00BC0FFC" w:rsidRPr="00A23AB6">
        <w:rPr>
          <w:rFonts w:ascii="Times New Roman" w:hAnsi="Times New Roman" w:cs="Times New Roman"/>
          <w:sz w:val="24"/>
          <w:szCs w:val="24"/>
        </w:rPr>
        <w:t xml:space="preserve"> AI, achieving their profitability objectives, and meeting their sustainab</w:t>
      </w:r>
      <w:r w:rsidR="00BC0FFC">
        <w:rPr>
          <w:rFonts w:ascii="Times New Roman" w:hAnsi="Times New Roman" w:cs="Times New Roman"/>
          <w:sz w:val="24"/>
          <w:szCs w:val="24"/>
        </w:rPr>
        <w:t>ility</w:t>
      </w:r>
      <w:r w:rsidR="00BC0FFC" w:rsidRPr="00A23AB6">
        <w:rPr>
          <w:rFonts w:ascii="Times New Roman" w:hAnsi="Times New Roman" w:cs="Times New Roman"/>
          <w:sz w:val="24"/>
          <w:szCs w:val="24"/>
        </w:rPr>
        <w:t xml:space="preserve"> goals (Chhillar and Aguilera, 2022).</w:t>
      </w:r>
      <w:r w:rsidR="00BC0FFC">
        <w:rPr>
          <w:rFonts w:ascii="Times New Roman" w:hAnsi="Times New Roman" w:cs="Times New Roman"/>
          <w:sz w:val="24"/>
          <w:szCs w:val="24"/>
        </w:rPr>
        <w:t xml:space="preserve"> </w:t>
      </w:r>
      <w:r>
        <w:rPr>
          <w:rFonts w:ascii="Times New Roman" w:hAnsi="Times New Roman" w:cs="Times New Roman"/>
          <w:sz w:val="24"/>
          <w:szCs w:val="24"/>
        </w:rPr>
        <w:t>Table 3 offers potential research questions</w:t>
      </w:r>
      <w:r w:rsidR="00862755">
        <w:rPr>
          <w:rFonts w:ascii="Times New Roman" w:hAnsi="Times New Roman" w:cs="Times New Roman"/>
          <w:sz w:val="24"/>
          <w:szCs w:val="24"/>
        </w:rPr>
        <w:t xml:space="preserve"> with the aim of guiding</w:t>
      </w:r>
      <w:r w:rsidR="00566143">
        <w:rPr>
          <w:rFonts w:ascii="Times New Roman" w:hAnsi="Times New Roman" w:cs="Times New Roman"/>
          <w:sz w:val="24"/>
          <w:szCs w:val="24"/>
        </w:rPr>
        <w:t xml:space="preserve"> future studies</w:t>
      </w:r>
      <w:r>
        <w:rPr>
          <w:rFonts w:ascii="Times New Roman" w:hAnsi="Times New Roman" w:cs="Times New Roman"/>
          <w:sz w:val="24"/>
          <w:szCs w:val="24"/>
        </w:rPr>
        <w:t xml:space="preserve"> to</w:t>
      </w:r>
      <w:r w:rsidR="001F7805">
        <w:rPr>
          <w:rFonts w:ascii="Times New Roman" w:hAnsi="Times New Roman" w:cs="Times New Roman"/>
          <w:sz w:val="24"/>
          <w:szCs w:val="24"/>
        </w:rPr>
        <w:t xml:space="preserve"> develop upon and</w:t>
      </w:r>
      <w:r>
        <w:rPr>
          <w:rFonts w:ascii="Times New Roman" w:hAnsi="Times New Roman" w:cs="Times New Roman"/>
          <w:sz w:val="24"/>
          <w:szCs w:val="24"/>
        </w:rPr>
        <w:t xml:space="preserve"> address the limitations and gaps in the current literature. </w:t>
      </w:r>
    </w:p>
    <w:p w14:paraId="31EF0919" w14:textId="46E3928A" w:rsidR="009E2851" w:rsidRPr="002138F9" w:rsidRDefault="002138F9" w:rsidP="006B468E">
      <w:pPr>
        <w:jc w:val="both"/>
        <w:rPr>
          <w:rFonts w:ascii="Times New Roman" w:hAnsi="Times New Roman" w:cs="Times New Roman"/>
          <w:sz w:val="20"/>
          <w:szCs w:val="20"/>
        </w:rPr>
      </w:pPr>
      <w:r w:rsidRPr="002138F9">
        <w:rPr>
          <w:rFonts w:ascii="Times New Roman" w:hAnsi="Times New Roman" w:cs="Times New Roman"/>
          <w:sz w:val="20"/>
          <w:szCs w:val="20"/>
        </w:rPr>
        <w:t>Table 3 – Potential Research Questions</w:t>
      </w:r>
    </w:p>
    <w:tbl>
      <w:tblPr>
        <w:tblStyle w:val="PlainTable3"/>
        <w:tblpPr w:leftFromText="180" w:rightFromText="180" w:vertAnchor="text" w:horzAnchor="margin" w:tblpY="87"/>
        <w:tblW w:w="0" w:type="auto"/>
        <w:tblLook w:val="04A0" w:firstRow="1" w:lastRow="0" w:firstColumn="1" w:lastColumn="0" w:noHBand="0" w:noVBand="1"/>
      </w:tblPr>
      <w:tblGrid>
        <w:gridCol w:w="2552"/>
        <w:gridCol w:w="6464"/>
      </w:tblGrid>
      <w:tr w:rsidR="00500609" w:rsidRPr="00285CAB" w14:paraId="18459FD1" w14:textId="77777777" w:rsidTr="002138F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552" w:type="dxa"/>
          </w:tcPr>
          <w:p w14:paraId="2E634D04" w14:textId="77777777" w:rsidR="00500609" w:rsidRPr="00285CAB" w:rsidRDefault="00500609" w:rsidP="002138F9">
            <w:pPr>
              <w:jc w:val="both"/>
              <w:rPr>
                <w:rFonts w:ascii="Times New Roman" w:hAnsi="Times New Roman" w:cs="Times New Roman"/>
                <w:sz w:val="24"/>
                <w:szCs w:val="24"/>
              </w:rPr>
            </w:pPr>
            <w:r>
              <w:rPr>
                <w:rFonts w:ascii="Times New Roman" w:hAnsi="Times New Roman" w:cs="Times New Roman"/>
                <w:sz w:val="24"/>
                <w:szCs w:val="24"/>
              </w:rPr>
              <w:t>Research Area</w:t>
            </w:r>
          </w:p>
        </w:tc>
        <w:tc>
          <w:tcPr>
            <w:tcW w:w="6464" w:type="dxa"/>
          </w:tcPr>
          <w:p w14:paraId="328E4DA6" w14:textId="77777777" w:rsidR="00500609" w:rsidRPr="00285CAB" w:rsidRDefault="00500609" w:rsidP="002138F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Potential Research Questions</w:t>
            </w:r>
          </w:p>
        </w:tc>
      </w:tr>
      <w:tr w:rsidR="00500609" w:rsidRPr="00285CAB" w14:paraId="36888C66" w14:textId="77777777" w:rsidTr="002138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4210C57B" w14:textId="77777777" w:rsidR="00500609" w:rsidRPr="00285CAB" w:rsidRDefault="00500609" w:rsidP="002138F9">
            <w:pPr>
              <w:jc w:val="both"/>
              <w:rPr>
                <w:rFonts w:ascii="Times New Roman" w:hAnsi="Times New Roman" w:cs="Times New Roman"/>
                <w:sz w:val="24"/>
                <w:szCs w:val="24"/>
              </w:rPr>
            </w:pPr>
            <w:r w:rsidRPr="00285CAB">
              <w:rPr>
                <w:rFonts w:ascii="Times New Roman" w:hAnsi="Times New Roman" w:cs="Times New Roman"/>
                <w:sz w:val="24"/>
                <w:szCs w:val="24"/>
              </w:rPr>
              <w:t>AI Bias</w:t>
            </w:r>
          </w:p>
        </w:tc>
        <w:tc>
          <w:tcPr>
            <w:tcW w:w="6464" w:type="dxa"/>
          </w:tcPr>
          <w:p w14:paraId="1874CE23" w14:textId="77777777" w:rsidR="00500609" w:rsidRPr="00AF5C7D" w:rsidRDefault="00500609" w:rsidP="002138F9">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5CAB">
              <w:rPr>
                <w:rFonts w:ascii="Times New Roman" w:hAnsi="Times New Roman" w:cs="Times New Roman"/>
                <w:sz w:val="24"/>
                <w:szCs w:val="24"/>
              </w:rPr>
              <w:t xml:space="preserve">What mechanisms can be implemented to reduce the risk of AI bias? (Chhillar and Aguilera, 2022; Richardson, </w:t>
            </w:r>
            <w:r w:rsidRPr="00AF5C7D">
              <w:rPr>
                <w:rFonts w:ascii="Times New Roman" w:hAnsi="Times New Roman" w:cs="Times New Roman"/>
                <w:sz w:val="24"/>
                <w:szCs w:val="24"/>
              </w:rPr>
              <w:t>2022).</w:t>
            </w:r>
          </w:p>
          <w:p w14:paraId="3D5665B4" w14:textId="77777777" w:rsidR="00500609" w:rsidRPr="00CA7D5F" w:rsidRDefault="00500609" w:rsidP="002138F9">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F5C7D">
              <w:rPr>
                <w:rFonts w:ascii="Times New Roman" w:hAnsi="Times New Roman" w:cs="Times New Roman"/>
                <w:sz w:val="24"/>
                <w:szCs w:val="24"/>
              </w:rPr>
              <w:t>How does the implementation of AI influence the decision-making processes of organisations, as observed through a case study approach?</w:t>
            </w:r>
          </w:p>
        </w:tc>
      </w:tr>
      <w:tr w:rsidR="00500609" w:rsidRPr="00285CAB" w14:paraId="497E306D" w14:textId="77777777" w:rsidTr="002138F9">
        <w:tc>
          <w:tcPr>
            <w:cnfStyle w:val="001000000000" w:firstRow="0" w:lastRow="0" w:firstColumn="1" w:lastColumn="0" w:oddVBand="0" w:evenVBand="0" w:oddHBand="0" w:evenHBand="0" w:firstRowFirstColumn="0" w:firstRowLastColumn="0" w:lastRowFirstColumn="0" w:lastRowLastColumn="0"/>
            <w:tcW w:w="2552" w:type="dxa"/>
          </w:tcPr>
          <w:p w14:paraId="2F7EEF03" w14:textId="38021670" w:rsidR="00500609" w:rsidRPr="00285CAB" w:rsidRDefault="001B447B" w:rsidP="002138F9">
            <w:pPr>
              <w:jc w:val="both"/>
              <w:rPr>
                <w:rFonts w:ascii="Times New Roman" w:hAnsi="Times New Roman" w:cs="Times New Roman"/>
                <w:sz w:val="24"/>
                <w:szCs w:val="24"/>
              </w:rPr>
            </w:pPr>
            <w:r>
              <w:rPr>
                <w:rFonts w:ascii="Times New Roman" w:hAnsi="Times New Roman" w:cs="Times New Roman"/>
                <w:sz w:val="24"/>
                <w:szCs w:val="24"/>
              </w:rPr>
              <w:t xml:space="preserve">AI and </w:t>
            </w:r>
            <w:r w:rsidR="00500609" w:rsidRPr="00285CAB">
              <w:rPr>
                <w:rFonts w:ascii="Times New Roman" w:hAnsi="Times New Roman" w:cs="Times New Roman"/>
                <w:sz w:val="24"/>
                <w:szCs w:val="24"/>
              </w:rPr>
              <w:t>Privacy</w:t>
            </w:r>
            <w:r>
              <w:rPr>
                <w:rFonts w:ascii="Times New Roman" w:hAnsi="Times New Roman" w:cs="Times New Roman"/>
                <w:sz w:val="24"/>
                <w:szCs w:val="24"/>
              </w:rPr>
              <w:t xml:space="preserve"> </w:t>
            </w:r>
          </w:p>
        </w:tc>
        <w:tc>
          <w:tcPr>
            <w:tcW w:w="6464" w:type="dxa"/>
          </w:tcPr>
          <w:p w14:paraId="33A40448" w14:textId="77777777" w:rsidR="00500609" w:rsidRPr="00285CAB" w:rsidRDefault="00500609" w:rsidP="002138F9">
            <w:pPr>
              <w:pStyle w:val="ListParagraph"/>
              <w:numPr>
                <w:ilvl w:val="0"/>
                <w:numId w:val="3"/>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How can organisations alter their hiring process and target the most suitable candidates whilst removing intrusive and unethical elements?</w:t>
            </w:r>
          </w:p>
          <w:p w14:paraId="36450EDB" w14:textId="77777777" w:rsidR="00500609" w:rsidRDefault="00500609" w:rsidP="002138F9">
            <w:pPr>
              <w:pStyle w:val="ListParagraph"/>
              <w:numPr>
                <w:ilvl w:val="0"/>
                <w:numId w:val="3"/>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What impact does transparency have on stakeholder privacy concerns?</w:t>
            </w:r>
          </w:p>
          <w:p w14:paraId="1257B317" w14:textId="77777777" w:rsidR="00500609" w:rsidRPr="00AE6C7A" w:rsidRDefault="00500609" w:rsidP="002138F9">
            <w:pPr>
              <w:pStyle w:val="ListParagraph"/>
              <w:numPr>
                <w:ilvl w:val="0"/>
                <w:numId w:val="3"/>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What actions can managers take to alleviate privacy concerns?</w:t>
            </w:r>
          </w:p>
        </w:tc>
      </w:tr>
      <w:tr w:rsidR="00500609" w:rsidRPr="00285CAB" w14:paraId="66888D7E" w14:textId="77777777" w:rsidTr="002138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0914B2D9" w14:textId="529EF9E1" w:rsidR="00500609" w:rsidRPr="00D970D8" w:rsidRDefault="00500609" w:rsidP="00D970D8">
            <w:pPr>
              <w:jc w:val="both"/>
              <w:rPr>
                <w:rFonts w:ascii="Times New Roman" w:hAnsi="Times New Roman" w:cs="Times New Roman"/>
                <w:sz w:val="24"/>
                <w:szCs w:val="24"/>
              </w:rPr>
            </w:pPr>
            <w:r w:rsidRPr="00D970D8">
              <w:rPr>
                <w:rFonts w:ascii="Times New Roman" w:hAnsi="Times New Roman" w:cs="Times New Roman"/>
                <w:sz w:val="24"/>
                <w:szCs w:val="24"/>
              </w:rPr>
              <w:t>Lack of</w:t>
            </w:r>
            <w:r w:rsidR="00D970D8">
              <w:rPr>
                <w:rFonts w:ascii="Times New Roman" w:hAnsi="Times New Roman" w:cs="Times New Roman"/>
                <w:sz w:val="24"/>
                <w:szCs w:val="24"/>
              </w:rPr>
              <w:t xml:space="preserve"> AI</w:t>
            </w:r>
            <w:r w:rsidRPr="00D970D8">
              <w:rPr>
                <w:rFonts w:ascii="Times New Roman" w:hAnsi="Times New Roman" w:cs="Times New Roman"/>
                <w:sz w:val="24"/>
                <w:szCs w:val="24"/>
              </w:rPr>
              <w:t xml:space="preserve"> Regulation</w:t>
            </w:r>
          </w:p>
        </w:tc>
        <w:tc>
          <w:tcPr>
            <w:tcW w:w="6464" w:type="dxa"/>
          </w:tcPr>
          <w:p w14:paraId="7A1DDBDC" w14:textId="77777777" w:rsidR="00500609" w:rsidRPr="00134DD0" w:rsidRDefault="00500609" w:rsidP="002138F9">
            <w:pPr>
              <w:pStyle w:val="ListParagraph"/>
              <w:numPr>
                <w:ilvl w:val="0"/>
                <w:numId w:val="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What regulations would be most effective in preventing organisations from committing unethical actions?</w:t>
            </w:r>
          </w:p>
        </w:tc>
      </w:tr>
      <w:tr w:rsidR="00500609" w:rsidRPr="00285CAB" w14:paraId="0EB0C4AE" w14:textId="77777777" w:rsidTr="002138F9">
        <w:tc>
          <w:tcPr>
            <w:cnfStyle w:val="001000000000" w:firstRow="0" w:lastRow="0" w:firstColumn="1" w:lastColumn="0" w:oddVBand="0" w:evenVBand="0" w:oddHBand="0" w:evenHBand="0" w:firstRowFirstColumn="0" w:firstRowLastColumn="0" w:lastRowFirstColumn="0" w:lastRowLastColumn="0"/>
            <w:tcW w:w="2552" w:type="dxa"/>
          </w:tcPr>
          <w:p w14:paraId="1FA8FD4E" w14:textId="2BDADDC8" w:rsidR="00500609" w:rsidRPr="00285CAB" w:rsidRDefault="00500609" w:rsidP="002138F9">
            <w:pPr>
              <w:jc w:val="both"/>
              <w:rPr>
                <w:rFonts w:ascii="Times New Roman" w:hAnsi="Times New Roman" w:cs="Times New Roman"/>
                <w:sz w:val="24"/>
                <w:szCs w:val="24"/>
              </w:rPr>
            </w:pPr>
            <w:r w:rsidRPr="00285CAB">
              <w:rPr>
                <w:rFonts w:ascii="Times New Roman" w:hAnsi="Times New Roman" w:cs="Times New Roman"/>
                <w:sz w:val="24"/>
                <w:szCs w:val="24"/>
              </w:rPr>
              <w:t>Accountability</w:t>
            </w:r>
            <w:r w:rsidR="00D970D8">
              <w:rPr>
                <w:rFonts w:ascii="Times New Roman" w:hAnsi="Times New Roman" w:cs="Times New Roman"/>
                <w:sz w:val="24"/>
                <w:szCs w:val="24"/>
              </w:rPr>
              <w:t xml:space="preserve"> and AI</w:t>
            </w:r>
          </w:p>
        </w:tc>
        <w:tc>
          <w:tcPr>
            <w:tcW w:w="6464" w:type="dxa"/>
          </w:tcPr>
          <w:p w14:paraId="310A6DB5" w14:textId="77777777" w:rsidR="00500609" w:rsidRPr="00502123" w:rsidRDefault="00500609" w:rsidP="002138F9">
            <w:pPr>
              <w:pStyle w:val="ListParagraph"/>
              <w:numPr>
                <w:ilvl w:val="0"/>
                <w:numId w:val="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What are the stakeholder preferences on who should be held accountable when AI fails?</w:t>
            </w:r>
          </w:p>
          <w:p w14:paraId="781F8075" w14:textId="77777777" w:rsidR="00500609" w:rsidRDefault="00500609" w:rsidP="002138F9">
            <w:pPr>
              <w:pStyle w:val="ListParagraph"/>
              <w:numPr>
                <w:ilvl w:val="0"/>
                <w:numId w:val="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02615">
              <w:rPr>
                <w:rFonts w:ascii="Times New Roman" w:hAnsi="Times New Roman" w:cs="Times New Roman"/>
                <w:sz w:val="24"/>
                <w:szCs w:val="24"/>
              </w:rPr>
              <w:lastRenderedPageBreak/>
              <w:t>How do stakeholder preferences regarding responsibility compare to actual accountability in real-world case studies?</w:t>
            </w:r>
          </w:p>
          <w:p w14:paraId="6B90022F" w14:textId="77777777" w:rsidR="00500609" w:rsidRPr="00285CAB" w:rsidRDefault="00500609" w:rsidP="002138F9">
            <w:pPr>
              <w:pStyle w:val="ListParagraph"/>
              <w:numPr>
                <w:ilvl w:val="0"/>
                <w:numId w:val="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A11A9">
              <w:rPr>
                <w:rFonts w:ascii="Times New Roman" w:hAnsi="Times New Roman" w:cs="Times New Roman"/>
                <w:sz w:val="24"/>
                <w:szCs w:val="24"/>
              </w:rPr>
              <w:t>From an organisational perspective, when should algorithms and data underlying decisions be made public, how can governance mechanisms prevent antitrust issues, how can organisations reduce the risk of being victims to cybersecurity breaches and into the strategic issues cybersecurity can cause? (Hanisch et al, 2023).</w:t>
            </w:r>
          </w:p>
        </w:tc>
      </w:tr>
      <w:tr w:rsidR="00500609" w:rsidRPr="00285CAB" w14:paraId="00AA83EB" w14:textId="77777777" w:rsidTr="002138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2E760793" w14:textId="638DB6D6" w:rsidR="00500609" w:rsidRPr="00285CAB" w:rsidRDefault="00500609" w:rsidP="002138F9">
            <w:pPr>
              <w:jc w:val="both"/>
              <w:rPr>
                <w:rFonts w:ascii="Times New Roman" w:hAnsi="Times New Roman" w:cs="Times New Roman"/>
                <w:sz w:val="24"/>
                <w:szCs w:val="24"/>
              </w:rPr>
            </w:pPr>
            <w:r w:rsidRPr="00285CAB">
              <w:rPr>
                <w:rFonts w:ascii="Times New Roman" w:hAnsi="Times New Roman" w:cs="Times New Roman"/>
                <w:sz w:val="24"/>
                <w:szCs w:val="24"/>
              </w:rPr>
              <w:lastRenderedPageBreak/>
              <w:t>Job losses</w:t>
            </w:r>
            <w:r w:rsidR="00D970D8">
              <w:rPr>
                <w:rFonts w:ascii="Times New Roman" w:hAnsi="Times New Roman" w:cs="Times New Roman"/>
                <w:sz w:val="24"/>
                <w:szCs w:val="24"/>
              </w:rPr>
              <w:t xml:space="preserve"> and AI</w:t>
            </w:r>
          </w:p>
        </w:tc>
        <w:tc>
          <w:tcPr>
            <w:tcW w:w="6464" w:type="dxa"/>
          </w:tcPr>
          <w:p w14:paraId="010D6D5F" w14:textId="77777777" w:rsidR="00500609" w:rsidRPr="00A23AB6" w:rsidRDefault="00500609" w:rsidP="002138F9">
            <w:pPr>
              <w:pStyle w:val="ListParagraph"/>
              <w:numPr>
                <w:ilvl w:val="0"/>
                <w:numId w:val="6"/>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85CAB">
              <w:rPr>
                <w:rFonts w:ascii="Times New Roman" w:hAnsi="Times New Roman" w:cs="Times New Roman"/>
                <w:sz w:val="24"/>
                <w:szCs w:val="24"/>
              </w:rPr>
              <w:t xml:space="preserve">How can organisations provide its workforce with reskilling </w:t>
            </w:r>
            <w:r w:rsidRPr="00A23AB6">
              <w:rPr>
                <w:rFonts w:ascii="Times New Roman" w:hAnsi="Times New Roman" w:cs="Times New Roman"/>
                <w:sz w:val="24"/>
                <w:szCs w:val="24"/>
              </w:rPr>
              <w:t>and job transition opportunities as AI becomes more embedded within the organisation? (Chen et al, 2024; Du and Xie, 2021; Kelley, 2023; Schmitt, 2023; Wang et al, 2023a)</w:t>
            </w:r>
          </w:p>
          <w:p w14:paraId="7B297641" w14:textId="77777777" w:rsidR="00500609" w:rsidRPr="00285CAB" w:rsidRDefault="00500609" w:rsidP="002138F9">
            <w:pPr>
              <w:pStyle w:val="ListParagraph"/>
              <w:numPr>
                <w:ilvl w:val="0"/>
                <w:numId w:val="6"/>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3AB6">
              <w:rPr>
                <w:rFonts w:ascii="Times New Roman" w:hAnsi="Times New Roman" w:cs="Times New Roman"/>
                <w:sz w:val="24"/>
                <w:szCs w:val="24"/>
              </w:rPr>
              <w:t xml:space="preserve">What influence will </w:t>
            </w:r>
            <w:r w:rsidRPr="00285CAB">
              <w:rPr>
                <w:rFonts w:ascii="Times New Roman" w:hAnsi="Times New Roman" w:cs="Times New Roman"/>
                <w:sz w:val="24"/>
                <w:szCs w:val="24"/>
              </w:rPr>
              <w:t>trade unions have on protecting workers as the influence of AI increases?</w:t>
            </w:r>
          </w:p>
        </w:tc>
      </w:tr>
      <w:tr w:rsidR="00500609" w:rsidRPr="00285CAB" w14:paraId="7AB92A0B" w14:textId="77777777" w:rsidTr="002138F9">
        <w:tc>
          <w:tcPr>
            <w:cnfStyle w:val="001000000000" w:firstRow="0" w:lastRow="0" w:firstColumn="1" w:lastColumn="0" w:oddVBand="0" w:evenVBand="0" w:oddHBand="0" w:evenHBand="0" w:firstRowFirstColumn="0" w:firstRowLastColumn="0" w:lastRowFirstColumn="0" w:lastRowLastColumn="0"/>
            <w:tcW w:w="2552" w:type="dxa"/>
          </w:tcPr>
          <w:p w14:paraId="28938765" w14:textId="77777777" w:rsidR="00500609" w:rsidRPr="00285CAB" w:rsidRDefault="00500609" w:rsidP="002138F9">
            <w:pPr>
              <w:jc w:val="both"/>
              <w:rPr>
                <w:rFonts w:ascii="Times New Roman" w:hAnsi="Times New Roman" w:cs="Times New Roman"/>
                <w:sz w:val="24"/>
                <w:szCs w:val="24"/>
              </w:rPr>
            </w:pPr>
            <w:r w:rsidRPr="00285CAB">
              <w:rPr>
                <w:rFonts w:ascii="Times New Roman" w:hAnsi="Times New Roman" w:cs="Times New Roman"/>
                <w:sz w:val="24"/>
                <w:szCs w:val="24"/>
              </w:rPr>
              <w:t>CSR and ce</w:t>
            </w:r>
          </w:p>
        </w:tc>
        <w:tc>
          <w:tcPr>
            <w:tcW w:w="6464" w:type="dxa"/>
          </w:tcPr>
          <w:p w14:paraId="3EBDE9EF" w14:textId="77777777" w:rsidR="00500609" w:rsidRPr="00285CAB" w:rsidRDefault="00500609" w:rsidP="002138F9">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85CAB">
              <w:rPr>
                <w:rFonts w:ascii="Times New Roman" w:hAnsi="Times New Roman" w:cs="Times New Roman"/>
                <w:sz w:val="24"/>
                <w:szCs w:val="24"/>
              </w:rPr>
              <w:t>What incentives could governments provide to encourage organisations to adopt more sustainable practices</w:t>
            </w:r>
            <w:r>
              <w:rPr>
                <w:rFonts w:ascii="Times New Roman" w:hAnsi="Times New Roman" w:cs="Times New Roman"/>
                <w:sz w:val="24"/>
                <w:szCs w:val="24"/>
              </w:rPr>
              <w:t>?</w:t>
            </w:r>
          </w:p>
          <w:p w14:paraId="16C45CAB" w14:textId="77777777" w:rsidR="00500609" w:rsidRPr="00A35CC1" w:rsidRDefault="00500609" w:rsidP="002138F9">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5CC1">
              <w:rPr>
                <w:rFonts w:ascii="Times New Roman" w:hAnsi="Times New Roman" w:cs="Times New Roman"/>
                <w:sz w:val="24"/>
                <w:szCs w:val="24"/>
              </w:rPr>
              <w:t>What incentives are there for B2Bs to implement CE strategies?</w:t>
            </w:r>
          </w:p>
          <w:p w14:paraId="0623B808" w14:textId="77777777" w:rsidR="00500609" w:rsidRPr="00A35CC1" w:rsidRDefault="00500609" w:rsidP="002138F9">
            <w:pPr>
              <w:pStyle w:val="ListParagraph"/>
              <w:numPr>
                <w:ilvl w:val="0"/>
                <w:numId w:val="7"/>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5CC1">
              <w:rPr>
                <w:rFonts w:ascii="Times New Roman" w:hAnsi="Times New Roman" w:cs="Times New Roman"/>
                <w:sz w:val="24"/>
                <w:szCs w:val="24"/>
              </w:rPr>
              <w:t xml:space="preserve">How do CSR initiatives impact consumer attitudes towards organisations implementing CE strategies? </w:t>
            </w:r>
          </w:p>
          <w:p w14:paraId="64778B5D" w14:textId="77777777" w:rsidR="0079036C" w:rsidRDefault="00500609" w:rsidP="0079036C">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9036C">
              <w:rPr>
                <w:rFonts w:ascii="Times New Roman" w:hAnsi="Times New Roman" w:cs="Times New Roman"/>
                <w:sz w:val="24"/>
                <w:szCs w:val="24"/>
              </w:rPr>
              <w:t>How can CE assessment techniques be standardised to effectively include both short-term and long-term stakeholders throughout the product life cycle?</w:t>
            </w:r>
            <w:r w:rsidR="0079036C" w:rsidRPr="0079036C">
              <w:rPr>
                <w:rFonts w:ascii="Times New Roman" w:hAnsi="Times New Roman" w:cs="Times New Roman"/>
                <w:sz w:val="24"/>
                <w:szCs w:val="24"/>
              </w:rPr>
              <w:t xml:space="preserve"> </w:t>
            </w:r>
          </w:p>
          <w:p w14:paraId="2357CF51" w14:textId="314C570D" w:rsidR="00500609" w:rsidRPr="0079036C" w:rsidRDefault="0079036C" w:rsidP="0079036C">
            <w:pPr>
              <w:pStyle w:val="ListParagraph"/>
              <w:numPr>
                <w:ilvl w:val="0"/>
                <w:numId w:val="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9036C">
              <w:rPr>
                <w:rFonts w:ascii="Times New Roman" w:hAnsi="Times New Roman" w:cs="Times New Roman"/>
                <w:sz w:val="24"/>
                <w:szCs w:val="24"/>
              </w:rPr>
              <w:t>Within the context of CSR and Stakeholder Theory, what potential agency can non-human entities such as AI possess? (</w:t>
            </w:r>
            <w:r w:rsidR="007A2627" w:rsidRPr="007B0737">
              <w:rPr>
                <w:rFonts w:asciiTheme="majorBidi" w:eastAsia="Times New Roman" w:hAnsiTheme="majorBidi" w:cstheme="majorBidi"/>
                <w:sz w:val="24"/>
                <w:szCs w:val="24"/>
              </w:rPr>
              <w:t>Böhm</w:t>
            </w:r>
            <w:r w:rsidR="007A2627" w:rsidRPr="0079036C">
              <w:rPr>
                <w:rFonts w:ascii="Times New Roman" w:hAnsi="Times New Roman" w:cs="Times New Roman"/>
                <w:sz w:val="24"/>
                <w:szCs w:val="24"/>
              </w:rPr>
              <w:t xml:space="preserve"> </w:t>
            </w:r>
            <w:r w:rsidRPr="0079036C">
              <w:rPr>
                <w:rFonts w:ascii="Times New Roman" w:hAnsi="Times New Roman" w:cs="Times New Roman"/>
                <w:sz w:val="24"/>
                <w:szCs w:val="24"/>
              </w:rPr>
              <w:t>et al, 2022)</w:t>
            </w:r>
          </w:p>
        </w:tc>
      </w:tr>
      <w:tr w:rsidR="00500609" w:rsidRPr="00285CAB" w14:paraId="2690A8A1" w14:textId="77777777" w:rsidTr="002138F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tcPr>
          <w:p w14:paraId="2C8EDD1C" w14:textId="77777777" w:rsidR="00500609" w:rsidRPr="00285CAB" w:rsidRDefault="00500609" w:rsidP="002138F9">
            <w:pPr>
              <w:jc w:val="both"/>
              <w:rPr>
                <w:rFonts w:ascii="Times New Roman" w:hAnsi="Times New Roman" w:cs="Times New Roman"/>
                <w:sz w:val="24"/>
                <w:szCs w:val="24"/>
              </w:rPr>
            </w:pPr>
            <w:r w:rsidRPr="00285CAB">
              <w:rPr>
                <w:rFonts w:ascii="Times New Roman" w:hAnsi="Times New Roman" w:cs="Times New Roman"/>
                <w:sz w:val="24"/>
                <w:szCs w:val="24"/>
              </w:rPr>
              <w:t>AI and CE</w:t>
            </w:r>
          </w:p>
        </w:tc>
        <w:tc>
          <w:tcPr>
            <w:tcW w:w="6464" w:type="dxa"/>
          </w:tcPr>
          <w:p w14:paraId="7FC55169" w14:textId="77777777" w:rsidR="00500609" w:rsidRPr="00285CAB" w:rsidRDefault="00500609" w:rsidP="002138F9">
            <w:pPr>
              <w:pStyle w:val="ListParagraph"/>
              <w:numPr>
                <w:ilvl w:val="0"/>
                <w:numId w:val="8"/>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From an organisational perspective, what impact does the implementation of AI have on CE? (Sonar, 2023).</w:t>
            </w:r>
          </w:p>
          <w:p w14:paraId="4FD12BF8" w14:textId="77777777" w:rsidR="00500609" w:rsidRPr="00285CAB" w:rsidRDefault="00500609" w:rsidP="002138F9">
            <w:pPr>
              <w:pStyle w:val="ListParagraph"/>
              <w:numPr>
                <w:ilvl w:val="0"/>
                <w:numId w:val="8"/>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From an organisational perspective, what is the impact of human-AI collaboration on the development of sustainable innovation?</w:t>
            </w:r>
          </w:p>
        </w:tc>
      </w:tr>
      <w:tr w:rsidR="00500609" w:rsidRPr="00285CAB" w14:paraId="03176CDE" w14:textId="77777777" w:rsidTr="002138F9">
        <w:tc>
          <w:tcPr>
            <w:cnfStyle w:val="001000000000" w:firstRow="0" w:lastRow="0" w:firstColumn="1" w:lastColumn="0" w:oddVBand="0" w:evenVBand="0" w:oddHBand="0" w:evenHBand="0" w:firstRowFirstColumn="0" w:firstRowLastColumn="0" w:lastRowFirstColumn="0" w:lastRowLastColumn="0"/>
            <w:tcW w:w="2552" w:type="dxa"/>
          </w:tcPr>
          <w:p w14:paraId="16A1F2AC" w14:textId="77777777" w:rsidR="00500609" w:rsidRPr="00285CAB" w:rsidRDefault="00500609" w:rsidP="002138F9">
            <w:pPr>
              <w:rPr>
                <w:rFonts w:ascii="Times New Roman" w:hAnsi="Times New Roman" w:cs="Times New Roman"/>
                <w:sz w:val="24"/>
                <w:szCs w:val="24"/>
              </w:rPr>
            </w:pPr>
            <w:r w:rsidRPr="00285CAB">
              <w:rPr>
                <w:rFonts w:ascii="Times New Roman" w:hAnsi="Times New Roman" w:cs="Times New Roman"/>
                <w:sz w:val="24"/>
                <w:szCs w:val="24"/>
              </w:rPr>
              <w:t>AI,</w:t>
            </w:r>
            <w:r>
              <w:rPr>
                <w:rFonts w:ascii="Times New Roman" w:hAnsi="Times New Roman" w:cs="Times New Roman"/>
                <w:sz w:val="24"/>
                <w:szCs w:val="24"/>
              </w:rPr>
              <w:t xml:space="preserve"> </w:t>
            </w:r>
            <w:r w:rsidRPr="00285CAB">
              <w:rPr>
                <w:rFonts w:ascii="Times New Roman" w:hAnsi="Times New Roman" w:cs="Times New Roman"/>
                <w:sz w:val="24"/>
                <w:szCs w:val="24"/>
              </w:rPr>
              <w:t>C</w:t>
            </w:r>
            <w:r>
              <w:rPr>
                <w:rFonts w:ascii="Times New Roman" w:hAnsi="Times New Roman" w:cs="Times New Roman"/>
                <w:sz w:val="24"/>
                <w:szCs w:val="24"/>
              </w:rPr>
              <w:t>orporate responsibility,</w:t>
            </w:r>
            <w:r w:rsidRPr="00285CAB">
              <w:rPr>
                <w:rFonts w:ascii="Times New Roman" w:hAnsi="Times New Roman" w:cs="Times New Roman"/>
                <w:sz w:val="24"/>
                <w:szCs w:val="24"/>
              </w:rPr>
              <w:t xml:space="preserve"> and CE</w:t>
            </w:r>
          </w:p>
        </w:tc>
        <w:tc>
          <w:tcPr>
            <w:tcW w:w="6464" w:type="dxa"/>
          </w:tcPr>
          <w:p w14:paraId="5DE75D37" w14:textId="77777777" w:rsidR="00500609" w:rsidRPr="00224E93" w:rsidRDefault="00500609" w:rsidP="002138F9">
            <w:pPr>
              <w:pStyle w:val="ListParagraph"/>
              <w:numPr>
                <w:ilvl w:val="0"/>
                <w:numId w:val="8"/>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4E93">
              <w:rPr>
                <w:rFonts w:ascii="Times New Roman" w:hAnsi="Times New Roman" w:cs="Times New Roman"/>
                <w:sz w:val="24"/>
                <w:szCs w:val="24"/>
              </w:rPr>
              <w:t>How do stakeholder preferences regarding</w:t>
            </w:r>
            <w:r>
              <w:rPr>
                <w:rFonts w:ascii="Times New Roman" w:hAnsi="Times New Roman" w:cs="Times New Roman"/>
                <w:sz w:val="24"/>
                <w:szCs w:val="24"/>
              </w:rPr>
              <w:t xml:space="preserve"> CE</w:t>
            </w:r>
            <w:r w:rsidRPr="00224E93">
              <w:rPr>
                <w:rFonts w:ascii="Times New Roman" w:hAnsi="Times New Roman" w:cs="Times New Roman"/>
                <w:sz w:val="24"/>
                <w:szCs w:val="24"/>
              </w:rPr>
              <w:t xml:space="preserve"> practices align with the integration of AI and corporate responsibility?</w:t>
            </w:r>
          </w:p>
          <w:p w14:paraId="0FEFF1AE" w14:textId="1241FEF4" w:rsidR="00500609" w:rsidRPr="00102078" w:rsidRDefault="00500609" w:rsidP="002138F9">
            <w:pPr>
              <w:pStyle w:val="ListParagraph"/>
              <w:numPr>
                <w:ilvl w:val="0"/>
                <w:numId w:val="8"/>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How do societal and cultural factors impact the ethical AI implementation </w:t>
            </w:r>
            <w:r w:rsidR="00B42D3C">
              <w:rPr>
                <w:rFonts w:ascii="Times New Roman" w:hAnsi="Times New Roman" w:cs="Times New Roman"/>
                <w:sz w:val="24"/>
                <w:szCs w:val="24"/>
              </w:rPr>
              <w:t xml:space="preserve">and </w:t>
            </w:r>
            <w:r w:rsidR="000D120D">
              <w:rPr>
                <w:rFonts w:ascii="Times New Roman" w:hAnsi="Times New Roman" w:cs="Times New Roman"/>
                <w:sz w:val="24"/>
                <w:szCs w:val="24"/>
              </w:rPr>
              <w:t>CE strategies within organisations</w:t>
            </w:r>
            <w:r>
              <w:rPr>
                <w:rFonts w:ascii="Times New Roman" w:hAnsi="Times New Roman" w:cs="Times New Roman"/>
                <w:sz w:val="24"/>
                <w:szCs w:val="24"/>
              </w:rPr>
              <w:t xml:space="preserve"> </w:t>
            </w:r>
            <w:r w:rsidRPr="00224E93">
              <w:rPr>
                <w:rFonts w:ascii="Times New Roman" w:hAnsi="Times New Roman" w:cs="Times New Roman"/>
                <w:sz w:val="24"/>
                <w:szCs w:val="24"/>
              </w:rPr>
              <w:t>(</w:t>
            </w:r>
            <w:r w:rsidRPr="00801C5C">
              <w:rPr>
                <w:rFonts w:ascii="Times New Roman" w:hAnsi="Times New Roman" w:cs="Times New Roman"/>
                <w:sz w:val="24"/>
                <w:szCs w:val="24"/>
              </w:rPr>
              <w:t>Chen et al, 2024)</w:t>
            </w:r>
          </w:p>
        </w:tc>
      </w:tr>
    </w:tbl>
    <w:p w14:paraId="5D1B27B3" w14:textId="77777777" w:rsidR="00B3345E" w:rsidRDefault="00B3345E" w:rsidP="00B3345E">
      <w:pPr>
        <w:jc w:val="both"/>
        <w:rPr>
          <w:rFonts w:asciiTheme="majorBidi" w:hAnsiTheme="majorBidi" w:cstheme="majorBidi"/>
          <w:sz w:val="24"/>
          <w:szCs w:val="24"/>
          <w:u w:val="single"/>
        </w:rPr>
      </w:pPr>
    </w:p>
    <w:p w14:paraId="612C7DA0" w14:textId="5422CDF5" w:rsidR="00B3345E" w:rsidRPr="007B0737" w:rsidRDefault="00B3345E" w:rsidP="00B3345E">
      <w:pPr>
        <w:jc w:val="both"/>
        <w:rPr>
          <w:rFonts w:asciiTheme="majorBidi" w:hAnsiTheme="majorBidi" w:cstheme="majorBidi"/>
          <w:sz w:val="24"/>
          <w:szCs w:val="24"/>
          <w:u w:val="single"/>
        </w:rPr>
      </w:pPr>
      <w:r>
        <w:rPr>
          <w:rFonts w:asciiTheme="majorBidi" w:hAnsiTheme="majorBidi" w:cstheme="majorBidi"/>
          <w:sz w:val="24"/>
          <w:szCs w:val="24"/>
          <w:u w:val="single"/>
        </w:rPr>
        <w:t>6</w:t>
      </w:r>
      <w:r w:rsidRPr="007B0737">
        <w:rPr>
          <w:rFonts w:asciiTheme="majorBidi" w:hAnsiTheme="majorBidi" w:cstheme="majorBidi"/>
          <w:sz w:val="24"/>
          <w:szCs w:val="24"/>
          <w:u w:val="single"/>
        </w:rPr>
        <w:t>.0 Conclusion</w:t>
      </w:r>
    </w:p>
    <w:p w14:paraId="02DC5339" w14:textId="77777777" w:rsidR="00B3345E" w:rsidRDefault="00B3345E" w:rsidP="00B3345E">
      <w:pPr>
        <w:jc w:val="both"/>
        <w:rPr>
          <w:rFonts w:asciiTheme="majorBidi" w:hAnsiTheme="majorBidi" w:cstheme="majorBidi"/>
          <w:sz w:val="24"/>
          <w:szCs w:val="24"/>
        </w:rPr>
      </w:pPr>
      <w:r w:rsidRPr="007B0737">
        <w:rPr>
          <w:rFonts w:asciiTheme="majorBidi" w:hAnsiTheme="majorBidi" w:cstheme="majorBidi"/>
          <w:sz w:val="24"/>
          <w:szCs w:val="24"/>
        </w:rPr>
        <w:t>Research into the ethical challenges facing AI implementation for managers has risen exponentially over the last few years. Therefore, a systematic literature review was conducted to analyse those key challenges and identify managerial implications and research gaps for further study.</w:t>
      </w:r>
      <w:r>
        <w:rPr>
          <w:rFonts w:asciiTheme="majorBidi" w:hAnsiTheme="majorBidi" w:cstheme="majorBidi"/>
          <w:sz w:val="24"/>
          <w:szCs w:val="24"/>
        </w:rPr>
        <w:t xml:space="preserve"> </w:t>
      </w:r>
    </w:p>
    <w:p w14:paraId="59715AFE" w14:textId="77777777" w:rsidR="00B3345E" w:rsidRPr="007B0737" w:rsidRDefault="00B3345E" w:rsidP="00B3345E">
      <w:pPr>
        <w:jc w:val="both"/>
        <w:rPr>
          <w:rFonts w:asciiTheme="majorBidi" w:hAnsiTheme="majorBidi" w:cstheme="majorBidi"/>
          <w:sz w:val="24"/>
          <w:szCs w:val="24"/>
        </w:rPr>
      </w:pPr>
      <w:r>
        <w:rPr>
          <w:rFonts w:asciiTheme="majorBidi" w:hAnsiTheme="majorBidi" w:cstheme="majorBidi"/>
          <w:sz w:val="24"/>
          <w:szCs w:val="24"/>
        </w:rPr>
        <w:t>The systematic literature review contributes to the academic literature in several ways.</w:t>
      </w:r>
      <w:r w:rsidRPr="007B0737">
        <w:rPr>
          <w:rFonts w:asciiTheme="majorBidi" w:hAnsiTheme="majorBidi" w:cstheme="majorBidi"/>
          <w:sz w:val="24"/>
          <w:szCs w:val="24"/>
        </w:rPr>
        <w:t xml:space="preserve"> </w:t>
      </w:r>
      <w:r w:rsidRPr="00887663">
        <w:rPr>
          <w:rFonts w:asciiTheme="majorBidi" w:hAnsiTheme="majorBidi" w:cstheme="majorBidi"/>
          <w:sz w:val="24"/>
          <w:szCs w:val="24"/>
        </w:rPr>
        <w:t xml:space="preserve">By analysing </w:t>
      </w:r>
      <w:r>
        <w:rPr>
          <w:rFonts w:asciiTheme="majorBidi" w:hAnsiTheme="majorBidi" w:cstheme="majorBidi"/>
          <w:sz w:val="24"/>
          <w:szCs w:val="24"/>
        </w:rPr>
        <w:t>existing literature</w:t>
      </w:r>
      <w:r w:rsidRPr="00887663">
        <w:rPr>
          <w:rFonts w:asciiTheme="majorBidi" w:hAnsiTheme="majorBidi" w:cstheme="majorBidi"/>
          <w:sz w:val="24"/>
          <w:szCs w:val="24"/>
        </w:rPr>
        <w:t xml:space="preserve"> </w:t>
      </w:r>
      <w:r>
        <w:rPr>
          <w:rFonts w:asciiTheme="majorBidi" w:hAnsiTheme="majorBidi" w:cstheme="majorBidi"/>
          <w:sz w:val="24"/>
          <w:szCs w:val="24"/>
        </w:rPr>
        <w:t>in a methodical manner</w:t>
      </w:r>
      <w:r w:rsidRPr="00887663">
        <w:rPr>
          <w:rFonts w:asciiTheme="majorBidi" w:hAnsiTheme="majorBidi" w:cstheme="majorBidi"/>
          <w:sz w:val="24"/>
          <w:szCs w:val="24"/>
        </w:rPr>
        <w:t xml:space="preserve">, the study outlines numerous challenges </w:t>
      </w:r>
      <w:r w:rsidRPr="00887663">
        <w:rPr>
          <w:rFonts w:asciiTheme="majorBidi" w:hAnsiTheme="majorBidi" w:cstheme="majorBidi"/>
          <w:sz w:val="24"/>
          <w:szCs w:val="24"/>
        </w:rPr>
        <w:lastRenderedPageBreak/>
        <w:t xml:space="preserve">facing AI from an ethical perspective </w:t>
      </w:r>
      <w:r w:rsidRPr="007B0737">
        <w:rPr>
          <w:rFonts w:asciiTheme="majorBidi" w:hAnsiTheme="majorBidi" w:cstheme="majorBidi"/>
          <w:sz w:val="24"/>
          <w:szCs w:val="24"/>
        </w:rPr>
        <w:t>such as AI bias, consumer privacy, stakeholder concerns over potential rise in unemployment and lack of regulation and accountability. If left unresolved these issues will have significant consequences on transparency</w:t>
      </w:r>
      <w:r>
        <w:rPr>
          <w:rFonts w:asciiTheme="majorBidi" w:hAnsiTheme="majorBidi" w:cstheme="majorBidi"/>
          <w:sz w:val="24"/>
          <w:szCs w:val="24"/>
        </w:rPr>
        <w:t xml:space="preserve"> and</w:t>
      </w:r>
      <w:r w:rsidRPr="007B0737">
        <w:rPr>
          <w:rFonts w:asciiTheme="majorBidi" w:hAnsiTheme="majorBidi" w:cstheme="majorBidi"/>
          <w:sz w:val="24"/>
          <w:szCs w:val="24"/>
        </w:rPr>
        <w:t xml:space="preserve"> trust</w:t>
      </w:r>
      <w:r>
        <w:rPr>
          <w:rFonts w:asciiTheme="majorBidi" w:hAnsiTheme="majorBidi" w:cstheme="majorBidi"/>
          <w:sz w:val="24"/>
          <w:szCs w:val="24"/>
        </w:rPr>
        <w:t>. While r</w:t>
      </w:r>
      <w:r w:rsidRPr="007B0737">
        <w:rPr>
          <w:rFonts w:asciiTheme="majorBidi" w:hAnsiTheme="majorBidi" w:cstheme="majorBidi"/>
          <w:sz w:val="24"/>
          <w:szCs w:val="24"/>
        </w:rPr>
        <w:t xml:space="preserve">esearch on issues surrounding AI and corporate responsibility on the circular economy, largely focused on the supply chain, resource allocation, innovation, and sustainable development. </w:t>
      </w:r>
    </w:p>
    <w:p w14:paraId="6CBC9F56" w14:textId="77777777" w:rsidR="00B3345E" w:rsidRPr="007B0737" w:rsidRDefault="00B3345E" w:rsidP="00B3345E">
      <w:pPr>
        <w:jc w:val="both"/>
        <w:rPr>
          <w:rFonts w:asciiTheme="majorBidi" w:hAnsiTheme="majorBidi" w:cstheme="majorBidi"/>
          <w:sz w:val="24"/>
          <w:szCs w:val="24"/>
        </w:rPr>
      </w:pPr>
      <w:r>
        <w:rPr>
          <w:rFonts w:asciiTheme="majorBidi" w:hAnsiTheme="majorBidi" w:cstheme="majorBidi"/>
          <w:sz w:val="24"/>
          <w:szCs w:val="24"/>
        </w:rPr>
        <w:t>Furthermore</w:t>
      </w:r>
      <w:r w:rsidRPr="007B0737">
        <w:rPr>
          <w:rFonts w:asciiTheme="majorBidi" w:hAnsiTheme="majorBidi" w:cstheme="majorBidi"/>
          <w:sz w:val="24"/>
          <w:szCs w:val="24"/>
        </w:rPr>
        <w:t>, the study</w:t>
      </w:r>
      <w:r>
        <w:rPr>
          <w:rFonts w:asciiTheme="majorBidi" w:hAnsiTheme="majorBidi" w:cstheme="majorBidi"/>
          <w:sz w:val="24"/>
          <w:szCs w:val="24"/>
        </w:rPr>
        <w:t xml:space="preserve"> also contributes to the literature by</w:t>
      </w:r>
      <w:r w:rsidRPr="007B0737">
        <w:rPr>
          <w:rFonts w:asciiTheme="majorBidi" w:hAnsiTheme="majorBidi" w:cstheme="majorBidi"/>
          <w:sz w:val="24"/>
          <w:szCs w:val="24"/>
        </w:rPr>
        <w:t xml:space="preserve"> provid</w:t>
      </w:r>
      <w:r>
        <w:rPr>
          <w:rFonts w:asciiTheme="majorBidi" w:hAnsiTheme="majorBidi" w:cstheme="majorBidi"/>
          <w:sz w:val="24"/>
          <w:szCs w:val="24"/>
        </w:rPr>
        <w:t>ing</w:t>
      </w:r>
      <w:r w:rsidRPr="007B0737">
        <w:rPr>
          <w:rFonts w:asciiTheme="majorBidi" w:hAnsiTheme="majorBidi" w:cstheme="majorBidi"/>
          <w:sz w:val="24"/>
          <w:szCs w:val="24"/>
        </w:rPr>
        <w:t xml:space="preserve"> managers with recommendations to combat these challenges</w:t>
      </w:r>
      <w:r>
        <w:rPr>
          <w:rFonts w:asciiTheme="majorBidi" w:hAnsiTheme="majorBidi" w:cstheme="majorBidi"/>
          <w:sz w:val="24"/>
          <w:szCs w:val="24"/>
        </w:rPr>
        <w:t xml:space="preserve"> with</w:t>
      </w:r>
      <w:r w:rsidRPr="007B0737">
        <w:rPr>
          <w:rFonts w:asciiTheme="majorBidi" w:hAnsiTheme="majorBidi" w:cstheme="majorBidi"/>
          <w:sz w:val="24"/>
          <w:szCs w:val="24"/>
        </w:rPr>
        <w:t xml:space="preserve"> potential solutions tend</w:t>
      </w:r>
      <w:r>
        <w:rPr>
          <w:rFonts w:asciiTheme="majorBidi" w:hAnsiTheme="majorBidi" w:cstheme="majorBidi"/>
          <w:sz w:val="24"/>
          <w:szCs w:val="24"/>
        </w:rPr>
        <w:t>ing</w:t>
      </w:r>
      <w:r w:rsidRPr="007B0737">
        <w:rPr>
          <w:rFonts w:asciiTheme="majorBidi" w:hAnsiTheme="majorBidi" w:cstheme="majorBidi"/>
          <w:sz w:val="24"/>
          <w:szCs w:val="24"/>
        </w:rPr>
        <w:t xml:space="preserve"> to stem from increasing transparency and accountability, which will lead to increased stakeholder trust and acceptance of AI</w:t>
      </w:r>
      <w:r>
        <w:rPr>
          <w:rFonts w:asciiTheme="majorBidi" w:hAnsiTheme="majorBidi" w:cstheme="majorBidi"/>
          <w:sz w:val="24"/>
          <w:szCs w:val="24"/>
        </w:rPr>
        <w:t>.</w:t>
      </w:r>
    </w:p>
    <w:p w14:paraId="1B3987A7" w14:textId="77777777" w:rsidR="00B3345E" w:rsidRPr="007B0737" w:rsidRDefault="00B3345E" w:rsidP="00B3345E">
      <w:pPr>
        <w:jc w:val="both"/>
        <w:rPr>
          <w:rFonts w:asciiTheme="majorBidi" w:hAnsiTheme="majorBidi" w:cstheme="majorBidi"/>
          <w:sz w:val="24"/>
          <w:szCs w:val="24"/>
        </w:rPr>
      </w:pPr>
      <w:r w:rsidRPr="007B0737">
        <w:rPr>
          <w:rFonts w:asciiTheme="majorBidi" w:hAnsiTheme="majorBidi" w:cstheme="majorBidi"/>
          <w:sz w:val="24"/>
          <w:szCs w:val="24"/>
        </w:rPr>
        <w:t>The study also</w:t>
      </w:r>
      <w:r>
        <w:rPr>
          <w:rFonts w:asciiTheme="majorBidi" w:hAnsiTheme="majorBidi" w:cstheme="majorBidi"/>
          <w:sz w:val="24"/>
          <w:szCs w:val="24"/>
        </w:rPr>
        <w:t xml:space="preserve"> contributes to the literature by</w:t>
      </w:r>
      <w:r w:rsidRPr="007B0737">
        <w:rPr>
          <w:rFonts w:asciiTheme="majorBidi" w:hAnsiTheme="majorBidi" w:cstheme="majorBidi"/>
          <w:sz w:val="24"/>
          <w:szCs w:val="24"/>
        </w:rPr>
        <w:t xml:space="preserve"> identif</w:t>
      </w:r>
      <w:r>
        <w:rPr>
          <w:rFonts w:asciiTheme="majorBidi" w:hAnsiTheme="majorBidi" w:cstheme="majorBidi"/>
          <w:sz w:val="24"/>
          <w:szCs w:val="24"/>
        </w:rPr>
        <w:t>ying</w:t>
      </w:r>
      <w:r w:rsidRPr="007B0737">
        <w:rPr>
          <w:rFonts w:asciiTheme="majorBidi" w:hAnsiTheme="majorBidi" w:cstheme="majorBidi"/>
          <w:sz w:val="24"/>
          <w:szCs w:val="24"/>
        </w:rPr>
        <w:t xml:space="preserve"> numerous areas of further study throughout the review</w:t>
      </w:r>
      <w:r>
        <w:rPr>
          <w:rFonts w:asciiTheme="majorBidi" w:hAnsiTheme="majorBidi" w:cstheme="majorBidi"/>
          <w:sz w:val="24"/>
          <w:szCs w:val="24"/>
        </w:rPr>
        <w:t xml:space="preserve">, </w:t>
      </w:r>
      <w:r w:rsidRPr="007B0737">
        <w:rPr>
          <w:rFonts w:asciiTheme="majorBidi" w:hAnsiTheme="majorBidi" w:cstheme="majorBidi"/>
          <w:sz w:val="24"/>
          <w:szCs w:val="24"/>
        </w:rPr>
        <w:t>particularly in AI bias, privacy concerns, accountability issues and unemployment concerns. In terms of CE, future directions could examine stakeholder preferences regarding CE practices in collaboration with AI and corporate responsibility.</w:t>
      </w:r>
    </w:p>
    <w:p w14:paraId="0915CA3E" w14:textId="77777777" w:rsidR="00B3345E" w:rsidRPr="007B0737" w:rsidRDefault="00B3345E" w:rsidP="00B3345E">
      <w:pPr>
        <w:jc w:val="both"/>
        <w:rPr>
          <w:rFonts w:asciiTheme="majorBidi" w:hAnsiTheme="majorBidi" w:cstheme="majorBidi"/>
          <w:sz w:val="24"/>
          <w:szCs w:val="24"/>
        </w:rPr>
      </w:pPr>
      <w:r w:rsidRPr="007B0737">
        <w:rPr>
          <w:rFonts w:asciiTheme="majorBidi" w:hAnsiTheme="majorBidi" w:cstheme="majorBidi"/>
          <w:sz w:val="24"/>
          <w:szCs w:val="24"/>
        </w:rPr>
        <w:t>However, the study only focussed on the business, management, and accounting areas, as AI is multidisciplinary, there will be several potential areas of research not addressed in this study.</w:t>
      </w:r>
    </w:p>
    <w:p w14:paraId="23FC6552" w14:textId="77777777" w:rsidR="00B3345E" w:rsidRDefault="00B3345E" w:rsidP="00B3345E">
      <w:pPr>
        <w:jc w:val="both"/>
        <w:rPr>
          <w:rFonts w:asciiTheme="majorBidi" w:hAnsiTheme="majorBidi" w:cstheme="majorBidi"/>
          <w:sz w:val="24"/>
          <w:szCs w:val="24"/>
        </w:rPr>
      </w:pPr>
      <w:r w:rsidRPr="007B0737">
        <w:rPr>
          <w:rFonts w:asciiTheme="majorBidi" w:hAnsiTheme="majorBidi" w:cstheme="majorBidi"/>
          <w:sz w:val="24"/>
          <w:szCs w:val="24"/>
        </w:rPr>
        <w:t>Overall, there are limited studies into the intersection of corporate responsibility and AI in organisations transitioning to a CE model, particularly from a management perspective. Further study into these issues could prove invaluable to managers, as they become more adept in AI and use the advancements in technology to satisfy stakeholders and find the balance between an organisation</w:t>
      </w:r>
      <w:r>
        <w:rPr>
          <w:rFonts w:asciiTheme="majorBidi" w:hAnsiTheme="majorBidi" w:cstheme="majorBidi"/>
          <w:sz w:val="24"/>
          <w:szCs w:val="24"/>
        </w:rPr>
        <w:t>’</w:t>
      </w:r>
      <w:r w:rsidRPr="007B0737">
        <w:rPr>
          <w:rFonts w:asciiTheme="majorBidi" w:hAnsiTheme="majorBidi" w:cstheme="majorBidi"/>
          <w:sz w:val="24"/>
          <w:szCs w:val="24"/>
        </w:rPr>
        <w:t>s economic, social, and environmental responsibilities.</w:t>
      </w:r>
    </w:p>
    <w:p w14:paraId="24C7C87E" w14:textId="77777777" w:rsidR="00B3345E" w:rsidRDefault="00B3345E" w:rsidP="00B3345E">
      <w:pPr>
        <w:jc w:val="both"/>
        <w:rPr>
          <w:rFonts w:asciiTheme="majorBidi" w:hAnsiTheme="majorBidi" w:cstheme="majorBidi"/>
          <w:sz w:val="24"/>
          <w:szCs w:val="24"/>
        </w:rPr>
      </w:pPr>
    </w:p>
    <w:p w14:paraId="65FF3A7A" w14:textId="77777777" w:rsidR="003E7B09" w:rsidRDefault="003E7B09" w:rsidP="00B3345E">
      <w:pPr>
        <w:jc w:val="both"/>
        <w:rPr>
          <w:rFonts w:asciiTheme="majorBidi" w:hAnsiTheme="majorBidi" w:cstheme="majorBidi"/>
          <w:sz w:val="24"/>
          <w:szCs w:val="24"/>
        </w:rPr>
      </w:pPr>
    </w:p>
    <w:p w14:paraId="6111931F" w14:textId="77777777" w:rsidR="003E7B09" w:rsidRDefault="003E7B09" w:rsidP="00B3345E">
      <w:pPr>
        <w:jc w:val="both"/>
        <w:rPr>
          <w:rFonts w:asciiTheme="majorBidi" w:hAnsiTheme="majorBidi" w:cstheme="majorBidi"/>
          <w:sz w:val="24"/>
          <w:szCs w:val="24"/>
        </w:rPr>
      </w:pPr>
    </w:p>
    <w:p w14:paraId="67E3D63E" w14:textId="77777777" w:rsidR="003E7B09" w:rsidRDefault="003E7B09" w:rsidP="00B3345E">
      <w:pPr>
        <w:jc w:val="both"/>
        <w:rPr>
          <w:rFonts w:asciiTheme="majorBidi" w:hAnsiTheme="majorBidi" w:cstheme="majorBidi"/>
          <w:sz w:val="24"/>
          <w:szCs w:val="24"/>
        </w:rPr>
      </w:pPr>
    </w:p>
    <w:p w14:paraId="3007F14C" w14:textId="77777777" w:rsidR="003E7B09" w:rsidRDefault="003E7B09" w:rsidP="00B3345E">
      <w:pPr>
        <w:jc w:val="both"/>
        <w:rPr>
          <w:rFonts w:asciiTheme="majorBidi" w:hAnsiTheme="majorBidi" w:cstheme="majorBidi"/>
          <w:sz w:val="24"/>
          <w:szCs w:val="24"/>
        </w:rPr>
      </w:pPr>
    </w:p>
    <w:p w14:paraId="6DF57184" w14:textId="77777777" w:rsidR="003E7B09" w:rsidRDefault="003E7B09" w:rsidP="00B3345E">
      <w:pPr>
        <w:jc w:val="both"/>
        <w:rPr>
          <w:rFonts w:asciiTheme="majorBidi" w:hAnsiTheme="majorBidi" w:cstheme="majorBidi"/>
          <w:sz w:val="24"/>
          <w:szCs w:val="24"/>
        </w:rPr>
      </w:pPr>
    </w:p>
    <w:p w14:paraId="2B1F04AE" w14:textId="77777777" w:rsidR="003E7B09" w:rsidRDefault="003E7B09" w:rsidP="00B3345E">
      <w:pPr>
        <w:jc w:val="both"/>
        <w:rPr>
          <w:rFonts w:asciiTheme="majorBidi" w:hAnsiTheme="majorBidi" w:cstheme="majorBidi"/>
          <w:sz w:val="24"/>
          <w:szCs w:val="24"/>
        </w:rPr>
      </w:pPr>
    </w:p>
    <w:p w14:paraId="7892F0BA" w14:textId="77777777" w:rsidR="003E7B09" w:rsidRDefault="003E7B09" w:rsidP="00B3345E">
      <w:pPr>
        <w:jc w:val="both"/>
        <w:rPr>
          <w:rFonts w:asciiTheme="majorBidi" w:hAnsiTheme="majorBidi" w:cstheme="majorBidi"/>
          <w:sz w:val="24"/>
          <w:szCs w:val="24"/>
        </w:rPr>
      </w:pPr>
    </w:p>
    <w:p w14:paraId="3CAC9EB8" w14:textId="77777777" w:rsidR="003E7B09" w:rsidRDefault="003E7B09" w:rsidP="00B3345E">
      <w:pPr>
        <w:jc w:val="both"/>
        <w:rPr>
          <w:rFonts w:asciiTheme="majorBidi" w:hAnsiTheme="majorBidi" w:cstheme="majorBidi"/>
          <w:sz w:val="24"/>
          <w:szCs w:val="24"/>
        </w:rPr>
      </w:pPr>
    </w:p>
    <w:p w14:paraId="6BAB1C2C" w14:textId="77777777" w:rsidR="003E7B09" w:rsidRDefault="003E7B09" w:rsidP="00B3345E">
      <w:pPr>
        <w:jc w:val="both"/>
        <w:rPr>
          <w:rFonts w:asciiTheme="majorBidi" w:hAnsiTheme="majorBidi" w:cstheme="majorBidi"/>
          <w:sz w:val="24"/>
          <w:szCs w:val="24"/>
        </w:rPr>
      </w:pPr>
    </w:p>
    <w:p w14:paraId="16E1C3FD" w14:textId="77777777" w:rsidR="003E7B09" w:rsidRDefault="003E7B09" w:rsidP="00B3345E">
      <w:pPr>
        <w:jc w:val="both"/>
        <w:rPr>
          <w:rFonts w:asciiTheme="majorBidi" w:hAnsiTheme="majorBidi" w:cstheme="majorBidi"/>
          <w:sz w:val="24"/>
          <w:szCs w:val="24"/>
        </w:rPr>
      </w:pPr>
    </w:p>
    <w:p w14:paraId="2289DA2E" w14:textId="77777777" w:rsidR="003E7B09" w:rsidRDefault="003E7B09" w:rsidP="00B3345E">
      <w:pPr>
        <w:jc w:val="both"/>
        <w:rPr>
          <w:rFonts w:asciiTheme="majorBidi" w:hAnsiTheme="majorBidi" w:cstheme="majorBidi"/>
          <w:sz w:val="24"/>
          <w:szCs w:val="24"/>
        </w:rPr>
      </w:pPr>
    </w:p>
    <w:p w14:paraId="66BF04C7" w14:textId="77777777" w:rsidR="003E7B09" w:rsidRDefault="003E7B09" w:rsidP="00B3345E">
      <w:pPr>
        <w:jc w:val="both"/>
        <w:rPr>
          <w:rFonts w:asciiTheme="majorBidi" w:hAnsiTheme="majorBidi" w:cstheme="majorBidi"/>
          <w:sz w:val="24"/>
          <w:szCs w:val="24"/>
        </w:rPr>
      </w:pPr>
    </w:p>
    <w:p w14:paraId="3BA2EC3F" w14:textId="77777777" w:rsidR="003E7B09" w:rsidRDefault="003E7B09" w:rsidP="00B3345E">
      <w:pPr>
        <w:jc w:val="both"/>
        <w:rPr>
          <w:rFonts w:asciiTheme="majorBidi" w:hAnsiTheme="majorBidi" w:cstheme="majorBidi"/>
          <w:sz w:val="24"/>
          <w:szCs w:val="24"/>
        </w:rPr>
      </w:pPr>
    </w:p>
    <w:p w14:paraId="67761C38" w14:textId="77777777" w:rsidR="00043E46" w:rsidRDefault="00043E46" w:rsidP="00B3345E">
      <w:pPr>
        <w:jc w:val="both"/>
        <w:rPr>
          <w:rFonts w:asciiTheme="majorBidi" w:hAnsiTheme="majorBidi" w:cstheme="majorBidi"/>
          <w:sz w:val="24"/>
          <w:szCs w:val="24"/>
        </w:rPr>
      </w:pPr>
    </w:p>
    <w:p w14:paraId="346F61FF" w14:textId="77777777" w:rsidR="001B0E10" w:rsidRDefault="001B0E10" w:rsidP="003E7B09">
      <w:pPr>
        <w:jc w:val="both"/>
        <w:rPr>
          <w:rFonts w:asciiTheme="majorBidi" w:hAnsiTheme="majorBidi" w:cstheme="majorBidi"/>
          <w:sz w:val="24"/>
          <w:szCs w:val="24"/>
        </w:rPr>
      </w:pPr>
    </w:p>
    <w:p w14:paraId="5BC9EA9C" w14:textId="2CA44171" w:rsidR="003E7B09" w:rsidRPr="0017737B" w:rsidRDefault="003E7B09" w:rsidP="003E7B09">
      <w:pPr>
        <w:jc w:val="both"/>
        <w:rPr>
          <w:rFonts w:asciiTheme="majorBidi" w:hAnsiTheme="majorBidi" w:cstheme="majorBidi"/>
          <w:sz w:val="24"/>
          <w:szCs w:val="24"/>
          <w:u w:val="single"/>
        </w:rPr>
      </w:pPr>
      <w:r w:rsidRPr="0017737B">
        <w:rPr>
          <w:rFonts w:asciiTheme="majorBidi" w:hAnsiTheme="majorBidi" w:cstheme="majorBidi"/>
          <w:sz w:val="24"/>
          <w:szCs w:val="24"/>
          <w:u w:val="single"/>
        </w:rPr>
        <w:lastRenderedPageBreak/>
        <w:t>References</w:t>
      </w:r>
    </w:p>
    <w:p w14:paraId="7177A889"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Agrawal, S., Kumar, D., Singh, R. K., and Singh, R. K. (2023). “</w:t>
      </w:r>
      <w:r w:rsidRPr="007B0737">
        <w:rPr>
          <w:rFonts w:asciiTheme="majorBidi" w:hAnsiTheme="majorBidi" w:cstheme="majorBidi"/>
          <w:i/>
          <w:iCs/>
          <w:sz w:val="24"/>
          <w:szCs w:val="24"/>
        </w:rPr>
        <w:t>Analyzing coordination strategy of circular supply chain in re-commerce industry: A game theoretic approach.”</w:t>
      </w:r>
      <w:r w:rsidRPr="007B0737">
        <w:rPr>
          <w:rFonts w:asciiTheme="majorBidi" w:hAnsiTheme="majorBidi" w:cstheme="majorBidi"/>
          <w:sz w:val="24"/>
          <w:szCs w:val="24"/>
        </w:rPr>
        <w:t xml:space="preserve"> Business Strategy and the Environment, 32(4), 1680–1697. Available at: </w:t>
      </w:r>
      <w:hyperlink r:id="rId13" w:history="1">
        <w:r w:rsidRPr="007B0737">
          <w:rPr>
            <w:rStyle w:val="Hyperlink"/>
            <w:rFonts w:asciiTheme="majorBidi" w:hAnsiTheme="majorBidi"/>
            <w:sz w:val="24"/>
            <w:szCs w:val="24"/>
          </w:rPr>
          <w:t>https://doi.org/10.1002/bse.3212</w:t>
        </w:r>
      </w:hyperlink>
      <w:r w:rsidRPr="007B0737">
        <w:rPr>
          <w:rFonts w:asciiTheme="majorBidi" w:hAnsiTheme="majorBidi" w:cstheme="majorBidi"/>
          <w:sz w:val="24"/>
          <w:szCs w:val="24"/>
        </w:rPr>
        <w:t xml:space="preserve"> </w:t>
      </w:r>
    </w:p>
    <w:p w14:paraId="168987A8"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Ahdadou, M., Aajly, A., and Tahrouch, M. (2023). “</w:t>
      </w:r>
      <w:r w:rsidRPr="007B0737">
        <w:rPr>
          <w:rFonts w:asciiTheme="majorBidi" w:hAnsiTheme="majorBidi" w:cstheme="majorBidi"/>
          <w:i/>
          <w:iCs/>
          <w:sz w:val="24"/>
          <w:szCs w:val="24"/>
        </w:rPr>
        <w:t>Unlocking the potential of augmented intelligence: a discussion on its role in boardroom decision-making.”</w:t>
      </w:r>
      <w:r w:rsidRPr="007B0737">
        <w:rPr>
          <w:rFonts w:asciiTheme="majorBidi" w:hAnsiTheme="majorBidi" w:cstheme="majorBidi"/>
          <w:sz w:val="24"/>
          <w:szCs w:val="24"/>
        </w:rPr>
        <w:t xml:space="preserve"> International Journal of Disclosure and Governance. Available at: </w:t>
      </w:r>
      <w:hyperlink r:id="rId14" w:history="1">
        <w:r w:rsidRPr="007B0737">
          <w:rPr>
            <w:rStyle w:val="Hyperlink"/>
            <w:rFonts w:asciiTheme="majorBidi" w:hAnsiTheme="majorBidi"/>
            <w:sz w:val="24"/>
            <w:szCs w:val="24"/>
          </w:rPr>
          <w:t>https://doi.org/10.1057/s41310-023-00207-2</w:t>
        </w:r>
      </w:hyperlink>
      <w:r w:rsidRPr="007B0737">
        <w:rPr>
          <w:rFonts w:asciiTheme="majorBidi" w:hAnsiTheme="majorBidi" w:cstheme="majorBidi"/>
          <w:sz w:val="24"/>
          <w:szCs w:val="24"/>
        </w:rPr>
        <w:t xml:space="preserve"> </w:t>
      </w:r>
    </w:p>
    <w:p w14:paraId="3526037C"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Ajwani-Ramchandani, R., Figueira, S., Torres de Oliveira, R., Jha, S., Ramchandani, A., and Schuricht, L. (2021). “</w:t>
      </w:r>
      <w:r w:rsidRPr="007B0737">
        <w:rPr>
          <w:rFonts w:asciiTheme="majorBidi" w:hAnsiTheme="majorBidi" w:cstheme="majorBidi"/>
          <w:i/>
          <w:iCs/>
          <w:sz w:val="24"/>
          <w:szCs w:val="24"/>
        </w:rPr>
        <w:t>Towards a circular economy for packaging waste by using new technologies: The case of large multinationals in emerging economies</w:t>
      </w:r>
      <w:r w:rsidRPr="007B0737">
        <w:rPr>
          <w:rFonts w:asciiTheme="majorBidi" w:hAnsiTheme="majorBidi" w:cstheme="majorBidi"/>
          <w:sz w:val="24"/>
          <w:szCs w:val="24"/>
        </w:rPr>
        <w:t xml:space="preserve">” Journal of Cleaner Production, 281. Available at: </w:t>
      </w:r>
      <w:hyperlink r:id="rId15" w:history="1">
        <w:r w:rsidRPr="007B0737">
          <w:rPr>
            <w:rStyle w:val="Hyperlink"/>
            <w:rFonts w:asciiTheme="majorBidi" w:hAnsiTheme="majorBidi"/>
            <w:sz w:val="24"/>
            <w:szCs w:val="24"/>
          </w:rPr>
          <w:t>https://doi.org/10.1016/j.jclepro.2020.125139</w:t>
        </w:r>
      </w:hyperlink>
    </w:p>
    <w:p w14:paraId="0E608284"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Akter, S., Hossain, M. A., Sajib, S., Sultana, S., Rahman, M., Vrontis, D., and McCarthy, G. (2023). “</w:t>
      </w:r>
      <w:r w:rsidRPr="007B0737">
        <w:rPr>
          <w:rFonts w:asciiTheme="majorBidi" w:hAnsiTheme="majorBidi" w:cstheme="majorBidi"/>
          <w:i/>
          <w:iCs/>
          <w:sz w:val="24"/>
          <w:szCs w:val="24"/>
        </w:rPr>
        <w:t>A framework for AI-powered service innovation capability: Review and agenda for future research.”</w:t>
      </w:r>
      <w:r w:rsidRPr="007B0737">
        <w:rPr>
          <w:rFonts w:asciiTheme="majorBidi" w:hAnsiTheme="majorBidi" w:cstheme="majorBidi"/>
          <w:sz w:val="24"/>
          <w:szCs w:val="24"/>
        </w:rPr>
        <w:t xml:space="preserve"> Technovation, 125. Available at: </w:t>
      </w:r>
      <w:hyperlink r:id="rId16" w:history="1">
        <w:r w:rsidRPr="007B0737">
          <w:rPr>
            <w:rStyle w:val="Hyperlink"/>
            <w:rFonts w:asciiTheme="majorBidi" w:hAnsiTheme="majorBidi"/>
            <w:sz w:val="24"/>
            <w:szCs w:val="24"/>
          </w:rPr>
          <w:t>https://doi.org/10.1016/j.technovation.2023.102768</w:t>
        </w:r>
      </w:hyperlink>
      <w:r w:rsidRPr="007B0737">
        <w:rPr>
          <w:rFonts w:asciiTheme="majorBidi" w:hAnsiTheme="majorBidi" w:cstheme="majorBidi"/>
          <w:sz w:val="24"/>
          <w:szCs w:val="24"/>
        </w:rPr>
        <w:t xml:space="preserve"> </w:t>
      </w:r>
    </w:p>
    <w:p w14:paraId="277BCCF5"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Ardito, L. (2023). “</w:t>
      </w:r>
      <w:r w:rsidRPr="007B0737">
        <w:rPr>
          <w:rFonts w:asciiTheme="majorBidi" w:hAnsiTheme="majorBidi" w:cstheme="majorBidi"/>
          <w:i/>
          <w:iCs/>
          <w:sz w:val="24"/>
          <w:szCs w:val="24"/>
        </w:rPr>
        <w:t>The influence of firm digitalization on sustainable innovation performance and the moderating role of corporate sustainability practices: An empirical investigation.”</w:t>
      </w:r>
      <w:r w:rsidRPr="007B0737">
        <w:rPr>
          <w:rFonts w:asciiTheme="majorBidi" w:hAnsiTheme="majorBidi" w:cstheme="majorBidi"/>
          <w:sz w:val="24"/>
          <w:szCs w:val="24"/>
        </w:rPr>
        <w:t xml:space="preserve"> Business Strategy and the Environment. Available at: </w:t>
      </w:r>
      <w:hyperlink r:id="rId17" w:history="1">
        <w:r w:rsidRPr="007B0737">
          <w:rPr>
            <w:rStyle w:val="Hyperlink"/>
            <w:rFonts w:asciiTheme="majorBidi" w:hAnsiTheme="majorBidi"/>
            <w:sz w:val="24"/>
            <w:szCs w:val="24"/>
          </w:rPr>
          <w:t>https://doi.org/10.1002/bse.3415</w:t>
        </w:r>
      </w:hyperlink>
      <w:r w:rsidRPr="007B0737">
        <w:rPr>
          <w:rFonts w:asciiTheme="majorBidi" w:hAnsiTheme="majorBidi" w:cstheme="majorBidi"/>
          <w:sz w:val="24"/>
          <w:szCs w:val="24"/>
        </w:rPr>
        <w:t xml:space="preserve"> </w:t>
      </w:r>
    </w:p>
    <w:p w14:paraId="5372A606"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Asif, M., Searcy, C., and Castka, P. (2023). “</w:t>
      </w:r>
      <w:r w:rsidRPr="007B0737">
        <w:rPr>
          <w:rFonts w:asciiTheme="majorBidi" w:hAnsiTheme="majorBidi" w:cstheme="majorBidi"/>
          <w:i/>
          <w:iCs/>
          <w:sz w:val="24"/>
          <w:szCs w:val="24"/>
        </w:rPr>
        <w:t>ESG and Industry 5.0: The role of technologies in enhancing ESG disclosure.”</w:t>
      </w:r>
      <w:r w:rsidRPr="007B0737">
        <w:rPr>
          <w:rFonts w:asciiTheme="majorBidi" w:hAnsiTheme="majorBidi" w:cstheme="majorBidi"/>
          <w:sz w:val="24"/>
          <w:szCs w:val="24"/>
        </w:rPr>
        <w:t xml:space="preserve"> Technological Forecasting and Social Change, 195. Available at: </w:t>
      </w:r>
      <w:hyperlink r:id="rId18" w:history="1">
        <w:r w:rsidRPr="007B0737">
          <w:rPr>
            <w:rStyle w:val="Hyperlink"/>
            <w:rFonts w:asciiTheme="majorBidi" w:hAnsiTheme="majorBidi"/>
            <w:sz w:val="24"/>
            <w:szCs w:val="24"/>
          </w:rPr>
          <w:t>https://doi.org/10.1016/j.techfore.2023.122806</w:t>
        </w:r>
      </w:hyperlink>
      <w:r w:rsidRPr="007B0737">
        <w:rPr>
          <w:rFonts w:asciiTheme="majorBidi" w:hAnsiTheme="majorBidi" w:cstheme="majorBidi"/>
          <w:sz w:val="24"/>
          <w:szCs w:val="24"/>
        </w:rPr>
        <w:t xml:space="preserve"> </w:t>
      </w:r>
    </w:p>
    <w:p w14:paraId="705817E8"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 xml:space="preserve">Atanasov, A., Chipriyanova, G., and Krasteva-Hristova, R. (2023). </w:t>
      </w:r>
      <w:r w:rsidRPr="007B0737">
        <w:rPr>
          <w:rFonts w:asciiTheme="majorBidi" w:hAnsiTheme="majorBidi" w:cstheme="majorBidi"/>
          <w:i/>
          <w:iCs/>
          <w:sz w:val="24"/>
          <w:szCs w:val="24"/>
        </w:rPr>
        <w:t>“Integration of Digital Technologies in Corporate Social Responsibility (CSR) Activities: A Systematic Literature Review and Bibliometric Analysis</w:t>
      </w:r>
      <w:r w:rsidRPr="007B0737">
        <w:rPr>
          <w:rFonts w:asciiTheme="majorBidi" w:hAnsiTheme="majorBidi" w:cstheme="majorBidi"/>
          <w:sz w:val="24"/>
          <w:szCs w:val="24"/>
        </w:rPr>
        <w:t xml:space="preserve">” Journal of Risk and Financial Management, 16(8). Available at: </w:t>
      </w:r>
      <w:hyperlink r:id="rId19" w:history="1">
        <w:r w:rsidRPr="007B0737">
          <w:rPr>
            <w:rStyle w:val="Hyperlink"/>
            <w:rFonts w:asciiTheme="majorBidi" w:hAnsiTheme="majorBidi"/>
            <w:sz w:val="24"/>
            <w:szCs w:val="24"/>
          </w:rPr>
          <w:t>https://doi.org/10.3390/jrfm16080373</w:t>
        </w:r>
      </w:hyperlink>
      <w:r w:rsidRPr="007B0737">
        <w:rPr>
          <w:rFonts w:asciiTheme="majorBidi" w:hAnsiTheme="majorBidi" w:cstheme="majorBidi"/>
          <w:sz w:val="24"/>
          <w:szCs w:val="24"/>
        </w:rPr>
        <w:t xml:space="preserve"> </w:t>
      </w:r>
    </w:p>
    <w:p w14:paraId="7E9A166A"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Bankins, S., and Formosa, P. (2023). “</w:t>
      </w:r>
      <w:r w:rsidRPr="007B0737">
        <w:rPr>
          <w:rFonts w:asciiTheme="majorBidi" w:hAnsiTheme="majorBidi" w:cstheme="majorBidi"/>
          <w:i/>
          <w:iCs/>
          <w:sz w:val="24"/>
          <w:szCs w:val="24"/>
        </w:rPr>
        <w:t>The Ethical Implications of Artificial Intelligence (AI) For Meaningful Work</w:t>
      </w:r>
      <w:r w:rsidRPr="007B0737">
        <w:rPr>
          <w:rFonts w:asciiTheme="majorBidi" w:hAnsiTheme="majorBidi" w:cstheme="majorBidi"/>
          <w:sz w:val="24"/>
          <w:szCs w:val="24"/>
        </w:rPr>
        <w:t xml:space="preserve">”. Journal of Business Ethics, 185(4), 725–740. Available at: </w:t>
      </w:r>
      <w:hyperlink r:id="rId20" w:history="1">
        <w:r w:rsidRPr="007B0737">
          <w:rPr>
            <w:rStyle w:val="Hyperlink"/>
            <w:rFonts w:asciiTheme="majorBidi" w:hAnsiTheme="majorBidi"/>
            <w:sz w:val="24"/>
            <w:szCs w:val="24"/>
          </w:rPr>
          <w:t>https://doi.org/10.1007/s10551-023-05339-7</w:t>
        </w:r>
      </w:hyperlink>
      <w:r w:rsidRPr="007B0737">
        <w:rPr>
          <w:rFonts w:asciiTheme="majorBidi" w:hAnsiTheme="majorBidi" w:cstheme="majorBidi"/>
          <w:sz w:val="24"/>
          <w:szCs w:val="24"/>
        </w:rPr>
        <w:t xml:space="preserve"> </w:t>
      </w:r>
    </w:p>
    <w:p w14:paraId="785AD984"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Barauskaite, G. and Streimikiene, D. (2021) ‘</w:t>
      </w:r>
      <w:r w:rsidRPr="007B0737">
        <w:rPr>
          <w:rFonts w:asciiTheme="majorBidi" w:hAnsiTheme="majorBidi" w:cstheme="majorBidi"/>
          <w:i/>
          <w:iCs/>
          <w:sz w:val="24"/>
          <w:szCs w:val="24"/>
        </w:rPr>
        <w:t>Corporate social responsibility and financial performance of companies: The puzzle of concepts, definitions and assessment methods’</w:t>
      </w:r>
      <w:r w:rsidRPr="007B0737">
        <w:rPr>
          <w:rFonts w:asciiTheme="majorBidi" w:hAnsiTheme="majorBidi" w:cstheme="majorBidi"/>
          <w:sz w:val="24"/>
          <w:szCs w:val="24"/>
        </w:rPr>
        <w:t xml:space="preserve">, Corporate Social Responsibility and Environmental Management, 28(1), pp. 278–287. Available at: </w:t>
      </w:r>
      <w:hyperlink r:id="rId21" w:history="1">
        <w:r w:rsidRPr="007B0737">
          <w:rPr>
            <w:rStyle w:val="Hyperlink"/>
            <w:rFonts w:asciiTheme="majorBidi" w:hAnsiTheme="majorBidi"/>
            <w:sz w:val="24"/>
            <w:szCs w:val="24"/>
          </w:rPr>
          <w:t>https://doi.org/10.1002/csr.2048</w:t>
        </w:r>
      </w:hyperlink>
      <w:r w:rsidRPr="007B0737">
        <w:rPr>
          <w:rFonts w:asciiTheme="majorBidi" w:hAnsiTheme="majorBidi" w:cstheme="majorBidi"/>
          <w:sz w:val="24"/>
          <w:szCs w:val="24"/>
        </w:rPr>
        <w:t xml:space="preserve">. </w:t>
      </w:r>
    </w:p>
    <w:p w14:paraId="50578447"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Barnett, M. L., Henriques, I., and Husted, B. W. (2020). “</w:t>
      </w:r>
      <w:r w:rsidRPr="007B0737">
        <w:rPr>
          <w:rFonts w:asciiTheme="majorBidi" w:hAnsiTheme="majorBidi" w:cstheme="majorBidi"/>
          <w:i/>
          <w:iCs/>
          <w:sz w:val="24"/>
          <w:szCs w:val="24"/>
        </w:rPr>
        <w:t>Beyond Good Intentions: Designing CSR Initiatives for Greater Social Impact”</w:t>
      </w:r>
      <w:r w:rsidRPr="007B0737">
        <w:rPr>
          <w:rFonts w:asciiTheme="majorBidi" w:hAnsiTheme="majorBidi" w:cstheme="majorBidi"/>
          <w:sz w:val="24"/>
          <w:szCs w:val="24"/>
        </w:rPr>
        <w:t xml:space="preserve"> Journal of Management, 46(6), 937–964. Available at: </w:t>
      </w:r>
      <w:hyperlink r:id="rId22" w:history="1">
        <w:r w:rsidRPr="007B0737">
          <w:rPr>
            <w:rStyle w:val="Hyperlink"/>
            <w:rFonts w:asciiTheme="majorBidi" w:hAnsiTheme="majorBidi"/>
            <w:sz w:val="24"/>
            <w:szCs w:val="24"/>
          </w:rPr>
          <w:t>https://doi.org/10.1177/0149206319900539</w:t>
        </w:r>
      </w:hyperlink>
      <w:r w:rsidRPr="007B0737">
        <w:rPr>
          <w:rFonts w:asciiTheme="majorBidi" w:hAnsiTheme="majorBidi" w:cstheme="majorBidi"/>
          <w:sz w:val="24"/>
          <w:szCs w:val="24"/>
        </w:rPr>
        <w:t xml:space="preserve"> </w:t>
      </w:r>
    </w:p>
    <w:p w14:paraId="487A8437"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Bednárová, M., and Serpeninova, Y. (2023). “</w:t>
      </w:r>
      <w:r w:rsidRPr="007B0737">
        <w:rPr>
          <w:rFonts w:asciiTheme="majorBidi" w:hAnsiTheme="majorBidi" w:cstheme="majorBidi"/>
          <w:i/>
          <w:iCs/>
          <w:color w:val="000000"/>
          <w:sz w:val="24"/>
          <w:szCs w:val="24"/>
        </w:rPr>
        <w:t xml:space="preserve">Corporate digital responsibility: bibliometric landscape – chronological literature review” </w:t>
      </w:r>
      <w:r w:rsidRPr="007B0737">
        <w:rPr>
          <w:rFonts w:asciiTheme="majorBidi" w:hAnsiTheme="majorBidi" w:cstheme="majorBidi"/>
          <w:color w:val="000000"/>
          <w:sz w:val="24"/>
          <w:szCs w:val="24"/>
        </w:rPr>
        <w:t xml:space="preserve">International Journal of Digital Accounting Research, 23. Available at: </w:t>
      </w:r>
      <w:hyperlink r:id="rId23" w:history="1">
        <w:r w:rsidRPr="007B0737">
          <w:rPr>
            <w:rStyle w:val="Hyperlink"/>
            <w:rFonts w:asciiTheme="majorBidi" w:hAnsiTheme="majorBidi"/>
            <w:sz w:val="24"/>
            <w:szCs w:val="24"/>
          </w:rPr>
          <w:t>https://doi.org/10.4192/1577-8517-v23_1</w:t>
        </w:r>
      </w:hyperlink>
      <w:r w:rsidRPr="007B0737">
        <w:rPr>
          <w:rFonts w:asciiTheme="majorBidi" w:hAnsiTheme="majorBidi" w:cstheme="majorBidi"/>
          <w:color w:val="000000"/>
          <w:sz w:val="24"/>
          <w:szCs w:val="24"/>
        </w:rPr>
        <w:t xml:space="preserve"> </w:t>
      </w:r>
    </w:p>
    <w:p w14:paraId="1F2F0574"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lastRenderedPageBreak/>
        <w:t xml:space="preserve">Benbya, H., Pachidi, S., </w:t>
      </w:r>
      <w:r>
        <w:rPr>
          <w:rFonts w:asciiTheme="majorBidi" w:hAnsiTheme="majorBidi" w:cstheme="majorBidi"/>
          <w:color w:val="000000"/>
          <w:sz w:val="24"/>
          <w:szCs w:val="24"/>
        </w:rPr>
        <w:t>and</w:t>
      </w:r>
      <w:r w:rsidRPr="007B0737">
        <w:rPr>
          <w:rFonts w:asciiTheme="majorBidi" w:hAnsiTheme="majorBidi" w:cstheme="majorBidi"/>
          <w:color w:val="000000"/>
          <w:sz w:val="24"/>
          <w:szCs w:val="24"/>
        </w:rPr>
        <w:t xml:space="preserve"> Jarvenpaa, S. (2021). </w:t>
      </w:r>
      <w:r w:rsidRPr="007B0737">
        <w:rPr>
          <w:rFonts w:asciiTheme="majorBidi" w:hAnsiTheme="majorBidi" w:cstheme="majorBidi"/>
          <w:i/>
          <w:iCs/>
          <w:color w:val="000000"/>
          <w:sz w:val="24"/>
          <w:szCs w:val="24"/>
        </w:rPr>
        <w:t>“Special issue editorial: artificial intelligence in organizations: implications for information systems research”</w:t>
      </w:r>
      <w:r w:rsidRPr="007B0737">
        <w:rPr>
          <w:rFonts w:asciiTheme="majorBidi" w:hAnsiTheme="majorBidi" w:cstheme="majorBidi"/>
          <w:color w:val="000000"/>
          <w:sz w:val="24"/>
          <w:szCs w:val="24"/>
        </w:rPr>
        <w:t xml:space="preserve"> Journal of the Association for Information Systems, 22(2), 281–303. Available at:  </w:t>
      </w:r>
      <w:hyperlink r:id="rId24" w:history="1">
        <w:r w:rsidRPr="007B0737">
          <w:rPr>
            <w:rStyle w:val="Hyperlink"/>
            <w:rFonts w:asciiTheme="majorBidi" w:hAnsiTheme="majorBidi"/>
            <w:sz w:val="24"/>
            <w:szCs w:val="24"/>
          </w:rPr>
          <w:t>https://doi.org/10.17705/1jais.00662</w:t>
        </w:r>
      </w:hyperlink>
    </w:p>
    <w:p w14:paraId="69F0F3F4"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Billio, M., Costola, M., Hristova, I., Latino, C., and Pelizzon, L. (2021). “</w:t>
      </w:r>
      <w:r w:rsidRPr="007B0737">
        <w:rPr>
          <w:rFonts w:asciiTheme="majorBidi" w:hAnsiTheme="majorBidi" w:cstheme="majorBidi"/>
          <w:i/>
          <w:iCs/>
          <w:sz w:val="24"/>
          <w:szCs w:val="24"/>
        </w:rPr>
        <w:t>Inside the ESG ratings: (Dis)agreement and performance”.</w:t>
      </w:r>
      <w:r w:rsidRPr="007B0737">
        <w:rPr>
          <w:rFonts w:asciiTheme="majorBidi" w:hAnsiTheme="majorBidi" w:cstheme="majorBidi"/>
          <w:sz w:val="24"/>
          <w:szCs w:val="24"/>
        </w:rPr>
        <w:t xml:space="preserve"> Corporate Social Responsibility and Environmental Management, 28(5), 1426–1445. Available at: </w:t>
      </w:r>
      <w:hyperlink r:id="rId25" w:history="1">
        <w:r w:rsidRPr="007B0737">
          <w:rPr>
            <w:rStyle w:val="Hyperlink"/>
            <w:rFonts w:asciiTheme="majorBidi" w:hAnsiTheme="majorBidi"/>
            <w:sz w:val="24"/>
            <w:szCs w:val="24"/>
          </w:rPr>
          <w:t>https://doi.org/10.1002/csr.2177</w:t>
        </w:r>
      </w:hyperlink>
      <w:r w:rsidRPr="007B0737">
        <w:rPr>
          <w:rFonts w:asciiTheme="majorBidi" w:hAnsiTheme="majorBidi" w:cstheme="majorBidi"/>
          <w:sz w:val="24"/>
          <w:szCs w:val="24"/>
        </w:rPr>
        <w:t xml:space="preserve"> </w:t>
      </w:r>
    </w:p>
    <w:p w14:paraId="5BCBB60D" w14:textId="77777777" w:rsidR="00AE272A" w:rsidRPr="007B0737" w:rsidRDefault="00AE272A" w:rsidP="003E7B09">
      <w:pPr>
        <w:autoSpaceDE w:val="0"/>
        <w:autoSpaceDN w:val="0"/>
        <w:jc w:val="both"/>
        <w:rPr>
          <w:rFonts w:asciiTheme="majorBidi" w:eastAsia="Times New Roman" w:hAnsiTheme="majorBidi" w:cstheme="majorBidi"/>
          <w:kern w:val="0"/>
          <w:sz w:val="24"/>
          <w:szCs w:val="24"/>
          <w14:ligatures w14:val="none"/>
        </w:rPr>
      </w:pPr>
      <w:r w:rsidRPr="007B0737">
        <w:rPr>
          <w:rFonts w:asciiTheme="majorBidi" w:eastAsia="Times New Roman" w:hAnsiTheme="majorBidi" w:cstheme="majorBidi"/>
          <w:sz w:val="24"/>
          <w:szCs w:val="24"/>
        </w:rPr>
        <w:t xml:space="preserve">Böhm, S., Carrington, M., Cornelius, N., de Bruin, B., Greenwood, M., Hassan, L., Jain, T., Karam, C., Kourula, A., Romani, L., Riaz, S., </w:t>
      </w:r>
      <w:r>
        <w:rPr>
          <w:rFonts w:asciiTheme="majorBidi" w:eastAsia="Times New Roman" w:hAnsiTheme="majorBidi" w:cstheme="majorBidi"/>
          <w:sz w:val="24"/>
          <w:szCs w:val="24"/>
        </w:rPr>
        <w:t>and</w:t>
      </w:r>
      <w:r w:rsidRPr="007B0737">
        <w:rPr>
          <w:rFonts w:asciiTheme="majorBidi" w:eastAsia="Times New Roman" w:hAnsiTheme="majorBidi" w:cstheme="majorBidi"/>
          <w:sz w:val="24"/>
          <w:szCs w:val="24"/>
        </w:rPr>
        <w:t xml:space="preserve"> Shaw, D. (2022). “</w:t>
      </w:r>
      <w:r w:rsidRPr="007B0737">
        <w:rPr>
          <w:rFonts w:asciiTheme="majorBidi" w:eastAsia="Times New Roman" w:hAnsiTheme="majorBidi" w:cstheme="majorBidi"/>
          <w:i/>
          <w:iCs/>
          <w:sz w:val="24"/>
          <w:szCs w:val="24"/>
        </w:rPr>
        <w:t>Ethics at the Centre of Global and Local Challenges: Thoughts on the Future of Business Ethics</w:t>
      </w:r>
      <w:r w:rsidRPr="007B0737">
        <w:rPr>
          <w:rFonts w:asciiTheme="majorBidi" w:eastAsia="Times New Roman" w:hAnsiTheme="majorBidi" w:cstheme="majorBidi"/>
          <w:sz w:val="24"/>
          <w:szCs w:val="24"/>
        </w:rPr>
        <w:t xml:space="preserve">.” Journal of Business Ethics, </w:t>
      </w:r>
      <w:r w:rsidRPr="007B0737">
        <w:rPr>
          <w:rFonts w:asciiTheme="majorBidi" w:eastAsia="Times New Roman" w:hAnsiTheme="majorBidi" w:cstheme="majorBidi"/>
          <w:i/>
          <w:iCs/>
          <w:sz w:val="24"/>
          <w:szCs w:val="24"/>
        </w:rPr>
        <w:t>180</w:t>
      </w:r>
      <w:r w:rsidRPr="007B0737">
        <w:rPr>
          <w:rFonts w:asciiTheme="majorBidi" w:eastAsia="Times New Roman" w:hAnsiTheme="majorBidi" w:cstheme="majorBidi"/>
          <w:sz w:val="24"/>
          <w:szCs w:val="24"/>
        </w:rPr>
        <w:t xml:space="preserve">(3), 835–861. Available at: </w:t>
      </w:r>
      <w:hyperlink r:id="rId26" w:history="1">
        <w:r w:rsidRPr="007B0737">
          <w:rPr>
            <w:rStyle w:val="Hyperlink"/>
            <w:rFonts w:asciiTheme="majorBidi" w:eastAsia="Times New Roman" w:hAnsiTheme="majorBidi"/>
            <w:sz w:val="24"/>
            <w:szCs w:val="24"/>
          </w:rPr>
          <w:t>https://doi.org/10.1007/s10551-022-05239-2</w:t>
        </w:r>
      </w:hyperlink>
      <w:r w:rsidRPr="007B0737">
        <w:rPr>
          <w:rFonts w:asciiTheme="majorBidi" w:eastAsia="Times New Roman" w:hAnsiTheme="majorBidi" w:cstheme="majorBidi"/>
          <w:sz w:val="24"/>
          <w:szCs w:val="24"/>
        </w:rPr>
        <w:t xml:space="preserve"> </w:t>
      </w:r>
    </w:p>
    <w:p w14:paraId="3113E578"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 xml:space="preserve">Bowen. H. (1953) </w:t>
      </w:r>
      <w:r w:rsidRPr="007B0737">
        <w:rPr>
          <w:rFonts w:asciiTheme="majorBidi" w:hAnsiTheme="majorBidi" w:cstheme="majorBidi"/>
          <w:i/>
          <w:iCs/>
          <w:sz w:val="24"/>
          <w:szCs w:val="24"/>
        </w:rPr>
        <w:t xml:space="preserve">“Social Responsibilities of the Businessman” </w:t>
      </w:r>
      <w:r w:rsidRPr="007B0737">
        <w:rPr>
          <w:rFonts w:asciiTheme="majorBidi" w:hAnsiTheme="majorBidi" w:cstheme="majorBidi"/>
          <w:sz w:val="24"/>
          <w:szCs w:val="24"/>
        </w:rPr>
        <w:t>New York: Harper and Row.</w:t>
      </w:r>
    </w:p>
    <w:p w14:paraId="6356F0C7"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 xml:space="preserve">Bressanelli, G., Adrodegari, F., Perona, M., and Saccani N. (2018) </w:t>
      </w:r>
      <w:r w:rsidRPr="007B0737">
        <w:rPr>
          <w:rFonts w:asciiTheme="majorBidi" w:hAnsiTheme="majorBidi" w:cstheme="majorBidi"/>
          <w:i/>
          <w:iCs/>
          <w:color w:val="000000"/>
          <w:sz w:val="24"/>
          <w:szCs w:val="24"/>
        </w:rPr>
        <w:t>“The role of digital technologies to overcome Circular Economy challenges in PSS Business Models: An exploratory case study”,</w:t>
      </w:r>
      <w:r w:rsidRPr="007B0737">
        <w:rPr>
          <w:rFonts w:asciiTheme="majorBidi" w:hAnsiTheme="majorBidi" w:cstheme="majorBidi"/>
          <w:color w:val="000000"/>
          <w:sz w:val="24"/>
          <w:szCs w:val="24"/>
        </w:rPr>
        <w:t xml:space="preserve"> Procedia CIRP, 73, 216-221</w:t>
      </w:r>
    </w:p>
    <w:p w14:paraId="195FE760"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Chauhan, C., Parida, V., and Dhir, A. (2022). “</w:t>
      </w:r>
      <w:r w:rsidRPr="007B0737">
        <w:rPr>
          <w:rFonts w:asciiTheme="majorBidi" w:hAnsiTheme="majorBidi" w:cstheme="majorBidi"/>
          <w:i/>
          <w:iCs/>
          <w:sz w:val="24"/>
          <w:szCs w:val="24"/>
        </w:rPr>
        <w:t>Linking circular economy and digitalisation technologies: A systematic literature review of past achievements and future promises</w:t>
      </w:r>
      <w:r w:rsidRPr="007B0737">
        <w:rPr>
          <w:rFonts w:asciiTheme="majorBidi" w:hAnsiTheme="majorBidi" w:cstheme="majorBidi"/>
          <w:sz w:val="24"/>
          <w:szCs w:val="24"/>
        </w:rPr>
        <w:t xml:space="preserve">” Technological Forecasting and Social Change, 177. Available at: </w:t>
      </w:r>
      <w:hyperlink r:id="rId27" w:history="1">
        <w:r w:rsidRPr="007B0737">
          <w:rPr>
            <w:rStyle w:val="Hyperlink"/>
            <w:rFonts w:asciiTheme="majorBidi" w:hAnsiTheme="majorBidi"/>
            <w:sz w:val="24"/>
            <w:szCs w:val="24"/>
          </w:rPr>
          <w:t>https://doi.org/10.1016/j.techfore.2022.121508</w:t>
        </w:r>
      </w:hyperlink>
      <w:r w:rsidRPr="007B0737">
        <w:rPr>
          <w:rFonts w:asciiTheme="majorBidi" w:hAnsiTheme="majorBidi" w:cstheme="majorBidi"/>
          <w:sz w:val="24"/>
          <w:szCs w:val="24"/>
        </w:rPr>
        <w:t xml:space="preserve"> </w:t>
      </w:r>
    </w:p>
    <w:p w14:paraId="0F3C02A1"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 xml:space="preserve">Chavanayarn, S. (2023). </w:t>
      </w:r>
      <w:r w:rsidRPr="007B0737">
        <w:rPr>
          <w:rFonts w:asciiTheme="majorBidi" w:hAnsiTheme="majorBidi" w:cstheme="majorBidi"/>
          <w:i/>
          <w:iCs/>
          <w:sz w:val="24"/>
          <w:szCs w:val="24"/>
        </w:rPr>
        <w:t>“Navigating Ethical Complexities Through Epistemological Analysis of ChatGPT.”</w:t>
      </w:r>
      <w:r w:rsidRPr="007B0737">
        <w:rPr>
          <w:rFonts w:asciiTheme="majorBidi" w:hAnsiTheme="majorBidi" w:cstheme="majorBidi"/>
          <w:sz w:val="24"/>
          <w:szCs w:val="24"/>
        </w:rPr>
        <w:t xml:space="preserve"> Bulletin of Science, Technology and Society. Available at: </w:t>
      </w:r>
      <w:hyperlink r:id="rId28" w:history="1">
        <w:r w:rsidRPr="007B0737">
          <w:rPr>
            <w:rStyle w:val="Hyperlink"/>
            <w:rFonts w:asciiTheme="majorBidi" w:hAnsiTheme="majorBidi"/>
            <w:sz w:val="24"/>
            <w:szCs w:val="24"/>
          </w:rPr>
          <w:t>https://doi.org/10.1177/02704676231216355</w:t>
        </w:r>
      </w:hyperlink>
      <w:r w:rsidRPr="007B0737">
        <w:rPr>
          <w:rFonts w:asciiTheme="majorBidi" w:hAnsiTheme="majorBidi" w:cstheme="majorBidi"/>
          <w:sz w:val="24"/>
          <w:szCs w:val="24"/>
        </w:rPr>
        <w:t xml:space="preserve"> </w:t>
      </w:r>
    </w:p>
    <w:p w14:paraId="0C3D892C"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Chen, P., Chu, Z., and Zhao, M. (2024). “</w:t>
      </w:r>
      <w:r w:rsidRPr="007B0737">
        <w:rPr>
          <w:rFonts w:asciiTheme="majorBidi" w:hAnsiTheme="majorBidi" w:cstheme="majorBidi"/>
          <w:i/>
          <w:iCs/>
          <w:sz w:val="24"/>
          <w:szCs w:val="24"/>
        </w:rPr>
        <w:t>The Road to corporate sustainability: The importance of artificial intelligence”</w:t>
      </w:r>
      <w:r w:rsidRPr="007B0737">
        <w:rPr>
          <w:rFonts w:asciiTheme="majorBidi" w:hAnsiTheme="majorBidi" w:cstheme="majorBidi"/>
          <w:sz w:val="24"/>
          <w:szCs w:val="24"/>
        </w:rPr>
        <w:t xml:space="preserve"> Technology in Society, 76, 102440. Available at: </w:t>
      </w:r>
      <w:hyperlink r:id="rId29" w:history="1">
        <w:r w:rsidRPr="007B0737">
          <w:rPr>
            <w:rStyle w:val="Hyperlink"/>
            <w:rFonts w:asciiTheme="majorBidi" w:hAnsiTheme="majorBidi"/>
            <w:sz w:val="24"/>
            <w:szCs w:val="24"/>
          </w:rPr>
          <w:t>https://doi.org/10.1016/J.TECHSOC.2023.102440</w:t>
        </w:r>
      </w:hyperlink>
      <w:r w:rsidRPr="007B0737">
        <w:rPr>
          <w:rFonts w:asciiTheme="majorBidi" w:hAnsiTheme="majorBidi" w:cstheme="majorBidi"/>
          <w:sz w:val="24"/>
          <w:szCs w:val="24"/>
        </w:rPr>
        <w:t xml:space="preserve"> </w:t>
      </w:r>
    </w:p>
    <w:p w14:paraId="2FC416AE"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 xml:space="preserve">Cheng, X., Lin, X., Shen, X. L., Zarifis, A., </w:t>
      </w:r>
      <w:r>
        <w:rPr>
          <w:rFonts w:asciiTheme="majorBidi" w:hAnsiTheme="majorBidi" w:cstheme="majorBidi"/>
          <w:color w:val="000000"/>
          <w:sz w:val="24"/>
          <w:szCs w:val="24"/>
        </w:rPr>
        <w:t>and</w:t>
      </w:r>
      <w:r w:rsidRPr="007B0737">
        <w:rPr>
          <w:rFonts w:asciiTheme="majorBidi" w:hAnsiTheme="majorBidi" w:cstheme="majorBidi"/>
          <w:color w:val="000000"/>
          <w:sz w:val="24"/>
          <w:szCs w:val="24"/>
        </w:rPr>
        <w:t xml:space="preserve"> Mou, J. (2022). “</w:t>
      </w:r>
      <w:r w:rsidRPr="007B0737">
        <w:rPr>
          <w:rFonts w:asciiTheme="majorBidi" w:hAnsiTheme="majorBidi" w:cstheme="majorBidi"/>
          <w:i/>
          <w:iCs/>
          <w:color w:val="000000"/>
          <w:sz w:val="24"/>
          <w:szCs w:val="24"/>
        </w:rPr>
        <w:t>The dark sides of AI”</w:t>
      </w:r>
      <w:r w:rsidRPr="007B0737">
        <w:rPr>
          <w:rFonts w:asciiTheme="majorBidi" w:hAnsiTheme="majorBidi" w:cstheme="majorBidi"/>
          <w:color w:val="000000"/>
          <w:sz w:val="24"/>
          <w:szCs w:val="24"/>
        </w:rPr>
        <w:t xml:space="preserve"> Electronic Markets 32(1), 11–15. Available at: </w:t>
      </w:r>
      <w:hyperlink r:id="rId30" w:history="1">
        <w:r w:rsidRPr="007B0737">
          <w:rPr>
            <w:rStyle w:val="Hyperlink"/>
            <w:rFonts w:asciiTheme="majorBidi" w:hAnsiTheme="majorBidi"/>
            <w:sz w:val="24"/>
            <w:szCs w:val="24"/>
          </w:rPr>
          <w:t>https://doi.org/10.1007/s12525-022-00531-5</w:t>
        </w:r>
      </w:hyperlink>
      <w:r w:rsidRPr="007B0737">
        <w:rPr>
          <w:rFonts w:asciiTheme="majorBidi" w:hAnsiTheme="majorBidi" w:cstheme="majorBidi"/>
          <w:color w:val="000000"/>
          <w:sz w:val="24"/>
          <w:szCs w:val="24"/>
        </w:rPr>
        <w:t xml:space="preserve"> </w:t>
      </w:r>
    </w:p>
    <w:p w14:paraId="10A6E5CF"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Chhillar, D., and Aguilera, R. V. (2022). “</w:t>
      </w:r>
      <w:r w:rsidRPr="007B0737">
        <w:rPr>
          <w:rFonts w:asciiTheme="majorBidi" w:hAnsiTheme="majorBidi" w:cstheme="majorBidi"/>
          <w:i/>
          <w:iCs/>
          <w:sz w:val="24"/>
          <w:szCs w:val="24"/>
        </w:rPr>
        <w:t>An Eye for Artificial Intelligence: Insights Into the Governance of Artificial Intelligence and Vision for Future Research”</w:t>
      </w:r>
      <w:r w:rsidRPr="007B0737">
        <w:rPr>
          <w:rFonts w:asciiTheme="majorBidi" w:hAnsiTheme="majorBidi" w:cstheme="majorBidi"/>
          <w:sz w:val="24"/>
          <w:szCs w:val="24"/>
        </w:rPr>
        <w:t xml:space="preserve"> Business and Society, 61(5), 1197–1241. Available at: </w:t>
      </w:r>
      <w:hyperlink r:id="rId31" w:history="1">
        <w:r w:rsidRPr="007B0737">
          <w:rPr>
            <w:rStyle w:val="Hyperlink"/>
            <w:rFonts w:asciiTheme="majorBidi" w:hAnsiTheme="majorBidi"/>
            <w:sz w:val="24"/>
            <w:szCs w:val="24"/>
          </w:rPr>
          <w:t>https://doi.org/10.1177/00076503221080959</w:t>
        </w:r>
      </w:hyperlink>
      <w:r w:rsidRPr="007B0737">
        <w:rPr>
          <w:rFonts w:asciiTheme="majorBidi" w:hAnsiTheme="majorBidi" w:cstheme="majorBidi"/>
          <w:sz w:val="24"/>
          <w:szCs w:val="24"/>
        </w:rPr>
        <w:t xml:space="preserve"> </w:t>
      </w:r>
    </w:p>
    <w:p w14:paraId="6DCAEC72"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Chien, C. F., Dauzère-Pérès, S., Huh, W. T., Jang, Y. J., and Morrison, J. R. (2020). “</w:t>
      </w:r>
      <w:r w:rsidRPr="007B0737">
        <w:rPr>
          <w:rFonts w:asciiTheme="majorBidi" w:hAnsiTheme="majorBidi" w:cstheme="majorBidi"/>
          <w:i/>
          <w:iCs/>
          <w:color w:val="000000"/>
          <w:sz w:val="24"/>
          <w:szCs w:val="24"/>
        </w:rPr>
        <w:t>Artificial intelligence in manufacturing and logistics systems: algorithms, applications, and case studies</w:t>
      </w:r>
      <w:r w:rsidRPr="007B0737">
        <w:rPr>
          <w:rFonts w:asciiTheme="majorBidi" w:hAnsiTheme="majorBidi" w:cstheme="majorBidi"/>
          <w:color w:val="000000"/>
          <w:sz w:val="24"/>
          <w:szCs w:val="24"/>
        </w:rPr>
        <w:t xml:space="preserve">” International Journal of Production Research 58(9), 2730–2731. Available at: </w:t>
      </w:r>
      <w:hyperlink r:id="rId32" w:history="1">
        <w:r w:rsidRPr="007B0737">
          <w:rPr>
            <w:rStyle w:val="Hyperlink"/>
            <w:rFonts w:asciiTheme="majorBidi" w:hAnsiTheme="majorBidi"/>
            <w:sz w:val="24"/>
            <w:szCs w:val="24"/>
          </w:rPr>
          <w:t>https://doi.org/10.1080/00207543.2020.1752488</w:t>
        </w:r>
      </w:hyperlink>
      <w:r w:rsidRPr="007B0737">
        <w:rPr>
          <w:rFonts w:asciiTheme="majorBidi" w:hAnsiTheme="majorBidi" w:cstheme="majorBidi"/>
          <w:color w:val="000000"/>
          <w:sz w:val="24"/>
          <w:szCs w:val="24"/>
        </w:rPr>
        <w:t xml:space="preserve"> </w:t>
      </w:r>
    </w:p>
    <w:p w14:paraId="1CDDBEBD"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 xml:space="preserve">Chowdhury, T., and Oredo, J. (2023). </w:t>
      </w:r>
      <w:r w:rsidRPr="007B0737">
        <w:rPr>
          <w:rFonts w:asciiTheme="majorBidi" w:hAnsiTheme="majorBidi" w:cstheme="majorBidi"/>
          <w:i/>
          <w:iCs/>
          <w:color w:val="000000"/>
          <w:sz w:val="24"/>
          <w:szCs w:val="24"/>
        </w:rPr>
        <w:t>“AI ethical biases: normative and information systems development conceptual framework”</w:t>
      </w:r>
      <w:r w:rsidRPr="007B0737">
        <w:rPr>
          <w:rFonts w:asciiTheme="majorBidi" w:hAnsiTheme="majorBidi" w:cstheme="majorBidi"/>
          <w:color w:val="000000"/>
          <w:sz w:val="24"/>
          <w:szCs w:val="24"/>
        </w:rPr>
        <w:t xml:space="preserve"> Journal of Decision Systems, 32(3), 617–633. Available at: </w:t>
      </w:r>
      <w:hyperlink r:id="rId33" w:history="1">
        <w:r w:rsidRPr="007B0737">
          <w:rPr>
            <w:rStyle w:val="Hyperlink"/>
            <w:rFonts w:asciiTheme="majorBidi" w:hAnsiTheme="majorBidi"/>
            <w:sz w:val="24"/>
            <w:szCs w:val="24"/>
          </w:rPr>
          <w:t>https://doi.org/10.1080/12460125.2022.2062849</w:t>
        </w:r>
      </w:hyperlink>
      <w:r w:rsidRPr="007B0737">
        <w:rPr>
          <w:rFonts w:asciiTheme="majorBidi" w:hAnsiTheme="majorBidi" w:cstheme="majorBidi"/>
          <w:color w:val="000000"/>
          <w:sz w:val="24"/>
          <w:szCs w:val="24"/>
        </w:rPr>
        <w:t xml:space="preserve"> </w:t>
      </w:r>
    </w:p>
    <w:p w14:paraId="01EB0CBD"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Conti, L. G., and Seele, P. (2023). “</w:t>
      </w:r>
      <w:r w:rsidRPr="007B0737">
        <w:rPr>
          <w:rFonts w:asciiTheme="majorBidi" w:hAnsiTheme="majorBidi" w:cstheme="majorBidi"/>
          <w:i/>
          <w:iCs/>
          <w:sz w:val="24"/>
          <w:szCs w:val="24"/>
        </w:rPr>
        <w:t>The contested role of AI ethics boards in smart societies: a step towards improvement based on board composition by sortition.”</w:t>
      </w:r>
      <w:r w:rsidRPr="007B0737">
        <w:rPr>
          <w:rFonts w:asciiTheme="majorBidi" w:hAnsiTheme="majorBidi" w:cstheme="majorBidi"/>
          <w:sz w:val="24"/>
          <w:szCs w:val="24"/>
        </w:rPr>
        <w:t xml:space="preserve"> Ethics and Information Technology, 25(4). Available at: </w:t>
      </w:r>
      <w:hyperlink r:id="rId34" w:history="1">
        <w:r w:rsidRPr="007B0737">
          <w:rPr>
            <w:rStyle w:val="Hyperlink"/>
            <w:rFonts w:asciiTheme="majorBidi" w:hAnsiTheme="majorBidi"/>
            <w:sz w:val="24"/>
            <w:szCs w:val="24"/>
          </w:rPr>
          <w:t>https://doi.org/10.1007/s10676-023-09724-8</w:t>
        </w:r>
      </w:hyperlink>
      <w:r w:rsidRPr="007B0737">
        <w:rPr>
          <w:rFonts w:asciiTheme="majorBidi" w:hAnsiTheme="majorBidi" w:cstheme="majorBidi"/>
          <w:sz w:val="24"/>
          <w:szCs w:val="24"/>
        </w:rPr>
        <w:t xml:space="preserve"> </w:t>
      </w:r>
    </w:p>
    <w:p w14:paraId="31546B5A" w14:textId="77777777" w:rsidR="00AE272A" w:rsidRPr="007B0737" w:rsidRDefault="00AE272A" w:rsidP="003E7B09">
      <w:pPr>
        <w:autoSpaceDE w:val="0"/>
        <w:autoSpaceDN w:val="0"/>
        <w:jc w:val="both"/>
        <w:rPr>
          <w:rFonts w:asciiTheme="majorBidi" w:eastAsia="Times New Roman" w:hAnsiTheme="majorBidi" w:cstheme="majorBidi"/>
          <w:kern w:val="0"/>
          <w:sz w:val="24"/>
          <w:szCs w:val="24"/>
          <w14:ligatures w14:val="none"/>
        </w:rPr>
      </w:pPr>
      <w:r w:rsidRPr="007B0737">
        <w:rPr>
          <w:rFonts w:asciiTheme="majorBidi" w:eastAsia="Times New Roman" w:hAnsiTheme="majorBidi" w:cstheme="majorBidi"/>
          <w:sz w:val="24"/>
          <w:szCs w:val="24"/>
        </w:rPr>
        <w:lastRenderedPageBreak/>
        <w:t>Cysneiros, L. M., and do Prado Leite, J. C. S. (2020). “</w:t>
      </w:r>
      <w:r w:rsidRPr="007B0737">
        <w:rPr>
          <w:rFonts w:asciiTheme="majorBidi" w:eastAsia="Times New Roman" w:hAnsiTheme="majorBidi" w:cstheme="majorBidi"/>
          <w:i/>
          <w:iCs/>
          <w:sz w:val="24"/>
          <w:szCs w:val="24"/>
        </w:rPr>
        <w:t>Non-functional requirements orienting the development of socially responsible software.”</w:t>
      </w:r>
      <w:r w:rsidRPr="007B0737">
        <w:rPr>
          <w:rFonts w:asciiTheme="majorBidi" w:eastAsia="Times New Roman" w:hAnsiTheme="majorBidi" w:cstheme="majorBidi"/>
          <w:sz w:val="24"/>
          <w:szCs w:val="24"/>
        </w:rPr>
        <w:t xml:space="preserve"> Lecture Notes in Business Information Processing, 387 LNBIP, 335–342. Available at: </w:t>
      </w:r>
      <w:hyperlink r:id="rId35" w:history="1">
        <w:r w:rsidRPr="007B0737">
          <w:rPr>
            <w:rStyle w:val="Hyperlink"/>
            <w:rFonts w:asciiTheme="majorBidi" w:eastAsia="Times New Roman" w:hAnsiTheme="majorBidi"/>
            <w:sz w:val="24"/>
            <w:szCs w:val="24"/>
          </w:rPr>
          <w:t>https://doi.org/10.1007/978-3-030-49418-6_23</w:t>
        </w:r>
      </w:hyperlink>
      <w:r w:rsidRPr="007B0737">
        <w:rPr>
          <w:rFonts w:asciiTheme="majorBidi" w:eastAsia="Times New Roman" w:hAnsiTheme="majorBidi" w:cstheme="majorBidi"/>
          <w:sz w:val="24"/>
          <w:szCs w:val="24"/>
        </w:rPr>
        <w:t xml:space="preserve"> </w:t>
      </w:r>
    </w:p>
    <w:p w14:paraId="0EA73A7C"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 xml:space="preserve">D’Cruz, P., Du, S., Noronha, E., Parboteeah, K. P., Trittin-Ulbrich, H., and Whelan, G. (2022). </w:t>
      </w:r>
      <w:r w:rsidRPr="007B0737">
        <w:rPr>
          <w:rFonts w:asciiTheme="majorBidi" w:hAnsiTheme="majorBidi" w:cstheme="majorBidi"/>
          <w:i/>
          <w:iCs/>
          <w:color w:val="000000"/>
          <w:sz w:val="24"/>
          <w:szCs w:val="24"/>
        </w:rPr>
        <w:t>“Technology, Megatrends and Work: Thoughts on the Future of Business Ethics</w:t>
      </w:r>
      <w:r w:rsidRPr="007B0737">
        <w:rPr>
          <w:rFonts w:asciiTheme="majorBidi" w:hAnsiTheme="majorBidi" w:cstheme="majorBidi"/>
          <w:color w:val="000000"/>
          <w:sz w:val="24"/>
          <w:szCs w:val="24"/>
        </w:rPr>
        <w:t xml:space="preserve">” Journal of Business Ethics, 180(3), 879–902. Available at:  </w:t>
      </w:r>
      <w:hyperlink r:id="rId36" w:history="1">
        <w:r w:rsidRPr="007B0737">
          <w:rPr>
            <w:rStyle w:val="Hyperlink"/>
            <w:rFonts w:asciiTheme="majorBidi" w:hAnsiTheme="majorBidi"/>
            <w:sz w:val="24"/>
            <w:szCs w:val="24"/>
          </w:rPr>
          <w:t>https://doi.org/10.1007/s10551-022-05240-9</w:t>
        </w:r>
      </w:hyperlink>
      <w:r w:rsidRPr="007B0737">
        <w:rPr>
          <w:rFonts w:asciiTheme="majorBidi" w:hAnsiTheme="majorBidi" w:cstheme="majorBidi"/>
          <w:color w:val="000000"/>
          <w:sz w:val="24"/>
          <w:szCs w:val="24"/>
        </w:rPr>
        <w:t xml:space="preserve"> </w:t>
      </w:r>
    </w:p>
    <w:p w14:paraId="407B68E9"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da Motta Veiga, S. P., Figueroa-Armijos, M., and Clark, B. B. (2023). “</w:t>
      </w:r>
      <w:r w:rsidRPr="007B0737">
        <w:rPr>
          <w:rFonts w:asciiTheme="majorBidi" w:hAnsiTheme="majorBidi" w:cstheme="majorBidi"/>
          <w:i/>
          <w:iCs/>
          <w:sz w:val="24"/>
          <w:szCs w:val="24"/>
        </w:rPr>
        <w:t xml:space="preserve">Seeming Ethical Makes You Attractive: Unraveling How Ethical Perceptions of AI in Hiring Impacts Organizational Innovativeness and Attractiveness.” </w:t>
      </w:r>
      <w:r w:rsidRPr="007B0737">
        <w:rPr>
          <w:rFonts w:asciiTheme="majorBidi" w:hAnsiTheme="majorBidi" w:cstheme="majorBidi"/>
          <w:sz w:val="24"/>
          <w:szCs w:val="24"/>
        </w:rPr>
        <w:t xml:space="preserve">Journal of Business Ethics, 186(1), 199–216. Available at: </w:t>
      </w:r>
      <w:hyperlink r:id="rId37" w:history="1">
        <w:r w:rsidRPr="007B0737">
          <w:rPr>
            <w:rStyle w:val="Hyperlink"/>
            <w:rFonts w:asciiTheme="majorBidi" w:hAnsiTheme="majorBidi"/>
            <w:sz w:val="24"/>
            <w:szCs w:val="24"/>
          </w:rPr>
          <w:t>https://doi.org/10.1007/s10551-023-05380-6</w:t>
        </w:r>
      </w:hyperlink>
      <w:r w:rsidRPr="007B0737">
        <w:rPr>
          <w:rFonts w:asciiTheme="majorBidi" w:hAnsiTheme="majorBidi" w:cstheme="majorBidi"/>
          <w:sz w:val="24"/>
          <w:szCs w:val="24"/>
        </w:rPr>
        <w:t xml:space="preserve"> </w:t>
      </w:r>
    </w:p>
    <w:p w14:paraId="59747F85"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Dahlsrud, A. (2008). “</w:t>
      </w:r>
      <w:r w:rsidRPr="007B0737">
        <w:rPr>
          <w:rFonts w:asciiTheme="majorBidi" w:hAnsiTheme="majorBidi" w:cstheme="majorBidi"/>
          <w:i/>
          <w:iCs/>
          <w:sz w:val="24"/>
          <w:szCs w:val="24"/>
        </w:rPr>
        <w:t>How corporate social responsibility is defined: An analysis of 37 definitions</w:t>
      </w:r>
      <w:r w:rsidRPr="007B0737">
        <w:rPr>
          <w:rFonts w:asciiTheme="majorBidi" w:hAnsiTheme="majorBidi" w:cstheme="majorBidi"/>
          <w:sz w:val="24"/>
          <w:szCs w:val="24"/>
        </w:rPr>
        <w:t>” Corporate Social Responsibility and Environmental Management. Vol 15, pp 1–13.</w:t>
      </w:r>
    </w:p>
    <w:p w14:paraId="654CF917"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De Pelsmacker, P., Diehl, S., Neijens, P., and Terlutter, R. (2023). “</w:t>
      </w:r>
      <w:r w:rsidRPr="007B0737">
        <w:rPr>
          <w:rFonts w:asciiTheme="majorBidi" w:hAnsiTheme="majorBidi" w:cstheme="majorBidi"/>
          <w:i/>
          <w:iCs/>
          <w:sz w:val="24"/>
          <w:szCs w:val="24"/>
        </w:rPr>
        <w:t xml:space="preserve">Editorial: Perspectives on advancing the advertising field for academics and practitioners. Celebrating 40 years of the International Journal of Advertising.” </w:t>
      </w:r>
      <w:r w:rsidRPr="007B0737">
        <w:rPr>
          <w:rFonts w:asciiTheme="majorBidi" w:hAnsiTheme="majorBidi" w:cstheme="majorBidi"/>
          <w:sz w:val="24"/>
          <w:szCs w:val="24"/>
        </w:rPr>
        <w:t xml:space="preserve">International Journal of Advertising, 42(1), 1–12. Available at: </w:t>
      </w:r>
      <w:hyperlink r:id="rId38" w:history="1">
        <w:r w:rsidRPr="007B0737">
          <w:rPr>
            <w:rStyle w:val="Hyperlink"/>
            <w:rFonts w:asciiTheme="majorBidi" w:hAnsiTheme="majorBidi"/>
            <w:sz w:val="24"/>
            <w:szCs w:val="24"/>
          </w:rPr>
          <w:t>https://doi.org/10.1080/02650487.2022.2131279</w:t>
        </w:r>
      </w:hyperlink>
      <w:r w:rsidRPr="007B0737">
        <w:rPr>
          <w:rFonts w:asciiTheme="majorBidi" w:hAnsiTheme="majorBidi" w:cstheme="majorBidi"/>
          <w:sz w:val="24"/>
          <w:szCs w:val="24"/>
        </w:rPr>
        <w:t xml:space="preserve"> </w:t>
      </w:r>
    </w:p>
    <w:p w14:paraId="54FCD726" w14:textId="77777777" w:rsidR="00AE272A"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de Souza, M., Pereira, G. M., Lopes de Sousa Jabbour, A. B., Chiappetta Jabbour, C. J., Trento, L. R., Borchardt, M., and  Zvirtes, L. (2021). “</w:t>
      </w:r>
      <w:r w:rsidRPr="007B0737">
        <w:rPr>
          <w:rFonts w:asciiTheme="majorBidi" w:hAnsiTheme="majorBidi" w:cstheme="majorBidi"/>
          <w:i/>
          <w:iCs/>
          <w:sz w:val="24"/>
          <w:szCs w:val="24"/>
        </w:rPr>
        <w:t>A digitally enabled circular economy for mitigating food waste: Understanding innovative marketing strategies in the context of an emerging economy</w:t>
      </w:r>
      <w:r w:rsidRPr="007B0737">
        <w:rPr>
          <w:rFonts w:asciiTheme="majorBidi" w:hAnsiTheme="majorBidi" w:cstheme="majorBidi"/>
          <w:sz w:val="24"/>
          <w:szCs w:val="24"/>
        </w:rPr>
        <w:t xml:space="preserve">.” Technological Forecasting and Social Change, 173. Available at: </w:t>
      </w:r>
      <w:hyperlink r:id="rId39" w:history="1">
        <w:r w:rsidRPr="007B0737">
          <w:rPr>
            <w:rStyle w:val="Hyperlink"/>
            <w:rFonts w:asciiTheme="majorBidi" w:hAnsiTheme="majorBidi"/>
            <w:sz w:val="24"/>
            <w:szCs w:val="24"/>
          </w:rPr>
          <w:t>https://doi.org/10.1016/j.techfore.2021.121062</w:t>
        </w:r>
      </w:hyperlink>
      <w:r w:rsidRPr="007B0737">
        <w:rPr>
          <w:rFonts w:asciiTheme="majorBidi" w:hAnsiTheme="majorBidi" w:cstheme="majorBidi"/>
          <w:sz w:val="24"/>
          <w:szCs w:val="24"/>
        </w:rPr>
        <w:t xml:space="preserve"> </w:t>
      </w:r>
    </w:p>
    <w:p w14:paraId="02D6A6F3" w14:textId="77777777" w:rsidR="00AE272A" w:rsidRPr="007B0737" w:rsidRDefault="00AE272A" w:rsidP="003E7B09">
      <w:pPr>
        <w:jc w:val="both"/>
        <w:rPr>
          <w:rFonts w:asciiTheme="majorBidi" w:hAnsiTheme="majorBidi" w:cstheme="majorBidi"/>
          <w:sz w:val="24"/>
          <w:szCs w:val="24"/>
        </w:rPr>
      </w:pPr>
      <w:r w:rsidRPr="00CD5303">
        <w:rPr>
          <w:rFonts w:asciiTheme="majorBidi" w:hAnsiTheme="majorBidi" w:cstheme="majorBidi"/>
          <w:sz w:val="24"/>
          <w:szCs w:val="24"/>
        </w:rPr>
        <w:t xml:space="preserve">Doellgast, V. (2023). </w:t>
      </w:r>
      <w:r w:rsidRPr="00CD5303">
        <w:rPr>
          <w:rFonts w:asciiTheme="majorBidi" w:hAnsiTheme="majorBidi" w:cstheme="majorBidi"/>
          <w:i/>
          <w:iCs/>
          <w:sz w:val="24"/>
          <w:szCs w:val="24"/>
        </w:rPr>
        <w:t>“Strengthening social regulation in the digital economy: comparative findings from the ICT industry.”</w:t>
      </w:r>
      <w:r w:rsidRPr="00CD5303">
        <w:rPr>
          <w:rFonts w:asciiTheme="majorBidi" w:hAnsiTheme="majorBidi" w:cstheme="majorBidi"/>
          <w:sz w:val="24"/>
          <w:szCs w:val="24"/>
        </w:rPr>
        <w:t xml:space="preserve"> Labour &amp; Industry, </w:t>
      </w:r>
      <w:r w:rsidRPr="00CD5303">
        <w:rPr>
          <w:rFonts w:asciiTheme="majorBidi" w:hAnsiTheme="majorBidi" w:cstheme="majorBidi"/>
          <w:i/>
          <w:iCs/>
          <w:sz w:val="24"/>
          <w:szCs w:val="24"/>
        </w:rPr>
        <w:t>33</w:t>
      </w:r>
      <w:r w:rsidRPr="00CD5303">
        <w:rPr>
          <w:rFonts w:asciiTheme="majorBidi" w:hAnsiTheme="majorBidi" w:cstheme="majorBidi"/>
          <w:sz w:val="24"/>
          <w:szCs w:val="24"/>
        </w:rPr>
        <w:t xml:space="preserve">(1), 22–38. </w:t>
      </w:r>
      <w:r>
        <w:rPr>
          <w:rFonts w:asciiTheme="majorBidi" w:hAnsiTheme="majorBidi" w:cstheme="majorBidi"/>
          <w:sz w:val="24"/>
          <w:szCs w:val="24"/>
        </w:rPr>
        <w:t xml:space="preserve">Available at: </w:t>
      </w:r>
      <w:hyperlink r:id="rId40" w:history="1">
        <w:r w:rsidRPr="00CD5303">
          <w:rPr>
            <w:rStyle w:val="Hyperlink"/>
            <w:rFonts w:asciiTheme="majorBidi" w:hAnsiTheme="majorBidi" w:cstheme="majorBidi"/>
            <w:sz w:val="24"/>
            <w:szCs w:val="24"/>
          </w:rPr>
          <w:t>https://doi.org/10.1080/10301763.2022.2111987</w:t>
        </w:r>
      </w:hyperlink>
      <w:r>
        <w:rPr>
          <w:rFonts w:asciiTheme="majorBidi" w:hAnsiTheme="majorBidi" w:cstheme="majorBidi"/>
          <w:sz w:val="24"/>
          <w:szCs w:val="24"/>
        </w:rPr>
        <w:t xml:space="preserve"> </w:t>
      </w:r>
    </w:p>
    <w:p w14:paraId="7FCF5918"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Du, S., and Xie, C. (2021). “</w:t>
      </w:r>
      <w:r w:rsidRPr="007B0737">
        <w:rPr>
          <w:rFonts w:asciiTheme="majorBidi" w:hAnsiTheme="majorBidi" w:cstheme="majorBidi"/>
          <w:i/>
          <w:iCs/>
          <w:sz w:val="24"/>
          <w:szCs w:val="24"/>
        </w:rPr>
        <w:t>Paradoxes of artificial intelligence in consumer markets: Ethical challenges and opportunities”</w:t>
      </w:r>
      <w:r w:rsidRPr="007B0737">
        <w:rPr>
          <w:rFonts w:asciiTheme="majorBidi" w:hAnsiTheme="majorBidi" w:cstheme="majorBidi"/>
          <w:sz w:val="24"/>
          <w:szCs w:val="24"/>
        </w:rPr>
        <w:t xml:space="preserve"> Journal of Business Research, 129, 961–974. Available at: </w:t>
      </w:r>
      <w:hyperlink r:id="rId41" w:history="1">
        <w:r w:rsidRPr="007B0737">
          <w:rPr>
            <w:rStyle w:val="Hyperlink"/>
            <w:rFonts w:asciiTheme="majorBidi" w:hAnsiTheme="majorBidi"/>
            <w:sz w:val="24"/>
            <w:szCs w:val="24"/>
          </w:rPr>
          <w:t>https://doi.org/10.1016/j.jbusres.2020.08.024</w:t>
        </w:r>
      </w:hyperlink>
      <w:r w:rsidRPr="007B0737">
        <w:rPr>
          <w:rFonts w:asciiTheme="majorBidi" w:hAnsiTheme="majorBidi" w:cstheme="majorBidi"/>
          <w:sz w:val="24"/>
          <w:szCs w:val="24"/>
        </w:rPr>
        <w:t xml:space="preserve"> </w:t>
      </w:r>
    </w:p>
    <w:p w14:paraId="5099DCFD"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Du, S., El Akremi, A., and Jia, M. (2023). “</w:t>
      </w:r>
      <w:r w:rsidRPr="007B0737">
        <w:rPr>
          <w:rFonts w:asciiTheme="majorBidi" w:hAnsiTheme="majorBidi" w:cstheme="majorBidi"/>
          <w:i/>
          <w:iCs/>
          <w:sz w:val="24"/>
          <w:szCs w:val="24"/>
        </w:rPr>
        <w:t>Quantitative Research on Corporate Social Responsibility: A Quest for Relevance and Rigor in a Quickly Evolving, Turbulent World”</w:t>
      </w:r>
      <w:r w:rsidRPr="007B0737">
        <w:rPr>
          <w:rFonts w:asciiTheme="majorBidi" w:hAnsiTheme="majorBidi" w:cstheme="majorBidi"/>
          <w:sz w:val="24"/>
          <w:szCs w:val="24"/>
        </w:rPr>
        <w:t xml:space="preserve"> Journal of Business Ethics, 187(1), 1–15. Available at: </w:t>
      </w:r>
      <w:hyperlink r:id="rId42" w:history="1">
        <w:r w:rsidRPr="007B0737">
          <w:rPr>
            <w:rStyle w:val="Hyperlink"/>
            <w:rFonts w:asciiTheme="majorBidi" w:hAnsiTheme="majorBidi"/>
            <w:sz w:val="24"/>
            <w:szCs w:val="24"/>
          </w:rPr>
          <w:t>https://doi.org/10.1007/s10551-022-05297-6</w:t>
        </w:r>
      </w:hyperlink>
      <w:r w:rsidRPr="007B0737">
        <w:rPr>
          <w:rFonts w:asciiTheme="majorBidi" w:hAnsiTheme="majorBidi" w:cstheme="majorBidi"/>
          <w:sz w:val="24"/>
          <w:szCs w:val="24"/>
        </w:rPr>
        <w:t xml:space="preserve"> </w:t>
      </w:r>
    </w:p>
    <w:p w14:paraId="39BFBCA3" w14:textId="77777777" w:rsidR="00AE272A" w:rsidRPr="007B0737" w:rsidRDefault="00AE272A" w:rsidP="003E7B09">
      <w:pPr>
        <w:autoSpaceDE w:val="0"/>
        <w:autoSpaceDN w:val="0"/>
        <w:jc w:val="both"/>
        <w:rPr>
          <w:rFonts w:asciiTheme="majorBidi" w:eastAsia="Times New Roman" w:hAnsiTheme="majorBidi" w:cstheme="majorBidi"/>
          <w:sz w:val="24"/>
          <w:szCs w:val="24"/>
        </w:rPr>
      </w:pPr>
      <w:r w:rsidRPr="007B0737">
        <w:rPr>
          <w:rFonts w:asciiTheme="majorBidi" w:eastAsia="Times New Roman" w:hAnsiTheme="majorBidi" w:cstheme="majorBidi"/>
          <w:sz w:val="24"/>
          <w:szCs w:val="24"/>
        </w:rPr>
        <w:t>Dzhengiz, T., Miller, E. M., Ovaska, J. P., and Patala, S. (2023). “</w:t>
      </w:r>
      <w:r w:rsidRPr="007B0737">
        <w:rPr>
          <w:rFonts w:asciiTheme="majorBidi" w:eastAsia="Times New Roman" w:hAnsiTheme="majorBidi" w:cstheme="majorBidi"/>
          <w:i/>
          <w:iCs/>
          <w:sz w:val="24"/>
          <w:szCs w:val="24"/>
        </w:rPr>
        <w:t>Unpacking the circular economy: A problematizing review.”</w:t>
      </w:r>
      <w:r w:rsidRPr="007B0737">
        <w:rPr>
          <w:rFonts w:asciiTheme="majorBidi" w:eastAsia="Times New Roman" w:hAnsiTheme="majorBidi" w:cstheme="majorBidi"/>
          <w:sz w:val="24"/>
          <w:szCs w:val="24"/>
        </w:rPr>
        <w:t xml:space="preserve"> International Journal of Management Reviews, 25(2), 270–296. Available at: </w:t>
      </w:r>
      <w:hyperlink r:id="rId43" w:history="1">
        <w:r w:rsidRPr="007B0737">
          <w:rPr>
            <w:rStyle w:val="Hyperlink"/>
            <w:rFonts w:asciiTheme="majorBidi" w:eastAsia="Times New Roman" w:hAnsiTheme="majorBidi"/>
            <w:sz w:val="24"/>
            <w:szCs w:val="24"/>
          </w:rPr>
          <w:t>https://doi.org/10.1111/ijmr.12329</w:t>
        </w:r>
      </w:hyperlink>
      <w:r w:rsidRPr="007B0737">
        <w:rPr>
          <w:rFonts w:asciiTheme="majorBidi" w:eastAsia="Times New Roman" w:hAnsiTheme="majorBidi" w:cstheme="majorBidi"/>
          <w:sz w:val="24"/>
          <w:szCs w:val="24"/>
        </w:rPr>
        <w:t xml:space="preserve"> </w:t>
      </w:r>
    </w:p>
    <w:p w14:paraId="0BB4942E" w14:textId="77777777" w:rsidR="00AE272A" w:rsidRPr="007B0737" w:rsidRDefault="00AE272A" w:rsidP="003E7B09">
      <w:pPr>
        <w:autoSpaceDE w:val="0"/>
        <w:autoSpaceDN w:val="0"/>
        <w:jc w:val="both"/>
        <w:rPr>
          <w:rFonts w:asciiTheme="majorBidi" w:eastAsia="Times New Roman" w:hAnsiTheme="majorBidi" w:cstheme="majorBidi"/>
          <w:sz w:val="24"/>
          <w:szCs w:val="24"/>
        </w:rPr>
      </w:pPr>
      <w:r w:rsidRPr="007B0737">
        <w:rPr>
          <w:rFonts w:asciiTheme="majorBidi" w:eastAsia="Times New Roman" w:hAnsiTheme="majorBidi" w:cstheme="majorBidi"/>
          <w:sz w:val="24"/>
          <w:szCs w:val="24"/>
        </w:rPr>
        <w:t>Ekimova, K. V. (2023). “</w:t>
      </w:r>
      <w:r w:rsidRPr="007B0737">
        <w:rPr>
          <w:rFonts w:asciiTheme="majorBidi" w:eastAsia="Times New Roman" w:hAnsiTheme="majorBidi" w:cstheme="majorBidi"/>
          <w:i/>
          <w:iCs/>
          <w:sz w:val="24"/>
          <w:szCs w:val="24"/>
        </w:rPr>
        <w:t xml:space="preserve">Development of the potential of the digital economy of Russian regions through artificial intelligence humanisation”. </w:t>
      </w:r>
      <w:r w:rsidRPr="007B0737">
        <w:rPr>
          <w:rFonts w:asciiTheme="majorBidi" w:eastAsia="Times New Roman" w:hAnsiTheme="majorBidi" w:cstheme="majorBidi"/>
          <w:sz w:val="24"/>
          <w:szCs w:val="24"/>
        </w:rPr>
        <w:t xml:space="preserve">Humanities and Social Sciences Communications, 10(1). Available at: </w:t>
      </w:r>
      <w:hyperlink r:id="rId44" w:history="1">
        <w:r w:rsidRPr="007B0737">
          <w:rPr>
            <w:rStyle w:val="Hyperlink"/>
            <w:rFonts w:asciiTheme="majorBidi" w:eastAsia="Times New Roman" w:hAnsiTheme="majorBidi"/>
            <w:sz w:val="24"/>
            <w:szCs w:val="24"/>
          </w:rPr>
          <w:t>https://doi.org/10.1057/s41599-023-02444-w</w:t>
        </w:r>
      </w:hyperlink>
      <w:r w:rsidRPr="007B0737">
        <w:rPr>
          <w:rFonts w:asciiTheme="majorBidi" w:eastAsia="Times New Roman" w:hAnsiTheme="majorBidi" w:cstheme="majorBidi"/>
          <w:sz w:val="24"/>
          <w:szCs w:val="24"/>
        </w:rPr>
        <w:t xml:space="preserve"> </w:t>
      </w:r>
    </w:p>
    <w:p w14:paraId="29A56FD2"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Ellen Macarthur Foundation (2023) “</w:t>
      </w:r>
      <w:r w:rsidRPr="007B0737">
        <w:rPr>
          <w:rFonts w:asciiTheme="majorBidi" w:hAnsiTheme="majorBidi" w:cstheme="majorBidi"/>
          <w:i/>
          <w:iCs/>
          <w:sz w:val="24"/>
          <w:szCs w:val="24"/>
        </w:rPr>
        <w:t>What is a Circular Economy?”</w:t>
      </w:r>
      <w:r w:rsidRPr="007B0737">
        <w:rPr>
          <w:rFonts w:asciiTheme="majorBidi" w:hAnsiTheme="majorBidi" w:cstheme="majorBidi"/>
          <w:sz w:val="24"/>
          <w:szCs w:val="24"/>
        </w:rPr>
        <w:t xml:space="preserve"> (Online) Available at: </w:t>
      </w:r>
      <w:hyperlink r:id="rId45" w:history="1">
        <w:r w:rsidRPr="007B0737">
          <w:rPr>
            <w:rStyle w:val="Hyperlink"/>
            <w:rFonts w:asciiTheme="majorBidi" w:hAnsiTheme="majorBidi"/>
            <w:sz w:val="24"/>
            <w:szCs w:val="24"/>
          </w:rPr>
          <w:t>https://www.ellenmacarthurfoundation.org/topics/circular-economy-introduction/overview</w:t>
        </w:r>
      </w:hyperlink>
      <w:r w:rsidRPr="007B0737">
        <w:rPr>
          <w:rFonts w:asciiTheme="majorBidi" w:hAnsiTheme="majorBidi" w:cstheme="majorBidi"/>
          <w:sz w:val="24"/>
          <w:szCs w:val="24"/>
        </w:rPr>
        <w:t xml:space="preserve"> (Accessed 11th January 2024).</w:t>
      </w:r>
    </w:p>
    <w:p w14:paraId="4ABF8D3A" w14:textId="77777777" w:rsidR="00AE272A" w:rsidRPr="007B0737" w:rsidRDefault="00AE272A" w:rsidP="003E7B09">
      <w:pPr>
        <w:autoSpaceDE w:val="0"/>
        <w:autoSpaceDN w:val="0"/>
        <w:jc w:val="both"/>
        <w:rPr>
          <w:rFonts w:asciiTheme="majorBidi" w:eastAsia="Times New Roman" w:hAnsiTheme="majorBidi" w:cstheme="majorBidi"/>
          <w:kern w:val="0"/>
          <w:sz w:val="24"/>
          <w:szCs w:val="24"/>
          <w14:ligatures w14:val="none"/>
        </w:rPr>
      </w:pPr>
      <w:r w:rsidRPr="007B0737">
        <w:rPr>
          <w:rFonts w:asciiTheme="majorBidi" w:eastAsia="Times New Roman" w:hAnsiTheme="majorBidi" w:cstheme="majorBidi"/>
          <w:sz w:val="24"/>
          <w:szCs w:val="24"/>
        </w:rPr>
        <w:lastRenderedPageBreak/>
        <w:t>Esposito, B., Raimo, N., Malandrino, O., and Vitolla, F. (2023). “</w:t>
      </w:r>
      <w:r w:rsidRPr="007B0737">
        <w:rPr>
          <w:rFonts w:asciiTheme="majorBidi" w:eastAsia="Times New Roman" w:hAnsiTheme="majorBidi" w:cstheme="majorBidi"/>
          <w:i/>
          <w:iCs/>
          <w:sz w:val="24"/>
          <w:szCs w:val="24"/>
        </w:rPr>
        <w:t>Circular economy disclosure and integrated reporting: The role of corporate governance mechanisms.”</w:t>
      </w:r>
      <w:r w:rsidRPr="007B0737">
        <w:rPr>
          <w:rFonts w:asciiTheme="majorBidi" w:eastAsia="Times New Roman" w:hAnsiTheme="majorBidi" w:cstheme="majorBidi"/>
          <w:sz w:val="24"/>
          <w:szCs w:val="24"/>
        </w:rPr>
        <w:t xml:space="preserve"> Business Strategy and the Environment. Available at: </w:t>
      </w:r>
      <w:hyperlink r:id="rId46" w:history="1">
        <w:r w:rsidRPr="007B0737">
          <w:rPr>
            <w:rStyle w:val="Hyperlink"/>
            <w:rFonts w:asciiTheme="majorBidi" w:eastAsia="Times New Roman" w:hAnsiTheme="majorBidi"/>
            <w:sz w:val="24"/>
            <w:szCs w:val="24"/>
          </w:rPr>
          <w:t>https://doi.org/10.1002/bse.3427</w:t>
        </w:r>
      </w:hyperlink>
      <w:r w:rsidRPr="007B0737">
        <w:rPr>
          <w:rFonts w:asciiTheme="majorBidi" w:eastAsia="Times New Roman" w:hAnsiTheme="majorBidi" w:cstheme="majorBidi"/>
          <w:sz w:val="24"/>
          <w:szCs w:val="24"/>
        </w:rPr>
        <w:t xml:space="preserve"> </w:t>
      </w:r>
    </w:p>
    <w:p w14:paraId="3199BDEB"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 xml:space="preserve">Esposito, M., Tse, T., and Soufani, K. (2018). </w:t>
      </w:r>
      <w:r w:rsidRPr="007B0737">
        <w:rPr>
          <w:rFonts w:asciiTheme="majorBidi" w:hAnsiTheme="majorBidi" w:cstheme="majorBidi"/>
          <w:i/>
          <w:iCs/>
          <w:sz w:val="24"/>
          <w:szCs w:val="24"/>
        </w:rPr>
        <w:t xml:space="preserve">“Introducing a Circular Economy: New Thinking with New Managerial and Policy Implications” </w:t>
      </w:r>
      <w:r w:rsidRPr="007B0737">
        <w:rPr>
          <w:rFonts w:asciiTheme="majorBidi" w:hAnsiTheme="majorBidi" w:cstheme="majorBidi"/>
          <w:sz w:val="24"/>
          <w:szCs w:val="24"/>
        </w:rPr>
        <w:t xml:space="preserve">California Management Review, 60(3), 5–19. Available at: </w:t>
      </w:r>
      <w:hyperlink r:id="rId47" w:history="1">
        <w:r w:rsidRPr="007B0737">
          <w:rPr>
            <w:rStyle w:val="Hyperlink"/>
            <w:rFonts w:asciiTheme="majorBidi" w:hAnsiTheme="majorBidi"/>
            <w:sz w:val="24"/>
            <w:szCs w:val="24"/>
          </w:rPr>
          <w:t>https://doi.org/10.1177/0008125618764691</w:t>
        </w:r>
      </w:hyperlink>
      <w:r w:rsidRPr="007B0737">
        <w:rPr>
          <w:rFonts w:asciiTheme="majorBidi" w:hAnsiTheme="majorBidi" w:cstheme="majorBidi"/>
          <w:sz w:val="24"/>
          <w:szCs w:val="24"/>
        </w:rPr>
        <w:t xml:space="preserve"> </w:t>
      </w:r>
    </w:p>
    <w:p w14:paraId="72179DA9"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Fonseca, L. M., Domingues, J. P., and Dima, A. M. (2020). “</w:t>
      </w:r>
      <w:r w:rsidRPr="007B0737">
        <w:rPr>
          <w:rFonts w:asciiTheme="majorBidi" w:hAnsiTheme="majorBidi" w:cstheme="majorBidi"/>
          <w:i/>
          <w:iCs/>
          <w:sz w:val="24"/>
          <w:szCs w:val="24"/>
        </w:rPr>
        <w:t>Mapping the sustainable development goals relationships”</w:t>
      </w:r>
      <w:r w:rsidRPr="007B0737">
        <w:rPr>
          <w:rFonts w:asciiTheme="majorBidi" w:hAnsiTheme="majorBidi" w:cstheme="majorBidi"/>
          <w:sz w:val="24"/>
          <w:szCs w:val="24"/>
        </w:rPr>
        <w:t xml:space="preserve"> Sustainability, 12(8), 3359.</w:t>
      </w:r>
    </w:p>
    <w:p w14:paraId="0F084C91"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Fotaki, M., Voudouris, I., Lioukas, S., and Zyglidopoulos, S. (2021). “</w:t>
      </w:r>
      <w:r w:rsidRPr="007B0737">
        <w:rPr>
          <w:rFonts w:asciiTheme="majorBidi" w:hAnsiTheme="majorBidi" w:cstheme="majorBidi"/>
          <w:i/>
          <w:iCs/>
          <w:sz w:val="24"/>
          <w:szCs w:val="24"/>
        </w:rPr>
        <w:t>More Accountable, More Ethical, Yet Less Trusted: Misplaced Corporate Governance in the Era of Big Data</w:t>
      </w:r>
      <w:r w:rsidRPr="007B0737">
        <w:rPr>
          <w:rFonts w:asciiTheme="majorBidi" w:hAnsiTheme="majorBidi" w:cstheme="majorBidi"/>
          <w:sz w:val="24"/>
          <w:szCs w:val="24"/>
        </w:rPr>
        <w:t xml:space="preserve">” British Journal of Management, 32(4), 947–968. Available at: </w:t>
      </w:r>
      <w:hyperlink r:id="rId48" w:history="1">
        <w:r w:rsidRPr="007B0737">
          <w:rPr>
            <w:rStyle w:val="Hyperlink"/>
            <w:rFonts w:asciiTheme="majorBidi" w:hAnsiTheme="majorBidi"/>
            <w:sz w:val="24"/>
            <w:szCs w:val="24"/>
          </w:rPr>
          <w:t>https://doi.org/10.1111/1467-8551.12447</w:t>
        </w:r>
      </w:hyperlink>
      <w:r w:rsidRPr="007B0737">
        <w:rPr>
          <w:rFonts w:asciiTheme="majorBidi" w:hAnsiTheme="majorBidi" w:cstheme="majorBidi"/>
          <w:sz w:val="24"/>
          <w:szCs w:val="24"/>
        </w:rPr>
        <w:t xml:space="preserve"> </w:t>
      </w:r>
    </w:p>
    <w:p w14:paraId="4C6E0701"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Fountaine, T., Mccarthy, B., and Saleh, T. (2019). “</w:t>
      </w:r>
      <w:r w:rsidRPr="007B0737">
        <w:rPr>
          <w:rFonts w:asciiTheme="majorBidi" w:hAnsiTheme="majorBidi" w:cstheme="majorBidi"/>
          <w:i/>
          <w:iCs/>
          <w:sz w:val="24"/>
          <w:szCs w:val="24"/>
        </w:rPr>
        <w:t>Building the AI-Powered Organization</w:t>
      </w:r>
      <w:r w:rsidRPr="007B0737">
        <w:rPr>
          <w:rFonts w:asciiTheme="majorBidi" w:hAnsiTheme="majorBidi" w:cstheme="majorBidi"/>
          <w:sz w:val="24"/>
          <w:szCs w:val="24"/>
        </w:rPr>
        <w:t>” Havard Business Review 97(4), 62-73</w:t>
      </w:r>
    </w:p>
    <w:p w14:paraId="340F9146"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Frick, N.R.J., Mirbabaie, M., Stieglitz, S., and Salomon, J. (2021). “</w:t>
      </w:r>
      <w:r w:rsidRPr="007B0737">
        <w:rPr>
          <w:rFonts w:asciiTheme="majorBidi" w:hAnsiTheme="majorBidi" w:cstheme="majorBidi"/>
          <w:i/>
          <w:iCs/>
          <w:sz w:val="24"/>
          <w:szCs w:val="24"/>
        </w:rPr>
        <w:t xml:space="preserve">Maneuvering through the stormy seas of digital transformation: The impact of empowering leadership on the AI readiness of enterprises” </w:t>
      </w:r>
      <w:r w:rsidRPr="007B0737">
        <w:rPr>
          <w:rFonts w:asciiTheme="majorBidi" w:hAnsiTheme="majorBidi" w:cstheme="majorBidi"/>
          <w:sz w:val="24"/>
          <w:szCs w:val="24"/>
        </w:rPr>
        <w:t xml:space="preserve">Journal of Decision Systems, 30(2–3), 235–258. Available at: </w:t>
      </w:r>
      <w:hyperlink r:id="rId49" w:history="1">
        <w:r w:rsidRPr="007B0737">
          <w:rPr>
            <w:rStyle w:val="Hyperlink"/>
            <w:rFonts w:asciiTheme="majorBidi" w:hAnsiTheme="majorBidi"/>
            <w:sz w:val="24"/>
            <w:szCs w:val="24"/>
          </w:rPr>
          <w:t>https://doi.org/10.1080/12460125.2020.1870065</w:t>
        </w:r>
      </w:hyperlink>
      <w:r w:rsidRPr="007B0737">
        <w:rPr>
          <w:rFonts w:asciiTheme="majorBidi" w:hAnsiTheme="majorBidi" w:cstheme="majorBidi"/>
          <w:sz w:val="24"/>
          <w:szCs w:val="24"/>
        </w:rPr>
        <w:t xml:space="preserve"> </w:t>
      </w:r>
    </w:p>
    <w:p w14:paraId="5444F116"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Gartner (2019) “</w:t>
      </w:r>
      <w:r w:rsidRPr="007B0737">
        <w:rPr>
          <w:rFonts w:asciiTheme="majorBidi" w:hAnsiTheme="majorBidi" w:cstheme="majorBidi"/>
          <w:i/>
          <w:iCs/>
          <w:sz w:val="24"/>
          <w:szCs w:val="24"/>
        </w:rPr>
        <w:t>Gartner Survey Shows 37 Percent of Organizations Have Implemented AI in Some Form</w:t>
      </w:r>
      <w:r w:rsidRPr="007B0737">
        <w:rPr>
          <w:rFonts w:asciiTheme="majorBidi" w:hAnsiTheme="majorBidi" w:cstheme="majorBidi"/>
          <w:sz w:val="24"/>
          <w:szCs w:val="24"/>
        </w:rPr>
        <w:t xml:space="preserve">” (Online) Available at </w:t>
      </w:r>
      <w:hyperlink r:id="rId50" w:history="1">
        <w:r w:rsidRPr="007B0737">
          <w:rPr>
            <w:rStyle w:val="Hyperlink"/>
            <w:rFonts w:asciiTheme="majorBidi" w:hAnsiTheme="majorBidi"/>
            <w:sz w:val="24"/>
            <w:szCs w:val="24"/>
          </w:rPr>
          <w:t>https://www.gartner.com/en/newsroom/press-releases/2019-01-21-gartner-survey-shows-37-percent-of-organizations-have</w:t>
        </w:r>
      </w:hyperlink>
      <w:r w:rsidRPr="007B0737">
        <w:rPr>
          <w:rFonts w:asciiTheme="majorBidi" w:hAnsiTheme="majorBidi" w:cstheme="majorBidi"/>
          <w:sz w:val="24"/>
          <w:szCs w:val="24"/>
        </w:rPr>
        <w:t xml:space="preserve">  (Accessed 28th January 2024)</w:t>
      </w:r>
    </w:p>
    <w:p w14:paraId="73E1BDD8" w14:textId="77777777" w:rsidR="00AE272A" w:rsidRPr="00C03F92" w:rsidRDefault="00AE272A" w:rsidP="003E7B09">
      <w:pPr>
        <w:jc w:val="both"/>
        <w:rPr>
          <w:rFonts w:asciiTheme="majorBidi" w:hAnsiTheme="majorBidi" w:cstheme="majorBidi"/>
          <w:sz w:val="24"/>
          <w:szCs w:val="24"/>
        </w:rPr>
      </w:pPr>
      <w:r w:rsidRPr="00C03F92">
        <w:rPr>
          <w:rFonts w:asciiTheme="majorBidi" w:hAnsiTheme="majorBidi" w:cstheme="majorBidi"/>
          <w:sz w:val="24"/>
          <w:szCs w:val="24"/>
        </w:rPr>
        <w:t xml:space="preserve">Ghoreishi, M., </w:t>
      </w:r>
      <w:r>
        <w:rPr>
          <w:rFonts w:asciiTheme="majorBidi" w:hAnsiTheme="majorBidi" w:cstheme="majorBidi"/>
          <w:sz w:val="24"/>
          <w:szCs w:val="24"/>
        </w:rPr>
        <w:t>and</w:t>
      </w:r>
      <w:r w:rsidRPr="00C03F92">
        <w:rPr>
          <w:rFonts w:asciiTheme="majorBidi" w:hAnsiTheme="majorBidi" w:cstheme="majorBidi"/>
          <w:sz w:val="24"/>
          <w:szCs w:val="24"/>
        </w:rPr>
        <w:t xml:space="preserve"> Happonen, A. (2019). </w:t>
      </w:r>
      <w:r w:rsidRPr="00C03F92">
        <w:rPr>
          <w:rFonts w:asciiTheme="majorBidi" w:hAnsiTheme="majorBidi" w:cstheme="majorBidi"/>
          <w:i/>
          <w:iCs/>
          <w:sz w:val="24"/>
          <w:szCs w:val="24"/>
        </w:rPr>
        <w:t>“New promises AI brings into circular economy accelerated product design: A review on supporting literature.”</w:t>
      </w:r>
      <w:r w:rsidRPr="00C03F92">
        <w:rPr>
          <w:rFonts w:asciiTheme="majorBidi" w:hAnsiTheme="majorBidi" w:cstheme="majorBidi"/>
          <w:sz w:val="24"/>
          <w:szCs w:val="24"/>
        </w:rPr>
        <w:t xml:space="preserve"> E3S Web of Conferences, 158. </w:t>
      </w:r>
      <w:hyperlink r:id="rId51" w:history="1">
        <w:r w:rsidRPr="00691DE5">
          <w:rPr>
            <w:rStyle w:val="Hyperlink"/>
            <w:rFonts w:asciiTheme="majorBidi" w:hAnsiTheme="majorBidi" w:cstheme="majorBidi"/>
            <w:sz w:val="24"/>
            <w:szCs w:val="24"/>
          </w:rPr>
          <w:t>https://doi.org/10.1051/e3sconf/202015806002</w:t>
        </w:r>
      </w:hyperlink>
      <w:r>
        <w:rPr>
          <w:rFonts w:asciiTheme="majorBidi" w:hAnsiTheme="majorBidi" w:cstheme="majorBidi"/>
          <w:sz w:val="24"/>
          <w:szCs w:val="24"/>
        </w:rPr>
        <w:t xml:space="preserve"> </w:t>
      </w:r>
    </w:p>
    <w:p w14:paraId="363CF40A"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 xml:space="preserve">Ghoreishi, M., and Happonen, A. (2020). </w:t>
      </w:r>
      <w:r w:rsidRPr="007B0737">
        <w:rPr>
          <w:rFonts w:asciiTheme="majorBidi" w:hAnsiTheme="majorBidi" w:cstheme="majorBidi"/>
          <w:i/>
          <w:iCs/>
          <w:color w:val="000000"/>
          <w:sz w:val="24"/>
          <w:szCs w:val="24"/>
        </w:rPr>
        <w:t>“Key enablers for deploying artificial intelligence for circular economy embracing sustainable product design: Three case studies</w:t>
      </w:r>
      <w:r w:rsidRPr="007B0737">
        <w:rPr>
          <w:rFonts w:asciiTheme="majorBidi" w:hAnsiTheme="majorBidi" w:cstheme="majorBidi"/>
          <w:color w:val="000000"/>
          <w:sz w:val="24"/>
          <w:szCs w:val="24"/>
        </w:rPr>
        <w:t xml:space="preserve">” AIP Conference Proceedings, 2233. Available at: </w:t>
      </w:r>
      <w:hyperlink r:id="rId52" w:history="1">
        <w:r w:rsidRPr="007B0737">
          <w:rPr>
            <w:rStyle w:val="Hyperlink"/>
            <w:rFonts w:asciiTheme="majorBidi" w:hAnsiTheme="majorBidi"/>
            <w:sz w:val="24"/>
            <w:szCs w:val="24"/>
          </w:rPr>
          <w:t>https://doi.org/10.1063/5.0001339</w:t>
        </w:r>
      </w:hyperlink>
      <w:r w:rsidRPr="007B0737">
        <w:rPr>
          <w:rFonts w:asciiTheme="majorBidi" w:hAnsiTheme="majorBidi" w:cstheme="majorBidi"/>
          <w:color w:val="000000"/>
          <w:sz w:val="24"/>
          <w:szCs w:val="24"/>
        </w:rPr>
        <w:t xml:space="preserve"> </w:t>
      </w:r>
    </w:p>
    <w:p w14:paraId="5B6B051D"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Ghosh, S., Raut, R. D., Cheikhrouhou, N., Sinha, S., and Ray, A. (2023). “</w:t>
      </w:r>
      <w:r w:rsidRPr="007B0737">
        <w:rPr>
          <w:rFonts w:asciiTheme="majorBidi" w:hAnsiTheme="majorBidi" w:cstheme="majorBidi"/>
          <w:i/>
          <w:iCs/>
          <w:sz w:val="24"/>
          <w:szCs w:val="24"/>
        </w:rPr>
        <w:t>Attaining Sustainable Development Goals through embedding circular economy principles: Evidence from food processing small- and medium-sized enterprises in India.</w:t>
      </w:r>
      <w:r w:rsidRPr="007B0737">
        <w:rPr>
          <w:rFonts w:asciiTheme="majorBidi" w:hAnsiTheme="majorBidi" w:cstheme="majorBidi"/>
          <w:sz w:val="24"/>
          <w:szCs w:val="24"/>
        </w:rPr>
        <w:t xml:space="preserve">” Business Strategy and the Environment. Available at: </w:t>
      </w:r>
      <w:hyperlink r:id="rId53" w:history="1">
        <w:r w:rsidRPr="007B0737">
          <w:rPr>
            <w:rStyle w:val="Hyperlink"/>
            <w:rFonts w:asciiTheme="majorBidi" w:hAnsiTheme="majorBidi"/>
            <w:sz w:val="24"/>
            <w:szCs w:val="24"/>
          </w:rPr>
          <w:t>https://doi.org/10.1002/bse.3591</w:t>
        </w:r>
      </w:hyperlink>
      <w:r w:rsidRPr="007B0737">
        <w:rPr>
          <w:rFonts w:asciiTheme="majorBidi" w:hAnsiTheme="majorBidi" w:cstheme="majorBidi"/>
          <w:sz w:val="24"/>
          <w:szCs w:val="24"/>
        </w:rPr>
        <w:t xml:space="preserve"> </w:t>
      </w:r>
    </w:p>
    <w:p w14:paraId="33B00F70"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 xml:space="preserve">Gupta, S., Chen, H., Hazen, B. T., Kaur, S., and Santibañez Gonzalez, E. D. R. (2019). </w:t>
      </w:r>
      <w:r w:rsidRPr="007B0737">
        <w:rPr>
          <w:rFonts w:asciiTheme="majorBidi" w:hAnsiTheme="majorBidi" w:cstheme="majorBidi"/>
          <w:i/>
          <w:iCs/>
          <w:sz w:val="24"/>
          <w:szCs w:val="24"/>
        </w:rPr>
        <w:t>“Circular economy and big data analytics: A stakeholder perspective.</w:t>
      </w:r>
      <w:r w:rsidRPr="007B0737">
        <w:rPr>
          <w:rFonts w:asciiTheme="majorBidi" w:hAnsiTheme="majorBidi" w:cstheme="majorBidi"/>
          <w:sz w:val="24"/>
          <w:szCs w:val="24"/>
        </w:rPr>
        <w:t xml:space="preserve">” Technological Forecasting and Social Change, 144, 466–474. Available at: </w:t>
      </w:r>
      <w:hyperlink r:id="rId54" w:history="1">
        <w:r w:rsidRPr="007B0737">
          <w:rPr>
            <w:rStyle w:val="Hyperlink"/>
            <w:rFonts w:asciiTheme="majorBidi" w:hAnsiTheme="majorBidi"/>
            <w:sz w:val="24"/>
            <w:szCs w:val="24"/>
          </w:rPr>
          <w:t>https://doi.org/10.1016/j.techfore.2018.06.030</w:t>
        </w:r>
      </w:hyperlink>
      <w:r w:rsidRPr="007B0737">
        <w:rPr>
          <w:rFonts w:asciiTheme="majorBidi" w:hAnsiTheme="majorBidi" w:cstheme="majorBidi"/>
          <w:sz w:val="24"/>
          <w:szCs w:val="24"/>
        </w:rPr>
        <w:t xml:space="preserve"> </w:t>
      </w:r>
    </w:p>
    <w:p w14:paraId="044D16BB" w14:textId="77777777" w:rsidR="00AE272A" w:rsidRPr="007B0737" w:rsidRDefault="00AE272A" w:rsidP="003E7B09">
      <w:pPr>
        <w:jc w:val="both"/>
        <w:rPr>
          <w:rFonts w:asciiTheme="majorBidi" w:hAnsiTheme="majorBidi" w:cstheme="majorBidi"/>
          <w:sz w:val="24"/>
          <w:szCs w:val="24"/>
        </w:rPr>
      </w:pPr>
      <w:r w:rsidRPr="004869FB">
        <w:rPr>
          <w:rFonts w:asciiTheme="majorBidi" w:hAnsiTheme="majorBidi" w:cstheme="majorBidi"/>
          <w:sz w:val="24"/>
          <w:szCs w:val="24"/>
        </w:rPr>
        <w:t xml:space="preserve">Habbal, A., Ali, M. K., </w:t>
      </w:r>
      <w:r>
        <w:rPr>
          <w:rFonts w:asciiTheme="majorBidi" w:hAnsiTheme="majorBidi" w:cstheme="majorBidi"/>
          <w:sz w:val="24"/>
          <w:szCs w:val="24"/>
        </w:rPr>
        <w:t>and</w:t>
      </w:r>
      <w:r w:rsidRPr="004869FB">
        <w:rPr>
          <w:rFonts w:asciiTheme="majorBidi" w:hAnsiTheme="majorBidi" w:cstheme="majorBidi"/>
          <w:sz w:val="24"/>
          <w:szCs w:val="24"/>
        </w:rPr>
        <w:t xml:space="preserve"> Abuzaraida, M. A. (2024).</w:t>
      </w:r>
      <w:r w:rsidRPr="004869FB">
        <w:rPr>
          <w:rFonts w:asciiTheme="majorBidi" w:hAnsiTheme="majorBidi" w:cstheme="majorBidi"/>
          <w:i/>
          <w:iCs/>
          <w:sz w:val="24"/>
          <w:szCs w:val="24"/>
        </w:rPr>
        <w:t xml:space="preserve"> “Artificial Intelligence Trust, Risk and Security Management (AI TRiSM): Frameworks, applications, challenges and future research directions” </w:t>
      </w:r>
      <w:r w:rsidRPr="004869FB">
        <w:rPr>
          <w:rFonts w:asciiTheme="majorBidi" w:hAnsiTheme="majorBidi" w:cstheme="majorBidi"/>
          <w:sz w:val="24"/>
          <w:szCs w:val="24"/>
        </w:rPr>
        <w:t xml:space="preserve">In Expert Systems with Applications (Vol. 240). Elsevier Ltd. </w:t>
      </w:r>
      <w:hyperlink r:id="rId55" w:history="1">
        <w:r w:rsidRPr="00691DE5">
          <w:rPr>
            <w:rStyle w:val="Hyperlink"/>
            <w:rFonts w:asciiTheme="majorBidi" w:hAnsiTheme="majorBidi" w:cstheme="majorBidi"/>
            <w:sz w:val="24"/>
            <w:szCs w:val="24"/>
          </w:rPr>
          <w:t>https://doi.org/10.1016/j.eswa.2023.122442</w:t>
        </w:r>
      </w:hyperlink>
      <w:r>
        <w:rPr>
          <w:rFonts w:asciiTheme="majorBidi" w:hAnsiTheme="majorBidi" w:cstheme="majorBidi"/>
          <w:sz w:val="24"/>
          <w:szCs w:val="24"/>
        </w:rPr>
        <w:t xml:space="preserve"> </w:t>
      </w:r>
    </w:p>
    <w:p w14:paraId="1C6DABA6"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lastRenderedPageBreak/>
        <w:t>Hanisch, M., Goldsby, C. M., Fabian, N. E., and Oehmichen, J. (2023). “</w:t>
      </w:r>
      <w:r w:rsidRPr="007B0737">
        <w:rPr>
          <w:rFonts w:asciiTheme="majorBidi" w:hAnsiTheme="majorBidi" w:cstheme="majorBidi"/>
          <w:i/>
          <w:iCs/>
          <w:sz w:val="24"/>
          <w:szCs w:val="24"/>
        </w:rPr>
        <w:t xml:space="preserve">Digital governance: A conceptual framework and research agenda” </w:t>
      </w:r>
      <w:r w:rsidRPr="007B0737">
        <w:rPr>
          <w:rFonts w:asciiTheme="majorBidi" w:hAnsiTheme="majorBidi" w:cstheme="majorBidi"/>
          <w:sz w:val="24"/>
          <w:szCs w:val="24"/>
        </w:rPr>
        <w:t xml:space="preserve">Journal of Business Research, 162. Available at: </w:t>
      </w:r>
      <w:hyperlink r:id="rId56" w:history="1">
        <w:r w:rsidRPr="007B0737">
          <w:rPr>
            <w:rStyle w:val="Hyperlink"/>
            <w:rFonts w:asciiTheme="majorBidi" w:hAnsiTheme="majorBidi"/>
            <w:sz w:val="24"/>
            <w:szCs w:val="24"/>
          </w:rPr>
          <w:t>https://doi.org/10.1016/j.jbusres.2023.113777</w:t>
        </w:r>
      </w:hyperlink>
      <w:r w:rsidRPr="007B0737">
        <w:rPr>
          <w:rFonts w:asciiTheme="majorBidi" w:hAnsiTheme="majorBidi" w:cstheme="majorBidi"/>
          <w:sz w:val="24"/>
          <w:szCs w:val="24"/>
        </w:rPr>
        <w:t xml:space="preserve"> </w:t>
      </w:r>
    </w:p>
    <w:p w14:paraId="365EBD1F"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Hauer, T. (2022). “</w:t>
      </w:r>
      <w:r w:rsidRPr="007B0737">
        <w:rPr>
          <w:rFonts w:asciiTheme="majorBidi" w:hAnsiTheme="majorBidi" w:cstheme="majorBidi"/>
          <w:i/>
          <w:iCs/>
          <w:sz w:val="24"/>
          <w:szCs w:val="24"/>
        </w:rPr>
        <w:t>Importance and limitations of AI ethics in contemporary society</w:t>
      </w:r>
      <w:r w:rsidRPr="007B0737">
        <w:rPr>
          <w:rFonts w:asciiTheme="majorBidi" w:hAnsiTheme="majorBidi" w:cstheme="majorBidi"/>
          <w:sz w:val="24"/>
          <w:szCs w:val="24"/>
        </w:rPr>
        <w:t xml:space="preserve">” Humanities and Social Sciences Communications, 9(1). Available at: </w:t>
      </w:r>
      <w:hyperlink r:id="rId57" w:history="1">
        <w:r w:rsidRPr="007B0737">
          <w:rPr>
            <w:rStyle w:val="Hyperlink"/>
            <w:rFonts w:asciiTheme="majorBidi" w:hAnsiTheme="majorBidi"/>
            <w:sz w:val="24"/>
            <w:szCs w:val="24"/>
          </w:rPr>
          <w:t>https://doi.org/10.1057/s41599-022-01300-7</w:t>
        </w:r>
      </w:hyperlink>
      <w:r w:rsidRPr="007B0737">
        <w:rPr>
          <w:rFonts w:asciiTheme="majorBidi" w:hAnsiTheme="majorBidi" w:cstheme="majorBidi"/>
          <w:sz w:val="24"/>
          <w:szCs w:val="24"/>
        </w:rPr>
        <w:t xml:space="preserve"> </w:t>
      </w:r>
    </w:p>
    <w:p w14:paraId="6B8A227B"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Ho, C. H., Böhm, S., and Monciardini, D. (2022). “</w:t>
      </w:r>
      <w:r w:rsidRPr="007B0737">
        <w:rPr>
          <w:rFonts w:asciiTheme="majorBidi" w:hAnsiTheme="majorBidi" w:cstheme="majorBidi"/>
          <w:i/>
          <w:iCs/>
          <w:sz w:val="24"/>
          <w:szCs w:val="24"/>
        </w:rPr>
        <w:t>The collaborative and contested interplay between business and civil society in circular economy transitions.”</w:t>
      </w:r>
      <w:r w:rsidRPr="007B0737">
        <w:rPr>
          <w:rFonts w:asciiTheme="majorBidi" w:hAnsiTheme="majorBidi" w:cstheme="majorBidi"/>
          <w:sz w:val="24"/>
          <w:szCs w:val="24"/>
        </w:rPr>
        <w:t xml:space="preserve"> Business Strategy and the Environment, 31(6), 2714–2727. Available at: </w:t>
      </w:r>
      <w:hyperlink r:id="rId58" w:history="1">
        <w:r w:rsidRPr="007B0737">
          <w:rPr>
            <w:rStyle w:val="Hyperlink"/>
            <w:rFonts w:asciiTheme="majorBidi" w:hAnsiTheme="majorBidi"/>
            <w:sz w:val="24"/>
            <w:szCs w:val="24"/>
          </w:rPr>
          <w:t>https://doi.org/10.1002/bse.3001</w:t>
        </w:r>
      </w:hyperlink>
      <w:r w:rsidRPr="007B0737">
        <w:rPr>
          <w:rFonts w:asciiTheme="majorBidi" w:hAnsiTheme="majorBidi" w:cstheme="majorBidi"/>
          <w:sz w:val="24"/>
          <w:szCs w:val="24"/>
        </w:rPr>
        <w:t xml:space="preserve"> </w:t>
      </w:r>
    </w:p>
    <w:p w14:paraId="2D59A8D1"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Hoffman, D. L., Moreau, C. P., Stremersch, S., and Wedel, M. (2022).</w:t>
      </w:r>
      <w:r w:rsidRPr="007B0737">
        <w:rPr>
          <w:rFonts w:asciiTheme="majorBidi" w:hAnsiTheme="majorBidi" w:cstheme="majorBidi"/>
          <w:i/>
          <w:iCs/>
          <w:color w:val="000000"/>
          <w:sz w:val="24"/>
          <w:szCs w:val="24"/>
        </w:rPr>
        <w:t xml:space="preserve"> “The Rise of New Technologies in Marketing: A Framework and Outlook” </w:t>
      </w:r>
      <w:r w:rsidRPr="007B0737">
        <w:rPr>
          <w:rFonts w:asciiTheme="majorBidi" w:hAnsiTheme="majorBidi" w:cstheme="majorBidi"/>
          <w:color w:val="000000"/>
          <w:sz w:val="24"/>
          <w:szCs w:val="24"/>
        </w:rPr>
        <w:t xml:space="preserve">Journal of Marketing 86(1), 1–6 SAGE Publications Ltd. Available at:  </w:t>
      </w:r>
      <w:hyperlink r:id="rId59" w:history="1">
        <w:r w:rsidRPr="007B0737">
          <w:rPr>
            <w:rStyle w:val="Hyperlink"/>
            <w:rFonts w:asciiTheme="majorBidi" w:hAnsiTheme="majorBidi"/>
            <w:sz w:val="24"/>
            <w:szCs w:val="24"/>
          </w:rPr>
          <w:t>https://doi.org/10.1177/00222429211061636</w:t>
        </w:r>
      </w:hyperlink>
      <w:r w:rsidRPr="007B0737">
        <w:rPr>
          <w:rFonts w:asciiTheme="majorBidi" w:hAnsiTheme="majorBidi" w:cstheme="majorBidi"/>
          <w:color w:val="000000"/>
          <w:sz w:val="24"/>
          <w:szCs w:val="24"/>
        </w:rPr>
        <w:t xml:space="preserve"> </w:t>
      </w:r>
    </w:p>
    <w:p w14:paraId="63AE3590"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Hrouga, M., and Michel, S. (2023). “</w:t>
      </w:r>
      <w:r w:rsidRPr="007B0737">
        <w:rPr>
          <w:rFonts w:asciiTheme="majorBidi" w:hAnsiTheme="majorBidi" w:cstheme="majorBidi"/>
          <w:i/>
          <w:iCs/>
          <w:sz w:val="24"/>
          <w:szCs w:val="24"/>
        </w:rPr>
        <w:t>Towards a new supply chain manager dashboard under circular economy constraints: A case study on France textile and clothing industry</w:t>
      </w:r>
      <w:r w:rsidRPr="007B0737">
        <w:rPr>
          <w:rFonts w:asciiTheme="majorBidi" w:hAnsiTheme="majorBidi" w:cstheme="majorBidi"/>
          <w:sz w:val="24"/>
          <w:szCs w:val="24"/>
        </w:rPr>
        <w:t xml:space="preserve">.” Business Strategy and the Environment. Available at: </w:t>
      </w:r>
      <w:hyperlink r:id="rId60" w:history="1">
        <w:r w:rsidRPr="007B0737">
          <w:rPr>
            <w:rStyle w:val="Hyperlink"/>
            <w:rFonts w:asciiTheme="majorBidi" w:hAnsiTheme="majorBidi"/>
            <w:sz w:val="24"/>
            <w:szCs w:val="24"/>
          </w:rPr>
          <w:t>https://doi.org/10.1002/bse.3473</w:t>
        </w:r>
      </w:hyperlink>
      <w:r w:rsidRPr="007B0737">
        <w:rPr>
          <w:rFonts w:asciiTheme="majorBidi" w:hAnsiTheme="majorBidi" w:cstheme="majorBidi"/>
          <w:sz w:val="24"/>
          <w:szCs w:val="24"/>
        </w:rPr>
        <w:t xml:space="preserve"> </w:t>
      </w:r>
    </w:p>
    <w:p w14:paraId="2D49B4C6" w14:textId="77777777" w:rsidR="00AE272A" w:rsidRPr="007B0737" w:rsidRDefault="00AE272A" w:rsidP="003E7B09">
      <w:pPr>
        <w:autoSpaceDE w:val="0"/>
        <w:autoSpaceDN w:val="0"/>
        <w:jc w:val="both"/>
        <w:rPr>
          <w:rFonts w:asciiTheme="majorBidi" w:eastAsia="Times New Roman" w:hAnsiTheme="majorBidi" w:cstheme="majorBidi"/>
          <w:kern w:val="0"/>
          <w:sz w:val="24"/>
          <w:szCs w:val="24"/>
          <w14:ligatures w14:val="none"/>
        </w:rPr>
      </w:pPr>
      <w:r w:rsidRPr="007B0737">
        <w:rPr>
          <w:rFonts w:asciiTheme="majorBidi" w:eastAsia="Times New Roman" w:hAnsiTheme="majorBidi" w:cstheme="majorBidi"/>
          <w:sz w:val="24"/>
          <w:szCs w:val="24"/>
        </w:rPr>
        <w:t>Hu, Y., and Min, H. (Kelly). (2023). “</w:t>
      </w:r>
      <w:r w:rsidRPr="007B0737">
        <w:rPr>
          <w:rFonts w:asciiTheme="majorBidi" w:eastAsia="Times New Roman" w:hAnsiTheme="majorBidi" w:cstheme="majorBidi"/>
          <w:i/>
          <w:iCs/>
          <w:sz w:val="24"/>
          <w:szCs w:val="24"/>
        </w:rPr>
        <w:t>The dark side of artificial intelligence in service: The “watching-eye” effect and privacy concerns</w:t>
      </w:r>
      <w:r w:rsidRPr="007B0737">
        <w:rPr>
          <w:rFonts w:asciiTheme="majorBidi" w:eastAsia="Times New Roman" w:hAnsiTheme="majorBidi" w:cstheme="majorBidi"/>
          <w:sz w:val="24"/>
          <w:szCs w:val="24"/>
        </w:rPr>
        <w:t xml:space="preserve">.” International Journal of Hospitality Management, 110. Available at: </w:t>
      </w:r>
      <w:hyperlink r:id="rId61" w:history="1">
        <w:r w:rsidRPr="007B0737">
          <w:rPr>
            <w:rStyle w:val="Hyperlink"/>
            <w:rFonts w:asciiTheme="majorBidi" w:eastAsia="Times New Roman" w:hAnsiTheme="majorBidi"/>
            <w:sz w:val="24"/>
            <w:szCs w:val="24"/>
          </w:rPr>
          <w:t>https://doi.org/10.1016/j.ijhm.2023.103437</w:t>
        </w:r>
      </w:hyperlink>
      <w:r w:rsidRPr="007B0737">
        <w:rPr>
          <w:rFonts w:asciiTheme="majorBidi" w:eastAsia="Times New Roman" w:hAnsiTheme="majorBidi" w:cstheme="majorBidi"/>
          <w:sz w:val="24"/>
          <w:szCs w:val="24"/>
        </w:rPr>
        <w:t xml:space="preserve"> </w:t>
      </w:r>
    </w:p>
    <w:p w14:paraId="7FA8D323"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Ingemarsdotter, E., Jamsin, E., Kortuem, G., and Balkenende, R. (2019). “</w:t>
      </w:r>
      <w:r w:rsidRPr="007B0737">
        <w:rPr>
          <w:rFonts w:asciiTheme="majorBidi" w:hAnsiTheme="majorBidi" w:cstheme="majorBidi"/>
          <w:i/>
          <w:iCs/>
          <w:sz w:val="24"/>
          <w:szCs w:val="24"/>
        </w:rPr>
        <w:t>Circular strategies enabled by the internet of things-a framework and analysis of current practice</w:t>
      </w:r>
      <w:r w:rsidRPr="007B0737">
        <w:rPr>
          <w:rFonts w:asciiTheme="majorBidi" w:hAnsiTheme="majorBidi" w:cstheme="majorBidi"/>
          <w:sz w:val="24"/>
          <w:szCs w:val="24"/>
        </w:rPr>
        <w:t xml:space="preserve">” Sustainability (Switzerland), 11(20). Available at: </w:t>
      </w:r>
      <w:hyperlink r:id="rId62" w:history="1">
        <w:r w:rsidRPr="007B0737">
          <w:rPr>
            <w:rStyle w:val="Hyperlink"/>
            <w:rFonts w:asciiTheme="majorBidi" w:hAnsiTheme="majorBidi"/>
            <w:sz w:val="24"/>
            <w:szCs w:val="24"/>
          </w:rPr>
          <w:t>https://doi.org/10.3390/su11205689</w:t>
        </w:r>
      </w:hyperlink>
      <w:r w:rsidRPr="007B0737">
        <w:rPr>
          <w:rFonts w:asciiTheme="majorBidi" w:hAnsiTheme="majorBidi" w:cstheme="majorBidi"/>
          <w:sz w:val="24"/>
          <w:szCs w:val="24"/>
        </w:rPr>
        <w:t xml:space="preserve"> </w:t>
      </w:r>
    </w:p>
    <w:p w14:paraId="0AB8E34C"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Jeong, D., Park, C., Kang, T., Shin, K., Choi, S., and Hwang, J. (2023). “</w:t>
      </w:r>
      <w:r w:rsidRPr="007B0737">
        <w:rPr>
          <w:rFonts w:asciiTheme="majorBidi" w:hAnsiTheme="majorBidi" w:cstheme="majorBidi"/>
          <w:i/>
          <w:iCs/>
          <w:sz w:val="24"/>
          <w:szCs w:val="24"/>
        </w:rPr>
        <w:t xml:space="preserve">Measuring ethics level of technological topics using phylogenetic tree.” </w:t>
      </w:r>
      <w:r w:rsidRPr="007B0737">
        <w:rPr>
          <w:rFonts w:asciiTheme="majorBidi" w:hAnsiTheme="majorBidi" w:cstheme="majorBidi"/>
          <w:sz w:val="24"/>
          <w:szCs w:val="24"/>
        </w:rPr>
        <w:t xml:space="preserve">Technology Analysis and Strategic Management. Available at: </w:t>
      </w:r>
      <w:hyperlink r:id="rId63" w:history="1">
        <w:r w:rsidRPr="007B0737">
          <w:rPr>
            <w:rStyle w:val="Hyperlink"/>
            <w:rFonts w:asciiTheme="majorBidi" w:hAnsiTheme="majorBidi"/>
            <w:sz w:val="24"/>
            <w:szCs w:val="24"/>
          </w:rPr>
          <w:t>https://doi.org/10.1080/09537325.2023.2209214</w:t>
        </w:r>
      </w:hyperlink>
      <w:r w:rsidRPr="007B0737">
        <w:rPr>
          <w:rFonts w:asciiTheme="majorBidi" w:hAnsiTheme="majorBidi" w:cstheme="majorBidi"/>
          <w:sz w:val="24"/>
          <w:szCs w:val="24"/>
        </w:rPr>
        <w:t xml:space="preserve"> </w:t>
      </w:r>
    </w:p>
    <w:p w14:paraId="71F49E91"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John-Mathews, J. M. (2022). “</w:t>
      </w:r>
      <w:r w:rsidRPr="007B0737">
        <w:rPr>
          <w:rFonts w:asciiTheme="majorBidi" w:hAnsiTheme="majorBidi" w:cstheme="majorBidi"/>
          <w:i/>
          <w:iCs/>
          <w:sz w:val="24"/>
          <w:szCs w:val="24"/>
        </w:rPr>
        <w:t xml:space="preserve">Some critical and ethical perspectives on the empirical turn of AI interpretability” </w:t>
      </w:r>
      <w:r w:rsidRPr="007B0737">
        <w:rPr>
          <w:rFonts w:asciiTheme="majorBidi" w:hAnsiTheme="majorBidi" w:cstheme="majorBidi"/>
          <w:sz w:val="24"/>
          <w:szCs w:val="24"/>
        </w:rPr>
        <w:t xml:space="preserve">Technological Forecasting and Social Change, 174. Available at: </w:t>
      </w:r>
      <w:hyperlink r:id="rId64" w:history="1">
        <w:r w:rsidRPr="007B0737">
          <w:rPr>
            <w:rStyle w:val="Hyperlink"/>
            <w:rFonts w:asciiTheme="majorBidi" w:hAnsiTheme="majorBidi"/>
            <w:sz w:val="24"/>
            <w:szCs w:val="24"/>
          </w:rPr>
          <w:t>https://doi.org/10.1016/j.techfore.2021.121209</w:t>
        </w:r>
      </w:hyperlink>
      <w:r w:rsidRPr="007B0737">
        <w:rPr>
          <w:rFonts w:asciiTheme="majorBidi" w:hAnsiTheme="majorBidi" w:cstheme="majorBidi"/>
          <w:sz w:val="24"/>
          <w:szCs w:val="24"/>
        </w:rPr>
        <w:t xml:space="preserve"> </w:t>
      </w:r>
    </w:p>
    <w:p w14:paraId="50741736"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Kelley, S. (2022). “</w:t>
      </w:r>
      <w:r w:rsidRPr="007B0737">
        <w:rPr>
          <w:rFonts w:asciiTheme="majorBidi" w:hAnsiTheme="majorBidi" w:cstheme="majorBidi"/>
          <w:i/>
          <w:iCs/>
          <w:sz w:val="24"/>
          <w:szCs w:val="24"/>
        </w:rPr>
        <w:t>Employee Perceptions of the Effective Adoption of AI Principles”</w:t>
      </w:r>
      <w:r w:rsidRPr="007B0737">
        <w:rPr>
          <w:rFonts w:asciiTheme="majorBidi" w:hAnsiTheme="majorBidi" w:cstheme="majorBidi"/>
          <w:sz w:val="24"/>
          <w:szCs w:val="24"/>
        </w:rPr>
        <w:t xml:space="preserve"> Journal of Business Ethics, 178(4), 871–893. Available at: </w:t>
      </w:r>
      <w:hyperlink r:id="rId65" w:history="1">
        <w:r w:rsidRPr="007B0737">
          <w:rPr>
            <w:rStyle w:val="Hyperlink"/>
            <w:rFonts w:asciiTheme="majorBidi" w:hAnsiTheme="majorBidi"/>
            <w:sz w:val="24"/>
            <w:szCs w:val="24"/>
          </w:rPr>
          <w:t>https://doi.org/10.1007/s10551-022-05051-y</w:t>
        </w:r>
      </w:hyperlink>
      <w:r w:rsidRPr="007B0737">
        <w:rPr>
          <w:rFonts w:asciiTheme="majorBidi" w:hAnsiTheme="majorBidi" w:cstheme="majorBidi"/>
          <w:sz w:val="24"/>
          <w:szCs w:val="24"/>
        </w:rPr>
        <w:t xml:space="preserve"> </w:t>
      </w:r>
    </w:p>
    <w:p w14:paraId="10AB5A3F"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Khan, S. J., Kaur, P., Jabeen, F., and Dhir, A. (2021). “</w:t>
      </w:r>
      <w:r w:rsidRPr="007B0737">
        <w:rPr>
          <w:rFonts w:asciiTheme="majorBidi" w:hAnsiTheme="majorBidi" w:cstheme="majorBidi"/>
          <w:i/>
          <w:iCs/>
          <w:color w:val="000000"/>
          <w:sz w:val="24"/>
          <w:szCs w:val="24"/>
        </w:rPr>
        <w:t>Green process innovation: Where we are and where we are going</w:t>
      </w:r>
      <w:r w:rsidRPr="007B0737">
        <w:rPr>
          <w:rFonts w:asciiTheme="majorBidi" w:hAnsiTheme="majorBidi" w:cstheme="majorBidi"/>
          <w:color w:val="000000"/>
          <w:sz w:val="24"/>
          <w:szCs w:val="24"/>
        </w:rPr>
        <w:t xml:space="preserve">” Business Strategy and the Environment, 30(7), 3273–3296. Available at: </w:t>
      </w:r>
      <w:hyperlink r:id="rId66" w:history="1">
        <w:r w:rsidRPr="007B0737">
          <w:rPr>
            <w:rStyle w:val="Hyperlink"/>
            <w:rFonts w:asciiTheme="majorBidi" w:hAnsiTheme="majorBidi"/>
            <w:sz w:val="24"/>
            <w:szCs w:val="24"/>
          </w:rPr>
          <w:t>https://doi.org/10.1002/bse.2802</w:t>
        </w:r>
      </w:hyperlink>
      <w:r w:rsidRPr="007B0737">
        <w:rPr>
          <w:rFonts w:asciiTheme="majorBidi" w:hAnsiTheme="majorBidi" w:cstheme="majorBidi"/>
          <w:color w:val="000000"/>
          <w:sz w:val="24"/>
          <w:szCs w:val="24"/>
        </w:rPr>
        <w:t xml:space="preserve"> </w:t>
      </w:r>
    </w:p>
    <w:p w14:paraId="18B1DE62"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 xml:space="preserve">Ki C-W., Park S., and Ha-Brookshire JE., (2021) </w:t>
      </w:r>
      <w:r w:rsidRPr="007B0737">
        <w:rPr>
          <w:rFonts w:asciiTheme="majorBidi" w:hAnsiTheme="majorBidi" w:cstheme="majorBidi"/>
          <w:i/>
          <w:iCs/>
          <w:sz w:val="24"/>
          <w:szCs w:val="24"/>
        </w:rPr>
        <w:t>“Toward a circular economy: Understanding consumers' moral stance on corporations' and individuals' responsibilities in creating a circular fashion economy”</w:t>
      </w:r>
      <w:r w:rsidRPr="007B0737">
        <w:rPr>
          <w:rFonts w:asciiTheme="majorBidi" w:hAnsiTheme="majorBidi" w:cstheme="majorBidi"/>
          <w:sz w:val="24"/>
          <w:szCs w:val="24"/>
        </w:rPr>
        <w:t xml:space="preserve"> Business Strategy and Environment. 30. 1121–1135. Available at: </w:t>
      </w:r>
      <w:hyperlink r:id="rId67" w:history="1">
        <w:r w:rsidRPr="007B0737">
          <w:rPr>
            <w:rStyle w:val="Hyperlink"/>
            <w:rFonts w:asciiTheme="majorBidi" w:hAnsiTheme="majorBidi"/>
            <w:sz w:val="24"/>
            <w:szCs w:val="24"/>
          </w:rPr>
          <w:t>https://doi.org/10.1002/bse.2675</w:t>
        </w:r>
      </w:hyperlink>
      <w:r w:rsidRPr="007B0737">
        <w:rPr>
          <w:rFonts w:asciiTheme="majorBidi" w:hAnsiTheme="majorBidi" w:cstheme="majorBidi"/>
          <w:sz w:val="24"/>
          <w:szCs w:val="24"/>
        </w:rPr>
        <w:t xml:space="preserve"> </w:t>
      </w:r>
    </w:p>
    <w:p w14:paraId="7AAD119E"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Knowles, B., and Richards, J. T. (2021). “</w:t>
      </w:r>
      <w:r w:rsidRPr="007B0737">
        <w:rPr>
          <w:rFonts w:asciiTheme="majorBidi" w:hAnsiTheme="majorBidi" w:cstheme="majorBidi"/>
          <w:i/>
          <w:iCs/>
          <w:color w:val="000000"/>
          <w:sz w:val="24"/>
          <w:szCs w:val="24"/>
        </w:rPr>
        <w:t>The sanction of authority: Promoting public trust in AI</w:t>
      </w:r>
      <w:r w:rsidRPr="007B0737">
        <w:rPr>
          <w:rFonts w:asciiTheme="majorBidi" w:hAnsiTheme="majorBidi" w:cstheme="majorBidi"/>
          <w:color w:val="000000"/>
          <w:sz w:val="24"/>
          <w:szCs w:val="24"/>
        </w:rPr>
        <w:t xml:space="preserve">” FAccT 2021 - Proceedings of the 2021 ACM Conference on Fairness, Accountability, and Transparency, 262–271. Available at: </w:t>
      </w:r>
      <w:hyperlink r:id="rId68" w:history="1">
        <w:r w:rsidRPr="007B0737">
          <w:rPr>
            <w:rStyle w:val="Hyperlink"/>
            <w:rFonts w:asciiTheme="majorBidi" w:hAnsiTheme="majorBidi"/>
            <w:sz w:val="24"/>
            <w:szCs w:val="24"/>
          </w:rPr>
          <w:t>https://doi.org/10.1145/3442188.3445890</w:t>
        </w:r>
      </w:hyperlink>
      <w:r w:rsidRPr="007B0737">
        <w:rPr>
          <w:rFonts w:asciiTheme="majorBidi" w:hAnsiTheme="majorBidi" w:cstheme="majorBidi"/>
          <w:color w:val="000000"/>
          <w:sz w:val="24"/>
          <w:szCs w:val="24"/>
        </w:rPr>
        <w:t xml:space="preserve"> </w:t>
      </w:r>
    </w:p>
    <w:p w14:paraId="5C89C731"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lastRenderedPageBreak/>
        <w:t xml:space="preserve">Krafft, M., Sajtos, L., and Haenlein, M. (2020). </w:t>
      </w:r>
      <w:r w:rsidRPr="007B0737">
        <w:rPr>
          <w:rFonts w:asciiTheme="majorBidi" w:hAnsiTheme="majorBidi" w:cstheme="majorBidi"/>
          <w:i/>
          <w:iCs/>
          <w:sz w:val="24"/>
          <w:szCs w:val="24"/>
        </w:rPr>
        <w:t>“Challenges and Opportunities for Marketing Scholars in Times of the Fourth Industrial Revolution”</w:t>
      </w:r>
      <w:r w:rsidRPr="007B0737">
        <w:rPr>
          <w:rFonts w:asciiTheme="majorBidi" w:hAnsiTheme="majorBidi" w:cstheme="majorBidi"/>
          <w:sz w:val="24"/>
          <w:szCs w:val="24"/>
        </w:rPr>
        <w:t xml:space="preserve"> Journal of Interactive Marketing, 51, 1–8. Available at: </w:t>
      </w:r>
      <w:hyperlink r:id="rId69" w:history="1">
        <w:r w:rsidRPr="007B0737">
          <w:rPr>
            <w:rStyle w:val="Hyperlink"/>
            <w:rFonts w:asciiTheme="majorBidi" w:hAnsiTheme="majorBidi"/>
            <w:sz w:val="24"/>
            <w:szCs w:val="24"/>
          </w:rPr>
          <w:t>https://doi.org/10.1016/j.intmar.2020.06.001</w:t>
        </w:r>
      </w:hyperlink>
      <w:r w:rsidRPr="007B0737">
        <w:rPr>
          <w:rFonts w:asciiTheme="majorBidi" w:hAnsiTheme="majorBidi" w:cstheme="majorBidi"/>
          <w:sz w:val="24"/>
          <w:szCs w:val="24"/>
        </w:rPr>
        <w:t xml:space="preserve"> </w:t>
      </w:r>
    </w:p>
    <w:p w14:paraId="2CAB991D"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 xml:space="preserve">Kumar, M., Raut, R. D., Jagtap, S., and Choubey, V. K. (2023). </w:t>
      </w:r>
      <w:r w:rsidRPr="007B0737">
        <w:rPr>
          <w:rFonts w:asciiTheme="majorBidi" w:hAnsiTheme="majorBidi" w:cstheme="majorBidi"/>
          <w:i/>
          <w:iCs/>
          <w:sz w:val="24"/>
          <w:szCs w:val="24"/>
        </w:rPr>
        <w:t>“Circular economy adoption challenges in the food supply chain for sustainable development</w:t>
      </w:r>
      <w:r w:rsidRPr="007B0737">
        <w:rPr>
          <w:rFonts w:asciiTheme="majorBidi" w:hAnsiTheme="majorBidi" w:cstheme="majorBidi"/>
          <w:sz w:val="24"/>
          <w:szCs w:val="24"/>
        </w:rPr>
        <w:t xml:space="preserve">” Business Strategy and the Environment, 32(4), 1334–1356. Available at: </w:t>
      </w:r>
      <w:hyperlink r:id="rId70" w:history="1">
        <w:r w:rsidRPr="007B0737">
          <w:rPr>
            <w:rStyle w:val="Hyperlink"/>
            <w:rFonts w:asciiTheme="majorBidi" w:hAnsiTheme="majorBidi"/>
            <w:sz w:val="24"/>
            <w:szCs w:val="24"/>
          </w:rPr>
          <w:t>https://doi.org/10.1002/bse.3191</w:t>
        </w:r>
      </w:hyperlink>
      <w:r w:rsidRPr="007B0737">
        <w:rPr>
          <w:rFonts w:asciiTheme="majorBidi" w:hAnsiTheme="majorBidi" w:cstheme="majorBidi"/>
          <w:sz w:val="24"/>
          <w:szCs w:val="24"/>
        </w:rPr>
        <w:t xml:space="preserve"> </w:t>
      </w:r>
    </w:p>
    <w:p w14:paraId="4E1DC01B"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Lammers, T., Rashid, L., Kratzer, J., and Voinov, A. (2022). “</w:t>
      </w:r>
      <w:r w:rsidRPr="007B0737">
        <w:rPr>
          <w:rFonts w:asciiTheme="majorBidi" w:hAnsiTheme="majorBidi" w:cstheme="majorBidi"/>
          <w:i/>
          <w:iCs/>
          <w:sz w:val="24"/>
          <w:szCs w:val="24"/>
        </w:rPr>
        <w:t xml:space="preserve">An analysis of the sustainability goals of digital technology start-ups in Berlin”. </w:t>
      </w:r>
      <w:r w:rsidRPr="007B0737">
        <w:rPr>
          <w:rFonts w:asciiTheme="majorBidi" w:hAnsiTheme="majorBidi" w:cstheme="majorBidi"/>
          <w:sz w:val="24"/>
          <w:szCs w:val="24"/>
        </w:rPr>
        <w:t xml:space="preserve">Technological Forecasting and Social Change, 185. Available at: </w:t>
      </w:r>
      <w:hyperlink r:id="rId71" w:history="1">
        <w:r w:rsidRPr="007B0737">
          <w:rPr>
            <w:rStyle w:val="Hyperlink"/>
            <w:rFonts w:asciiTheme="majorBidi" w:hAnsiTheme="majorBidi"/>
            <w:sz w:val="24"/>
            <w:szCs w:val="24"/>
          </w:rPr>
          <w:t>https://doi.org/10.1016/j.techfore.2022.122096</w:t>
        </w:r>
      </w:hyperlink>
      <w:r w:rsidRPr="007B0737">
        <w:rPr>
          <w:rFonts w:asciiTheme="majorBidi" w:hAnsiTheme="majorBidi" w:cstheme="majorBidi"/>
          <w:sz w:val="24"/>
          <w:szCs w:val="24"/>
        </w:rPr>
        <w:t xml:space="preserve"> </w:t>
      </w:r>
    </w:p>
    <w:p w14:paraId="665FAC17"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Leitão, F. O., de Sousa Martins, T., Guarnieri, P., and Ouro-Salim, O. (2023). “</w:t>
      </w:r>
      <w:r w:rsidRPr="007B0737">
        <w:rPr>
          <w:rFonts w:asciiTheme="majorBidi" w:hAnsiTheme="majorBidi" w:cstheme="majorBidi"/>
          <w:i/>
          <w:iCs/>
          <w:sz w:val="24"/>
          <w:szCs w:val="24"/>
        </w:rPr>
        <w:t>Transition from linear to circular economy of electrical and electronic equipment: A review.</w:t>
      </w:r>
      <w:r w:rsidRPr="007B0737">
        <w:rPr>
          <w:rFonts w:asciiTheme="majorBidi" w:hAnsiTheme="majorBidi" w:cstheme="majorBidi"/>
          <w:sz w:val="24"/>
          <w:szCs w:val="24"/>
        </w:rPr>
        <w:t xml:space="preserve">” Business Strategy and Development, 6(3), 430–446. Available at: </w:t>
      </w:r>
      <w:hyperlink r:id="rId72" w:history="1">
        <w:r w:rsidRPr="007B0737">
          <w:rPr>
            <w:rStyle w:val="Hyperlink"/>
            <w:rFonts w:asciiTheme="majorBidi" w:hAnsiTheme="majorBidi"/>
            <w:sz w:val="24"/>
            <w:szCs w:val="24"/>
          </w:rPr>
          <w:t>https://doi.org/10.1002/bsd2.249</w:t>
        </w:r>
      </w:hyperlink>
      <w:r w:rsidRPr="007B0737">
        <w:rPr>
          <w:rFonts w:asciiTheme="majorBidi" w:hAnsiTheme="majorBidi" w:cstheme="majorBidi"/>
          <w:sz w:val="24"/>
          <w:szCs w:val="24"/>
        </w:rPr>
        <w:t xml:space="preserve"> </w:t>
      </w:r>
    </w:p>
    <w:p w14:paraId="7F59D7DA"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Li, B. H., Hou, B. C., Yu, W. T., Lu, X. B., and Yang, C. W. (2017). “</w:t>
      </w:r>
      <w:r w:rsidRPr="007B0737">
        <w:rPr>
          <w:rFonts w:asciiTheme="majorBidi" w:hAnsiTheme="majorBidi" w:cstheme="majorBidi"/>
          <w:i/>
          <w:iCs/>
          <w:sz w:val="24"/>
          <w:szCs w:val="24"/>
        </w:rPr>
        <w:t>Applications of artificial intelligence in intelligent manufacturing: A review.”</w:t>
      </w:r>
      <w:r w:rsidRPr="007B0737">
        <w:rPr>
          <w:rFonts w:asciiTheme="majorBidi" w:hAnsiTheme="majorBidi" w:cstheme="majorBidi"/>
          <w:sz w:val="24"/>
          <w:szCs w:val="24"/>
        </w:rPr>
        <w:t xml:space="preserve"> Frontiers of Information Technology &amp; Electronic Engineering, 18(1), 86–96. </w:t>
      </w:r>
      <w:r w:rsidRPr="007B0737">
        <w:rPr>
          <w:rFonts w:asciiTheme="majorBidi" w:hAnsiTheme="majorBidi" w:cstheme="majorBidi"/>
          <w:color w:val="000000"/>
          <w:sz w:val="24"/>
          <w:szCs w:val="24"/>
        </w:rPr>
        <w:t xml:space="preserve">Available at: </w:t>
      </w:r>
      <w:hyperlink r:id="rId73" w:history="1">
        <w:r w:rsidRPr="007B0737">
          <w:rPr>
            <w:rStyle w:val="Hyperlink"/>
            <w:rFonts w:asciiTheme="majorBidi" w:hAnsiTheme="majorBidi"/>
            <w:sz w:val="24"/>
            <w:szCs w:val="24"/>
          </w:rPr>
          <w:t>https://doi.org/10.1631/FITEE.1601885</w:t>
        </w:r>
      </w:hyperlink>
      <w:r w:rsidRPr="007B0737">
        <w:rPr>
          <w:rFonts w:asciiTheme="majorBidi" w:hAnsiTheme="majorBidi" w:cstheme="majorBidi"/>
          <w:color w:val="000000"/>
          <w:sz w:val="24"/>
          <w:szCs w:val="24"/>
        </w:rPr>
        <w:t xml:space="preserve"> </w:t>
      </w:r>
    </w:p>
    <w:p w14:paraId="34BABCCF"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Lichtenthaler, U. (2023). “</w:t>
      </w:r>
      <w:r w:rsidRPr="007B0737">
        <w:rPr>
          <w:rFonts w:asciiTheme="majorBidi" w:hAnsiTheme="majorBidi" w:cstheme="majorBidi"/>
          <w:i/>
          <w:iCs/>
          <w:sz w:val="24"/>
          <w:szCs w:val="24"/>
        </w:rPr>
        <w:t xml:space="preserve">Sustainability Skills and Sustainable Natives: Key Competencies and Maturity Model for Sustainability Management.” </w:t>
      </w:r>
      <w:r w:rsidRPr="007B0737">
        <w:rPr>
          <w:rFonts w:asciiTheme="majorBidi" w:hAnsiTheme="majorBidi" w:cstheme="majorBidi"/>
          <w:sz w:val="24"/>
          <w:szCs w:val="24"/>
        </w:rPr>
        <w:t xml:space="preserve">Journal of Innovation Management, 11(3), 95–113. Available at: </w:t>
      </w:r>
      <w:hyperlink r:id="rId74" w:history="1">
        <w:r w:rsidRPr="007B0737">
          <w:rPr>
            <w:rStyle w:val="Hyperlink"/>
            <w:rFonts w:asciiTheme="majorBidi" w:hAnsiTheme="majorBidi"/>
            <w:sz w:val="24"/>
            <w:szCs w:val="24"/>
          </w:rPr>
          <w:t>https://doi.org/10.24840/2183-0606_011.003_0005</w:t>
        </w:r>
      </w:hyperlink>
      <w:r w:rsidRPr="007B0737">
        <w:rPr>
          <w:rFonts w:asciiTheme="majorBidi" w:hAnsiTheme="majorBidi" w:cstheme="majorBidi"/>
          <w:sz w:val="24"/>
          <w:szCs w:val="24"/>
        </w:rPr>
        <w:t xml:space="preserve"> </w:t>
      </w:r>
    </w:p>
    <w:p w14:paraId="7AEA195A"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Ma, Y. M., Teng, Y., Deng, Z., and Yang, Z. (2023). “</w:t>
      </w:r>
      <w:r w:rsidRPr="007B0737">
        <w:rPr>
          <w:rFonts w:asciiTheme="majorBidi" w:hAnsiTheme="majorBidi" w:cstheme="majorBidi"/>
          <w:i/>
          <w:iCs/>
          <w:sz w:val="24"/>
          <w:szCs w:val="24"/>
        </w:rPr>
        <w:t>Does firms’ carbon disclosure increase consumers’ recycling willingness and firms’ recycling performance?”</w:t>
      </w:r>
      <w:r w:rsidRPr="007B0737">
        <w:rPr>
          <w:rFonts w:asciiTheme="majorBidi" w:hAnsiTheme="majorBidi" w:cstheme="majorBidi"/>
          <w:sz w:val="24"/>
          <w:szCs w:val="24"/>
        </w:rPr>
        <w:t xml:space="preserve"> Business Strategy and the Environment, 32(4), 2451–2470. Available at: </w:t>
      </w:r>
      <w:hyperlink r:id="rId75" w:history="1">
        <w:r w:rsidRPr="007B0737">
          <w:rPr>
            <w:rStyle w:val="Hyperlink"/>
            <w:rFonts w:asciiTheme="majorBidi" w:hAnsiTheme="majorBidi"/>
            <w:sz w:val="24"/>
            <w:szCs w:val="24"/>
          </w:rPr>
          <w:t>https://doi.org/10.1002/bse.3258</w:t>
        </w:r>
      </w:hyperlink>
      <w:r w:rsidRPr="007B0737">
        <w:rPr>
          <w:rFonts w:asciiTheme="majorBidi" w:hAnsiTheme="majorBidi" w:cstheme="majorBidi"/>
          <w:sz w:val="24"/>
          <w:szCs w:val="24"/>
        </w:rPr>
        <w:t xml:space="preserve"> </w:t>
      </w:r>
    </w:p>
    <w:p w14:paraId="01DB8ED4"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 xml:space="preserve">Manita, R., Elommal, N., Baudier, P., and Hikkerova, L. (2020). </w:t>
      </w:r>
      <w:r w:rsidRPr="007B0737">
        <w:rPr>
          <w:rFonts w:asciiTheme="majorBidi" w:hAnsiTheme="majorBidi" w:cstheme="majorBidi"/>
          <w:i/>
          <w:iCs/>
          <w:sz w:val="24"/>
          <w:szCs w:val="24"/>
        </w:rPr>
        <w:t>“The digital transformation of external audit and its impact on corporate governance.”</w:t>
      </w:r>
      <w:r w:rsidRPr="007B0737">
        <w:rPr>
          <w:rFonts w:asciiTheme="majorBidi" w:hAnsiTheme="majorBidi" w:cstheme="majorBidi"/>
          <w:sz w:val="24"/>
          <w:szCs w:val="24"/>
        </w:rPr>
        <w:t xml:space="preserve"> Technological Forecasting and Social Change, 150. Available at: </w:t>
      </w:r>
      <w:hyperlink r:id="rId76" w:history="1">
        <w:r w:rsidRPr="007B0737">
          <w:rPr>
            <w:rStyle w:val="Hyperlink"/>
            <w:rFonts w:asciiTheme="majorBidi" w:hAnsiTheme="majorBidi"/>
            <w:sz w:val="24"/>
            <w:szCs w:val="24"/>
          </w:rPr>
          <w:t>https://doi.org/10.1016/j.techfore.2019.119751</w:t>
        </w:r>
      </w:hyperlink>
      <w:r w:rsidRPr="007B0737">
        <w:rPr>
          <w:rFonts w:asciiTheme="majorBidi" w:hAnsiTheme="majorBidi" w:cstheme="majorBidi"/>
          <w:sz w:val="24"/>
          <w:szCs w:val="24"/>
        </w:rPr>
        <w:t xml:space="preserve"> </w:t>
      </w:r>
    </w:p>
    <w:p w14:paraId="5F031BAD"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Margolis. J. D., Walsh. J. P. (2001) “</w:t>
      </w:r>
      <w:r w:rsidRPr="007B0737">
        <w:rPr>
          <w:rFonts w:asciiTheme="majorBidi" w:hAnsiTheme="majorBidi" w:cstheme="majorBidi"/>
          <w:i/>
          <w:iCs/>
          <w:sz w:val="24"/>
          <w:szCs w:val="24"/>
        </w:rPr>
        <w:t>People and Profits? The search for a link between a company’s social and financial performance”</w:t>
      </w:r>
      <w:r w:rsidRPr="007B0737">
        <w:rPr>
          <w:rFonts w:asciiTheme="majorBidi" w:hAnsiTheme="majorBidi" w:cstheme="majorBidi"/>
          <w:sz w:val="24"/>
          <w:szCs w:val="24"/>
        </w:rPr>
        <w:t>. Mahwah. NJ: Lawrence Eribaum and Associates.</w:t>
      </w:r>
    </w:p>
    <w:p w14:paraId="1549B2B0"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 xml:space="preserve">Markets and Markets (2023). </w:t>
      </w:r>
      <w:r w:rsidRPr="007B0737">
        <w:rPr>
          <w:rFonts w:asciiTheme="majorBidi" w:hAnsiTheme="majorBidi" w:cstheme="majorBidi"/>
          <w:i/>
          <w:iCs/>
          <w:sz w:val="24"/>
          <w:szCs w:val="24"/>
        </w:rPr>
        <w:t>“Artificial Intelligence Market by Offering, technology, enduser industry, and geography – Global forecast to 2025.”</w:t>
      </w:r>
      <w:r w:rsidRPr="007B0737">
        <w:rPr>
          <w:rFonts w:asciiTheme="majorBidi" w:hAnsiTheme="majorBidi" w:cstheme="majorBidi"/>
          <w:sz w:val="24"/>
          <w:szCs w:val="24"/>
        </w:rPr>
        <w:t xml:space="preserve"> Available at </w:t>
      </w:r>
      <w:hyperlink r:id="rId77" w:history="1">
        <w:r w:rsidRPr="007B0737">
          <w:rPr>
            <w:rStyle w:val="Hyperlink"/>
            <w:rFonts w:asciiTheme="majorBidi" w:hAnsiTheme="majorBidi"/>
            <w:sz w:val="24"/>
            <w:szCs w:val="24"/>
          </w:rPr>
          <w:t>https://www.marketsandmarkets.com/Market-Reports/artificial-intelligence-market-74851580.html</w:t>
        </w:r>
      </w:hyperlink>
      <w:r w:rsidRPr="007B0737">
        <w:rPr>
          <w:rFonts w:asciiTheme="majorBidi" w:hAnsiTheme="majorBidi" w:cstheme="majorBidi"/>
          <w:sz w:val="24"/>
          <w:szCs w:val="24"/>
        </w:rPr>
        <w:t xml:space="preserve"> (Accessed 15</w:t>
      </w:r>
      <w:r w:rsidRPr="007B0737">
        <w:rPr>
          <w:rFonts w:asciiTheme="majorBidi" w:hAnsiTheme="majorBidi" w:cstheme="majorBidi"/>
          <w:sz w:val="24"/>
          <w:szCs w:val="24"/>
          <w:vertAlign w:val="superscript"/>
        </w:rPr>
        <w:t>th</w:t>
      </w:r>
      <w:r w:rsidRPr="007B0737">
        <w:rPr>
          <w:rFonts w:asciiTheme="majorBidi" w:hAnsiTheme="majorBidi" w:cstheme="majorBidi"/>
          <w:sz w:val="24"/>
          <w:szCs w:val="24"/>
        </w:rPr>
        <w:t xml:space="preserve"> January 2024)</w:t>
      </w:r>
    </w:p>
    <w:p w14:paraId="4758D790" w14:textId="77777777" w:rsidR="00AE272A" w:rsidRPr="007B0737" w:rsidRDefault="00AE272A" w:rsidP="003E7B09">
      <w:pPr>
        <w:autoSpaceDE w:val="0"/>
        <w:autoSpaceDN w:val="0"/>
        <w:jc w:val="both"/>
        <w:rPr>
          <w:rFonts w:asciiTheme="majorBidi" w:eastAsia="Times New Roman" w:hAnsiTheme="majorBidi" w:cstheme="majorBidi"/>
          <w:kern w:val="0"/>
          <w:sz w:val="24"/>
          <w:szCs w:val="24"/>
          <w14:ligatures w14:val="none"/>
        </w:rPr>
      </w:pPr>
      <w:r w:rsidRPr="007B0737">
        <w:rPr>
          <w:rFonts w:asciiTheme="majorBidi" w:eastAsia="Times New Roman" w:hAnsiTheme="majorBidi" w:cstheme="majorBidi"/>
          <w:sz w:val="24"/>
          <w:szCs w:val="24"/>
        </w:rPr>
        <w:t xml:space="preserve">Martin, K., and Waldman, A. (2023). </w:t>
      </w:r>
      <w:r w:rsidRPr="007B0737">
        <w:rPr>
          <w:rFonts w:asciiTheme="majorBidi" w:eastAsia="Times New Roman" w:hAnsiTheme="majorBidi" w:cstheme="majorBidi"/>
          <w:i/>
          <w:iCs/>
          <w:sz w:val="24"/>
          <w:szCs w:val="24"/>
        </w:rPr>
        <w:t>“Are Algorithmic Decisions Legitimate? The Effect of Process and Outcomes on Perceptions of Legitimacy of AI Decisions</w:t>
      </w:r>
      <w:r w:rsidRPr="007B0737">
        <w:rPr>
          <w:rFonts w:asciiTheme="majorBidi" w:eastAsia="Times New Roman" w:hAnsiTheme="majorBidi" w:cstheme="majorBidi"/>
          <w:sz w:val="24"/>
          <w:szCs w:val="24"/>
        </w:rPr>
        <w:t xml:space="preserve">.” Journal of Business Ethics, 183(3), 653–670. Available at: </w:t>
      </w:r>
      <w:hyperlink r:id="rId78" w:history="1">
        <w:r w:rsidRPr="007B0737">
          <w:rPr>
            <w:rStyle w:val="Hyperlink"/>
            <w:rFonts w:asciiTheme="majorBidi" w:eastAsia="Times New Roman" w:hAnsiTheme="majorBidi"/>
            <w:sz w:val="24"/>
            <w:szCs w:val="24"/>
          </w:rPr>
          <w:t>https://doi.org/10.1007/s10551-021-05032-7</w:t>
        </w:r>
      </w:hyperlink>
      <w:r w:rsidRPr="007B0737">
        <w:rPr>
          <w:rFonts w:asciiTheme="majorBidi" w:eastAsia="Times New Roman" w:hAnsiTheme="majorBidi" w:cstheme="majorBidi"/>
          <w:sz w:val="24"/>
          <w:szCs w:val="24"/>
        </w:rPr>
        <w:t xml:space="preserve"> </w:t>
      </w:r>
    </w:p>
    <w:p w14:paraId="3652900C" w14:textId="77777777" w:rsidR="00AE272A" w:rsidRPr="007B0737" w:rsidRDefault="00AE272A" w:rsidP="003E7B09">
      <w:pPr>
        <w:jc w:val="both"/>
        <w:rPr>
          <w:rFonts w:asciiTheme="majorBidi" w:hAnsiTheme="majorBidi" w:cstheme="majorBidi"/>
          <w:sz w:val="24"/>
          <w:szCs w:val="24"/>
        </w:rPr>
      </w:pPr>
      <w:r w:rsidRPr="007B0737">
        <w:rPr>
          <w:rFonts w:asciiTheme="majorBidi" w:eastAsia="Times New Roman" w:hAnsiTheme="majorBidi" w:cstheme="majorBidi"/>
          <w:sz w:val="24"/>
          <w:szCs w:val="24"/>
        </w:rPr>
        <w:t>Martinez, F. (2012) ‘</w:t>
      </w:r>
      <w:r w:rsidRPr="007B0737">
        <w:rPr>
          <w:rFonts w:asciiTheme="majorBidi" w:eastAsia="Times New Roman" w:hAnsiTheme="majorBidi" w:cstheme="majorBidi"/>
          <w:i/>
          <w:iCs/>
          <w:sz w:val="24"/>
          <w:szCs w:val="24"/>
        </w:rPr>
        <w:t>The syncretism of environmental and social responsibility with business economic performance</w:t>
      </w:r>
      <w:r w:rsidRPr="007B0737">
        <w:rPr>
          <w:rFonts w:asciiTheme="majorBidi" w:eastAsia="Times New Roman" w:hAnsiTheme="majorBidi" w:cstheme="majorBidi"/>
          <w:sz w:val="24"/>
          <w:szCs w:val="24"/>
        </w:rPr>
        <w:t xml:space="preserve">’, Management of Environmental Quality: An International Journal, 23(6), 597-614 Available at: </w:t>
      </w:r>
      <w:hyperlink r:id="rId79" w:history="1">
        <w:r w:rsidRPr="007B0737">
          <w:rPr>
            <w:rStyle w:val="Hyperlink"/>
            <w:rFonts w:asciiTheme="majorBidi" w:eastAsia="Times New Roman" w:hAnsiTheme="majorBidi"/>
            <w:sz w:val="24"/>
            <w:szCs w:val="24"/>
          </w:rPr>
          <w:t>https://doi.org/10.1108/14777831211262891</w:t>
        </w:r>
      </w:hyperlink>
      <w:r w:rsidRPr="007B0737">
        <w:rPr>
          <w:rFonts w:asciiTheme="majorBidi" w:eastAsia="Times New Roman" w:hAnsiTheme="majorBidi" w:cstheme="majorBidi"/>
          <w:sz w:val="24"/>
          <w:szCs w:val="24"/>
        </w:rPr>
        <w:t xml:space="preserve"> </w:t>
      </w:r>
    </w:p>
    <w:p w14:paraId="186CE2F2" w14:textId="77777777" w:rsidR="00AE272A" w:rsidRPr="007B0737" w:rsidRDefault="00AE272A" w:rsidP="003E7B09">
      <w:pPr>
        <w:jc w:val="both"/>
        <w:rPr>
          <w:rFonts w:asciiTheme="majorBidi" w:eastAsia="Times New Roman" w:hAnsiTheme="majorBidi" w:cstheme="majorBidi"/>
          <w:sz w:val="24"/>
          <w:szCs w:val="24"/>
        </w:rPr>
      </w:pPr>
      <w:r w:rsidRPr="007B0737">
        <w:rPr>
          <w:rFonts w:asciiTheme="majorBidi" w:eastAsia="Times New Roman" w:hAnsiTheme="majorBidi" w:cstheme="majorBidi"/>
          <w:sz w:val="24"/>
          <w:szCs w:val="24"/>
        </w:rPr>
        <w:t>McEachern, M.G. (2015) “</w:t>
      </w:r>
      <w:r w:rsidRPr="007B0737">
        <w:rPr>
          <w:rFonts w:asciiTheme="majorBidi" w:eastAsia="Times New Roman" w:hAnsiTheme="majorBidi" w:cstheme="majorBidi"/>
          <w:i/>
          <w:iCs/>
          <w:sz w:val="24"/>
          <w:szCs w:val="24"/>
        </w:rPr>
        <w:t xml:space="preserve">Corporate citizenship and its impact upon consumer moralisation, decision-making and choice”, </w:t>
      </w:r>
      <w:r w:rsidRPr="007B0737">
        <w:rPr>
          <w:rFonts w:asciiTheme="majorBidi" w:eastAsia="Times New Roman" w:hAnsiTheme="majorBidi" w:cstheme="majorBidi"/>
          <w:sz w:val="24"/>
          <w:szCs w:val="24"/>
        </w:rPr>
        <w:t xml:space="preserve">Journal of Marketing Management, 31(3–4), pp. 430–452. Available at: </w:t>
      </w:r>
      <w:hyperlink r:id="rId80" w:history="1">
        <w:r w:rsidRPr="007B0737">
          <w:rPr>
            <w:rStyle w:val="Hyperlink"/>
            <w:rFonts w:asciiTheme="majorBidi" w:eastAsia="Times New Roman" w:hAnsiTheme="majorBidi"/>
            <w:sz w:val="24"/>
            <w:szCs w:val="24"/>
          </w:rPr>
          <w:t>https://doi.org/10.1080/0267257X.2014.974658</w:t>
        </w:r>
      </w:hyperlink>
      <w:r w:rsidRPr="007B0737">
        <w:rPr>
          <w:rFonts w:asciiTheme="majorBidi" w:eastAsia="Times New Roman" w:hAnsiTheme="majorBidi" w:cstheme="majorBidi"/>
          <w:sz w:val="24"/>
          <w:szCs w:val="24"/>
        </w:rPr>
        <w:t xml:space="preserve"> </w:t>
      </w:r>
    </w:p>
    <w:p w14:paraId="244B1570"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lastRenderedPageBreak/>
        <w:t>Mendez-Suarez, M., de Obesso, M. de las M., Marquez, O. C., and Palacios, C. M. (2023).</w:t>
      </w:r>
      <w:r w:rsidRPr="007B0737">
        <w:rPr>
          <w:rFonts w:asciiTheme="majorBidi" w:hAnsiTheme="majorBidi" w:cstheme="majorBidi"/>
          <w:i/>
          <w:iCs/>
          <w:sz w:val="24"/>
          <w:szCs w:val="24"/>
        </w:rPr>
        <w:t xml:space="preserve"> “Why Do Companies Employ Prohibited Unethical Artificial Intelligence Practices?”; </w:t>
      </w:r>
      <w:r w:rsidRPr="007B0737">
        <w:rPr>
          <w:rFonts w:asciiTheme="majorBidi" w:hAnsiTheme="majorBidi" w:cstheme="majorBidi"/>
          <w:sz w:val="24"/>
          <w:szCs w:val="24"/>
        </w:rPr>
        <w:t xml:space="preserve">IEEE Transactions on Engineering Management. Available at:  </w:t>
      </w:r>
      <w:hyperlink r:id="rId81" w:history="1">
        <w:r w:rsidRPr="007B0737">
          <w:rPr>
            <w:rStyle w:val="Hyperlink"/>
            <w:rFonts w:asciiTheme="majorBidi" w:hAnsiTheme="majorBidi"/>
            <w:sz w:val="24"/>
            <w:szCs w:val="24"/>
          </w:rPr>
          <w:t>https://doi.org/10.1109/TEM.2023.3258686</w:t>
        </w:r>
      </w:hyperlink>
      <w:r w:rsidRPr="007B0737">
        <w:rPr>
          <w:rFonts w:asciiTheme="majorBidi" w:hAnsiTheme="majorBidi" w:cstheme="majorBidi"/>
          <w:sz w:val="24"/>
          <w:szCs w:val="24"/>
        </w:rPr>
        <w:t xml:space="preserve"> </w:t>
      </w:r>
    </w:p>
    <w:p w14:paraId="6F823404"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Méndez-Suárez, M., Simón-Moya, V., and de Prat, J. M. (2023). “</w:t>
      </w:r>
      <w:r w:rsidRPr="007B0737">
        <w:rPr>
          <w:rFonts w:asciiTheme="majorBidi" w:hAnsiTheme="majorBidi" w:cstheme="majorBidi"/>
          <w:i/>
          <w:iCs/>
          <w:sz w:val="24"/>
          <w:szCs w:val="24"/>
        </w:rPr>
        <w:t xml:space="preserve">Do current regulations prevent unethical AI practices?” </w:t>
      </w:r>
      <w:r w:rsidRPr="007B0737">
        <w:rPr>
          <w:rFonts w:asciiTheme="majorBidi" w:hAnsiTheme="majorBidi" w:cstheme="majorBidi"/>
          <w:sz w:val="24"/>
          <w:szCs w:val="24"/>
        </w:rPr>
        <w:t xml:space="preserve">Journal of Competitiveness, 15(3), 207–222. Available at: </w:t>
      </w:r>
      <w:hyperlink r:id="rId82" w:history="1">
        <w:r w:rsidRPr="007B0737">
          <w:rPr>
            <w:rStyle w:val="Hyperlink"/>
            <w:rFonts w:asciiTheme="majorBidi" w:hAnsiTheme="majorBidi"/>
            <w:sz w:val="24"/>
            <w:szCs w:val="24"/>
          </w:rPr>
          <w:t>https://doi.org/10.7441/joc.2023.03.11</w:t>
        </w:r>
      </w:hyperlink>
      <w:r w:rsidRPr="007B0737">
        <w:rPr>
          <w:rFonts w:asciiTheme="majorBidi" w:hAnsiTheme="majorBidi" w:cstheme="majorBidi"/>
          <w:sz w:val="24"/>
          <w:szCs w:val="24"/>
        </w:rPr>
        <w:t xml:space="preserve"> </w:t>
      </w:r>
    </w:p>
    <w:p w14:paraId="71125E7C"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 xml:space="preserve">Meseguer-Sánchez, V., Gálvez-Sánchez, F. J., López-Martínez, G., and Molina-Moreno, V. (2021). </w:t>
      </w:r>
      <w:r w:rsidRPr="007B0737">
        <w:rPr>
          <w:rFonts w:asciiTheme="majorBidi" w:hAnsiTheme="majorBidi" w:cstheme="majorBidi"/>
          <w:i/>
          <w:iCs/>
          <w:sz w:val="24"/>
          <w:szCs w:val="24"/>
        </w:rPr>
        <w:t>“Corporate social responsibility and sustainability. A bibliometric analysis of their interrelations”</w:t>
      </w:r>
      <w:r w:rsidRPr="007B0737">
        <w:rPr>
          <w:rFonts w:asciiTheme="majorBidi" w:hAnsiTheme="majorBidi" w:cstheme="majorBidi"/>
          <w:sz w:val="24"/>
          <w:szCs w:val="24"/>
        </w:rPr>
        <w:t xml:space="preserve"> Sustainability (Switzerland), 13(4), 1–18.  Available at: </w:t>
      </w:r>
      <w:hyperlink r:id="rId83" w:history="1">
        <w:r w:rsidRPr="007B0737">
          <w:rPr>
            <w:rStyle w:val="Hyperlink"/>
            <w:rFonts w:asciiTheme="majorBidi" w:hAnsiTheme="majorBidi"/>
            <w:sz w:val="24"/>
            <w:szCs w:val="24"/>
          </w:rPr>
          <w:t>https://doi.org/10.3390/su13041636</w:t>
        </w:r>
      </w:hyperlink>
      <w:r w:rsidRPr="007B0737">
        <w:rPr>
          <w:rFonts w:asciiTheme="majorBidi" w:hAnsiTheme="majorBidi" w:cstheme="majorBidi"/>
          <w:sz w:val="24"/>
          <w:szCs w:val="24"/>
        </w:rPr>
        <w:t xml:space="preserve"> </w:t>
      </w:r>
    </w:p>
    <w:p w14:paraId="68BF9D93"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 xml:space="preserve">Mohajan, H. K. (2019).” </w:t>
      </w:r>
      <w:r w:rsidRPr="007B0737">
        <w:rPr>
          <w:rFonts w:asciiTheme="majorBidi" w:hAnsiTheme="majorBidi" w:cstheme="majorBidi"/>
          <w:i/>
          <w:iCs/>
          <w:color w:val="000000"/>
          <w:sz w:val="24"/>
          <w:szCs w:val="24"/>
        </w:rPr>
        <w:t>The First Industrial Revolution: Creation of a New Global Human Era</w:t>
      </w:r>
      <w:r w:rsidRPr="007B0737">
        <w:rPr>
          <w:rFonts w:asciiTheme="majorBidi" w:hAnsiTheme="majorBidi" w:cstheme="majorBidi"/>
          <w:color w:val="000000"/>
          <w:sz w:val="24"/>
          <w:szCs w:val="24"/>
        </w:rPr>
        <w:t xml:space="preserve">.” Journal of Social Sciences and Humanities, 5(4), 377–387. Available at: </w:t>
      </w:r>
      <w:hyperlink r:id="rId84" w:history="1">
        <w:r w:rsidRPr="007B0737">
          <w:rPr>
            <w:rStyle w:val="Hyperlink"/>
            <w:rFonts w:asciiTheme="majorBidi" w:hAnsiTheme="majorBidi"/>
            <w:sz w:val="24"/>
            <w:szCs w:val="24"/>
          </w:rPr>
          <w:t>http://www.aiscience.org/journal/jsshhttp://creativecommons.org/licenses/by/4.0/</w:t>
        </w:r>
      </w:hyperlink>
      <w:r w:rsidRPr="007B0737">
        <w:rPr>
          <w:rFonts w:asciiTheme="majorBidi" w:hAnsiTheme="majorBidi" w:cstheme="majorBidi"/>
          <w:color w:val="000000"/>
          <w:sz w:val="24"/>
          <w:szCs w:val="24"/>
        </w:rPr>
        <w:t xml:space="preserve"> </w:t>
      </w:r>
    </w:p>
    <w:p w14:paraId="1A0D0B36" w14:textId="77777777" w:rsidR="00AE272A" w:rsidRPr="007B0737" w:rsidRDefault="00AE272A" w:rsidP="003E7B09">
      <w:pPr>
        <w:jc w:val="both"/>
        <w:rPr>
          <w:rFonts w:asciiTheme="majorBidi" w:eastAsia="Times New Roman" w:hAnsiTheme="majorBidi" w:cstheme="majorBidi"/>
          <w:sz w:val="24"/>
          <w:szCs w:val="24"/>
        </w:rPr>
      </w:pPr>
      <w:r w:rsidRPr="007B0737">
        <w:rPr>
          <w:rFonts w:asciiTheme="majorBidi" w:eastAsia="Times New Roman" w:hAnsiTheme="majorBidi" w:cstheme="majorBidi"/>
          <w:sz w:val="24"/>
          <w:szCs w:val="24"/>
        </w:rPr>
        <w:t xml:space="preserve">Mosca, F. and Civera, C. (2017) ‘The Evolution of CSR: An Integrated Approach’, </w:t>
      </w:r>
      <w:r w:rsidRPr="007B0737">
        <w:rPr>
          <w:rFonts w:asciiTheme="majorBidi" w:eastAsia="Times New Roman" w:hAnsiTheme="majorBidi" w:cstheme="majorBidi"/>
          <w:i/>
          <w:iCs/>
          <w:sz w:val="24"/>
          <w:szCs w:val="24"/>
        </w:rPr>
        <w:t>Symphonya. Emerging Issues in Management</w:t>
      </w:r>
      <w:r w:rsidRPr="007B0737">
        <w:rPr>
          <w:rFonts w:asciiTheme="majorBidi" w:eastAsia="Times New Roman" w:hAnsiTheme="majorBidi" w:cstheme="majorBidi"/>
          <w:sz w:val="24"/>
          <w:szCs w:val="24"/>
        </w:rPr>
        <w:t xml:space="preserve">, (1), pp. 16–35. Available at: </w:t>
      </w:r>
      <w:hyperlink r:id="rId85" w:history="1">
        <w:r w:rsidRPr="007B0737">
          <w:rPr>
            <w:rStyle w:val="Hyperlink"/>
            <w:rFonts w:asciiTheme="majorBidi" w:eastAsia="Times New Roman" w:hAnsiTheme="majorBidi"/>
            <w:sz w:val="24"/>
            <w:szCs w:val="24"/>
          </w:rPr>
          <w:t>https://doi.org/10.4468/2017.1.03mosca.civera</w:t>
        </w:r>
      </w:hyperlink>
      <w:r w:rsidRPr="007B0737">
        <w:rPr>
          <w:rFonts w:asciiTheme="majorBidi" w:eastAsia="Times New Roman" w:hAnsiTheme="majorBidi" w:cstheme="majorBidi"/>
          <w:sz w:val="24"/>
          <w:szCs w:val="24"/>
        </w:rPr>
        <w:t>.</w:t>
      </w:r>
    </w:p>
    <w:p w14:paraId="0173E54C"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Mou, Y., and Meng, X. (2023). “</w:t>
      </w:r>
      <w:r w:rsidRPr="007B0737">
        <w:rPr>
          <w:rFonts w:asciiTheme="majorBidi" w:hAnsiTheme="majorBidi" w:cstheme="majorBidi"/>
          <w:i/>
          <w:iCs/>
          <w:sz w:val="24"/>
          <w:szCs w:val="24"/>
        </w:rPr>
        <w:t>Alexa, it is creeping over me – Exploring the impact of privacy concerns on consumer resistance to intelligent voice assistants</w:t>
      </w:r>
      <w:r w:rsidRPr="007B0737">
        <w:rPr>
          <w:rFonts w:asciiTheme="majorBidi" w:hAnsiTheme="majorBidi" w:cstheme="majorBidi"/>
          <w:sz w:val="24"/>
          <w:szCs w:val="24"/>
        </w:rPr>
        <w:t xml:space="preserve">” Asia Pacific Journal of Marketing and Logistics. Available at: </w:t>
      </w:r>
      <w:hyperlink r:id="rId86" w:history="1">
        <w:r w:rsidRPr="007B0737">
          <w:rPr>
            <w:rStyle w:val="Hyperlink"/>
            <w:rFonts w:asciiTheme="majorBidi" w:hAnsiTheme="majorBidi"/>
            <w:sz w:val="24"/>
            <w:szCs w:val="24"/>
          </w:rPr>
          <w:t>https://doi.org/10.1108/APJML-10-2022-0869</w:t>
        </w:r>
      </w:hyperlink>
      <w:r w:rsidRPr="007B0737">
        <w:rPr>
          <w:rFonts w:asciiTheme="majorBidi" w:hAnsiTheme="majorBidi" w:cstheme="majorBidi"/>
          <w:sz w:val="24"/>
          <w:szCs w:val="24"/>
        </w:rPr>
        <w:t xml:space="preserve"> </w:t>
      </w:r>
    </w:p>
    <w:p w14:paraId="56303D72"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Nabavi, E., and Browne, C. (2023). “</w:t>
      </w:r>
      <w:r w:rsidRPr="00462E6E">
        <w:rPr>
          <w:rFonts w:asciiTheme="majorBidi" w:hAnsiTheme="majorBidi" w:cstheme="majorBidi"/>
          <w:i/>
          <w:iCs/>
          <w:sz w:val="24"/>
          <w:szCs w:val="24"/>
        </w:rPr>
        <w:t>Leverage zones in Responsible AI: towards a systems thinking conceptualization</w:t>
      </w:r>
      <w:r w:rsidRPr="007B0737">
        <w:rPr>
          <w:rFonts w:asciiTheme="majorBidi" w:hAnsiTheme="majorBidi" w:cstheme="majorBidi"/>
          <w:sz w:val="24"/>
          <w:szCs w:val="24"/>
        </w:rPr>
        <w:t xml:space="preserve">”. Humanities and Social Sciences Communications, 10(1). Available at: </w:t>
      </w:r>
      <w:hyperlink r:id="rId87" w:history="1">
        <w:r w:rsidRPr="007B0737">
          <w:rPr>
            <w:rStyle w:val="Hyperlink"/>
            <w:rFonts w:asciiTheme="majorBidi" w:hAnsiTheme="majorBidi"/>
            <w:sz w:val="24"/>
            <w:szCs w:val="24"/>
          </w:rPr>
          <w:t>https://doi.org/10.1057/s41599-023-01579-0</w:t>
        </w:r>
      </w:hyperlink>
      <w:r w:rsidRPr="007B0737">
        <w:rPr>
          <w:rFonts w:asciiTheme="majorBidi" w:hAnsiTheme="majorBidi" w:cstheme="majorBidi"/>
          <w:sz w:val="24"/>
          <w:szCs w:val="24"/>
        </w:rPr>
        <w:t xml:space="preserve"> </w:t>
      </w:r>
    </w:p>
    <w:p w14:paraId="13B21808"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 xml:space="preserve">Nasir, O., Javed, R. T., Gupta, S., Vinuesa, R., and Qadir, J. (2023). </w:t>
      </w:r>
      <w:r w:rsidRPr="007B0737">
        <w:rPr>
          <w:rFonts w:asciiTheme="majorBidi" w:hAnsiTheme="majorBidi" w:cstheme="majorBidi"/>
          <w:i/>
          <w:iCs/>
          <w:sz w:val="24"/>
          <w:szCs w:val="24"/>
        </w:rPr>
        <w:t xml:space="preserve">“Artificial intelligence and sustainable development goals nexus via four vantage points” </w:t>
      </w:r>
      <w:r w:rsidRPr="007B0737">
        <w:rPr>
          <w:rFonts w:asciiTheme="majorBidi" w:hAnsiTheme="majorBidi" w:cstheme="majorBidi"/>
          <w:sz w:val="24"/>
          <w:szCs w:val="24"/>
        </w:rPr>
        <w:t xml:space="preserve">Technology in Society, 72. Available at: </w:t>
      </w:r>
      <w:hyperlink r:id="rId88" w:history="1">
        <w:r w:rsidRPr="007B0737">
          <w:rPr>
            <w:rStyle w:val="Hyperlink"/>
            <w:rFonts w:asciiTheme="majorBidi" w:hAnsiTheme="majorBidi"/>
            <w:sz w:val="24"/>
            <w:szCs w:val="24"/>
          </w:rPr>
          <w:t>https://doi.org/10.1016/j.techsoc.2022.102171</w:t>
        </w:r>
      </w:hyperlink>
      <w:r w:rsidRPr="007B0737">
        <w:rPr>
          <w:rFonts w:asciiTheme="majorBidi" w:hAnsiTheme="majorBidi" w:cstheme="majorBidi"/>
          <w:sz w:val="24"/>
          <w:szCs w:val="24"/>
        </w:rPr>
        <w:t xml:space="preserve"> </w:t>
      </w:r>
    </w:p>
    <w:p w14:paraId="3250B323" w14:textId="77777777" w:rsidR="00AE272A" w:rsidRPr="007B0737" w:rsidRDefault="00AE272A" w:rsidP="003E7B09">
      <w:pPr>
        <w:jc w:val="both"/>
        <w:rPr>
          <w:rFonts w:asciiTheme="majorBidi" w:eastAsia="Times New Roman" w:hAnsiTheme="majorBidi" w:cstheme="majorBidi"/>
          <w:sz w:val="24"/>
          <w:szCs w:val="24"/>
        </w:rPr>
      </w:pPr>
      <w:r w:rsidRPr="007B0737">
        <w:rPr>
          <w:rFonts w:asciiTheme="majorBidi" w:eastAsia="Times New Roman" w:hAnsiTheme="majorBidi" w:cstheme="majorBidi"/>
          <w:sz w:val="24"/>
          <w:szCs w:val="24"/>
        </w:rPr>
        <w:t xml:space="preserve">Newell, S., and Marabelli, M. (2015). </w:t>
      </w:r>
      <w:r w:rsidRPr="007B0737">
        <w:rPr>
          <w:rFonts w:asciiTheme="majorBidi" w:eastAsia="Times New Roman" w:hAnsiTheme="majorBidi" w:cstheme="majorBidi"/>
          <w:i/>
          <w:iCs/>
          <w:sz w:val="24"/>
          <w:szCs w:val="24"/>
        </w:rPr>
        <w:t>“Strategic opportunities (and challenges) of algorithmic decision- making: A call for action on the long-term societal effects of ‘datification”</w:t>
      </w:r>
      <w:r w:rsidRPr="007B0737">
        <w:rPr>
          <w:rFonts w:asciiTheme="majorBidi" w:eastAsia="Times New Roman" w:hAnsiTheme="majorBidi" w:cstheme="majorBidi"/>
          <w:sz w:val="24"/>
          <w:szCs w:val="24"/>
        </w:rPr>
        <w:t xml:space="preserve"> The Journal of Strategic Information Systems, 24(1), 3–14 Available at:  </w:t>
      </w:r>
      <w:hyperlink r:id="rId89" w:history="1">
        <w:r w:rsidRPr="007B0737">
          <w:rPr>
            <w:rStyle w:val="Hyperlink"/>
            <w:rFonts w:asciiTheme="majorBidi" w:eastAsia="Times New Roman" w:hAnsiTheme="majorBidi"/>
            <w:sz w:val="24"/>
            <w:szCs w:val="24"/>
          </w:rPr>
          <w:t>https://doi.org/10.1016/j.jsis.2015.02.001</w:t>
        </w:r>
      </w:hyperlink>
      <w:r w:rsidRPr="007B0737">
        <w:rPr>
          <w:rFonts w:asciiTheme="majorBidi" w:eastAsia="Times New Roman" w:hAnsiTheme="majorBidi" w:cstheme="majorBidi"/>
          <w:sz w:val="24"/>
          <w:szCs w:val="24"/>
        </w:rPr>
        <w:t xml:space="preserve"> </w:t>
      </w:r>
    </w:p>
    <w:p w14:paraId="5CF52373" w14:textId="77777777" w:rsidR="00AE272A" w:rsidRPr="007B0737" w:rsidRDefault="00AE272A" w:rsidP="003E7B09">
      <w:pPr>
        <w:jc w:val="both"/>
        <w:rPr>
          <w:rFonts w:asciiTheme="majorBidi" w:eastAsia="Times New Roman" w:hAnsiTheme="majorBidi" w:cstheme="majorBidi"/>
          <w:sz w:val="24"/>
          <w:szCs w:val="24"/>
        </w:rPr>
      </w:pPr>
      <w:r w:rsidRPr="007B0737">
        <w:rPr>
          <w:rFonts w:asciiTheme="majorBidi" w:eastAsia="Times New Roman" w:hAnsiTheme="majorBidi" w:cstheme="majorBidi"/>
          <w:sz w:val="24"/>
          <w:szCs w:val="24"/>
        </w:rPr>
        <w:t xml:space="preserve">Nobre, G. C., and Tavares, E. (2021). </w:t>
      </w:r>
      <w:r w:rsidRPr="007B0737">
        <w:rPr>
          <w:rFonts w:asciiTheme="majorBidi" w:eastAsia="Times New Roman" w:hAnsiTheme="majorBidi" w:cstheme="majorBidi"/>
          <w:i/>
          <w:iCs/>
          <w:sz w:val="24"/>
          <w:szCs w:val="24"/>
        </w:rPr>
        <w:t>“The quest for a circular economy final definition: A scientific perspective”</w:t>
      </w:r>
      <w:r w:rsidRPr="007B0737">
        <w:rPr>
          <w:rFonts w:asciiTheme="majorBidi" w:eastAsia="Times New Roman" w:hAnsiTheme="majorBidi" w:cstheme="majorBidi"/>
          <w:sz w:val="24"/>
          <w:szCs w:val="24"/>
        </w:rPr>
        <w:t xml:space="preserve"> Journal of Cleaner Production, 314. Available at: </w:t>
      </w:r>
      <w:hyperlink r:id="rId90" w:history="1">
        <w:r w:rsidRPr="007B0737">
          <w:rPr>
            <w:rStyle w:val="Hyperlink"/>
            <w:rFonts w:asciiTheme="majorBidi" w:eastAsia="Times New Roman" w:hAnsiTheme="majorBidi"/>
            <w:sz w:val="24"/>
            <w:szCs w:val="24"/>
          </w:rPr>
          <w:t>https://doi.org/10.1016/j.jclepro.2021.127973</w:t>
        </w:r>
      </w:hyperlink>
      <w:r w:rsidRPr="007B0737">
        <w:rPr>
          <w:rFonts w:asciiTheme="majorBidi" w:eastAsia="Times New Roman" w:hAnsiTheme="majorBidi" w:cstheme="majorBidi"/>
          <w:sz w:val="24"/>
          <w:szCs w:val="24"/>
        </w:rPr>
        <w:t xml:space="preserve"> </w:t>
      </w:r>
    </w:p>
    <w:p w14:paraId="435DD588" w14:textId="77777777" w:rsidR="00AE272A" w:rsidRPr="007B0737" w:rsidRDefault="00AE272A" w:rsidP="003E7B09">
      <w:pPr>
        <w:autoSpaceDE w:val="0"/>
        <w:autoSpaceDN w:val="0"/>
        <w:jc w:val="both"/>
        <w:rPr>
          <w:rFonts w:asciiTheme="majorBidi" w:eastAsia="Times New Roman" w:hAnsiTheme="majorBidi" w:cstheme="majorBidi"/>
          <w:kern w:val="0"/>
          <w:sz w:val="24"/>
          <w:szCs w:val="24"/>
          <w14:ligatures w14:val="none"/>
        </w:rPr>
      </w:pPr>
      <w:r w:rsidRPr="007B0737">
        <w:rPr>
          <w:rFonts w:asciiTheme="majorBidi" w:eastAsia="Times New Roman" w:hAnsiTheme="majorBidi" w:cstheme="majorBidi"/>
          <w:sz w:val="24"/>
          <w:szCs w:val="24"/>
        </w:rPr>
        <w:t xml:space="preserve">Ortiz-de-Montellano, C.G.S., Samani, P., and van der Meer, Y. (2023). </w:t>
      </w:r>
      <w:r w:rsidRPr="007B0737">
        <w:rPr>
          <w:rFonts w:asciiTheme="majorBidi" w:eastAsia="Times New Roman" w:hAnsiTheme="majorBidi" w:cstheme="majorBidi"/>
          <w:i/>
          <w:iCs/>
          <w:sz w:val="24"/>
          <w:szCs w:val="24"/>
        </w:rPr>
        <w:t>“How can the circular economy support the advancement of the Sustainable Development Goals (SDGs)? A comprehensive analysis.”</w:t>
      </w:r>
      <w:r w:rsidRPr="007B0737">
        <w:rPr>
          <w:rFonts w:asciiTheme="majorBidi" w:eastAsia="Times New Roman" w:hAnsiTheme="majorBidi" w:cstheme="majorBidi"/>
          <w:sz w:val="24"/>
          <w:szCs w:val="24"/>
        </w:rPr>
        <w:t xml:space="preserve"> Sustainable Production and Consumption, 40, 352–362. Available at:  </w:t>
      </w:r>
      <w:hyperlink r:id="rId91" w:history="1">
        <w:r w:rsidRPr="007B0737">
          <w:rPr>
            <w:rStyle w:val="Hyperlink"/>
            <w:rFonts w:asciiTheme="majorBidi" w:eastAsia="Times New Roman" w:hAnsiTheme="majorBidi"/>
            <w:sz w:val="24"/>
            <w:szCs w:val="24"/>
          </w:rPr>
          <w:t>https://doi.org/10.1016/j.spc.2023.07.003</w:t>
        </w:r>
      </w:hyperlink>
      <w:r w:rsidRPr="007B0737">
        <w:rPr>
          <w:rFonts w:asciiTheme="majorBidi" w:eastAsia="Times New Roman" w:hAnsiTheme="majorBidi" w:cstheme="majorBidi"/>
          <w:sz w:val="24"/>
          <w:szCs w:val="24"/>
        </w:rPr>
        <w:t xml:space="preserve"> </w:t>
      </w:r>
    </w:p>
    <w:p w14:paraId="01D5ABAF"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 xml:space="preserve">Pahuja, S., and Agrawal, A. (2023). </w:t>
      </w:r>
      <w:r w:rsidRPr="007B0737">
        <w:rPr>
          <w:rFonts w:asciiTheme="majorBidi" w:hAnsiTheme="majorBidi" w:cstheme="majorBidi"/>
          <w:i/>
          <w:iCs/>
          <w:color w:val="000000"/>
          <w:sz w:val="24"/>
          <w:szCs w:val="24"/>
        </w:rPr>
        <w:t>“Board Attributes and Corporate Social Responsibility: A Systematic Literature Review and Future Research Perspectives</w:t>
      </w:r>
      <w:r w:rsidRPr="007B0737">
        <w:rPr>
          <w:rFonts w:asciiTheme="majorBidi" w:hAnsiTheme="majorBidi" w:cstheme="majorBidi"/>
          <w:color w:val="000000"/>
          <w:sz w:val="24"/>
          <w:szCs w:val="24"/>
        </w:rPr>
        <w:t xml:space="preserve">” Indian Journal of Corporate Governance (Vol. 16, Issue 1, pp. 108–138). Available at:. </w:t>
      </w:r>
      <w:hyperlink r:id="rId92" w:history="1">
        <w:r w:rsidRPr="007B0737">
          <w:rPr>
            <w:rStyle w:val="Hyperlink"/>
            <w:rFonts w:asciiTheme="majorBidi" w:hAnsiTheme="majorBidi"/>
            <w:sz w:val="24"/>
            <w:szCs w:val="24"/>
          </w:rPr>
          <w:t>https://doi.org/10.1177/09746862231170429</w:t>
        </w:r>
      </w:hyperlink>
      <w:r w:rsidRPr="007B0737">
        <w:rPr>
          <w:rFonts w:asciiTheme="majorBidi" w:hAnsiTheme="majorBidi" w:cstheme="majorBidi"/>
          <w:color w:val="000000"/>
          <w:sz w:val="24"/>
          <w:szCs w:val="24"/>
        </w:rPr>
        <w:t xml:space="preserve"> </w:t>
      </w:r>
    </w:p>
    <w:p w14:paraId="7D2813EA" w14:textId="77777777" w:rsidR="00AE272A" w:rsidRPr="007B0737" w:rsidRDefault="00AE272A" w:rsidP="003E7B09">
      <w:pPr>
        <w:jc w:val="both"/>
        <w:rPr>
          <w:rFonts w:asciiTheme="majorBidi" w:eastAsia="Times New Roman" w:hAnsiTheme="majorBidi" w:cstheme="majorBidi"/>
          <w:sz w:val="24"/>
          <w:szCs w:val="24"/>
        </w:rPr>
      </w:pPr>
      <w:r w:rsidRPr="007B0737">
        <w:rPr>
          <w:rFonts w:asciiTheme="majorBidi" w:eastAsia="Times New Roman" w:hAnsiTheme="majorBidi" w:cstheme="majorBidi"/>
          <w:sz w:val="24"/>
          <w:szCs w:val="24"/>
        </w:rPr>
        <w:lastRenderedPageBreak/>
        <w:t>Park, J., Lee, H., and Kim, C. (2014) “</w:t>
      </w:r>
      <w:r w:rsidRPr="007B0737">
        <w:rPr>
          <w:rFonts w:asciiTheme="majorBidi" w:eastAsia="Times New Roman" w:hAnsiTheme="majorBidi" w:cstheme="majorBidi"/>
          <w:i/>
          <w:iCs/>
          <w:sz w:val="24"/>
          <w:szCs w:val="24"/>
        </w:rPr>
        <w:t>Corporate social responsibilities, consumer trust and corporate reputation: South Korean consumers’ perspectives”</w:t>
      </w:r>
      <w:r w:rsidRPr="007B0737">
        <w:rPr>
          <w:rFonts w:asciiTheme="majorBidi" w:eastAsia="Times New Roman" w:hAnsiTheme="majorBidi" w:cstheme="majorBidi"/>
          <w:sz w:val="24"/>
          <w:szCs w:val="24"/>
        </w:rPr>
        <w:t xml:space="preserve"> Journal of Business Research, 67(3), 295–302. Available at: </w:t>
      </w:r>
      <w:hyperlink r:id="rId93" w:history="1">
        <w:r w:rsidRPr="007B0737">
          <w:rPr>
            <w:rStyle w:val="Hyperlink"/>
            <w:rFonts w:asciiTheme="majorBidi" w:eastAsia="Times New Roman" w:hAnsiTheme="majorBidi"/>
            <w:sz w:val="24"/>
            <w:szCs w:val="24"/>
          </w:rPr>
          <w:t>https://doi.org/10.1016/j.jbusres.2013.05.016</w:t>
        </w:r>
      </w:hyperlink>
      <w:r w:rsidRPr="007B0737">
        <w:rPr>
          <w:rFonts w:asciiTheme="majorBidi" w:eastAsia="Times New Roman" w:hAnsiTheme="majorBidi" w:cstheme="majorBidi"/>
          <w:sz w:val="24"/>
          <w:szCs w:val="24"/>
        </w:rPr>
        <w:t xml:space="preserve"> </w:t>
      </w:r>
    </w:p>
    <w:p w14:paraId="0590F2D2"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Pathan, M. S., Richardson, E., Galvan, E., and Mooney, P. (2023). “</w:t>
      </w:r>
      <w:r w:rsidRPr="00462E6E">
        <w:rPr>
          <w:rFonts w:asciiTheme="majorBidi" w:hAnsiTheme="majorBidi" w:cstheme="majorBidi"/>
          <w:i/>
          <w:iCs/>
          <w:sz w:val="24"/>
          <w:szCs w:val="24"/>
        </w:rPr>
        <w:t>The Role of Artificial Intelligence within Circular Economy Activities—A View from Ireland</w:t>
      </w:r>
      <w:r w:rsidRPr="007B0737">
        <w:rPr>
          <w:rFonts w:asciiTheme="majorBidi" w:hAnsiTheme="majorBidi" w:cstheme="majorBidi"/>
          <w:sz w:val="24"/>
          <w:szCs w:val="24"/>
        </w:rPr>
        <w:t xml:space="preserve">” Sustainability (Switzerland) 15(12), Available at: </w:t>
      </w:r>
      <w:hyperlink r:id="rId94" w:history="1">
        <w:r w:rsidRPr="007B0737">
          <w:rPr>
            <w:rStyle w:val="Hyperlink"/>
            <w:rFonts w:asciiTheme="majorBidi" w:hAnsiTheme="majorBidi"/>
            <w:sz w:val="24"/>
            <w:szCs w:val="24"/>
          </w:rPr>
          <w:t>https://doi.org/10.3390/su15129451</w:t>
        </w:r>
      </w:hyperlink>
      <w:r w:rsidRPr="007B0737">
        <w:rPr>
          <w:rFonts w:asciiTheme="majorBidi" w:hAnsiTheme="majorBidi" w:cstheme="majorBidi"/>
          <w:sz w:val="24"/>
          <w:szCs w:val="24"/>
        </w:rPr>
        <w:t xml:space="preserve"> </w:t>
      </w:r>
    </w:p>
    <w:p w14:paraId="24C0219B"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Pedersen, C. S. (2018). “</w:t>
      </w:r>
      <w:r w:rsidRPr="007B0737">
        <w:rPr>
          <w:rFonts w:asciiTheme="majorBidi" w:hAnsiTheme="majorBidi" w:cstheme="majorBidi"/>
          <w:i/>
          <w:iCs/>
          <w:color w:val="000000"/>
          <w:sz w:val="24"/>
          <w:szCs w:val="24"/>
        </w:rPr>
        <w:t>The UN Sustainable Development Goals (SDGs) are a Great Gift to Business</w:t>
      </w:r>
      <w:r w:rsidRPr="007B0737">
        <w:rPr>
          <w:rFonts w:asciiTheme="majorBidi" w:hAnsiTheme="majorBidi" w:cstheme="majorBidi"/>
          <w:color w:val="000000"/>
          <w:sz w:val="24"/>
          <w:szCs w:val="24"/>
        </w:rPr>
        <w:t xml:space="preserve">!” Procedia CIRP, 69, 21–24.  Available at: </w:t>
      </w:r>
      <w:hyperlink r:id="rId95" w:history="1">
        <w:r w:rsidRPr="007B0737">
          <w:rPr>
            <w:rStyle w:val="Hyperlink"/>
            <w:rFonts w:asciiTheme="majorBidi" w:hAnsiTheme="majorBidi"/>
            <w:sz w:val="24"/>
            <w:szCs w:val="24"/>
          </w:rPr>
          <w:t>https://doi.org/10.1016/j.procir.2018.01.003</w:t>
        </w:r>
      </w:hyperlink>
      <w:r w:rsidRPr="007B0737">
        <w:rPr>
          <w:rFonts w:asciiTheme="majorBidi" w:hAnsiTheme="majorBidi" w:cstheme="majorBidi"/>
          <w:color w:val="000000"/>
          <w:sz w:val="24"/>
          <w:szCs w:val="24"/>
        </w:rPr>
        <w:t xml:space="preserve"> </w:t>
      </w:r>
    </w:p>
    <w:p w14:paraId="79D5FD70"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Rab-Kettler, K., and Lehnervp, B. (2019). “</w:t>
      </w:r>
      <w:r w:rsidRPr="007B0737">
        <w:rPr>
          <w:rFonts w:asciiTheme="majorBidi" w:hAnsiTheme="majorBidi" w:cstheme="majorBidi"/>
          <w:i/>
          <w:iCs/>
          <w:sz w:val="24"/>
          <w:szCs w:val="24"/>
        </w:rPr>
        <w:t>Recruitment in the Times of Machine Learning. Management Systems in Production Engineering,</w:t>
      </w:r>
      <w:r w:rsidRPr="007B0737">
        <w:rPr>
          <w:rFonts w:asciiTheme="majorBidi" w:hAnsiTheme="majorBidi" w:cstheme="majorBidi"/>
          <w:sz w:val="24"/>
          <w:szCs w:val="24"/>
        </w:rPr>
        <w:t xml:space="preserve">” 27(2), 105–109. Available at: </w:t>
      </w:r>
      <w:hyperlink r:id="rId96" w:history="1">
        <w:r w:rsidRPr="007B0737">
          <w:rPr>
            <w:rStyle w:val="Hyperlink"/>
            <w:rFonts w:asciiTheme="majorBidi" w:hAnsiTheme="majorBidi"/>
            <w:sz w:val="24"/>
            <w:szCs w:val="24"/>
          </w:rPr>
          <w:t>https://doi.org/10.1515/mspe-2019-0018</w:t>
        </w:r>
      </w:hyperlink>
      <w:r w:rsidRPr="007B0737">
        <w:rPr>
          <w:rFonts w:asciiTheme="majorBidi" w:hAnsiTheme="majorBidi" w:cstheme="majorBidi"/>
          <w:sz w:val="24"/>
          <w:szCs w:val="24"/>
        </w:rPr>
        <w:t xml:space="preserve"> </w:t>
      </w:r>
    </w:p>
    <w:p w14:paraId="2168B27E"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Richardson, S. (2022). “</w:t>
      </w:r>
      <w:r w:rsidRPr="007B0737">
        <w:rPr>
          <w:rFonts w:asciiTheme="majorBidi" w:hAnsiTheme="majorBidi" w:cstheme="majorBidi"/>
          <w:i/>
          <w:iCs/>
          <w:sz w:val="24"/>
          <w:szCs w:val="24"/>
        </w:rPr>
        <w:t>Exposing the many biases in machine learning.”</w:t>
      </w:r>
      <w:r w:rsidRPr="007B0737">
        <w:rPr>
          <w:rFonts w:asciiTheme="majorBidi" w:hAnsiTheme="majorBidi" w:cstheme="majorBidi"/>
          <w:sz w:val="24"/>
          <w:szCs w:val="24"/>
        </w:rPr>
        <w:t xml:space="preserve"> Business Information Review, 39(3), 82–89. Available at:  </w:t>
      </w:r>
      <w:hyperlink r:id="rId97" w:history="1">
        <w:r w:rsidRPr="007B0737">
          <w:rPr>
            <w:rStyle w:val="Hyperlink"/>
            <w:rFonts w:asciiTheme="majorBidi" w:hAnsiTheme="majorBidi"/>
            <w:sz w:val="24"/>
            <w:szCs w:val="24"/>
          </w:rPr>
          <w:t>https://doi.org/10.1177/02663821221121024</w:t>
        </w:r>
      </w:hyperlink>
      <w:r w:rsidRPr="007B0737">
        <w:rPr>
          <w:rFonts w:asciiTheme="majorBidi" w:hAnsiTheme="majorBidi" w:cstheme="majorBidi"/>
          <w:sz w:val="24"/>
          <w:szCs w:val="24"/>
        </w:rPr>
        <w:t xml:space="preserve"> </w:t>
      </w:r>
    </w:p>
    <w:p w14:paraId="4894488A" w14:textId="77777777" w:rsidR="00AE272A" w:rsidRPr="007B0737" w:rsidRDefault="00AE272A" w:rsidP="003E7B09">
      <w:pPr>
        <w:jc w:val="both"/>
        <w:rPr>
          <w:rFonts w:asciiTheme="majorBidi" w:eastAsia="Times New Roman" w:hAnsiTheme="majorBidi" w:cstheme="majorBidi"/>
          <w:sz w:val="24"/>
          <w:szCs w:val="24"/>
        </w:rPr>
      </w:pPr>
      <w:r w:rsidRPr="007B0737">
        <w:rPr>
          <w:rFonts w:asciiTheme="majorBidi" w:eastAsia="Times New Roman" w:hAnsiTheme="majorBidi" w:cstheme="majorBidi"/>
          <w:sz w:val="24"/>
          <w:szCs w:val="24"/>
        </w:rPr>
        <w:t xml:space="preserve">Roberts, H., Zhang, J., Bariach, B., Cowls, J., Gilburt, B., Juneja, P., Tsamados, A., Ziosi, M., Taddeo, M., and Floridi, L. (2022). </w:t>
      </w:r>
      <w:r w:rsidRPr="007B0737">
        <w:rPr>
          <w:rFonts w:asciiTheme="majorBidi" w:eastAsia="Times New Roman" w:hAnsiTheme="majorBidi" w:cstheme="majorBidi"/>
          <w:i/>
          <w:iCs/>
          <w:sz w:val="24"/>
          <w:szCs w:val="24"/>
        </w:rPr>
        <w:t>“Artificial intelligence in support of the circular economy: ethical considerations and a path forward”</w:t>
      </w:r>
      <w:r w:rsidRPr="007B0737">
        <w:rPr>
          <w:rFonts w:asciiTheme="majorBidi" w:eastAsia="Times New Roman" w:hAnsiTheme="majorBidi" w:cstheme="majorBidi"/>
          <w:sz w:val="24"/>
          <w:szCs w:val="24"/>
        </w:rPr>
        <w:t xml:space="preserve"> AI and Society. Available at: </w:t>
      </w:r>
      <w:hyperlink r:id="rId98" w:history="1">
        <w:r w:rsidRPr="007B0737">
          <w:rPr>
            <w:rStyle w:val="Hyperlink"/>
            <w:rFonts w:asciiTheme="majorBidi" w:eastAsia="Times New Roman" w:hAnsiTheme="majorBidi"/>
            <w:sz w:val="24"/>
            <w:szCs w:val="24"/>
          </w:rPr>
          <w:t>https://doi.org/10.1007/s00146-022-01596-8</w:t>
        </w:r>
      </w:hyperlink>
      <w:r w:rsidRPr="007B0737">
        <w:rPr>
          <w:rFonts w:asciiTheme="majorBidi" w:eastAsia="Times New Roman" w:hAnsiTheme="majorBidi" w:cstheme="majorBidi"/>
          <w:sz w:val="24"/>
          <w:szCs w:val="24"/>
        </w:rPr>
        <w:t xml:space="preserve"> </w:t>
      </w:r>
    </w:p>
    <w:p w14:paraId="7BAFBBE2"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Roos Lindgreen, E., Opferkuch, K., Walker, A. M., Salomone, R., Reyes, T., Raggi, A., Simboli, A., Vermeulen, W. J. V., and Caeiro, S. (2022). “</w:t>
      </w:r>
      <w:r w:rsidRPr="007B0737">
        <w:rPr>
          <w:rFonts w:asciiTheme="majorBidi" w:hAnsiTheme="majorBidi" w:cstheme="majorBidi"/>
          <w:i/>
          <w:iCs/>
          <w:sz w:val="24"/>
          <w:szCs w:val="24"/>
        </w:rPr>
        <w:t>Exploring assessment practices of companies actively engaged with circular economy.</w:t>
      </w:r>
      <w:r w:rsidRPr="007B0737">
        <w:rPr>
          <w:rFonts w:asciiTheme="majorBidi" w:hAnsiTheme="majorBidi" w:cstheme="majorBidi"/>
          <w:sz w:val="24"/>
          <w:szCs w:val="24"/>
        </w:rPr>
        <w:t xml:space="preserve">” Business Strategy and the Environment, 31(4), 1414–1438. Available at: </w:t>
      </w:r>
      <w:hyperlink r:id="rId99" w:history="1">
        <w:r w:rsidRPr="007B0737">
          <w:rPr>
            <w:rStyle w:val="Hyperlink"/>
            <w:rFonts w:asciiTheme="majorBidi" w:hAnsiTheme="majorBidi"/>
            <w:sz w:val="24"/>
            <w:szCs w:val="24"/>
          </w:rPr>
          <w:t>https://doi.org/10.1002/bse.2962</w:t>
        </w:r>
      </w:hyperlink>
      <w:r w:rsidRPr="007B0737">
        <w:rPr>
          <w:rFonts w:asciiTheme="majorBidi" w:hAnsiTheme="majorBidi" w:cstheme="majorBidi"/>
          <w:sz w:val="24"/>
          <w:szCs w:val="24"/>
        </w:rPr>
        <w:t xml:space="preserve"> </w:t>
      </w:r>
    </w:p>
    <w:p w14:paraId="1FC7C091"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 xml:space="preserve">Roosli, E., Rice, B., and Hernandez-Boussard, T. (2021). </w:t>
      </w:r>
      <w:r w:rsidRPr="007B0737">
        <w:rPr>
          <w:rFonts w:asciiTheme="majorBidi" w:hAnsiTheme="majorBidi" w:cstheme="majorBidi"/>
          <w:i/>
          <w:iCs/>
          <w:sz w:val="24"/>
          <w:szCs w:val="24"/>
        </w:rPr>
        <w:t>“Bias at warp speed: How AI may contribute to the disparities gap in the time of COVID-19”</w:t>
      </w:r>
      <w:r w:rsidRPr="007B0737">
        <w:rPr>
          <w:rFonts w:asciiTheme="majorBidi" w:hAnsiTheme="majorBidi" w:cstheme="majorBidi"/>
          <w:sz w:val="24"/>
          <w:szCs w:val="24"/>
        </w:rPr>
        <w:t xml:space="preserve"> Journal of the American Medical Informatics Association, 28(1), 190–192.</w:t>
      </w:r>
    </w:p>
    <w:p w14:paraId="4D335111" w14:textId="77777777" w:rsidR="00AE272A" w:rsidRPr="007B0737" w:rsidRDefault="00AE272A" w:rsidP="003E7B09">
      <w:pPr>
        <w:autoSpaceDE w:val="0"/>
        <w:autoSpaceDN w:val="0"/>
        <w:jc w:val="both"/>
        <w:rPr>
          <w:rFonts w:asciiTheme="majorBidi" w:eastAsia="Times New Roman" w:hAnsiTheme="majorBidi" w:cstheme="majorBidi"/>
          <w:kern w:val="0"/>
          <w:sz w:val="24"/>
          <w:szCs w:val="24"/>
          <w14:ligatures w14:val="none"/>
        </w:rPr>
      </w:pPr>
      <w:r w:rsidRPr="007B0737">
        <w:rPr>
          <w:rFonts w:asciiTheme="majorBidi" w:eastAsia="Times New Roman" w:hAnsiTheme="majorBidi" w:cstheme="majorBidi"/>
          <w:sz w:val="24"/>
          <w:szCs w:val="24"/>
        </w:rPr>
        <w:t>Sajjad, A., Zhang, Q., Asmi, F., Anwar, M. A., and Bhatia, M. (2024). “</w:t>
      </w:r>
      <w:r w:rsidRPr="007B0737">
        <w:rPr>
          <w:rFonts w:asciiTheme="majorBidi" w:eastAsia="Times New Roman" w:hAnsiTheme="majorBidi" w:cstheme="majorBidi"/>
          <w:i/>
          <w:iCs/>
          <w:sz w:val="24"/>
          <w:szCs w:val="24"/>
        </w:rPr>
        <w:t>Identifying the motivating factors to promote socially responsible consumption under circular economy: A perspective from norm activation theory.”</w:t>
      </w:r>
      <w:r w:rsidRPr="007B0737">
        <w:rPr>
          <w:rFonts w:asciiTheme="majorBidi" w:eastAsia="Times New Roman" w:hAnsiTheme="majorBidi" w:cstheme="majorBidi"/>
          <w:sz w:val="24"/>
          <w:szCs w:val="24"/>
        </w:rPr>
        <w:t xml:space="preserve"> Journal of Retailing and Consumer Services, 76. Available at: </w:t>
      </w:r>
      <w:hyperlink r:id="rId100" w:history="1">
        <w:r w:rsidRPr="007B0737">
          <w:rPr>
            <w:rStyle w:val="Hyperlink"/>
            <w:rFonts w:asciiTheme="majorBidi" w:eastAsia="Times New Roman" w:hAnsiTheme="majorBidi"/>
            <w:sz w:val="24"/>
            <w:szCs w:val="24"/>
          </w:rPr>
          <w:t>https://doi.org/10.1016/j.jretconser.2023.103544</w:t>
        </w:r>
      </w:hyperlink>
      <w:r w:rsidRPr="007B0737">
        <w:rPr>
          <w:rFonts w:asciiTheme="majorBidi" w:eastAsia="Times New Roman" w:hAnsiTheme="majorBidi" w:cstheme="majorBidi"/>
          <w:sz w:val="24"/>
          <w:szCs w:val="24"/>
        </w:rPr>
        <w:t xml:space="preserve"> </w:t>
      </w:r>
    </w:p>
    <w:p w14:paraId="44B9E393"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Satornino, C. B., Du, S., and Grewal, D. (2024). “</w:t>
      </w:r>
      <w:r w:rsidRPr="007B0737">
        <w:rPr>
          <w:rFonts w:asciiTheme="majorBidi" w:hAnsiTheme="majorBidi" w:cstheme="majorBidi"/>
          <w:i/>
          <w:iCs/>
          <w:sz w:val="24"/>
          <w:szCs w:val="24"/>
        </w:rPr>
        <w:t>Using artificial intelligence to advance sustainable development in industrial markets: A complex adaptive systems perspective”.</w:t>
      </w:r>
      <w:r w:rsidRPr="007B0737">
        <w:rPr>
          <w:rFonts w:asciiTheme="majorBidi" w:hAnsiTheme="majorBidi" w:cstheme="majorBidi"/>
          <w:sz w:val="24"/>
          <w:szCs w:val="24"/>
        </w:rPr>
        <w:t xml:space="preserve"> Industrial Marketing Management, 116, 145–157. Available at: </w:t>
      </w:r>
      <w:hyperlink r:id="rId101" w:history="1">
        <w:r w:rsidRPr="007B0737">
          <w:rPr>
            <w:rStyle w:val="Hyperlink"/>
            <w:rFonts w:asciiTheme="majorBidi" w:hAnsiTheme="majorBidi"/>
            <w:sz w:val="24"/>
            <w:szCs w:val="24"/>
          </w:rPr>
          <w:t>https://doi.org/10.1016/j.indmarman.2023.11.011</w:t>
        </w:r>
      </w:hyperlink>
      <w:r w:rsidRPr="007B0737">
        <w:rPr>
          <w:rFonts w:asciiTheme="majorBidi" w:hAnsiTheme="majorBidi" w:cstheme="majorBidi"/>
          <w:sz w:val="24"/>
          <w:szCs w:val="24"/>
        </w:rPr>
        <w:t xml:space="preserve"> </w:t>
      </w:r>
    </w:p>
    <w:p w14:paraId="2A5C558C"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Schmitt, M. (2023). “</w:t>
      </w:r>
      <w:r w:rsidRPr="007B0737">
        <w:rPr>
          <w:rFonts w:asciiTheme="majorBidi" w:hAnsiTheme="majorBidi" w:cstheme="majorBidi"/>
          <w:i/>
          <w:iCs/>
          <w:sz w:val="24"/>
          <w:szCs w:val="24"/>
        </w:rPr>
        <w:t>Deep learning in business analytics: A clash of expectations and reality</w:t>
      </w:r>
      <w:r w:rsidRPr="007B0737">
        <w:rPr>
          <w:rFonts w:asciiTheme="majorBidi" w:hAnsiTheme="majorBidi" w:cstheme="majorBidi"/>
          <w:sz w:val="24"/>
          <w:szCs w:val="24"/>
        </w:rPr>
        <w:t xml:space="preserve">.” International Journal of Information Management Data Insights, 3(1). Available at: </w:t>
      </w:r>
      <w:hyperlink r:id="rId102" w:history="1">
        <w:r w:rsidRPr="007B0737">
          <w:rPr>
            <w:rStyle w:val="Hyperlink"/>
            <w:rFonts w:asciiTheme="majorBidi" w:hAnsiTheme="majorBidi"/>
            <w:sz w:val="24"/>
            <w:szCs w:val="24"/>
          </w:rPr>
          <w:t>https://doi.org/10.1016/j.jjimei.2022.100146</w:t>
        </w:r>
      </w:hyperlink>
      <w:r w:rsidRPr="007B0737">
        <w:rPr>
          <w:rFonts w:asciiTheme="majorBidi" w:hAnsiTheme="majorBidi" w:cstheme="majorBidi"/>
          <w:sz w:val="24"/>
          <w:szCs w:val="24"/>
        </w:rPr>
        <w:t xml:space="preserve"> </w:t>
      </w:r>
    </w:p>
    <w:p w14:paraId="334A98DA" w14:textId="4017CFC5" w:rsidR="00AE272A" w:rsidRPr="007B0737" w:rsidRDefault="00AE272A" w:rsidP="003E7B09">
      <w:pPr>
        <w:jc w:val="both"/>
        <w:rPr>
          <w:rFonts w:asciiTheme="majorBidi" w:eastAsia="Times New Roman" w:hAnsiTheme="majorBidi" w:cstheme="majorBidi"/>
          <w:sz w:val="24"/>
          <w:szCs w:val="24"/>
        </w:rPr>
      </w:pPr>
      <w:r w:rsidRPr="007B0737">
        <w:rPr>
          <w:rFonts w:asciiTheme="majorBidi" w:eastAsia="Times New Roman" w:hAnsiTheme="majorBidi" w:cstheme="majorBidi"/>
          <w:sz w:val="24"/>
          <w:szCs w:val="24"/>
        </w:rPr>
        <w:t xml:space="preserve">Schwab, K. (2017). </w:t>
      </w:r>
      <w:r w:rsidR="00462E6E">
        <w:rPr>
          <w:rFonts w:asciiTheme="majorBidi" w:eastAsia="Times New Roman" w:hAnsiTheme="majorBidi" w:cstheme="majorBidi"/>
          <w:sz w:val="24"/>
          <w:szCs w:val="24"/>
        </w:rPr>
        <w:t>“</w:t>
      </w:r>
      <w:r w:rsidRPr="00462E6E">
        <w:rPr>
          <w:rFonts w:asciiTheme="majorBidi" w:eastAsia="Times New Roman" w:hAnsiTheme="majorBidi" w:cstheme="majorBidi"/>
          <w:i/>
          <w:iCs/>
          <w:sz w:val="24"/>
          <w:szCs w:val="24"/>
        </w:rPr>
        <w:t>The Fourth Industrial Revolution</w:t>
      </w:r>
      <w:r w:rsidR="00462E6E">
        <w:rPr>
          <w:rFonts w:asciiTheme="majorBidi" w:eastAsia="Times New Roman" w:hAnsiTheme="majorBidi" w:cstheme="majorBidi"/>
          <w:sz w:val="24"/>
          <w:szCs w:val="24"/>
        </w:rPr>
        <w:t>”</w:t>
      </w:r>
      <w:r w:rsidRPr="007B0737">
        <w:rPr>
          <w:rFonts w:asciiTheme="majorBidi" w:eastAsia="Times New Roman" w:hAnsiTheme="majorBidi" w:cstheme="majorBidi"/>
          <w:sz w:val="24"/>
          <w:szCs w:val="24"/>
        </w:rPr>
        <w:t>. New York: Crown Business.</w:t>
      </w:r>
    </w:p>
    <w:p w14:paraId="4FD6B77D" w14:textId="1E2B6AA8" w:rsidR="00AE272A" w:rsidRPr="007B0737" w:rsidRDefault="00AE272A" w:rsidP="003E7B09">
      <w:pPr>
        <w:jc w:val="both"/>
        <w:rPr>
          <w:rFonts w:asciiTheme="majorBidi" w:eastAsia="Times New Roman" w:hAnsiTheme="majorBidi" w:cstheme="majorBidi"/>
          <w:sz w:val="24"/>
          <w:szCs w:val="24"/>
        </w:rPr>
      </w:pPr>
      <w:r w:rsidRPr="007B0737">
        <w:rPr>
          <w:rFonts w:asciiTheme="majorBidi" w:eastAsia="Times New Roman" w:hAnsiTheme="majorBidi" w:cstheme="majorBidi"/>
          <w:sz w:val="24"/>
          <w:szCs w:val="24"/>
        </w:rPr>
        <w:t xml:space="preserve">Sheehy, B. (2015) </w:t>
      </w:r>
      <w:r w:rsidR="00462E6E">
        <w:rPr>
          <w:rFonts w:asciiTheme="majorBidi" w:eastAsia="Times New Roman" w:hAnsiTheme="majorBidi" w:cstheme="majorBidi"/>
          <w:sz w:val="24"/>
          <w:szCs w:val="24"/>
        </w:rPr>
        <w:t>“</w:t>
      </w:r>
      <w:r w:rsidRPr="007B0737">
        <w:rPr>
          <w:rFonts w:asciiTheme="majorBidi" w:eastAsia="Times New Roman" w:hAnsiTheme="majorBidi" w:cstheme="majorBidi"/>
          <w:i/>
          <w:iCs/>
          <w:sz w:val="24"/>
          <w:szCs w:val="24"/>
        </w:rPr>
        <w:t>Defining CSR: Problems and Solutions</w:t>
      </w:r>
      <w:r w:rsidR="00462E6E">
        <w:rPr>
          <w:rFonts w:asciiTheme="majorBidi" w:eastAsia="Times New Roman" w:hAnsiTheme="majorBidi" w:cstheme="majorBidi"/>
          <w:i/>
          <w:iCs/>
          <w:sz w:val="24"/>
          <w:szCs w:val="24"/>
        </w:rPr>
        <w:t>”</w:t>
      </w:r>
      <w:r w:rsidRPr="007B0737">
        <w:rPr>
          <w:rFonts w:asciiTheme="majorBidi" w:eastAsia="Times New Roman" w:hAnsiTheme="majorBidi" w:cstheme="majorBidi"/>
          <w:sz w:val="24"/>
          <w:szCs w:val="24"/>
        </w:rPr>
        <w:t xml:space="preserve">, Journal of Business Ethics, 131(3), pp. 625–648. Available at: </w:t>
      </w:r>
      <w:hyperlink r:id="rId103" w:history="1">
        <w:r w:rsidRPr="007B0737">
          <w:rPr>
            <w:rStyle w:val="Hyperlink"/>
            <w:rFonts w:asciiTheme="majorBidi" w:eastAsia="Times New Roman" w:hAnsiTheme="majorBidi"/>
            <w:sz w:val="24"/>
            <w:szCs w:val="24"/>
          </w:rPr>
          <w:t>https://doi.org/10.1007/s10551-014-2281-x</w:t>
        </w:r>
      </w:hyperlink>
      <w:r w:rsidRPr="007B0737">
        <w:rPr>
          <w:rFonts w:asciiTheme="majorBidi" w:eastAsia="Times New Roman" w:hAnsiTheme="majorBidi" w:cstheme="majorBidi"/>
          <w:sz w:val="24"/>
          <w:szCs w:val="24"/>
        </w:rPr>
        <w:t>.</w:t>
      </w:r>
    </w:p>
    <w:p w14:paraId="7B4A1D82"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lastRenderedPageBreak/>
        <w:t>Sipola, J., Saunila, M., and Ukko, J. (2023). “</w:t>
      </w:r>
      <w:r w:rsidRPr="007B0737">
        <w:rPr>
          <w:rFonts w:asciiTheme="majorBidi" w:hAnsiTheme="majorBidi" w:cstheme="majorBidi"/>
          <w:i/>
          <w:iCs/>
          <w:sz w:val="24"/>
          <w:szCs w:val="24"/>
        </w:rPr>
        <w:t>Adopting artificial intelligence in sustainable business”</w:t>
      </w:r>
      <w:r w:rsidRPr="007B0737">
        <w:rPr>
          <w:rFonts w:asciiTheme="majorBidi" w:hAnsiTheme="majorBidi" w:cstheme="majorBidi"/>
          <w:sz w:val="24"/>
          <w:szCs w:val="24"/>
        </w:rPr>
        <w:t xml:space="preserve"> Journal of Cleaner Production, 426. Available at: </w:t>
      </w:r>
      <w:hyperlink r:id="rId104" w:history="1">
        <w:r w:rsidRPr="007B0737">
          <w:rPr>
            <w:rStyle w:val="Hyperlink"/>
            <w:rFonts w:asciiTheme="majorBidi" w:hAnsiTheme="majorBidi"/>
            <w:sz w:val="24"/>
            <w:szCs w:val="24"/>
          </w:rPr>
          <w:t>https://doi.org/10.1016/j.jclepro.2023.139197</w:t>
        </w:r>
      </w:hyperlink>
      <w:r w:rsidRPr="007B0737">
        <w:rPr>
          <w:rFonts w:asciiTheme="majorBidi" w:hAnsiTheme="majorBidi" w:cstheme="majorBidi"/>
          <w:sz w:val="24"/>
          <w:szCs w:val="24"/>
        </w:rPr>
        <w:t xml:space="preserve"> </w:t>
      </w:r>
    </w:p>
    <w:p w14:paraId="655B0207"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 xml:space="preserve">Snihur, Y., and Markman, G. (2023). </w:t>
      </w:r>
      <w:r>
        <w:rPr>
          <w:rFonts w:asciiTheme="majorBidi" w:hAnsiTheme="majorBidi" w:cstheme="majorBidi"/>
          <w:color w:val="000000"/>
          <w:sz w:val="24"/>
          <w:szCs w:val="24"/>
        </w:rPr>
        <w:t>“</w:t>
      </w:r>
      <w:r w:rsidRPr="00FE1E2F">
        <w:rPr>
          <w:rFonts w:asciiTheme="majorBidi" w:hAnsiTheme="majorBidi" w:cstheme="majorBidi"/>
          <w:i/>
          <w:iCs/>
          <w:color w:val="000000"/>
          <w:sz w:val="24"/>
          <w:szCs w:val="24"/>
        </w:rPr>
        <w:t>Business Model Research: Past, Present, and Future”</w:t>
      </w:r>
      <w:r w:rsidRPr="007B0737">
        <w:rPr>
          <w:rFonts w:asciiTheme="majorBidi" w:hAnsiTheme="majorBidi" w:cstheme="majorBidi"/>
          <w:color w:val="000000"/>
          <w:sz w:val="24"/>
          <w:szCs w:val="24"/>
        </w:rPr>
        <w:t xml:space="preserve"> In Journal of Management Studies (Vol. 60, Issue 8, pp. e1–e14). John Wiley and Sons Inc. Available at: </w:t>
      </w:r>
      <w:hyperlink r:id="rId105" w:history="1">
        <w:r w:rsidRPr="007B0737">
          <w:rPr>
            <w:rStyle w:val="Hyperlink"/>
            <w:rFonts w:asciiTheme="majorBidi" w:hAnsiTheme="majorBidi"/>
            <w:sz w:val="24"/>
            <w:szCs w:val="24"/>
          </w:rPr>
          <w:t>https://doi.org/10.1111/joms.12928</w:t>
        </w:r>
      </w:hyperlink>
      <w:r w:rsidRPr="007B0737">
        <w:rPr>
          <w:rFonts w:asciiTheme="majorBidi" w:hAnsiTheme="majorBidi" w:cstheme="majorBidi"/>
          <w:color w:val="000000"/>
          <w:sz w:val="24"/>
          <w:szCs w:val="24"/>
        </w:rPr>
        <w:t xml:space="preserve"> </w:t>
      </w:r>
    </w:p>
    <w:p w14:paraId="6F69C5D8"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Sonar, H., Ghag, N., Kharde, Y., and Ghosh, S. (2023). “</w:t>
      </w:r>
      <w:r w:rsidRPr="007B0737">
        <w:rPr>
          <w:rFonts w:asciiTheme="majorBidi" w:hAnsiTheme="majorBidi" w:cstheme="majorBidi"/>
          <w:i/>
          <w:iCs/>
          <w:sz w:val="24"/>
          <w:szCs w:val="24"/>
        </w:rPr>
        <w:t xml:space="preserve">Analysis of barriers affecting circular economy adoption in food supply chain: A strategic perspective” </w:t>
      </w:r>
      <w:r w:rsidRPr="007B0737">
        <w:rPr>
          <w:rFonts w:asciiTheme="majorBidi" w:hAnsiTheme="majorBidi" w:cstheme="majorBidi"/>
          <w:sz w:val="24"/>
          <w:szCs w:val="24"/>
        </w:rPr>
        <w:t xml:space="preserve">Business Strategy and the Environment. Available at: </w:t>
      </w:r>
      <w:hyperlink r:id="rId106" w:history="1">
        <w:r w:rsidRPr="007B0737">
          <w:rPr>
            <w:rStyle w:val="Hyperlink"/>
            <w:rFonts w:asciiTheme="majorBidi" w:hAnsiTheme="majorBidi"/>
            <w:sz w:val="24"/>
            <w:szCs w:val="24"/>
          </w:rPr>
          <w:t>https://doi.org/10.1002/bse.3416</w:t>
        </w:r>
      </w:hyperlink>
      <w:r w:rsidRPr="007B0737">
        <w:rPr>
          <w:rFonts w:asciiTheme="majorBidi" w:hAnsiTheme="majorBidi" w:cstheme="majorBidi"/>
          <w:sz w:val="24"/>
          <w:szCs w:val="24"/>
        </w:rPr>
        <w:t xml:space="preserve"> </w:t>
      </w:r>
    </w:p>
    <w:p w14:paraId="47D7E09C" w14:textId="77777777" w:rsidR="00AE272A" w:rsidRPr="007B0737" w:rsidRDefault="00AE272A" w:rsidP="003E7B09">
      <w:pPr>
        <w:jc w:val="both"/>
        <w:rPr>
          <w:rFonts w:asciiTheme="majorBidi" w:eastAsia="Times New Roman" w:hAnsiTheme="majorBidi" w:cstheme="majorBidi"/>
          <w:sz w:val="24"/>
          <w:szCs w:val="24"/>
        </w:rPr>
      </w:pPr>
      <w:r w:rsidRPr="007B0737">
        <w:rPr>
          <w:rFonts w:asciiTheme="majorBidi" w:eastAsia="Times New Roman" w:hAnsiTheme="majorBidi" w:cstheme="majorBidi"/>
          <w:sz w:val="24"/>
          <w:szCs w:val="24"/>
        </w:rPr>
        <w:t>Subramanian, R. (2017). “</w:t>
      </w:r>
      <w:r w:rsidRPr="007B0737">
        <w:rPr>
          <w:rFonts w:asciiTheme="majorBidi" w:eastAsia="Times New Roman" w:hAnsiTheme="majorBidi" w:cstheme="majorBidi"/>
          <w:i/>
          <w:iCs/>
          <w:sz w:val="24"/>
          <w:szCs w:val="24"/>
        </w:rPr>
        <w:t>Shareholder spring and social activism: a study of 2013-2015 proxy filings</w:t>
      </w:r>
      <w:r w:rsidRPr="007B0737">
        <w:rPr>
          <w:rFonts w:asciiTheme="majorBidi" w:eastAsia="Times New Roman" w:hAnsiTheme="majorBidi" w:cstheme="majorBidi"/>
          <w:sz w:val="24"/>
          <w:szCs w:val="24"/>
        </w:rPr>
        <w:t xml:space="preserve">” Corporate Governance (Bingley), 17(3), 560–573. Available at: </w:t>
      </w:r>
      <w:hyperlink r:id="rId107" w:history="1">
        <w:r w:rsidRPr="007B0737">
          <w:rPr>
            <w:rStyle w:val="Hyperlink"/>
            <w:rFonts w:asciiTheme="majorBidi" w:eastAsia="Times New Roman" w:hAnsiTheme="majorBidi"/>
            <w:sz w:val="24"/>
            <w:szCs w:val="24"/>
          </w:rPr>
          <w:t>https://doi.org/10.1108/CG-08-2016-0170</w:t>
        </w:r>
      </w:hyperlink>
      <w:r w:rsidRPr="007B0737">
        <w:rPr>
          <w:rFonts w:asciiTheme="majorBidi" w:eastAsia="Times New Roman" w:hAnsiTheme="majorBidi" w:cstheme="majorBidi"/>
          <w:sz w:val="24"/>
          <w:szCs w:val="24"/>
        </w:rPr>
        <w:t xml:space="preserve"> </w:t>
      </w:r>
    </w:p>
    <w:p w14:paraId="3FD0A54D"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 xml:space="preserve">Suchek, N., Fernandes, C. I., Kraus, S., Filser, M., and Sjögrén, H. (2021). </w:t>
      </w:r>
      <w:r>
        <w:rPr>
          <w:rFonts w:asciiTheme="majorBidi" w:hAnsiTheme="majorBidi" w:cstheme="majorBidi"/>
          <w:color w:val="000000"/>
          <w:sz w:val="24"/>
          <w:szCs w:val="24"/>
        </w:rPr>
        <w:t>“</w:t>
      </w:r>
      <w:r w:rsidRPr="00FE1E2F">
        <w:rPr>
          <w:rFonts w:asciiTheme="majorBidi" w:hAnsiTheme="majorBidi" w:cstheme="majorBidi"/>
          <w:i/>
          <w:iCs/>
          <w:color w:val="000000"/>
          <w:sz w:val="24"/>
          <w:szCs w:val="24"/>
        </w:rPr>
        <w:t xml:space="preserve">Innovation and the circular economy: A systematic literature review” </w:t>
      </w:r>
      <w:r w:rsidRPr="007B0737">
        <w:rPr>
          <w:rFonts w:asciiTheme="majorBidi" w:hAnsiTheme="majorBidi" w:cstheme="majorBidi"/>
          <w:color w:val="000000"/>
          <w:sz w:val="24"/>
          <w:szCs w:val="24"/>
        </w:rPr>
        <w:t xml:space="preserve">Business Strategy and the Environment, 30(8), 3686–3702. Available at: </w:t>
      </w:r>
      <w:hyperlink r:id="rId108" w:history="1">
        <w:r w:rsidRPr="007B0737">
          <w:rPr>
            <w:rStyle w:val="Hyperlink"/>
            <w:rFonts w:asciiTheme="majorBidi" w:hAnsiTheme="majorBidi"/>
            <w:sz w:val="24"/>
            <w:szCs w:val="24"/>
          </w:rPr>
          <w:t>https://doi.org/10.1002/bse.2834</w:t>
        </w:r>
      </w:hyperlink>
      <w:r w:rsidRPr="007B0737">
        <w:rPr>
          <w:rFonts w:asciiTheme="majorBidi" w:hAnsiTheme="majorBidi" w:cstheme="majorBidi"/>
          <w:color w:val="000000"/>
          <w:sz w:val="24"/>
          <w:szCs w:val="24"/>
        </w:rPr>
        <w:t xml:space="preserve"> </w:t>
      </w:r>
    </w:p>
    <w:p w14:paraId="426252A4"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Tan, J., Tan, F. J., and Ramakrishna, S. (2022). “</w:t>
      </w:r>
      <w:r w:rsidRPr="00FE1E2F">
        <w:rPr>
          <w:rFonts w:asciiTheme="majorBidi" w:hAnsiTheme="majorBidi" w:cstheme="majorBidi"/>
          <w:i/>
          <w:iCs/>
          <w:color w:val="000000"/>
          <w:sz w:val="24"/>
          <w:szCs w:val="24"/>
        </w:rPr>
        <w:t>Transitioning to a Circular Economy: A Systematic Review of Its Drivers and Barriers</w:t>
      </w:r>
      <w:r w:rsidRPr="007B0737">
        <w:rPr>
          <w:rFonts w:asciiTheme="majorBidi" w:hAnsiTheme="majorBidi" w:cstheme="majorBidi"/>
          <w:color w:val="000000"/>
          <w:sz w:val="24"/>
          <w:szCs w:val="24"/>
        </w:rPr>
        <w:t xml:space="preserve">” Sustainability (Switzerland) 14(3), Available at:. </w:t>
      </w:r>
      <w:hyperlink r:id="rId109" w:history="1">
        <w:r w:rsidRPr="007B0737">
          <w:rPr>
            <w:rStyle w:val="Hyperlink"/>
            <w:rFonts w:asciiTheme="majorBidi" w:hAnsiTheme="majorBidi"/>
            <w:sz w:val="24"/>
            <w:szCs w:val="24"/>
          </w:rPr>
          <w:t>https://doi.org/10.3390/su14031757</w:t>
        </w:r>
      </w:hyperlink>
      <w:r w:rsidRPr="007B0737">
        <w:rPr>
          <w:rFonts w:asciiTheme="majorBidi" w:hAnsiTheme="majorBidi" w:cstheme="majorBidi"/>
          <w:color w:val="000000"/>
          <w:sz w:val="24"/>
          <w:szCs w:val="24"/>
        </w:rPr>
        <w:t xml:space="preserve"> </w:t>
      </w:r>
    </w:p>
    <w:p w14:paraId="510924FC" w14:textId="77777777" w:rsidR="00AE272A" w:rsidRPr="00C03F92" w:rsidRDefault="00AE272A" w:rsidP="003E7B09">
      <w:pPr>
        <w:jc w:val="both"/>
        <w:rPr>
          <w:rFonts w:asciiTheme="majorBidi" w:hAnsiTheme="majorBidi" w:cstheme="majorBidi"/>
          <w:sz w:val="24"/>
          <w:szCs w:val="24"/>
        </w:rPr>
      </w:pPr>
      <w:r w:rsidRPr="00C03F92">
        <w:rPr>
          <w:rFonts w:asciiTheme="majorBidi" w:hAnsiTheme="majorBidi" w:cstheme="majorBidi"/>
          <w:sz w:val="24"/>
          <w:szCs w:val="24"/>
        </w:rPr>
        <w:t xml:space="preserve">Tutore, I., Parmentola, A., di Fiore, M. C., </w:t>
      </w:r>
      <w:r>
        <w:rPr>
          <w:rFonts w:asciiTheme="majorBidi" w:hAnsiTheme="majorBidi" w:cstheme="majorBidi"/>
          <w:sz w:val="24"/>
          <w:szCs w:val="24"/>
        </w:rPr>
        <w:t>and</w:t>
      </w:r>
      <w:r w:rsidRPr="00C03F92">
        <w:rPr>
          <w:rFonts w:asciiTheme="majorBidi" w:hAnsiTheme="majorBidi" w:cstheme="majorBidi"/>
          <w:sz w:val="24"/>
          <w:szCs w:val="24"/>
        </w:rPr>
        <w:t xml:space="preserve"> Calza, F. (2024). </w:t>
      </w:r>
      <w:r w:rsidRPr="007106B6">
        <w:rPr>
          <w:rFonts w:asciiTheme="majorBidi" w:hAnsiTheme="majorBidi" w:cstheme="majorBidi"/>
          <w:i/>
          <w:iCs/>
          <w:sz w:val="24"/>
          <w:szCs w:val="24"/>
        </w:rPr>
        <w:t>“A conceptual model of artificial intelligence effects on circular economy actions.”</w:t>
      </w:r>
      <w:r w:rsidRPr="00C03F92">
        <w:rPr>
          <w:rFonts w:asciiTheme="majorBidi" w:hAnsiTheme="majorBidi" w:cstheme="majorBidi"/>
          <w:sz w:val="24"/>
          <w:szCs w:val="24"/>
        </w:rPr>
        <w:t xml:space="preserve"> Corporate Social Responsibility and Environmental Management. </w:t>
      </w:r>
      <w:hyperlink r:id="rId110" w:history="1">
        <w:r w:rsidRPr="00691DE5">
          <w:rPr>
            <w:rStyle w:val="Hyperlink"/>
            <w:rFonts w:asciiTheme="majorBidi" w:hAnsiTheme="majorBidi" w:cstheme="majorBidi"/>
            <w:sz w:val="24"/>
            <w:szCs w:val="24"/>
          </w:rPr>
          <w:t>https://doi.org/10.1002/csr.2827</w:t>
        </w:r>
      </w:hyperlink>
      <w:r>
        <w:rPr>
          <w:rFonts w:asciiTheme="majorBidi" w:hAnsiTheme="majorBidi" w:cstheme="majorBidi"/>
          <w:sz w:val="24"/>
          <w:szCs w:val="24"/>
        </w:rPr>
        <w:t xml:space="preserve"> </w:t>
      </w:r>
    </w:p>
    <w:p w14:paraId="66DCB55B" w14:textId="77777777" w:rsidR="00AE272A" w:rsidRPr="007B0737" w:rsidRDefault="00AE272A" w:rsidP="003E7B09">
      <w:pPr>
        <w:jc w:val="both"/>
        <w:rPr>
          <w:rFonts w:asciiTheme="majorBidi" w:eastAsia="Times New Roman" w:hAnsiTheme="majorBidi" w:cstheme="majorBidi"/>
          <w:sz w:val="24"/>
          <w:szCs w:val="24"/>
        </w:rPr>
      </w:pPr>
      <w:r w:rsidRPr="007B0737">
        <w:rPr>
          <w:rFonts w:asciiTheme="majorBidi" w:eastAsia="Times New Roman" w:hAnsiTheme="majorBidi" w:cstheme="majorBidi"/>
          <w:sz w:val="24"/>
          <w:szCs w:val="24"/>
        </w:rPr>
        <w:t>van Marrewijk, M. (2003) “</w:t>
      </w:r>
      <w:r w:rsidRPr="007B0737">
        <w:rPr>
          <w:rFonts w:asciiTheme="majorBidi" w:eastAsia="Times New Roman" w:hAnsiTheme="majorBidi" w:cstheme="majorBidi"/>
          <w:i/>
          <w:iCs/>
          <w:sz w:val="24"/>
          <w:szCs w:val="24"/>
        </w:rPr>
        <w:t>Concepts and Definitions of CSR and Corporate Sustainability: Between Agency and Communion”</w:t>
      </w:r>
      <w:r w:rsidRPr="007B0737">
        <w:rPr>
          <w:rFonts w:asciiTheme="majorBidi" w:eastAsia="Times New Roman" w:hAnsiTheme="majorBidi" w:cstheme="majorBidi"/>
          <w:sz w:val="24"/>
          <w:szCs w:val="24"/>
        </w:rPr>
        <w:t xml:space="preserve">. Journal of Business Ethics 44, 95–105. Available at: </w:t>
      </w:r>
      <w:hyperlink r:id="rId111" w:history="1">
        <w:r w:rsidRPr="007B0737">
          <w:rPr>
            <w:rStyle w:val="Hyperlink"/>
            <w:rFonts w:asciiTheme="majorBidi" w:eastAsia="Times New Roman" w:hAnsiTheme="majorBidi"/>
            <w:sz w:val="24"/>
            <w:szCs w:val="24"/>
          </w:rPr>
          <w:t>https://doi.org/10.1023/A:1023331212247</w:t>
        </w:r>
      </w:hyperlink>
      <w:r w:rsidRPr="007B0737">
        <w:rPr>
          <w:rFonts w:asciiTheme="majorBidi" w:eastAsia="Times New Roman" w:hAnsiTheme="majorBidi" w:cstheme="majorBidi"/>
          <w:sz w:val="24"/>
          <w:szCs w:val="24"/>
        </w:rPr>
        <w:t xml:space="preserve"> </w:t>
      </w:r>
    </w:p>
    <w:p w14:paraId="3C264DC8"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Vătămănescu, E. M., Dabija, D. C., Gazzola, P., Cegarro-Navarro, J. G., and Buzzi, T. (2021). “</w:t>
      </w:r>
      <w:r w:rsidRPr="007B0737">
        <w:rPr>
          <w:rFonts w:asciiTheme="majorBidi" w:hAnsiTheme="majorBidi" w:cstheme="majorBidi"/>
          <w:i/>
          <w:iCs/>
          <w:sz w:val="24"/>
          <w:szCs w:val="24"/>
        </w:rPr>
        <w:t>Before and after the outbreak of Covid-19: Linking fashion companies’ corporate social responsibility approach to consumers’ demand for sustainable products.”</w:t>
      </w:r>
      <w:r w:rsidRPr="007B0737">
        <w:rPr>
          <w:rFonts w:asciiTheme="majorBidi" w:hAnsiTheme="majorBidi" w:cstheme="majorBidi"/>
          <w:sz w:val="24"/>
          <w:szCs w:val="24"/>
        </w:rPr>
        <w:t xml:space="preserve"> Journal of Cleaner Production, 321. Available at:  </w:t>
      </w:r>
      <w:hyperlink r:id="rId112" w:history="1">
        <w:r w:rsidRPr="007B0737">
          <w:rPr>
            <w:rStyle w:val="Hyperlink"/>
            <w:rFonts w:asciiTheme="majorBidi" w:hAnsiTheme="majorBidi"/>
            <w:sz w:val="24"/>
            <w:szCs w:val="24"/>
          </w:rPr>
          <w:t>https://doi.org/10.1016/j.jclepro.2021.128945</w:t>
        </w:r>
      </w:hyperlink>
      <w:r w:rsidRPr="007B0737">
        <w:rPr>
          <w:rFonts w:asciiTheme="majorBidi" w:hAnsiTheme="majorBidi" w:cstheme="majorBidi"/>
          <w:sz w:val="24"/>
          <w:szCs w:val="24"/>
        </w:rPr>
        <w:t xml:space="preserve"> </w:t>
      </w:r>
    </w:p>
    <w:p w14:paraId="2482D6D0" w14:textId="77777777" w:rsidR="00AE272A" w:rsidRPr="007B0737" w:rsidRDefault="00AE272A" w:rsidP="003E7B09">
      <w:pPr>
        <w:jc w:val="both"/>
        <w:rPr>
          <w:rFonts w:asciiTheme="majorBidi" w:eastAsia="Times New Roman" w:hAnsiTheme="majorBidi" w:cstheme="majorBidi"/>
          <w:sz w:val="24"/>
          <w:szCs w:val="24"/>
        </w:rPr>
      </w:pPr>
      <w:r w:rsidRPr="007B0737">
        <w:rPr>
          <w:rFonts w:asciiTheme="majorBidi" w:eastAsia="Times New Roman" w:hAnsiTheme="majorBidi" w:cstheme="majorBidi"/>
          <w:sz w:val="24"/>
          <w:szCs w:val="24"/>
        </w:rPr>
        <w:t xml:space="preserve">Velarde, G. (2019). </w:t>
      </w:r>
      <w:r w:rsidRPr="007B0737">
        <w:rPr>
          <w:rFonts w:asciiTheme="majorBidi" w:eastAsia="Times New Roman" w:hAnsiTheme="majorBidi" w:cstheme="majorBidi"/>
          <w:i/>
          <w:iCs/>
          <w:sz w:val="24"/>
          <w:szCs w:val="24"/>
        </w:rPr>
        <w:t>“Artificial Intelligence and its Impact on the Fourth Industrial Revolution: A Review.”</w:t>
      </w:r>
      <w:r w:rsidRPr="007B0737">
        <w:rPr>
          <w:rFonts w:asciiTheme="majorBidi" w:eastAsia="Times New Roman" w:hAnsiTheme="majorBidi" w:cstheme="majorBidi"/>
          <w:sz w:val="24"/>
          <w:szCs w:val="24"/>
        </w:rPr>
        <w:t xml:space="preserve"> International Journal of Artificial Intelligence &amp; Applications, 10(6), 41–48. Available at: </w:t>
      </w:r>
      <w:hyperlink r:id="rId113" w:history="1">
        <w:r w:rsidRPr="007B0737">
          <w:rPr>
            <w:rStyle w:val="Hyperlink"/>
            <w:rFonts w:asciiTheme="majorBidi" w:eastAsia="Times New Roman" w:hAnsiTheme="majorBidi"/>
            <w:sz w:val="24"/>
            <w:szCs w:val="24"/>
          </w:rPr>
          <w:t>https://doi.org/10.5121/ijaia.2019.10604</w:t>
        </w:r>
      </w:hyperlink>
      <w:r w:rsidRPr="007B0737">
        <w:rPr>
          <w:rFonts w:asciiTheme="majorBidi" w:eastAsia="Times New Roman" w:hAnsiTheme="majorBidi" w:cstheme="majorBidi"/>
          <w:sz w:val="24"/>
          <w:szCs w:val="24"/>
        </w:rPr>
        <w:t xml:space="preserve"> </w:t>
      </w:r>
    </w:p>
    <w:p w14:paraId="4A77A548" w14:textId="77777777" w:rsidR="00AE272A" w:rsidRPr="007B0737" w:rsidRDefault="00AE272A" w:rsidP="003E7B09">
      <w:pPr>
        <w:autoSpaceDE w:val="0"/>
        <w:autoSpaceDN w:val="0"/>
        <w:jc w:val="both"/>
        <w:rPr>
          <w:rFonts w:asciiTheme="majorBidi" w:eastAsia="Times New Roman" w:hAnsiTheme="majorBidi" w:cstheme="majorBidi"/>
          <w:kern w:val="0"/>
          <w:sz w:val="24"/>
          <w:szCs w:val="24"/>
          <w14:ligatures w14:val="none"/>
        </w:rPr>
      </w:pPr>
      <w:r w:rsidRPr="007B0737">
        <w:rPr>
          <w:rFonts w:asciiTheme="majorBidi" w:eastAsia="Times New Roman" w:hAnsiTheme="majorBidi" w:cstheme="majorBidi"/>
          <w:sz w:val="24"/>
          <w:szCs w:val="24"/>
        </w:rPr>
        <w:t>Wang, J., Xing, Z., and Zhang, R. (2023). “</w:t>
      </w:r>
      <w:r w:rsidRPr="007B0737">
        <w:rPr>
          <w:rFonts w:asciiTheme="majorBidi" w:eastAsia="Times New Roman" w:hAnsiTheme="majorBidi" w:cstheme="majorBidi"/>
          <w:i/>
          <w:iCs/>
          <w:sz w:val="24"/>
          <w:szCs w:val="24"/>
        </w:rPr>
        <w:t>AI technology application and employee responsibility</w:t>
      </w:r>
      <w:r w:rsidRPr="007B0737">
        <w:rPr>
          <w:rFonts w:asciiTheme="majorBidi" w:eastAsia="Times New Roman" w:hAnsiTheme="majorBidi" w:cstheme="majorBidi"/>
          <w:sz w:val="24"/>
          <w:szCs w:val="24"/>
        </w:rPr>
        <w:t xml:space="preserve">” Humanities and Social Sciences Communications, 10(1). Available at: </w:t>
      </w:r>
      <w:hyperlink r:id="rId114" w:history="1">
        <w:r w:rsidRPr="007B0737">
          <w:rPr>
            <w:rStyle w:val="Hyperlink"/>
            <w:rFonts w:asciiTheme="majorBidi" w:eastAsia="Times New Roman" w:hAnsiTheme="majorBidi"/>
            <w:sz w:val="24"/>
            <w:szCs w:val="24"/>
          </w:rPr>
          <w:t>https://doi.org/10.1057/s41599-023-01843-3</w:t>
        </w:r>
      </w:hyperlink>
      <w:r w:rsidRPr="007B0737">
        <w:rPr>
          <w:rFonts w:asciiTheme="majorBidi" w:eastAsia="Times New Roman" w:hAnsiTheme="majorBidi" w:cstheme="majorBidi"/>
          <w:sz w:val="24"/>
          <w:szCs w:val="24"/>
        </w:rPr>
        <w:t xml:space="preserve"> </w:t>
      </w:r>
    </w:p>
    <w:p w14:paraId="6B0C8C14"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 xml:space="preserve">Wang, S., Chen, S. C., Ali, M. H., and Tseng, M. L. (2023). </w:t>
      </w:r>
      <w:r w:rsidRPr="007B0737">
        <w:rPr>
          <w:rFonts w:asciiTheme="majorBidi" w:hAnsiTheme="majorBidi" w:cstheme="majorBidi"/>
          <w:i/>
          <w:iCs/>
          <w:sz w:val="24"/>
          <w:szCs w:val="24"/>
        </w:rPr>
        <w:t>“Nexus of environmental, social, and governance performance in China-listed companies: Disclosure and green bond issuance”</w:t>
      </w:r>
      <w:r w:rsidRPr="007B0737">
        <w:rPr>
          <w:rFonts w:asciiTheme="majorBidi" w:hAnsiTheme="majorBidi" w:cstheme="majorBidi"/>
          <w:sz w:val="24"/>
          <w:szCs w:val="24"/>
        </w:rPr>
        <w:t xml:space="preserve"> Business Strategy and the Environment. Available at </w:t>
      </w:r>
      <w:hyperlink r:id="rId115" w:history="1">
        <w:r w:rsidRPr="007B0737">
          <w:rPr>
            <w:rStyle w:val="Hyperlink"/>
            <w:rFonts w:asciiTheme="majorBidi" w:hAnsiTheme="majorBidi"/>
            <w:sz w:val="24"/>
            <w:szCs w:val="24"/>
          </w:rPr>
          <w:t>https://doi.org/10.1002/bse.3566</w:t>
        </w:r>
      </w:hyperlink>
      <w:r w:rsidRPr="007B0737">
        <w:rPr>
          <w:rFonts w:asciiTheme="majorBidi" w:hAnsiTheme="majorBidi" w:cstheme="majorBidi"/>
          <w:sz w:val="24"/>
          <w:szCs w:val="24"/>
        </w:rPr>
        <w:t xml:space="preserve"> </w:t>
      </w:r>
    </w:p>
    <w:p w14:paraId="5B66BBB2"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WEF (2024) “</w:t>
      </w:r>
      <w:r w:rsidRPr="00485288">
        <w:rPr>
          <w:rFonts w:asciiTheme="majorBidi" w:hAnsiTheme="majorBidi" w:cstheme="majorBidi"/>
          <w:i/>
          <w:iCs/>
          <w:sz w:val="24"/>
          <w:szCs w:val="24"/>
        </w:rPr>
        <w:t>Fourth Industrial Revolution</w:t>
      </w:r>
      <w:r w:rsidRPr="007B0737">
        <w:rPr>
          <w:rFonts w:asciiTheme="majorBidi" w:hAnsiTheme="majorBidi" w:cstheme="majorBidi"/>
          <w:sz w:val="24"/>
          <w:szCs w:val="24"/>
        </w:rPr>
        <w:t xml:space="preserve">” (Online) Available at: </w:t>
      </w:r>
      <w:hyperlink r:id="rId116" w:history="1">
        <w:r w:rsidRPr="007B0737">
          <w:rPr>
            <w:rStyle w:val="Hyperlink"/>
            <w:rFonts w:asciiTheme="majorBidi" w:hAnsiTheme="majorBidi"/>
            <w:sz w:val="24"/>
            <w:szCs w:val="24"/>
          </w:rPr>
          <w:t>https://www.weforum.org/focus/fourth-industrial-revolution/</w:t>
        </w:r>
      </w:hyperlink>
      <w:r w:rsidRPr="007B0737">
        <w:rPr>
          <w:rFonts w:asciiTheme="majorBidi" w:hAnsiTheme="majorBidi" w:cstheme="majorBidi"/>
          <w:sz w:val="24"/>
          <w:szCs w:val="24"/>
        </w:rPr>
        <w:t xml:space="preserve"> (Accessed 20</w:t>
      </w:r>
      <w:r w:rsidRPr="007B0737">
        <w:rPr>
          <w:rFonts w:asciiTheme="majorBidi" w:hAnsiTheme="majorBidi" w:cstheme="majorBidi"/>
          <w:sz w:val="24"/>
          <w:szCs w:val="24"/>
          <w:vertAlign w:val="superscript"/>
        </w:rPr>
        <w:t>th</w:t>
      </w:r>
      <w:r w:rsidRPr="007B0737">
        <w:rPr>
          <w:rFonts w:asciiTheme="majorBidi" w:hAnsiTheme="majorBidi" w:cstheme="majorBidi"/>
          <w:sz w:val="24"/>
          <w:szCs w:val="24"/>
        </w:rPr>
        <w:t xml:space="preserve"> January 2024).</w:t>
      </w:r>
    </w:p>
    <w:p w14:paraId="0F3B932E"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lastRenderedPageBreak/>
        <w:t>Wilson H. J., Daugherty P, and Bianzino N (2017) “</w:t>
      </w:r>
      <w:r w:rsidRPr="007B0737">
        <w:rPr>
          <w:rFonts w:asciiTheme="majorBidi" w:hAnsiTheme="majorBidi" w:cstheme="majorBidi"/>
          <w:i/>
          <w:iCs/>
          <w:sz w:val="24"/>
          <w:szCs w:val="24"/>
        </w:rPr>
        <w:t>The jobs that artificial intelligence will create</w:t>
      </w:r>
      <w:r w:rsidRPr="007B0737">
        <w:rPr>
          <w:rFonts w:asciiTheme="majorBidi" w:hAnsiTheme="majorBidi" w:cstheme="majorBidi"/>
          <w:sz w:val="24"/>
          <w:szCs w:val="24"/>
        </w:rPr>
        <w:t>” MIT Sloan Management Review 58(4). 14.</w:t>
      </w:r>
    </w:p>
    <w:p w14:paraId="7B89F452"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Wirtz, B. W., Weyerer, J. C., and Sturm, B. J. (2020). “</w:t>
      </w:r>
      <w:r w:rsidRPr="007B0737">
        <w:rPr>
          <w:rFonts w:asciiTheme="majorBidi" w:hAnsiTheme="majorBidi" w:cstheme="majorBidi"/>
          <w:i/>
          <w:iCs/>
          <w:color w:val="000000"/>
          <w:sz w:val="24"/>
          <w:szCs w:val="24"/>
        </w:rPr>
        <w:t>The Dark Sides of Artificial Intelligence: An Integrated AI Governance Framework for Public Administration</w:t>
      </w:r>
      <w:r w:rsidRPr="007B0737">
        <w:rPr>
          <w:rFonts w:asciiTheme="majorBidi" w:hAnsiTheme="majorBidi" w:cstheme="majorBidi"/>
          <w:color w:val="000000"/>
          <w:sz w:val="24"/>
          <w:szCs w:val="24"/>
        </w:rPr>
        <w:t xml:space="preserve">” International Journal of Public Administration, 43(9), 818–829. </w:t>
      </w:r>
      <w:hyperlink r:id="rId117" w:history="1">
        <w:r w:rsidRPr="007B0737">
          <w:rPr>
            <w:rStyle w:val="Hyperlink"/>
            <w:rFonts w:asciiTheme="majorBidi" w:hAnsiTheme="majorBidi"/>
            <w:sz w:val="24"/>
            <w:szCs w:val="24"/>
          </w:rPr>
          <w:t>https://doi.org/10.1080/01900692.2020.1749851</w:t>
        </w:r>
      </w:hyperlink>
    </w:p>
    <w:p w14:paraId="766ED8DC"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Wörsdörfer, M. (2023). “</w:t>
      </w:r>
      <w:r w:rsidRPr="007B0737">
        <w:rPr>
          <w:rFonts w:asciiTheme="majorBidi" w:hAnsiTheme="majorBidi" w:cstheme="majorBidi"/>
          <w:i/>
          <w:iCs/>
          <w:sz w:val="24"/>
          <w:szCs w:val="24"/>
        </w:rPr>
        <w:t>Mitigating the adverse effects of AI with the European Union’s artificial intelligence act: Hype or hope?”</w:t>
      </w:r>
      <w:r w:rsidRPr="007B0737">
        <w:rPr>
          <w:rFonts w:asciiTheme="majorBidi" w:hAnsiTheme="majorBidi" w:cstheme="majorBidi"/>
          <w:sz w:val="24"/>
          <w:szCs w:val="24"/>
        </w:rPr>
        <w:t xml:space="preserve"> Global Business and Organizational Excellence. Available at : </w:t>
      </w:r>
      <w:hyperlink r:id="rId118" w:history="1">
        <w:r w:rsidRPr="007B0737">
          <w:rPr>
            <w:rStyle w:val="Hyperlink"/>
            <w:rFonts w:asciiTheme="majorBidi" w:hAnsiTheme="majorBidi"/>
            <w:sz w:val="24"/>
            <w:szCs w:val="24"/>
          </w:rPr>
          <w:t>https://doi.org/10.1002/joe.22238</w:t>
        </w:r>
      </w:hyperlink>
      <w:r w:rsidRPr="007B0737">
        <w:rPr>
          <w:rFonts w:asciiTheme="majorBidi" w:hAnsiTheme="majorBidi" w:cstheme="majorBidi"/>
          <w:sz w:val="24"/>
          <w:szCs w:val="24"/>
        </w:rPr>
        <w:t xml:space="preserve"> </w:t>
      </w:r>
    </w:p>
    <w:p w14:paraId="15825F7E" w14:textId="77777777" w:rsidR="00AE272A"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Wu, L.-Z., Kwan, H. K., Yim, F. H., Chiu, R. K., and He, X. (2015). “</w:t>
      </w:r>
      <w:r w:rsidRPr="007B0737">
        <w:rPr>
          <w:rFonts w:asciiTheme="majorBidi" w:hAnsiTheme="majorBidi" w:cstheme="majorBidi"/>
          <w:i/>
          <w:iCs/>
          <w:color w:val="000000"/>
          <w:sz w:val="24"/>
          <w:szCs w:val="24"/>
        </w:rPr>
        <w:t>CEO ethical leadership and corporate social responsibility: A moderated mediation model</w:t>
      </w:r>
      <w:r w:rsidRPr="007B0737">
        <w:rPr>
          <w:rFonts w:asciiTheme="majorBidi" w:hAnsiTheme="majorBidi" w:cstheme="majorBidi"/>
          <w:color w:val="000000"/>
          <w:sz w:val="24"/>
          <w:szCs w:val="24"/>
        </w:rPr>
        <w:t xml:space="preserve">” Journal of Business Ethics, 130(4), 819–831. Available at: </w:t>
      </w:r>
      <w:hyperlink r:id="rId119" w:history="1">
        <w:r w:rsidRPr="007B0737">
          <w:rPr>
            <w:rStyle w:val="Hyperlink"/>
            <w:rFonts w:asciiTheme="majorBidi" w:hAnsiTheme="majorBidi"/>
            <w:sz w:val="24"/>
            <w:szCs w:val="24"/>
          </w:rPr>
          <w:t>https://doi.org/10.1007/s10551-014-2108-9</w:t>
        </w:r>
      </w:hyperlink>
      <w:r w:rsidRPr="007B0737">
        <w:rPr>
          <w:rFonts w:asciiTheme="majorBidi" w:hAnsiTheme="majorBidi" w:cstheme="majorBidi"/>
          <w:color w:val="000000"/>
          <w:sz w:val="24"/>
          <w:szCs w:val="24"/>
        </w:rPr>
        <w:t xml:space="preserve"> </w:t>
      </w:r>
    </w:p>
    <w:p w14:paraId="45962A15" w14:textId="77777777" w:rsidR="00AE272A" w:rsidRPr="007B0737" w:rsidRDefault="00AE272A" w:rsidP="003E7B09">
      <w:pPr>
        <w:jc w:val="both"/>
        <w:rPr>
          <w:rFonts w:asciiTheme="majorBidi" w:hAnsiTheme="majorBidi" w:cstheme="majorBidi"/>
          <w:color w:val="000000"/>
          <w:sz w:val="24"/>
          <w:szCs w:val="24"/>
        </w:rPr>
      </w:pPr>
      <w:r w:rsidRPr="00124AAF">
        <w:rPr>
          <w:rFonts w:asciiTheme="majorBidi" w:hAnsiTheme="majorBidi" w:cstheme="majorBidi"/>
          <w:color w:val="000000"/>
          <w:sz w:val="24"/>
          <w:szCs w:val="24"/>
        </w:rPr>
        <w:t xml:space="preserve">Xie, Y., Ma, W., Ma, Y., Ren, Z., Tong, Z., and Wang, Y. (2023). </w:t>
      </w:r>
      <w:r w:rsidRPr="00124AAF">
        <w:rPr>
          <w:rFonts w:asciiTheme="majorBidi" w:hAnsiTheme="majorBidi" w:cstheme="majorBidi"/>
          <w:i/>
          <w:iCs/>
          <w:color w:val="000000"/>
          <w:sz w:val="24"/>
          <w:szCs w:val="24"/>
        </w:rPr>
        <w:t xml:space="preserve">“A counterfactual thinking perspective of moral licensing effect in machine-driven communication: An example of natural language processing chatbot developed based on WeChat API” </w:t>
      </w:r>
      <w:r w:rsidRPr="00124AAF">
        <w:rPr>
          <w:rFonts w:asciiTheme="majorBidi" w:hAnsiTheme="majorBidi" w:cstheme="majorBidi"/>
          <w:color w:val="000000"/>
          <w:sz w:val="24"/>
          <w:szCs w:val="24"/>
        </w:rPr>
        <w:t xml:space="preserve">Technological Forecasting and Social Change, 197. Available at: </w:t>
      </w:r>
      <w:hyperlink r:id="rId120" w:history="1">
        <w:r w:rsidRPr="00124AAF">
          <w:rPr>
            <w:rStyle w:val="Hyperlink"/>
            <w:rFonts w:asciiTheme="majorBidi" w:hAnsiTheme="majorBidi" w:cstheme="majorBidi"/>
            <w:sz w:val="24"/>
            <w:szCs w:val="24"/>
          </w:rPr>
          <w:t>https://doi.org/10.1016/j.techfore.2023.122926</w:t>
        </w:r>
      </w:hyperlink>
      <w:r w:rsidRPr="00124AAF">
        <w:rPr>
          <w:rFonts w:asciiTheme="majorBidi" w:hAnsiTheme="majorBidi" w:cstheme="majorBidi"/>
          <w:color w:val="000000"/>
          <w:sz w:val="24"/>
          <w:szCs w:val="24"/>
        </w:rPr>
        <w:t xml:space="preserve"> </w:t>
      </w:r>
    </w:p>
    <w:p w14:paraId="2CD94225"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Xue, L., and Pang, Z. (2022). “</w:t>
      </w:r>
      <w:r w:rsidRPr="007B0737">
        <w:rPr>
          <w:rFonts w:asciiTheme="majorBidi" w:hAnsiTheme="majorBidi" w:cstheme="majorBidi"/>
          <w:i/>
          <w:iCs/>
          <w:sz w:val="24"/>
          <w:szCs w:val="24"/>
        </w:rPr>
        <w:t>Ethical governance of artificial intelligence: An integrated analytical framework”</w:t>
      </w:r>
      <w:r w:rsidRPr="007B0737">
        <w:rPr>
          <w:rFonts w:asciiTheme="majorBidi" w:hAnsiTheme="majorBidi" w:cstheme="majorBidi"/>
          <w:sz w:val="24"/>
          <w:szCs w:val="24"/>
        </w:rPr>
        <w:t xml:space="preserve"> Journal of Digital Economy, 1(1), 44–52. Available at: </w:t>
      </w:r>
      <w:hyperlink r:id="rId121" w:history="1">
        <w:r w:rsidRPr="007B0737">
          <w:rPr>
            <w:rStyle w:val="Hyperlink"/>
            <w:rFonts w:asciiTheme="majorBidi" w:hAnsiTheme="majorBidi"/>
            <w:sz w:val="24"/>
            <w:szCs w:val="24"/>
          </w:rPr>
          <w:t>https://doi.org/10.1016/j.jdec.2022.08.003</w:t>
        </w:r>
      </w:hyperlink>
      <w:r w:rsidRPr="007B0737">
        <w:rPr>
          <w:rFonts w:asciiTheme="majorBidi" w:hAnsiTheme="majorBidi" w:cstheme="majorBidi"/>
          <w:sz w:val="24"/>
          <w:szCs w:val="24"/>
        </w:rPr>
        <w:t xml:space="preserve"> </w:t>
      </w:r>
    </w:p>
    <w:p w14:paraId="25CB491B" w14:textId="77777777" w:rsidR="00AE272A" w:rsidRPr="007B0737" w:rsidRDefault="00AE272A" w:rsidP="003E7B09">
      <w:pPr>
        <w:jc w:val="both"/>
        <w:rPr>
          <w:rFonts w:asciiTheme="majorBidi" w:hAnsiTheme="majorBidi" w:cstheme="majorBidi"/>
          <w:color w:val="000000"/>
          <w:sz w:val="24"/>
          <w:szCs w:val="24"/>
        </w:rPr>
      </w:pPr>
      <w:r w:rsidRPr="007B0737">
        <w:rPr>
          <w:rFonts w:asciiTheme="majorBidi" w:hAnsiTheme="majorBidi" w:cstheme="majorBidi"/>
          <w:color w:val="000000"/>
          <w:sz w:val="24"/>
          <w:szCs w:val="24"/>
        </w:rPr>
        <w:t>Yang, Y., and Gross, A (2023) “</w:t>
      </w:r>
      <w:r w:rsidRPr="007B0737">
        <w:rPr>
          <w:rFonts w:asciiTheme="majorBidi" w:hAnsiTheme="majorBidi" w:cstheme="majorBidi"/>
          <w:i/>
          <w:iCs/>
          <w:color w:val="000000"/>
          <w:sz w:val="24"/>
          <w:szCs w:val="24"/>
        </w:rPr>
        <w:t>Chinese AI scientists Call for stronger regulation ahead of landmark summit</w:t>
      </w:r>
      <w:r w:rsidRPr="007B0737">
        <w:rPr>
          <w:rFonts w:asciiTheme="majorBidi" w:hAnsiTheme="majorBidi" w:cstheme="majorBidi"/>
          <w:color w:val="000000"/>
          <w:sz w:val="24"/>
          <w:szCs w:val="24"/>
        </w:rPr>
        <w:t xml:space="preserve">” (Online) Available at: </w:t>
      </w:r>
      <w:hyperlink r:id="rId122" w:history="1">
        <w:r w:rsidRPr="007B0737">
          <w:rPr>
            <w:rStyle w:val="Hyperlink"/>
            <w:rFonts w:asciiTheme="majorBidi" w:hAnsiTheme="majorBidi"/>
            <w:sz w:val="24"/>
            <w:szCs w:val="24"/>
          </w:rPr>
          <w:t>https://www.ft.com/content/c7f8b6dc-e742-4094-9ee7-3178dd4b597f</w:t>
        </w:r>
      </w:hyperlink>
      <w:r w:rsidRPr="007B0737">
        <w:rPr>
          <w:rFonts w:asciiTheme="majorBidi" w:hAnsiTheme="majorBidi" w:cstheme="majorBidi"/>
          <w:color w:val="000000"/>
          <w:sz w:val="24"/>
          <w:szCs w:val="24"/>
        </w:rPr>
        <w:t xml:space="preserve"> (Accessed 29th January 2024).</w:t>
      </w:r>
    </w:p>
    <w:p w14:paraId="02C0451D"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Zavyalova, E. B., Volokhina, V. A., Troyanskaya, M. A., and Dubova, Y. I. (2023). “</w:t>
      </w:r>
      <w:r w:rsidRPr="007B0737">
        <w:rPr>
          <w:rFonts w:asciiTheme="majorBidi" w:hAnsiTheme="majorBidi" w:cstheme="majorBidi"/>
          <w:i/>
          <w:iCs/>
          <w:sz w:val="24"/>
          <w:szCs w:val="24"/>
        </w:rPr>
        <w:t>A humanistic model of corporate social responsibility in e-commerce with high-tech support in the artificial intelligence economy”</w:t>
      </w:r>
      <w:r w:rsidRPr="007B0737">
        <w:rPr>
          <w:rFonts w:asciiTheme="majorBidi" w:hAnsiTheme="majorBidi" w:cstheme="majorBidi"/>
          <w:sz w:val="24"/>
          <w:szCs w:val="24"/>
        </w:rPr>
        <w:t xml:space="preserve"> Humanities and Social Sciences Communications, 10(1). Available at: </w:t>
      </w:r>
      <w:hyperlink r:id="rId123" w:history="1">
        <w:r w:rsidRPr="007B0737">
          <w:rPr>
            <w:rStyle w:val="Hyperlink"/>
            <w:rFonts w:asciiTheme="majorBidi" w:hAnsiTheme="majorBidi"/>
            <w:sz w:val="24"/>
            <w:szCs w:val="24"/>
          </w:rPr>
          <w:t>https://doi.org/10.1057/s41599-023-01764-1</w:t>
        </w:r>
      </w:hyperlink>
      <w:r w:rsidRPr="007B0737">
        <w:rPr>
          <w:rFonts w:asciiTheme="majorBidi" w:hAnsiTheme="majorBidi" w:cstheme="majorBidi"/>
          <w:sz w:val="24"/>
          <w:szCs w:val="24"/>
        </w:rPr>
        <w:t xml:space="preserve"> </w:t>
      </w:r>
    </w:p>
    <w:p w14:paraId="252814C5" w14:textId="77777777" w:rsidR="00AE272A" w:rsidRPr="007B0737" w:rsidRDefault="00AE272A" w:rsidP="003E7B09">
      <w:pPr>
        <w:jc w:val="both"/>
        <w:rPr>
          <w:rFonts w:asciiTheme="majorBidi" w:hAnsiTheme="majorBidi" w:cstheme="majorBidi"/>
          <w:sz w:val="24"/>
          <w:szCs w:val="24"/>
        </w:rPr>
      </w:pPr>
      <w:r w:rsidRPr="007B0737">
        <w:rPr>
          <w:rFonts w:asciiTheme="majorBidi" w:hAnsiTheme="majorBidi" w:cstheme="majorBidi"/>
          <w:sz w:val="24"/>
          <w:szCs w:val="24"/>
        </w:rPr>
        <w:t>Zerbino, P., Stefanini, A., Aloini, D., Dulmin, R., and Mininno, V. (2023). “</w:t>
      </w:r>
      <w:r w:rsidRPr="007B0737">
        <w:rPr>
          <w:rFonts w:asciiTheme="majorBidi" w:hAnsiTheme="majorBidi" w:cstheme="majorBidi"/>
          <w:i/>
          <w:iCs/>
          <w:sz w:val="24"/>
          <w:szCs w:val="24"/>
        </w:rPr>
        <w:t>Does supply chain sustainability benefit from formal scavenging? A case study in circular settings</w:t>
      </w:r>
      <w:r w:rsidRPr="007B0737">
        <w:rPr>
          <w:rFonts w:asciiTheme="majorBidi" w:hAnsiTheme="majorBidi" w:cstheme="majorBidi"/>
          <w:sz w:val="24"/>
          <w:szCs w:val="24"/>
        </w:rPr>
        <w:t xml:space="preserve">.” Journal of Cleaner Production, 385. Available at: </w:t>
      </w:r>
      <w:hyperlink r:id="rId124" w:history="1">
        <w:r w:rsidRPr="007B0737">
          <w:rPr>
            <w:rStyle w:val="Hyperlink"/>
            <w:rFonts w:asciiTheme="majorBidi" w:hAnsiTheme="majorBidi"/>
            <w:sz w:val="24"/>
            <w:szCs w:val="24"/>
          </w:rPr>
          <w:t>https://doi.org/10.1016/j.jclepro.2022.135669</w:t>
        </w:r>
      </w:hyperlink>
      <w:r w:rsidRPr="007B0737">
        <w:rPr>
          <w:rFonts w:asciiTheme="majorBidi" w:hAnsiTheme="majorBidi" w:cstheme="majorBidi"/>
          <w:sz w:val="24"/>
          <w:szCs w:val="24"/>
        </w:rPr>
        <w:t xml:space="preserve"> </w:t>
      </w:r>
    </w:p>
    <w:p w14:paraId="72299F9E" w14:textId="77777777" w:rsidR="00B30B64" w:rsidRPr="00B30B64" w:rsidRDefault="00B30B64" w:rsidP="006B468E">
      <w:pPr>
        <w:jc w:val="both"/>
        <w:rPr>
          <w:rFonts w:ascii="Times New Roman" w:hAnsi="Times New Roman" w:cs="Times New Roman"/>
          <w:sz w:val="24"/>
          <w:szCs w:val="24"/>
        </w:rPr>
      </w:pPr>
    </w:p>
    <w:sectPr w:rsidR="00B30B64" w:rsidRPr="00B30B6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9FA666" w14:textId="77777777" w:rsidR="0019455A" w:rsidRDefault="0019455A" w:rsidP="002138F9">
      <w:pPr>
        <w:spacing w:after="0" w:line="240" w:lineRule="auto"/>
      </w:pPr>
      <w:r>
        <w:separator/>
      </w:r>
    </w:p>
  </w:endnote>
  <w:endnote w:type="continuationSeparator" w:id="0">
    <w:p w14:paraId="396241FB" w14:textId="77777777" w:rsidR="0019455A" w:rsidRDefault="0019455A" w:rsidP="00213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981271" w14:textId="77777777" w:rsidR="0019455A" w:rsidRDefault="0019455A" w:rsidP="002138F9">
      <w:pPr>
        <w:spacing w:after="0" w:line="240" w:lineRule="auto"/>
      </w:pPr>
      <w:r>
        <w:separator/>
      </w:r>
    </w:p>
  </w:footnote>
  <w:footnote w:type="continuationSeparator" w:id="0">
    <w:p w14:paraId="3AD92A0D" w14:textId="77777777" w:rsidR="0019455A" w:rsidRDefault="0019455A" w:rsidP="00213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385A9A"/>
    <w:multiLevelType w:val="hybridMultilevel"/>
    <w:tmpl w:val="F9D89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3D27EE"/>
    <w:multiLevelType w:val="hybridMultilevel"/>
    <w:tmpl w:val="FD48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4D0D64"/>
    <w:multiLevelType w:val="hybridMultilevel"/>
    <w:tmpl w:val="D3701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962F8B"/>
    <w:multiLevelType w:val="hybridMultilevel"/>
    <w:tmpl w:val="2E70C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DD27DA4"/>
    <w:multiLevelType w:val="hybridMultilevel"/>
    <w:tmpl w:val="7EBE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9F2050"/>
    <w:multiLevelType w:val="hybridMultilevel"/>
    <w:tmpl w:val="AB08C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EF0909"/>
    <w:multiLevelType w:val="hybridMultilevel"/>
    <w:tmpl w:val="A560E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26673D"/>
    <w:multiLevelType w:val="hybridMultilevel"/>
    <w:tmpl w:val="BAD88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6858487">
    <w:abstractNumId w:val="6"/>
  </w:num>
  <w:num w:numId="2" w16cid:durableId="1112364069">
    <w:abstractNumId w:val="4"/>
  </w:num>
  <w:num w:numId="3" w16cid:durableId="1115977602">
    <w:abstractNumId w:val="0"/>
  </w:num>
  <w:num w:numId="4" w16cid:durableId="335305208">
    <w:abstractNumId w:val="2"/>
  </w:num>
  <w:num w:numId="5" w16cid:durableId="623661044">
    <w:abstractNumId w:val="7"/>
  </w:num>
  <w:num w:numId="6" w16cid:durableId="1667514820">
    <w:abstractNumId w:val="3"/>
  </w:num>
  <w:num w:numId="7" w16cid:durableId="999963173">
    <w:abstractNumId w:val="5"/>
  </w:num>
  <w:num w:numId="8" w16cid:durableId="1385985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F44"/>
    <w:rsid w:val="0000261B"/>
    <w:rsid w:val="0001190C"/>
    <w:rsid w:val="00043E46"/>
    <w:rsid w:val="00056FC4"/>
    <w:rsid w:val="000739D7"/>
    <w:rsid w:val="00082FE9"/>
    <w:rsid w:val="00096DA6"/>
    <w:rsid w:val="000A673F"/>
    <w:rsid w:val="000B770A"/>
    <w:rsid w:val="000D120D"/>
    <w:rsid w:val="000D62F5"/>
    <w:rsid w:val="000E0A45"/>
    <w:rsid w:val="000E52BB"/>
    <w:rsid w:val="000F3439"/>
    <w:rsid w:val="0012597A"/>
    <w:rsid w:val="00160D0A"/>
    <w:rsid w:val="00165934"/>
    <w:rsid w:val="00172F35"/>
    <w:rsid w:val="0019455A"/>
    <w:rsid w:val="001B0E10"/>
    <w:rsid w:val="001B447B"/>
    <w:rsid w:val="001D194E"/>
    <w:rsid w:val="001D5520"/>
    <w:rsid w:val="001D7F9C"/>
    <w:rsid w:val="001F7805"/>
    <w:rsid w:val="00211B17"/>
    <w:rsid w:val="002138F9"/>
    <w:rsid w:val="0022060B"/>
    <w:rsid w:val="00226FA7"/>
    <w:rsid w:val="00236C41"/>
    <w:rsid w:val="00267ED0"/>
    <w:rsid w:val="002771EC"/>
    <w:rsid w:val="00284D9C"/>
    <w:rsid w:val="002930E5"/>
    <w:rsid w:val="0029742A"/>
    <w:rsid w:val="002B31F2"/>
    <w:rsid w:val="002B479B"/>
    <w:rsid w:val="002C00F3"/>
    <w:rsid w:val="002C0ECB"/>
    <w:rsid w:val="002C4F44"/>
    <w:rsid w:val="002D0AAA"/>
    <w:rsid w:val="002F25E0"/>
    <w:rsid w:val="00302040"/>
    <w:rsid w:val="00303962"/>
    <w:rsid w:val="003158B6"/>
    <w:rsid w:val="00321692"/>
    <w:rsid w:val="003218BE"/>
    <w:rsid w:val="0032673B"/>
    <w:rsid w:val="00335CFD"/>
    <w:rsid w:val="00354982"/>
    <w:rsid w:val="00362234"/>
    <w:rsid w:val="00364833"/>
    <w:rsid w:val="00390B23"/>
    <w:rsid w:val="00391BE6"/>
    <w:rsid w:val="00397A6F"/>
    <w:rsid w:val="003A00F8"/>
    <w:rsid w:val="003A196F"/>
    <w:rsid w:val="003A3173"/>
    <w:rsid w:val="003B2367"/>
    <w:rsid w:val="003C2C90"/>
    <w:rsid w:val="003D7BDB"/>
    <w:rsid w:val="003E5611"/>
    <w:rsid w:val="003E7B09"/>
    <w:rsid w:val="003F1F67"/>
    <w:rsid w:val="003F7693"/>
    <w:rsid w:val="00404CD8"/>
    <w:rsid w:val="00411584"/>
    <w:rsid w:val="00456657"/>
    <w:rsid w:val="00462E6E"/>
    <w:rsid w:val="004648BB"/>
    <w:rsid w:val="00476F8C"/>
    <w:rsid w:val="00485288"/>
    <w:rsid w:val="004B0C1A"/>
    <w:rsid w:val="004B45AE"/>
    <w:rsid w:val="004B646D"/>
    <w:rsid w:val="004C2E6A"/>
    <w:rsid w:val="004E0202"/>
    <w:rsid w:val="004F1F32"/>
    <w:rsid w:val="00500609"/>
    <w:rsid w:val="00504D99"/>
    <w:rsid w:val="00523814"/>
    <w:rsid w:val="00543CFA"/>
    <w:rsid w:val="00546348"/>
    <w:rsid w:val="00566143"/>
    <w:rsid w:val="00567749"/>
    <w:rsid w:val="005732B8"/>
    <w:rsid w:val="00575365"/>
    <w:rsid w:val="00590645"/>
    <w:rsid w:val="0059772A"/>
    <w:rsid w:val="005A34B7"/>
    <w:rsid w:val="005A3E03"/>
    <w:rsid w:val="005C6968"/>
    <w:rsid w:val="005D472A"/>
    <w:rsid w:val="005E3086"/>
    <w:rsid w:val="00603A13"/>
    <w:rsid w:val="00607BF1"/>
    <w:rsid w:val="006372AF"/>
    <w:rsid w:val="00640469"/>
    <w:rsid w:val="006628DB"/>
    <w:rsid w:val="0067690C"/>
    <w:rsid w:val="00695D1B"/>
    <w:rsid w:val="006B468E"/>
    <w:rsid w:val="006B7132"/>
    <w:rsid w:val="006D2A6A"/>
    <w:rsid w:val="006F3099"/>
    <w:rsid w:val="00726253"/>
    <w:rsid w:val="00734C3F"/>
    <w:rsid w:val="007415A7"/>
    <w:rsid w:val="00747037"/>
    <w:rsid w:val="00757D48"/>
    <w:rsid w:val="00773E28"/>
    <w:rsid w:val="0079036C"/>
    <w:rsid w:val="007A2627"/>
    <w:rsid w:val="007A2725"/>
    <w:rsid w:val="007B1249"/>
    <w:rsid w:val="007D194C"/>
    <w:rsid w:val="007E2F46"/>
    <w:rsid w:val="007F6F57"/>
    <w:rsid w:val="00801C5C"/>
    <w:rsid w:val="0080240B"/>
    <w:rsid w:val="00822C93"/>
    <w:rsid w:val="00824994"/>
    <w:rsid w:val="008324F1"/>
    <w:rsid w:val="008406D8"/>
    <w:rsid w:val="00850F28"/>
    <w:rsid w:val="00862755"/>
    <w:rsid w:val="00875FCD"/>
    <w:rsid w:val="008C32B3"/>
    <w:rsid w:val="008D6CD1"/>
    <w:rsid w:val="008F77DB"/>
    <w:rsid w:val="00904E6D"/>
    <w:rsid w:val="00907DA4"/>
    <w:rsid w:val="00921199"/>
    <w:rsid w:val="0094130F"/>
    <w:rsid w:val="00976578"/>
    <w:rsid w:val="00981280"/>
    <w:rsid w:val="0099131E"/>
    <w:rsid w:val="0099336F"/>
    <w:rsid w:val="009967DC"/>
    <w:rsid w:val="009A5964"/>
    <w:rsid w:val="009B4D6C"/>
    <w:rsid w:val="009B4D96"/>
    <w:rsid w:val="009B537E"/>
    <w:rsid w:val="009E2851"/>
    <w:rsid w:val="009E6429"/>
    <w:rsid w:val="00A1375D"/>
    <w:rsid w:val="00A23AB6"/>
    <w:rsid w:val="00A2793B"/>
    <w:rsid w:val="00A85033"/>
    <w:rsid w:val="00A97F35"/>
    <w:rsid w:val="00AA0AFE"/>
    <w:rsid w:val="00AB4216"/>
    <w:rsid w:val="00AB7F93"/>
    <w:rsid w:val="00AE272A"/>
    <w:rsid w:val="00AE609B"/>
    <w:rsid w:val="00AE6971"/>
    <w:rsid w:val="00AF5C7D"/>
    <w:rsid w:val="00B30B64"/>
    <w:rsid w:val="00B3345E"/>
    <w:rsid w:val="00B42D3C"/>
    <w:rsid w:val="00B44E8D"/>
    <w:rsid w:val="00B519C7"/>
    <w:rsid w:val="00B5339A"/>
    <w:rsid w:val="00B7061E"/>
    <w:rsid w:val="00B7593A"/>
    <w:rsid w:val="00B91C51"/>
    <w:rsid w:val="00BC0FFC"/>
    <w:rsid w:val="00C0363E"/>
    <w:rsid w:val="00C062B6"/>
    <w:rsid w:val="00C519CC"/>
    <w:rsid w:val="00C66583"/>
    <w:rsid w:val="00C67C64"/>
    <w:rsid w:val="00C80CCA"/>
    <w:rsid w:val="00C95E31"/>
    <w:rsid w:val="00CB339E"/>
    <w:rsid w:val="00CC6373"/>
    <w:rsid w:val="00CE2906"/>
    <w:rsid w:val="00CF0F23"/>
    <w:rsid w:val="00D14A89"/>
    <w:rsid w:val="00D83046"/>
    <w:rsid w:val="00D92EF0"/>
    <w:rsid w:val="00D970D8"/>
    <w:rsid w:val="00DC6D01"/>
    <w:rsid w:val="00DD2F81"/>
    <w:rsid w:val="00DF7C58"/>
    <w:rsid w:val="00E07CFC"/>
    <w:rsid w:val="00E179E2"/>
    <w:rsid w:val="00E24E34"/>
    <w:rsid w:val="00E27029"/>
    <w:rsid w:val="00E330EB"/>
    <w:rsid w:val="00E3311C"/>
    <w:rsid w:val="00E34421"/>
    <w:rsid w:val="00E50FFE"/>
    <w:rsid w:val="00E52C74"/>
    <w:rsid w:val="00E623EE"/>
    <w:rsid w:val="00E8330B"/>
    <w:rsid w:val="00E860C3"/>
    <w:rsid w:val="00EB31D4"/>
    <w:rsid w:val="00EC2B7C"/>
    <w:rsid w:val="00ED2615"/>
    <w:rsid w:val="00F00ECC"/>
    <w:rsid w:val="00F1317F"/>
    <w:rsid w:val="00F27B9C"/>
    <w:rsid w:val="00F358CB"/>
    <w:rsid w:val="00F634AE"/>
    <w:rsid w:val="00F66350"/>
    <w:rsid w:val="00F70393"/>
    <w:rsid w:val="00FB4731"/>
    <w:rsid w:val="00FD28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2B4BE"/>
  <w15:chartTrackingRefBased/>
  <w15:docId w15:val="{24E97E75-D6F1-4427-81A4-7F71F60CB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F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4F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4F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4F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4F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4F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F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F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F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F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4F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4F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4F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4F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4F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F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F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F44"/>
    <w:rPr>
      <w:rFonts w:eastAsiaTheme="majorEastAsia" w:cstheme="majorBidi"/>
      <w:color w:val="272727" w:themeColor="text1" w:themeTint="D8"/>
    </w:rPr>
  </w:style>
  <w:style w:type="paragraph" w:styleId="Title">
    <w:name w:val="Title"/>
    <w:basedOn w:val="Normal"/>
    <w:next w:val="Normal"/>
    <w:link w:val="TitleChar"/>
    <w:uiPriority w:val="10"/>
    <w:qFormat/>
    <w:rsid w:val="002C4F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F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F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F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F44"/>
    <w:pPr>
      <w:spacing w:before="160"/>
      <w:jc w:val="center"/>
    </w:pPr>
    <w:rPr>
      <w:i/>
      <w:iCs/>
      <w:color w:val="404040" w:themeColor="text1" w:themeTint="BF"/>
    </w:rPr>
  </w:style>
  <w:style w:type="character" w:customStyle="1" w:styleId="QuoteChar">
    <w:name w:val="Quote Char"/>
    <w:basedOn w:val="DefaultParagraphFont"/>
    <w:link w:val="Quote"/>
    <w:uiPriority w:val="29"/>
    <w:rsid w:val="002C4F44"/>
    <w:rPr>
      <w:i/>
      <w:iCs/>
      <w:color w:val="404040" w:themeColor="text1" w:themeTint="BF"/>
    </w:rPr>
  </w:style>
  <w:style w:type="paragraph" w:styleId="ListParagraph">
    <w:name w:val="List Paragraph"/>
    <w:basedOn w:val="Normal"/>
    <w:uiPriority w:val="34"/>
    <w:qFormat/>
    <w:rsid w:val="002C4F44"/>
    <w:pPr>
      <w:ind w:left="720"/>
      <w:contextualSpacing/>
    </w:pPr>
  </w:style>
  <w:style w:type="character" w:styleId="IntenseEmphasis">
    <w:name w:val="Intense Emphasis"/>
    <w:basedOn w:val="DefaultParagraphFont"/>
    <w:uiPriority w:val="21"/>
    <w:qFormat/>
    <w:rsid w:val="002C4F44"/>
    <w:rPr>
      <w:i/>
      <w:iCs/>
      <w:color w:val="2F5496" w:themeColor="accent1" w:themeShade="BF"/>
    </w:rPr>
  </w:style>
  <w:style w:type="paragraph" w:styleId="IntenseQuote">
    <w:name w:val="Intense Quote"/>
    <w:basedOn w:val="Normal"/>
    <w:next w:val="Normal"/>
    <w:link w:val="IntenseQuoteChar"/>
    <w:uiPriority w:val="30"/>
    <w:qFormat/>
    <w:rsid w:val="002C4F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4F44"/>
    <w:rPr>
      <w:i/>
      <w:iCs/>
      <w:color w:val="2F5496" w:themeColor="accent1" w:themeShade="BF"/>
    </w:rPr>
  </w:style>
  <w:style w:type="character" w:styleId="IntenseReference">
    <w:name w:val="Intense Reference"/>
    <w:basedOn w:val="DefaultParagraphFont"/>
    <w:uiPriority w:val="32"/>
    <w:qFormat/>
    <w:rsid w:val="002C4F44"/>
    <w:rPr>
      <w:b/>
      <w:bCs/>
      <w:smallCaps/>
      <w:color w:val="2F5496" w:themeColor="accent1" w:themeShade="BF"/>
      <w:spacing w:val="5"/>
    </w:rPr>
  </w:style>
  <w:style w:type="character" w:styleId="Hyperlink">
    <w:name w:val="Hyperlink"/>
    <w:basedOn w:val="DefaultParagraphFont"/>
    <w:uiPriority w:val="99"/>
    <w:unhideWhenUsed/>
    <w:rsid w:val="00CE2906"/>
    <w:rPr>
      <w:color w:val="0563C1" w:themeColor="hyperlink"/>
      <w:u w:val="single"/>
    </w:rPr>
  </w:style>
  <w:style w:type="character" w:styleId="UnresolvedMention">
    <w:name w:val="Unresolved Mention"/>
    <w:basedOn w:val="DefaultParagraphFont"/>
    <w:uiPriority w:val="99"/>
    <w:semiHidden/>
    <w:unhideWhenUsed/>
    <w:rsid w:val="00CE2906"/>
    <w:rPr>
      <w:color w:val="605E5C"/>
      <w:shd w:val="clear" w:color="auto" w:fill="E1DFDD"/>
    </w:rPr>
  </w:style>
  <w:style w:type="table" w:styleId="TableGrid">
    <w:name w:val="Table Grid"/>
    <w:basedOn w:val="TableNormal"/>
    <w:uiPriority w:val="39"/>
    <w:rsid w:val="003F7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F769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0060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Header">
    <w:name w:val="header"/>
    <w:basedOn w:val="Normal"/>
    <w:link w:val="HeaderChar"/>
    <w:uiPriority w:val="99"/>
    <w:unhideWhenUsed/>
    <w:rsid w:val="002138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38F9"/>
  </w:style>
  <w:style w:type="paragraph" w:styleId="Footer">
    <w:name w:val="footer"/>
    <w:basedOn w:val="Normal"/>
    <w:link w:val="FooterChar"/>
    <w:uiPriority w:val="99"/>
    <w:unhideWhenUsed/>
    <w:rsid w:val="002138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8F9"/>
  </w:style>
  <w:style w:type="character" w:styleId="FollowedHyperlink">
    <w:name w:val="FollowedHyperlink"/>
    <w:basedOn w:val="DefaultParagraphFont"/>
    <w:uiPriority w:val="99"/>
    <w:semiHidden/>
    <w:unhideWhenUsed/>
    <w:rsid w:val="003E7B0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07/s10551-022-05239-2" TargetMode="External"/><Relationship Id="rId117" Type="http://schemas.openxmlformats.org/officeDocument/2006/relationships/hyperlink" Target="https://doi.org/10.1080/01900692.2020.1749851" TargetMode="External"/><Relationship Id="rId21" Type="http://schemas.openxmlformats.org/officeDocument/2006/relationships/hyperlink" Target="https://doi.org/10.1002/csr.2048" TargetMode="External"/><Relationship Id="rId42" Type="http://schemas.openxmlformats.org/officeDocument/2006/relationships/hyperlink" Target="https://doi.org/10.1007/s10551-022-05297-6" TargetMode="External"/><Relationship Id="rId47" Type="http://schemas.openxmlformats.org/officeDocument/2006/relationships/hyperlink" Target="https://doi.org/10.1177/0008125618764691" TargetMode="External"/><Relationship Id="rId63" Type="http://schemas.openxmlformats.org/officeDocument/2006/relationships/hyperlink" Target="https://doi.org/10.1080/09537325.2023.2209214" TargetMode="External"/><Relationship Id="rId68" Type="http://schemas.openxmlformats.org/officeDocument/2006/relationships/hyperlink" Target="https://doi.org/10.1145/3442188.3445890" TargetMode="External"/><Relationship Id="rId84" Type="http://schemas.openxmlformats.org/officeDocument/2006/relationships/hyperlink" Target="http://www.aiscience.org/journal/jsshhttp://creativecommons.org/licenses/by/4.0/" TargetMode="External"/><Relationship Id="rId89" Type="http://schemas.openxmlformats.org/officeDocument/2006/relationships/hyperlink" Target="https://doi.org/10.1016/j.jsis.2015.02.001" TargetMode="External"/><Relationship Id="rId112" Type="http://schemas.openxmlformats.org/officeDocument/2006/relationships/hyperlink" Target="https://doi.org/10.1016/j.jclepro.2021.128945" TargetMode="External"/><Relationship Id="rId16" Type="http://schemas.openxmlformats.org/officeDocument/2006/relationships/hyperlink" Target="https://doi.org/10.1016/j.technovation.2023.102768" TargetMode="External"/><Relationship Id="rId107" Type="http://schemas.openxmlformats.org/officeDocument/2006/relationships/hyperlink" Target="https://doi.org/10.1108/CG-08-2016-0170" TargetMode="External"/><Relationship Id="rId11" Type="http://schemas.openxmlformats.org/officeDocument/2006/relationships/chart" Target="charts/chart2.xml"/><Relationship Id="rId32" Type="http://schemas.openxmlformats.org/officeDocument/2006/relationships/hyperlink" Target="https://doi.org/10.1080/00207543.2020.1752488" TargetMode="External"/><Relationship Id="rId37" Type="http://schemas.openxmlformats.org/officeDocument/2006/relationships/hyperlink" Target="https://doi.org/10.1007/s10551-023-05380-6" TargetMode="External"/><Relationship Id="rId53" Type="http://schemas.openxmlformats.org/officeDocument/2006/relationships/hyperlink" Target="https://doi.org/10.1002/bse.3591" TargetMode="External"/><Relationship Id="rId58" Type="http://schemas.openxmlformats.org/officeDocument/2006/relationships/hyperlink" Target="https://doi.org/10.1002/bse.3001" TargetMode="External"/><Relationship Id="rId74" Type="http://schemas.openxmlformats.org/officeDocument/2006/relationships/hyperlink" Target="https://doi.org/10.24840/2183-0606_011.003_0005" TargetMode="External"/><Relationship Id="rId79" Type="http://schemas.openxmlformats.org/officeDocument/2006/relationships/hyperlink" Target="https://doi.org/10.1108/14777831211262891" TargetMode="External"/><Relationship Id="rId102" Type="http://schemas.openxmlformats.org/officeDocument/2006/relationships/hyperlink" Target="https://doi.org/10.1016/j.jjimei.2022.100146" TargetMode="External"/><Relationship Id="rId123" Type="http://schemas.openxmlformats.org/officeDocument/2006/relationships/hyperlink" Target="https://doi.org/10.1057/s41599-023-01764-1" TargetMode="External"/><Relationship Id="rId5" Type="http://schemas.openxmlformats.org/officeDocument/2006/relationships/footnotes" Target="footnotes.xml"/><Relationship Id="rId61" Type="http://schemas.openxmlformats.org/officeDocument/2006/relationships/hyperlink" Target="https://doi.org/10.1016/j.ijhm.2023.103437" TargetMode="External"/><Relationship Id="rId82" Type="http://schemas.openxmlformats.org/officeDocument/2006/relationships/hyperlink" Target="https://doi.org/10.7441/joc.2023.03.11" TargetMode="External"/><Relationship Id="rId90" Type="http://schemas.openxmlformats.org/officeDocument/2006/relationships/hyperlink" Target="https://doi.org/10.1016/j.jclepro.2021.127973" TargetMode="External"/><Relationship Id="rId95" Type="http://schemas.openxmlformats.org/officeDocument/2006/relationships/hyperlink" Target="https://doi.org/10.1016/j.procir.2018.01.003" TargetMode="External"/><Relationship Id="rId19" Type="http://schemas.openxmlformats.org/officeDocument/2006/relationships/hyperlink" Target="https://doi.org/10.3390/jrfm16080373" TargetMode="External"/><Relationship Id="rId14" Type="http://schemas.openxmlformats.org/officeDocument/2006/relationships/hyperlink" Target="https://doi.org/10.1057/s41310-023-00207-2" TargetMode="External"/><Relationship Id="rId22" Type="http://schemas.openxmlformats.org/officeDocument/2006/relationships/hyperlink" Target="https://doi.org/10.1177/0149206319900539" TargetMode="External"/><Relationship Id="rId27" Type="http://schemas.openxmlformats.org/officeDocument/2006/relationships/hyperlink" Target="https://doi.org/10.1016/j.techfore.2022.121508" TargetMode="External"/><Relationship Id="rId30" Type="http://schemas.openxmlformats.org/officeDocument/2006/relationships/hyperlink" Target="https://doi.org/10.1007/s12525-022-00531-5" TargetMode="External"/><Relationship Id="rId35" Type="http://schemas.openxmlformats.org/officeDocument/2006/relationships/hyperlink" Target="https://doi.org/10.1007/978-3-030-49418-6_23" TargetMode="External"/><Relationship Id="rId43" Type="http://schemas.openxmlformats.org/officeDocument/2006/relationships/hyperlink" Target="https://doi.org/10.1111/ijmr.12329" TargetMode="External"/><Relationship Id="rId48" Type="http://schemas.openxmlformats.org/officeDocument/2006/relationships/hyperlink" Target="https://doi.org/10.1111/1467-8551.12447" TargetMode="External"/><Relationship Id="rId56" Type="http://schemas.openxmlformats.org/officeDocument/2006/relationships/hyperlink" Target="https://doi.org/10.1016/j.jbusres.2023.113777" TargetMode="External"/><Relationship Id="rId64" Type="http://schemas.openxmlformats.org/officeDocument/2006/relationships/hyperlink" Target="https://doi.org/10.1016/j.techfore.2021.121209" TargetMode="External"/><Relationship Id="rId69" Type="http://schemas.openxmlformats.org/officeDocument/2006/relationships/hyperlink" Target="https://doi.org/10.1016/j.intmar.2020.06.001" TargetMode="External"/><Relationship Id="rId77" Type="http://schemas.openxmlformats.org/officeDocument/2006/relationships/hyperlink" Target="https://www.marketsandmarkets.com/Market-Reports/artificial-intelligence-market-74851580.html" TargetMode="External"/><Relationship Id="rId100" Type="http://schemas.openxmlformats.org/officeDocument/2006/relationships/hyperlink" Target="https://doi.org/10.1016/j.jretconser.2023.103544" TargetMode="External"/><Relationship Id="rId105" Type="http://schemas.openxmlformats.org/officeDocument/2006/relationships/hyperlink" Target="https://doi.org/10.1111/joms.12928" TargetMode="External"/><Relationship Id="rId113" Type="http://schemas.openxmlformats.org/officeDocument/2006/relationships/hyperlink" Target="https://doi.org/10.5121/ijaia.2019.10604" TargetMode="External"/><Relationship Id="rId118" Type="http://schemas.openxmlformats.org/officeDocument/2006/relationships/hyperlink" Target="https://doi.org/10.1002/joe.22238" TargetMode="External"/><Relationship Id="rId126" Type="http://schemas.openxmlformats.org/officeDocument/2006/relationships/theme" Target="theme/theme1.xml"/><Relationship Id="rId8" Type="http://schemas.openxmlformats.org/officeDocument/2006/relationships/hyperlink" Target="mailto:n.hajli@lboro.ac.uk" TargetMode="External"/><Relationship Id="rId51" Type="http://schemas.openxmlformats.org/officeDocument/2006/relationships/hyperlink" Target="https://doi.org/10.1051/e3sconf/202015806002" TargetMode="External"/><Relationship Id="rId72" Type="http://schemas.openxmlformats.org/officeDocument/2006/relationships/hyperlink" Target="https://doi.org/10.1002/bsd2.249" TargetMode="External"/><Relationship Id="rId80" Type="http://schemas.openxmlformats.org/officeDocument/2006/relationships/hyperlink" Target="https://doi.org/10.1080/0267257X.2014.974658" TargetMode="External"/><Relationship Id="rId85" Type="http://schemas.openxmlformats.org/officeDocument/2006/relationships/hyperlink" Target="https://doi.org/10.4468/2017.1.03mosca.civera" TargetMode="External"/><Relationship Id="rId93" Type="http://schemas.openxmlformats.org/officeDocument/2006/relationships/hyperlink" Target="https://doi.org/10.1016/j.jbusres.2013.05.016" TargetMode="External"/><Relationship Id="rId98" Type="http://schemas.openxmlformats.org/officeDocument/2006/relationships/hyperlink" Target="https://doi.org/10.1007/s00146-022-01596-8" TargetMode="External"/><Relationship Id="rId121" Type="http://schemas.openxmlformats.org/officeDocument/2006/relationships/hyperlink" Target="https://doi.org/10.1016/j.jdec.2022.08.003" TargetMode="External"/><Relationship Id="rId3" Type="http://schemas.openxmlformats.org/officeDocument/2006/relationships/settings" Target="settings.xml"/><Relationship Id="rId12" Type="http://schemas.openxmlformats.org/officeDocument/2006/relationships/chart" Target="charts/chart3.xml"/><Relationship Id="rId17" Type="http://schemas.openxmlformats.org/officeDocument/2006/relationships/hyperlink" Target="https://doi.org/10.1002/bse.3415" TargetMode="External"/><Relationship Id="rId25" Type="http://schemas.openxmlformats.org/officeDocument/2006/relationships/hyperlink" Target="https://doi.org/10.1002/csr.2177" TargetMode="External"/><Relationship Id="rId33" Type="http://schemas.openxmlformats.org/officeDocument/2006/relationships/hyperlink" Target="https://doi.org/10.1080/12460125.2022.2062849" TargetMode="External"/><Relationship Id="rId38" Type="http://schemas.openxmlformats.org/officeDocument/2006/relationships/hyperlink" Target="https://doi.org/10.1080/02650487.2022.2131279" TargetMode="External"/><Relationship Id="rId46" Type="http://schemas.openxmlformats.org/officeDocument/2006/relationships/hyperlink" Target="https://doi.org/10.1002/bse.3427" TargetMode="External"/><Relationship Id="rId59" Type="http://schemas.openxmlformats.org/officeDocument/2006/relationships/hyperlink" Target="https://doi.org/10.1177/00222429211061636" TargetMode="External"/><Relationship Id="rId67" Type="http://schemas.openxmlformats.org/officeDocument/2006/relationships/hyperlink" Target="https://doi.org/10.1002/bse.2675" TargetMode="External"/><Relationship Id="rId103" Type="http://schemas.openxmlformats.org/officeDocument/2006/relationships/hyperlink" Target="https://doi.org/10.1007/s10551-014-2281-x" TargetMode="External"/><Relationship Id="rId108" Type="http://schemas.openxmlformats.org/officeDocument/2006/relationships/hyperlink" Target="https://doi.org/10.1002/bse.2834" TargetMode="External"/><Relationship Id="rId116" Type="http://schemas.openxmlformats.org/officeDocument/2006/relationships/hyperlink" Target="https://www.weforum.org/focus/fourth-industrial-revolution/" TargetMode="External"/><Relationship Id="rId124" Type="http://schemas.openxmlformats.org/officeDocument/2006/relationships/hyperlink" Target="https://doi.org/10.1016/j.jclepro.2022.135669" TargetMode="External"/><Relationship Id="rId20" Type="http://schemas.openxmlformats.org/officeDocument/2006/relationships/hyperlink" Target="https://doi.org/10.1007/s10551-023-05339-7" TargetMode="External"/><Relationship Id="rId41" Type="http://schemas.openxmlformats.org/officeDocument/2006/relationships/hyperlink" Target="https://doi.org/10.1016/j.jbusres.2020.08.024" TargetMode="External"/><Relationship Id="rId54" Type="http://schemas.openxmlformats.org/officeDocument/2006/relationships/hyperlink" Target="https://doi.org/10.1016/j.techfore.2018.06.030" TargetMode="External"/><Relationship Id="rId62" Type="http://schemas.openxmlformats.org/officeDocument/2006/relationships/hyperlink" Target="https://doi.org/10.3390/su11205689" TargetMode="External"/><Relationship Id="rId70" Type="http://schemas.openxmlformats.org/officeDocument/2006/relationships/hyperlink" Target="https://doi.org/10.1002/bse.3191" TargetMode="External"/><Relationship Id="rId75" Type="http://schemas.openxmlformats.org/officeDocument/2006/relationships/hyperlink" Target="https://doi.org/10.1002/bse.3258" TargetMode="External"/><Relationship Id="rId83" Type="http://schemas.openxmlformats.org/officeDocument/2006/relationships/hyperlink" Target="https://doi.org/10.3390/su13041636" TargetMode="External"/><Relationship Id="rId88" Type="http://schemas.openxmlformats.org/officeDocument/2006/relationships/hyperlink" Target="https://doi.org/10.1016/j.techsoc.2022.102171" TargetMode="External"/><Relationship Id="rId91" Type="http://schemas.openxmlformats.org/officeDocument/2006/relationships/hyperlink" Target="https://doi.org/10.1016/j.spc.2023.07.003" TargetMode="External"/><Relationship Id="rId96" Type="http://schemas.openxmlformats.org/officeDocument/2006/relationships/hyperlink" Target="https://doi.org/10.1515/mspe-2019-0018" TargetMode="External"/><Relationship Id="rId111" Type="http://schemas.openxmlformats.org/officeDocument/2006/relationships/hyperlink" Target="https://doi.org/10.1023/A:1023331212247"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16/j.jclepro.2020.125139" TargetMode="External"/><Relationship Id="rId23" Type="http://schemas.openxmlformats.org/officeDocument/2006/relationships/hyperlink" Target="https://doi.org/10.4192/1577-8517-v23_1" TargetMode="External"/><Relationship Id="rId28" Type="http://schemas.openxmlformats.org/officeDocument/2006/relationships/hyperlink" Target="https://doi.org/10.1177/02704676231216355" TargetMode="External"/><Relationship Id="rId36" Type="http://schemas.openxmlformats.org/officeDocument/2006/relationships/hyperlink" Target="https://doi.org/10.1007/s10551-022-05240-9" TargetMode="External"/><Relationship Id="rId49" Type="http://schemas.openxmlformats.org/officeDocument/2006/relationships/hyperlink" Target="https://doi.org/10.1080/12460125.2020.1870065" TargetMode="External"/><Relationship Id="rId57" Type="http://schemas.openxmlformats.org/officeDocument/2006/relationships/hyperlink" Target="https://doi.org/10.1057/s41599-022-01300-7" TargetMode="External"/><Relationship Id="rId106" Type="http://schemas.openxmlformats.org/officeDocument/2006/relationships/hyperlink" Target="https://doi.org/10.1002/bse.3416" TargetMode="External"/><Relationship Id="rId114" Type="http://schemas.openxmlformats.org/officeDocument/2006/relationships/hyperlink" Target="https://doi.org/10.1057/s41599-023-01843-3" TargetMode="External"/><Relationship Id="rId119" Type="http://schemas.openxmlformats.org/officeDocument/2006/relationships/hyperlink" Target="https://doi.org/10.1007/s10551-014-2108-9" TargetMode="External"/><Relationship Id="rId10" Type="http://schemas.openxmlformats.org/officeDocument/2006/relationships/chart" Target="charts/chart1.xml"/><Relationship Id="rId31" Type="http://schemas.openxmlformats.org/officeDocument/2006/relationships/hyperlink" Target="https://doi.org/10.1177/00076503221080959" TargetMode="External"/><Relationship Id="rId44" Type="http://schemas.openxmlformats.org/officeDocument/2006/relationships/hyperlink" Target="https://doi.org/10.1057/s41599-023-02444-w" TargetMode="External"/><Relationship Id="rId52" Type="http://schemas.openxmlformats.org/officeDocument/2006/relationships/hyperlink" Target="https://doi.org/10.1063/5.0001339" TargetMode="External"/><Relationship Id="rId60" Type="http://schemas.openxmlformats.org/officeDocument/2006/relationships/hyperlink" Target="https://doi.org/10.1002/bse.3473" TargetMode="External"/><Relationship Id="rId65" Type="http://schemas.openxmlformats.org/officeDocument/2006/relationships/hyperlink" Target="https://doi.org/10.1007/s10551-022-05051-y" TargetMode="External"/><Relationship Id="rId73" Type="http://schemas.openxmlformats.org/officeDocument/2006/relationships/hyperlink" Target="https://doi.org/10.1631/FITEE.1601885" TargetMode="External"/><Relationship Id="rId78" Type="http://schemas.openxmlformats.org/officeDocument/2006/relationships/hyperlink" Target="https://doi.org/10.1007/s10551-021-05032-7" TargetMode="External"/><Relationship Id="rId81" Type="http://schemas.openxmlformats.org/officeDocument/2006/relationships/hyperlink" Target="https://doi.org/10.1109/TEM.2023.3258686" TargetMode="External"/><Relationship Id="rId86" Type="http://schemas.openxmlformats.org/officeDocument/2006/relationships/hyperlink" Target="https://doi.org/10.1108/APJML-10-2022-0869" TargetMode="External"/><Relationship Id="rId94" Type="http://schemas.openxmlformats.org/officeDocument/2006/relationships/hyperlink" Target="https://doi.org/10.3390/su15129451" TargetMode="External"/><Relationship Id="rId99" Type="http://schemas.openxmlformats.org/officeDocument/2006/relationships/hyperlink" Target="https://doi.org/10.1002/bse.2962" TargetMode="External"/><Relationship Id="rId101" Type="http://schemas.openxmlformats.org/officeDocument/2006/relationships/hyperlink" Target="https://doi.org/10.1016/j.indmarman.2023.11.011" TargetMode="External"/><Relationship Id="rId122" Type="http://schemas.openxmlformats.org/officeDocument/2006/relationships/hyperlink" Target="https://www.ft.com/content/c7f8b6dc-e742-4094-9ee7-3178dd4b597f" TargetMode="External"/><Relationship Id="rId4" Type="http://schemas.openxmlformats.org/officeDocument/2006/relationships/webSettings" Target="webSettings.xml"/><Relationship Id="rId9" Type="http://schemas.openxmlformats.org/officeDocument/2006/relationships/hyperlink" Target="mailto:a.c.nwoba@lboro.ac.uk" TargetMode="External"/><Relationship Id="rId13" Type="http://schemas.openxmlformats.org/officeDocument/2006/relationships/hyperlink" Target="https://doi.org/10.1002/bse.3212" TargetMode="External"/><Relationship Id="rId18" Type="http://schemas.openxmlformats.org/officeDocument/2006/relationships/hyperlink" Target="https://doi.org/10.1016/j.techfore.2023.122806" TargetMode="External"/><Relationship Id="rId39" Type="http://schemas.openxmlformats.org/officeDocument/2006/relationships/hyperlink" Target="https://doi.org/10.1016/j.techfore.2021.121062" TargetMode="External"/><Relationship Id="rId109" Type="http://schemas.openxmlformats.org/officeDocument/2006/relationships/hyperlink" Target="https://doi.org/10.3390/su14031757" TargetMode="External"/><Relationship Id="rId34" Type="http://schemas.openxmlformats.org/officeDocument/2006/relationships/hyperlink" Target="https://doi.org/10.1007/s10676-023-09724-8" TargetMode="External"/><Relationship Id="rId50" Type="http://schemas.openxmlformats.org/officeDocument/2006/relationships/hyperlink" Target="https://www.gartner.com/en/newsroom/press-releases/2019-01-21-gartner-survey-shows-37-percent-of-organizations-have" TargetMode="External"/><Relationship Id="rId55" Type="http://schemas.openxmlformats.org/officeDocument/2006/relationships/hyperlink" Target="https://doi.org/10.1016/j.eswa.2023.122442" TargetMode="External"/><Relationship Id="rId76" Type="http://schemas.openxmlformats.org/officeDocument/2006/relationships/hyperlink" Target="https://doi.org/10.1016/j.techfore.2019.119751" TargetMode="External"/><Relationship Id="rId97" Type="http://schemas.openxmlformats.org/officeDocument/2006/relationships/hyperlink" Target="https://doi.org/10.1177/02663821221121024" TargetMode="External"/><Relationship Id="rId104" Type="http://schemas.openxmlformats.org/officeDocument/2006/relationships/hyperlink" Target="https://doi.org/10.1016/j.jclepro.2023.139197" TargetMode="External"/><Relationship Id="rId120" Type="http://schemas.openxmlformats.org/officeDocument/2006/relationships/hyperlink" Target="https://doi.org/10.1016/j.techfore.2023.122926" TargetMode="External"/><Relationship Id="rId125" Type="http://schemas.openxmlformats.org/officeDocument/2006/relationships/fontTable" Target="fontTable.xml"/><Relationship Id="rId7" Type="http://schemas.openxmlformats.org/officeDocument/2006/relationships/hyperlink" Target="mailto:C.Sheldon@lboro.ac.uk" TargetMode="External"/><Relationship Id="rId71" Type="http://schemas.openxmlformats.org/officeDocument/2006/relationships/hyperlink" Target="https://doi.org/10.1016/j.techfore.2022.122096" TargetMode="External"/><Relationship Id="rId92" Type="http://schemas.openxmlformats.org/officeDocument/2006/relationships/hyperlink" Target="https://doi.org/10.1177/09746862231170429" TargetMode="External"/><Relationship Id="rId2" Type="http://schemas.openxmlformats.org/officeDocument/2006/relationships/styles" Target="styles.xml"/><Relationship Id="rId29" Type="http://schemas.openxmlformats.org/officeDocument/2006/relationships/hyperlink" Target="https://doi.org/10.1016/J.TECHSOC.2023.102440" TargetMode="External"/><Relationship Id="rId24" Type="http://schemas.openxmlformats.org/officeDocument/2006/relationships/hyperlink" Target="https://doi.org/10.17705/1jais.00662" TargetMode="External"/><Relationship Id="rId40" Type="http://schemas.openxmlformats.org/officeDocument/2006/relationships/hyperlink" Target="https://doi.org/10.1080/10301763.2022.2111987" TargetMode="External"/><Relationship Id="rId45" Type="http://schemas.openxmlformats.org/officeDocument/2006/relationships/hyperlink" Target="https://www.ellenmacarthurfoundation.org/topics/circular-economy-introduction/overview" TargetMode="External"/><Relationship Id="rId66" Type="http://schemas.openxmlformats.org/officeDocument/2006/relationships/hyperlink" Target="https://doi.org/10.1002/bse.2802" TargetMode="External"/><Relationship Id="rId87" Type="http://schemas.openxmlformats.org/officeDocument/2006/relationships/hyperlink" Target="https://doi.org/10.1057/s41599-023-01579-0" TargetMode="External"/><Relationship Id="rId110" Type="http://schemas.openxmlformats.org/officeDocument/2006/relationships/hyperlink" Target="https://doi.org/10.1002/csr.2827" TargetMode="External"/><Relationship Id="rId115" Type="http://schemas.openxmlformats.org/officeDocument/2006/relationships/hyperlink" Target="https://doi.org/10.1002/bse.3566"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bscs11\Downloads\Scopus-262-Analyze-Year.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scs11\Downloads\Scopus-262-Analyze-Source.csv"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Number of Studies Per Year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spPr>
            <a:ln w="28575" cap="rnd">
              <a:solidFill>
                <a:schemeClr val="accent1"/>
              </a:solidFill>
              <a:round/>
            </a:ln>
            <a:effectLst/>
          </c:spPr>
          <c:marker>
            <c:symbol val="none"/>
          </c:marker>
          <c:cat>
            <c:numRef>
              <c:f>'Scopus-262-Analyze-Year'!$A$9:$A$17</c:f>
              <c:numCache>
                <c:formatCode>General</c:formatCode>
                <c:ptCount val="8"/>
                <c:pt idx="0">
                  <c:v>2016</c:v>
                </c:pt>
                <c:pt idx="1">
                  <c:v>2017</c:v>
                </c:pt>
                <c:pt idx="2">
                  <c:v>2018</c:v>
                </c:pt>
                <c:pt idx="3">
                  <c:v>2019</c:v>
                </c:pt>
                <c:pt idx="4">
                  <c:v>2020</c:v>
                </c:pt>
                <c:pt idx="5">
                  <c:v>2021</c:v>
                </c:pt>
                <c:pt idx="6">
                  <c:v>2022</c:v>
                </c:pt>
                <c:pt idx="7">
                  <c:v>2023</c:v>
                </c:pt>
              </c:numCache>
              <c:extLst/>
            </c:numRef>
          </c:cat>
          <c:val>
            <c:numRef>
              <c:f>'Scopus-262-Analyze-Year'!$B$9:$B$17</c:f>
              <c:numCache>
                <c:formatCode>General</c:formatCode>
                <c:ptCount val="8"/>
                <c:pt idx="0">
                  <c:v>1</c:v>
                </c:pt>
                <c:pt idx="1">
                  <c:v>1</c:v>
                </c:pt>
                <c:pt idx="2">
                  <c:v>11</c:v>
                </c:pt>
                <c:pt idx="3">
                  <c:v>15</c:v>
                </c:pt>
                <c:pt idx="4">
                  <c:v>38</c:v>
                </c:pt>
                <c:pt idx="5">
                  <c:v>40</c:v>
                </c:pt>
                <c:pt idx="6">
                  <c:v>58</c:v>
                </c:pt>
                <c:pt idx="7">
                  <c:v>91</c:v>
                </c:pt>
              </c:numCache>
              <c:extLst/>
            </c:numRef>
          </c:val>
          <c:smooth val="0"/>
          <c:extLst>
            <c:ext xmlns:c16="http://schemas.microsoft.com/office/drawing/2014/chart" uri="{C3380CC4-5D6E-409C-BE32-E72D297353CC}">
              <c16:uniqueId val="{00000000-4A63-4314-BEF1-36B658D27B31}"/>
            </c:ext>
          </c:extLst>
        </c:ser>
        <c:dLbls>
          <c:showLegendKey val="0"/>
          <c:showVal val="0"/>
          <c:showCatName val="0"/>
          <c:showSerName val="0"/>
          <c:showPercent val="0"/>
          <c:showBubbleSize val="0"/>
        </c:dLbls>
        <c:smooth val="0"/>
        <c:axId val="662570024"/>
        <c:axId val="662567504"/>
      </c:lineChart>
      <c:catAx>
        <c:axId val="662570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2567504"/>
        <c:crosses val="autoZero"/>
        <c:auto val="1"/>
        <c:lblAlgn val="ctr"/>
        <c:lblOffset val="100"/>
        <c:noMultiLvlLbl val="0"/>
      </c:catAx>
      <c:valAx>
        <c:axId val="662567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62570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Number of Studies per Journal</a:t>
            </a:r>
            <a:r>
              <a:rPr lang="en-GB" baseline="0"/>
              <a:t> Publication</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'Scopus-262-Analyze-Source'!$A$9:$A$33</c:f>
              <c:strCache>
                <c:ptCount val="25"/>
                <c:pt idx="0">
                  <c:v>Journal Of Cleaner Production</c:v>
                </c:pt>
                <c:pt idx="1">
                  <c:v>Business Strategy And The Environment</c:v>
                </c:pt>
                <c:pt idx="2">
                  <c:v>Corporate Social Responsibility And Environmental Management</c:v>
                </c:pt>
                <c:pt idx="3">
                  <c:v>Technological Forecasting And Social Change</c:v>
                </c:pt>
                <c:pt idx="4">
                  <c:v>Journal Of Business Ethics</c:v>
                </c:pt>
                <c:pt idx="5">
                  <c:v>Technology In Society</c:v>
                </c:pt>
                <c:pt idx="6">
                  <c:v>Worldwide Hospitality And Tourism Themes</c:v>
                </c:pt>
                <c:pt idx="7">
                  <c:v>Humanities And Social Sciences Communications</c:v>
                </c:pt>
                <c:pt idx="8">
                  <c:v>Journal Of Business Research</c:v>
                </c:pt>
                <c:pt idx="9">
                  <c:v>IEEE Transactions On Engineering Management</c:v>
                </c:pt>
                <c:pt idx="10">
                  <c:v>European Business Organization Law Review</c:v>
                </c:pt>
                <c:pt idx="11">
                  <c:v>Lecture Notes In Business Information Processing</c:v>
                </c:pt>
                <c:pt idx="12">
                  <c:v>Science And Engineering Ethics</c:v>
                </c:pt>
                <c:pt idx="13">
                  <c:v>Sustainability Accounting Management And Policy Journal</c:v>
                </c:pt>
                <c:pt idx="14">
                  <c:v>Business Horizons</c:v>
                </c:pt>
                <c:pt idx="15">
                  <c:v>International Journal Of Information Management</c:v>
                </c:pt>
                <c:pt idx="16">
                  <c:v>International Journal Of Production Economics</c:v>
                </c:pt>
                <c:pt idx="17">
                  <c:v>International Journal Of Production Research</c:v>
                </c:pt>
                <c:pt idx="18">
                  <c:v>Journal Of Business Strategy</c:v>
                </c:pt>
                <c:pt idx="19">
                  <c:v>Journal Of Data Protection And Privacy</c:v>
                </c:pt>
                <c:pt idx="20">
                  <c:v>Journal Of Governance And Regulation</c:v>
                </c:pt>
                <c:pt idx="21">
                  <c:v>Journal Of Risk And Financial Management</c:v>
                </c:pt>
                <c:pt idx="22">
                  <c:v>Management Research Review</c:v>
                </c:pt>
                <c:pt idx="23">
                  <c:v>Telecommunications Policy</c:v>
                </c:pt>
                <c:pt idx="24">
                  <c:v>Thunderbird International Business Review</c:v>
                </c:pt>
              </c:strCache>
            </c:strRef>
          </c:cat>
          <c:val>
            <c:numRef>
              <c:f>'Scopus-262-Analyze-Source'!$B$9:$B$33</c:f>
              <c:numCache>
                <c:formatCode>General</c:formatCode>
                <c:ptCount val="25"/>
                <c:pt idx="0">
                  <c:v>36</c:v>
                </c:pt>
                <c:pt idx="1">
                  <c:v>23</c:v>
                </c:pt>
                <c:pt idx="2">
                  <c:v>12</c:v>
                </c:pt>
                <c:pt idx="3">
                  <c:v>11</c:v>
                </c:pt>
                <c:pt idx="4">
                  <c:v>9</c:v>
                </c:pt>
                <c:pt idx="5">
                  <c:v>7</c:v>
                </c:pt>
                <c:pt idx="6">
                  <c:v>7</c:v>
                </c:pt>
                <c:pt idx="7">
                  <c:v>6</c:v>
                </c:pt>
                <c:pt idx="8">
                  <c:v>5</c:v>
                </c:pt>
                <c:pt idx="9">
                  <c:v>4</c:v>
                </c:pt>
                <c:pt idx="10">
                  <c:v>3</c:v>
                </c:pt>
                <c:pt idx="11">
                  <c:v>3</c:v>
                </c:pt>
                <c:pt idx="12">
                  <c:v>3</c:v>
                </c:pt>
                <c:pt idx="13">
                  <c:v>3</c:v>
                </c:pt>
                <c:pt idx="14">
                  <c:v>2</c:v>
                </c:pt>
                <c:pt idx="15">
                  <c:v>2</c:v>
                </c:pt>
                <c:pt idx="16">
                  <c:v>2</c:v>
                </c:pt>
                <c:pt idx="17">
                  <c:v>2</c:v>
                </c:pt>
                <c:pt idx="18">
                  <c:v>2</c:v>
                </c:pt>
                <c:pt idx="19">
                  <c:v>2</c:v>
                </c:pt>
                <c:pt idx="20">
                  <c:v>2</c:v>
                </c:pt>
                <c:pt idx="21">
                  <c:v>2</c:v>
                </c:pt>
                <c:pt idx="22">
                  <c:v>2</c:v>
                </c:pt>
                <c:pt idx="23">
                  <c:v>2</c:v>
                </c:pt>
                <c:pt idx="24">
                  <c:v>2</c:v>
                </c:pt>
              </c:numCache>
            </c:numRef>
          </c:val>
          <c:extLst>
            <c:ext xmlns:c16="http://schemas.microsoft.com/office/drawing/2014/chart" uri="{C3380CC4-5D6E-409C-BE32-E72D297353CC}">
              <c16:uniqueId val="{00000000-8B4C-4B5F-8716-B2C792BDBE45}"/>
            </c:ext>
          </c:extLst>
        </c:ser>
        <c:dLbls>
          <c:showLegendKey val="0"/>
          <c:showVal val="0"/>
          <c:showCatName val="0"/>
          <c:showSerName val="0"/>
          <c:showPercent val="0"/>
          <c:showBubbleSize val="0"/>
        </c:dLbls>
        <c:gapWidth val="182"/>
        <c:axId val="763590336"/>
        <c:axId val="763591416"/>
      </c:barChart>
      <c:catAx>
        <c:axId val="76359033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3591416"/>
        <c:crosses val="autoZero"/>
        <c:auto val="1"/>
        <c:lblAlgn val="ctr"/>
        <c:lblOffset val="100"/>
        <c:noMultiLvlLbl val="0"/>
      </c:catAx>
      <c:valAx>
        <c:axId val="76359141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359033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Literature Type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B1B-431F-B7A8-424D94B3DD7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B1B-431F-B7A8-424D94B3DD7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ln>
                      <a:noFill/>
                    </a:ln>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Sheet1!$A$1:$B$1</c:f>
              <c:strCache>
                <c:ptCount val="2"/>
                <c:pt idx="0">
                  <c:v>Journals </c:v>
                </c:pt>
                <c:pt idx="1">
                  <c:v>Conference Proceedings</c:v>
                </c:pt>
              </c:strCache>
            </c:strRef>
          </c:cat>
          <c:val>
            <c:numRef>
              <c:f>Sheet1!$A$2:$B$2</c:f>
              <c:numCache>
                <c:formatCode>General</c:formatCode>
                <c:ptCount val="2"/>
                <c:pt idx="0">
                  <c:v>235</c:v>
                </c:pt>
                <c:pt idx="1">
                  <c:v>24</c:v>
                </c:pt>
              </c:numCache>
            </c:numRef>
          </c:val>
          <c:extLst>
            <c:ext xmlns:c16="http://schemas.microsoft.com/office/drawing/2014/chart" uri="{C3380CC4-5D6E-409C-BE32-E72D297353CC}">
              <c16:uniqueId val="{00000004-CB1B-431F-B7A8-424D94B3DD73}"/>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1215</TotalTime>
  <Pages>29</Pages>
  <Words>13643</Words>
  <Characters>77766</Characters>
  <Application>Microsoft Office Word</Application>
  <DocSecurity>0</DocSecurity>
  <Lines>648</Lines>
  <Paragraphs>182</Paragraphs>
  <ScaleCrop>false</ScaleCrop>
  <Company>Loughborough University</Company>
  <LinksUpToDate>false</LinksUpToDate>
  <CharactersWithSpaces>91227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Cellan Sheldon</dc:creator>
  <cp:keywords/>
  <dc:description/>
  <cp:lastModifiedBy>Cellan Sheldon</cp:lastModifiedBy>
  <cp:revision>76</cp:revision>
  <dcterms:created xsi:type="dcterms:W3CDTF">2024-06-23T13:27:00Z</dcterms:created>
  <dcterms:modified xsi:type="dcterms:W3CDTF">2024-06-27T22:45:00Z</dcterms:modified>
</cp:coreProperties>
</file>