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899381" w14:textId="0CA6033E" w:rsidR="00BF074A" w:rsidRDefault="00BF074A">
      <w:pPr>
        <w:rPr>
          <w:b/>
          <w:bCs/>
        </w:rPr>
      </w:pPr>
      <w:r>
        <w:rPr>
          <w:b/>
          <w:bCs/>
        </w:rPr>
        <w:t>The Effect of VR Technology Adoption on Creative Work Practices: The Case of Craft Workers in Scotland</w:t>
      </w:r>
    </w:p>
    <w:p w14:paraId="25DA15BA" w14:textId="352E84D0" w:rsidR="00A075CE" w:rsidRDefault="00A075CE">
      <w:pPr>
        <w:rPr>
          <w:b/>
          <w:bCs/>
        </w:rPr>
      </w:pPr>
      <w:r>
        <w:rPr>
          <w:b/>
          <w:bCs/>
        </w:rPr>
        <w:t>Dr Inge Panneells and Dr Holly Patrick-Thomson, Edinburgh Napier University</w:t>
      </w:r>
    </w:p>
    <w:p w14:paraId="50398D36" w14:textId="5FB143F9" w:rsidR="00AA510F" w:rsidRPr="00AA510F" w:rsidRDefault="00AA510F">
      <w:pPr>
        <w:rPr>
          <w:b/>
          <w:bCs/>
        </w:rPr>
      </w:pPr>
      <w:r>
        <w:rPr>
          <w:b/>
          <w:bCs/>
        </w:rPr>
        <w:t>Abstract</w:t>
      </w:r>
    </w:p>
    <w:p w14:paraId="0379724A" w14:textId="3FDCCF92" w:rsidR="00AA510F" w:rsidRDefault="002C5462" w:rsidP="00AA510F">
      <w:r>
        <w:t xml:space="preserve">This developmental paper is concerned with the effect of the adoption of advanced technologies on </w:t>
      </w:r>
      <w:r w:rsidR="00AA510F">
        <w:t xml:space="preserve">the organisation of creative practice. </w:t>
      </w:r>
      <w:r w:rsidR="008D0A52">
        <w:t xml:space="preserve">We address the calls for more detailed studies of how digital technology impacts on </w:t>
      </w:r>
      <w:r w:rsidR="0042187A">
        <w:t>work practices in the</w:t>
      </w:r>
      <w:r w:rsidR="008D0A52">
        <w:t xml:space="preserve"> creative industries (</w:t>
      </w:r>
      <w:r w:rsidR="008D0A52">
        <w:rPr>
          <w:rFonts w:ascii="Arial" w:hAnsi="Arial" w:cs="Arial"/>
          <w:color w:val="222222"/>
          <w:sz w:val="20"/>
          <w:szCs w:val="20"/>
          <w:shd w:val="clear" w:color="auto" w:fill="FFFFFF"/>
        </w:rPr>
        <w:t>Khlystova, Kalyuzhnova and Belitski</w:t>
      </w:r>
      <w:r w:rsidR="008D0A52">
        <w:t>, 2022</w:t>
      </w:r>
      <w:r w:rsidR="002542EC">
        <w:t>; Tsou and Chen, 2023</w:t>
      </w:r>
      <w:r w:rsidR="008D0A52">
        <w:t xml:space="preserve">). </w:t>
      </w:r>
      <w:r w:rsidR="00AA510F">
        <w:t xml:space="preserve">In particular, we ask how the use of VR technology by a group of craft workers enables, shapes and limits different </w:t>
      </w:r>
      <w:r w:rsidR="001B22E1">
        <w:t xml:space="preserve">values, </w:t>
      </w:r>
      <w:r w:rsidR="00AA510F">
        <w:t xml:space="preserve">configurations and techniques of making. We approach this question through an exploration of the adoption of VR technology by craft workers during the DISTANCE project run by Applied Arts Scotland. We adopt a qualitative methodology to abductively analyse documentary evidence linked to the project, including funding reports, webpages, recordings of events, a digital exhibition and a podcast miniseries. </w:t>
      </w:r>
      <w:r w:rsidR="005D4DD4">
        <w:t xml:space="preserve">Our </w:t>
      </w:r>
      <w:r w:rsidR="00AA510F">
        <w:t xml:space="preserve">analysis </w:t>
      </w:r>
      <w:r w:rsidR="005D4DD4">
        <w:t xml:space="preserve">is underway and </w:t>
      </w:r>
      <w:r w:rsidR="00AA510F">
        <w:t>will be significantly progressed by the time of the BAM2024 conference.</w:t>
      </w:r>
    </w:p>
    <w:p w14:paraId="246781D5" w14:textId="77777777" w:rsidR="00AA510F" w:rsidRDefault="00AA510F"/>
    <w:p w14:paraId="19961724" w14:textId="48863522" w:rsidR="002C5462" w:rsidRPr="00AA510F" w:rsidRDefault="0003423F">
      <w:pPr>
        <w:rPr>
          <w:b/>
          <w:bCs/>
        </w:rPr>
      </w:pPr>
      <w:r>
        <w:rPr>
          <w:b/>
          <w:bCs/>
        </w:rPr>
        <w:t xml:space="preserve">Theoretical </w:t>
      </w:r>
      <w:r w:rsidR="00BF074A">
        <w:rPr>
          <w:b/>
          <w:bCs/>
        </w:rPr>
        <w:t>Framing</w:t>
      </w:r>
    </w:p>
    <w:p w14:paraId="6F1E5BE2" w14:textId="35696550" w:rsidR="00BF074A" w:rsidRDefault="00BF074A" w:rsidP="00BF074A">
      <w:r>
        <w:t>There has been much research on how technology adoption reshapes creative businesses, including transformations of individual creative enterprises (e.g. Li, 2020) and of the relationships between them (e.g. Dhewanto, Lestari, Herliana and Kania, 2020). Of course, in the context of the COVID-19 pandemic, digital strategies and capabilities were particularly important to ensuring organisational resilience, particularly in the creative industries (Khylstova et al, 2022). However, some research has found that the adoption of digital technologies can inhibit innovation by “impoverishing the relational capital” of workers, particularly where the organisational culture is not amenable to the uptake of the technology (Usai et al, 2021: 327). Although this may seem counterintuitive, it</w:t>
      </w:r>
      <w:r w:rsidR="005D4DD4">
        <w:t xml:space="preserve"> somewhat</w:t>
      </w:r>
      <w:r>
        <w:t xml:space="preserve"> harks back to the earliest work on technology adoption which found that, in areas where technology cannot replace the entire production process, it will only augment human productivity to the extent that integrate effectively with the human inputs already present (e.g. processes, practices, culture) (Lazonick, 1993). </w:t>
      </w:r>
    </w:p>
    <w:p w14:paraId="2EFD1389" w14:textId="19C84F8F" w:rsidR="00CC3302" w:rsidRPr="00CC3302" w:rsidRDefault="00CC3302" w:rsidP="0042187A">
      <w:r>
        <w:t xml:space="preserve">However, this all assumes that the role of technology is to enhance existing processes – i.e. </w:t>
      </w:r>
      <w:r w:rsidRPr="00CC3302">
        <w:rPr>
          <w:i/>
          <w:iCs/>
        </w:rPr>
        <w:t>to do what we already do</w:t>
      </w:r>
      <w:r>
        <w:rPr>
          <w:i/>
          <w:iCs/>
        </w:rPr>
        <w:t xml:space="preserve"> </w:t>
      </w:r>
      <w:r>
        <w:t>but to do it faster, cheaper, more accessibly, etc. In reality, the affordances of new technology also open up new avenues: make new audiences (available), create new processes of production, or even create new products. In the craft sector, digital technology has the potential to accelerate the experience economy (Birch, 2008)—enabling remotely located makers to generate more income from selling services (e.g. making workshops) than products. Significant concern abounds about the potential of generative AI to disrupt and transform the creative industries</w:t>
      </w:r>
      <w:r w:rsidR="005B28FC">
        <w:t xml:space="preserve"> (e.g. Jones, Askin, Harvey and Phillips, 2023)</w:t>
      </w:r>
      <w:r>
        <w:t xml:space="preserve">, but this potential exists in a broad range of (digital) technologies. </w:t>
      </w:r>
    </w:p>
    <w:p w14:paraId="3114A95E" w14:textId="7AF63119" w:rsidR="002C5462" w:rsidRDefault="002C5462" w:rsidP="0042187A">
      <w:r>
        <w:t>VR or “virtual reality” is a form of digital immersive technology that enables</w:t>
      </w:r>
      <w:r w:rsidR="00033468">
        <w:t xml:space="preserve"> users</w:t>
      </w:r>
      <w:r>
        <w:t xml:space="preserve">, via a headset and (in this case) a set of haptic controllers, to enter a computer simulated environment in which they may interact with computer generated objects. As such, although VR and augmented reality sit on a continuum where they may be more virtual or more real (Milgram, </w:t>
      </w:r>
      <w:r w:rsidR="00A427E8">
        <w:t>Takemura, Utsumi and Kishino, 1995),</w:t>
      </w:r>
      <w:r>
        <w:t xml:space="preserve"> VR can arguably represent the most immersive technological engagement currently available. Craft work is an interesting context </w:t>
      </w:r>
      <w:r w:rsidR="00A427E8">
        <w:t xml:space="preserve">in which to study VR adoption because it is the area of creative </w:t>
      </w:r>
      <w:r w:rsidR="00A427E8">
        <w:lastRenderedPageBreak/>
        <w:t>work which most eschews mechanisation. Bell, Dacin and Toral</w:t>
      </w:r>
      <w:r w:rsidR="00BF074A">
        <w:t>d</w:t>
      </w:r>
      <w:r w:rsidR="00A427E8">
        <w:t xml:space="preserve">o (2021:1) </w:t>
      </w:r>
      <w:r w:rsidR="00BF074A">
        <w:t>express this in terms of the social imaginary of craft work</w:t>
      </w:r>
      <w:r w:rsidR="00A427E8">
        <w:t>: “</w:t>
      </w:r>
      <w:r w:rsidR="00A427E8" w:rsidRPr="00A427E8">
        <w:t>The popularity of craft is related to its potential in enabling imagination of alternatives to modernist organization of production and consumption based on rationalization and scientific, technological progress</w:t>
      </w:r>
      <w:r w:rsidR="00A427E8">
        <w:t xml:space="preserve">”. </w:t>
      </w:r>
      <w:r w:rsidR="00BF074A">
        <w:t xml:space="preserve">What Usai et al (2021) refer to above as ‘culture’ is not, in this context, dissimilar from Bell et al’s (2021: 1) “alternative social imaginary” of craft. </w:t>
      </w:r>
      <w:r w:rsidR="005E36EA">
        <w:t>Or, to put it in practitioners’ words: “</w:t>
      </w:r>
      <w:r w:rsidR="005E36EA" w:rsidRPr="005E36EA">
        <w:t>The haptic and visual experience of the handmade is very much</w:t>
      </w:r>
      <w:r w:rsidR="005E36EA">
        <w:t xml:space="preserve"> </w:t>
      </w:r>
      <w:r w:rsidR="005E36EA" w:rsidRPr="005E36EA">
        <w:t>about it being physical and first-hand</w:t>
      </w:r>
      <w:r w:rsidR="0042187A">
        <w:t xml:space="preserve">… </w:t>
      </w:r>
      <w:r w:rsidR="0042187A" w:rsidRPr="0042187A">
        <w:t>The</w:t>
      </w:r>
      <w:r w:rsidR="0042187A">
        <w:t xml:space="preserve"> </w:t>
      </w:r>
      <w:r w:rsidR="0042187A" w:rsidRPr="0042187A">
        <w:t>skills in making rely on developing a feel for a making</w:t>
      </w:r>
      <w:r w:rsidR="0042187A">
        <w:t xml:space="preserve"> </w:t>
      </w:r>
      <w:r w:rsidR="0042187A" w:rsidRPr="0042187A">
        <w:t>technique, be that the tension in a fibre or the state of hardness</w:t>
      </w:r>
      <w:r w:rsidR="0042187A">
        <w:t xml:space="preserve"> </w:t>
      </w:r>
      <w:r w:rsidR="0042187A" w:rsidRPr="0042187A">
        <w:t>in a slab of clay</w:t>
      </w:r>
      <w:r w:rsidR="005E36EA">
        <w:t xml:space="preserve">” (AAS, 2020). </w:t>
      </w:r>
      <w:r w:rsidR="00A427E8">
        <w:t xml:space="preserve">However, the “conventional oppositional dualism” of craft and technology can be challenged as long as technology is incorporated in a way that is consistent with </w:t>
      </w:r>
      <w:r w:rsidR="0042187A">
        <w:t>the social</w:t>
      </w:r>
      <w:r w:rsidR="00A427E8">
        <w:t xml:space="preserve"> imaginary that drives </w:t>
      </w:r>
      <w:r w:rsidR="0042187A">
        <w:t>the</w:t>
      </w:r>
      <w:r w:rsidR="00A427E8">
        <w:t xml:space="preserve"> form of creative practice (</w:t>
      </w:r>
      <w:r w:rsidR="005E36EA">
        <w:t>Bell, Dacin and Toraldo, 2021</w:t>
      </w:r>
      <w:r w:rsidR="00A427E8">
        <w:t xml:space="preserve">: 13). The materiality of VR technology, delivered not only through the immersive audiovisual experience of wearing the headset but also the haptic experience of using the controllers </w:t>
      </w:r>
      <w:r w:rsidR="0042187A">
        <w:t xml:space="preserve">potentially </w:t>
      </w:r>
      <w:r w:rsidR="00A427E8">
        <w:t xml:space="preserve">allows for more of the essential intrinsic benefits of craft work to be conveyed through technology. </w:t>
      </w:r>
    </w:p>
    <w:p w14:paraId="0749B15F" w14:textId="61BB212F" w:rsidR="005E36EA" w:rsidRDefault="005B28FC" w:rsidP="005E36EA">
      <w:r>
        <w:t xml:space="preserve">As such, VR technology and craft work appear to be a potentially promising example of how digital technology can meld with creative practice. </w:t>
      </w:r>
      <w:r w:rsidR="001B22E1">
        <w:t>Recent studies have called for more indepth exploration of how digital technology impacts on work practices in the creative industries (</w:t>
      </w:r>
      <w:r w:rsidR="001B22E1">
        <w:rPr>
          <w:rFonts w:ascii="Arial" w:hAnsi="Arial" w:cs="Arial"/>
          <w:color w:val="222222"/>
          <w:sz w:val="20"/>
          <w:szCs w:val="20"/>
          <w:shd w:val="clear" w:color="auto" w:fill="FFFFFF"/>
        </w:rPr>
        <w:t>Khlystova, Kalyuzhnova and Belitski</w:t>
      </w:r>
      <w:r w:rsidR="001B22E1">
        <w:t>, 2022; Tsou and Chen, 2023).</w:t>
      </w:r>
      <w:r w:rsidR="00F83BCA">
        <w:t xml:space="preserve"> There is a growing body of empirical literature looking at the adoption of VR technology across the creative industries, which suggests that adoption is driven not directly to create market differentiation and preference, but instead because of the media attention that is generated (in journalism and advertising) and for economic reasons (in architecture) (Leovaridis and Bahna, 2017).However, the literature also highlights the ethical and distancing concerns raised by the increasing adoption of such rapidly advancing technologies (Novakova and </w:t>
      </w:r>
      <w:r w:rsidR="00F83BCA">
        <w:rPr>
          <w:rFonts w:cstheme="minorHAnsi"/>
        </w:rPr>
        <w:t>Štarchoň, 2021)</w:t>
      </w:r>
      <w:r w:rsidR="00F83BCA">
        <w:t>.  We</w:t>
      </w:r>
      <w:r>
        <w:t xml:space="preserve"> seek to contribute to this literature by examining how </w:t>
      </w:r>
      <w:r w:rsidR="001B22E1">
        <w:t xml:space="preserve">the use of VR technology by a group of craft workers </w:t>
      </w:r>
      <w:r w:rsidR="00F83BCA">
        <w:t xml:space="preserve">(a group that tend to be more isolated from market pressures) </w:t>
      </w:r>
      <w:r w:rsidR="001B22E1">
        <w:t>enables, shapes and limits different values, configurations and techniques of making.</w:t>
      </w:r>
    </w:p>
    <w:p w14:paraId="40D9DC37" w14:textId="77777777" w:rsidR="00A427E8" w:rsidRDefault="00A427E8"/>
    <w:p w14:paraId="7722FD35" w14:textId="035A032C" w:rsidR="00AA510F" w:rsidRDefault="00AA510F">
      <w:pPr>
        <w:rPr>
          <w:b/>
          <w:bCs/>
        </w:rPr>
      </w:pPr>
      <w:r w:rsidRPr="00AA510F">
        <w:rPr>
          <w:b/>
          <w:bCs/>
        </w:rPr>
        <w:t>Methods</w:t>
      </w:r>
    </w:p>
    <w:p w14:paraId="07245B4F" w14:textId="5AA579C4" w:rsidR="0003423F" w:rsidRPr="00541F02" w:rsidRDefault="00541F02">
      <w:r w:rsidRPr="00541F02">
        <w:t>Th</w:t>
      </w:r>
      <w:r w:rsidR="000D0623">
        <w:t xml:space="preserve">e exploratory nature of this research, and the fact that one of the co-authors is a participant in the research setting, engenders the choice of a grounded theory approach (Glaser and Stauss, 1967). Although the key features of GT are well established, such as early data gathering and abduction between data and literature to build research questions, this approach has been applied in a wide variety of ways (Corley, 2015). In guiding us through these variations, we used Makri and Neely’s (2021) explanatory guide. </w:t>
      </w:r>
      <w:r w:rsidR="00C71B50">
        <w:t xml:space="preserve">In terms of methods, we are guided by Glaser’s (1998) view that “all is data” and seek to make use of whatever data is available that we can find, before progressing into specific inquiries through further data gathering methods. Our initial search highlighted a range of existing data which has the potential to speak to our research question, which we are currently analysing using open coding (Corbin and Strauss, 1990), supported by a process of ongoing “memoing” (Glaser, 1998). This data is summarised in Table 1- Data inventory. We will then go onto axial and selective coding over the coming weeks </w:t>
      </w:r>
      <w:r w:rsidR="00137872">
        <w:t xml:space="preserve">, being selective to the distinction between the effects of VR adoption on creative practice, and the effects on the business of craft work </w:t>
      </w:r>
      <w:r w:rsidR="00C71B50">
        <w:t xml:space="preserve">(Corbin and Strauss, 1990). </w:t>
      </w:r>
    </w:p>
    <w:tbl>
      <w:tblPr>
        <w:tblStyle w:val="TableGrid"/>
        <w:tblW w:w="0" w:type="auto"/>
        <w:tblLook w:val="04A0" w:firstRow="1" w:lastRow="0" w:firstColumn="1" w:lastColumn="0" w:noHBand="0" w:noVBand="1"/>
      </w:tblPr>
      <w:tblGrid>
        <w:gridCol w:w="2122"/>
        <w:gridCol w:w="6894"/>
      </w:tblGrid>
      <w:tr w:rsidR="0003423F" w14:paraId="7D7F04CE" w14:textId="77777777" w:rsidTr="0003423F">
        <w:tc>
          <w:tcPr>
            <w:tcW w:w="2122" w:type="dxa"/>
          </w:tcPr>
          <w:p w14:paraId="33DA60A0" w14:textId="3420BDBE" w:rsidR="0003423F" w:rsidRDefault="0003423F">
            <w:pPr>
              <w:rPr>
                <w:b/>
                <w:bCs/>
              </w:rPr>
            </w:pPr>
            <w:r>
              <w:rPr>
                <w:b/>
                <w:bCs/>
              </w:rPr>
              <w:t>Data Source</w:t>
            </w:r>
          </w:p>
        </w:tc>
        <w:tc>
          <w:tcPr>
            <w:tcW w:w="6894" w:type="dxa"/>
          </w:tcPr>
          <w:p w14:paraId="5BB9AF18" w14:textId="4A577D12" w:rsidR="0003423F" w:rsidRDefault="0003423F">
            <w:pPr>
              <w:rPr>
                <w:b/>
                <w:bCs/>
              </w:rPr>
            </w:pPr>
            <w:r>
              <w:rPr>
                <w:b/>
                <w:bCs/>
              </w:rPr>
              <w:t>Description</w:t>
            </w:r>
          </w:p>
        </w:tc>
      </w:tr>
      <w:tr w:rsidR="0003423F" w14:paraId="2DE1ED5E" w14:textId="77777777" w:rsidTr="0003423F">
        <w:tc>
          <w:tcPr>
            <w:tcW w:w="2122" w:type="dxa"/>
          </w:tcPr>
          <w:p w14:paraId="0CE851EB" w14:textId="22E2B225" w:rsidR="0003423F" w:rsidRPr="0003423F" w:rsidRDefault="0003423F">
            <w:r w:rsidRPr="0003423F">
              <w:t>Funding Reports</w:t>
            </w:r>
          </w:p>
        </w:tc>
        <w:tc>
          <w:tcPr>
            <w:tcW w:w="6894" w:type="dxa"/>
          </w:tcPr>
          <w:p w14:paraId="479B5A3F" w14:textId="1D277A50" w:rsidR="0003423F" w:rsidRPr="0003423F" w:rsidRDefault="0003423F">
            <w:r w:rsidRPr="0003423F">
              <w:t>Original application and interim funding report from Phase 1 of project</w:t>
            </w:r>
          </w:p>
        </w:tc>
      </w:tr>
      <w:tr w:rsidR="0003423F" w14:paraId="2A3A41AB" w14:textId="77777777" w:rsidTr="0003423F">
        <w:tc>
          <w:tcPr>
            <w:tcW w:w="2122" w:type="dxa"/>
          </w:tcPr>
          <w:p w14:paraId="4F5BF7C1" w14:textId="44ED84BA" w:rsidR="0003423F" w:rsidRPr="0003423F" w:rsidRDefault="0003423F">
            <w:r w:rsidRPr="0003423F">
              <w:lastRenderedPageBreak/>
              <w:t>Webpages</w:t>
            </w:r>
          </w:p>
        </w:tc>
        <w:tc>
          <w:tcPr>
            <w:tcW w:w="6894" w:type="dxa"/>
          </w:tcPr>
          <w:p w14:paraId="163C8154" w14:textId="5351EF62" w:rsidR="0003423F" w:rsidRPr="0003423F" w:rsidRDefault="0003423F">
            <w:r w:rsidRPr="0003423F">
              <w:t xml:space="preserve">An AAS webpage which overviews the project’s aims and outcomes </w:t>
            </w:r>
            <w:hyperlink r:id="rId5" w:history="1">
              <w:r w:rsidRPr="0003423F">
                <w:rPr>
                  <w:rStyle w:val="Hyperlink"/>
                </w:rPr>
                <w:t>https://www.appliedartsscotland.org.uk/projects/distance-project/</w:t>
              </w:r>
            </w:hyperlink>
            <w:r w:rsidRPr="0003423F">
              <w:t xml:space="preserve"> </w:t>
            </w:r>
          </w:p>
        </w:tc>
      </w:tr>
      <w:tr w:rsidR="0003423F" w14:paraId="393FF6BF" w14:textId="77777777" w:rsidTr="0003423F">
        <w:tc>
          <w:tcPr>
            <w:tcW w:w="2122" w:type="dxa"/>
          </w:tcPr>
          <w:p w14:paraId="17F601E8" w14:textId="69A9EE5A" w:rsidR="0003423F" w:rsidRPr="0003423F" w:rsidRDefault="0003423F">
            <w:r w:rsidRPr="0003423F">
              <w:t>Event Recordings</w:t>
            </w:r>
          </w:p>
        </w:tc>
        <w:tc>
          <w:tcPr>
            <w:tcW w:w="6894" w:type="dxa"/>
          </w:tcPr>
          <w:p w14:paraId="53B3F161" w14:textId="2B1184E6" w:rsidR="0003423F" w:rsidRPr="0003423F" w:rsidRDefault="0003423F">
            <w:r w:rsidRPr="0003423F">
              <w:t>Two recordings of events held by AAS to evaluate and showcase the experience of makers on the project (21 minutes and 119 minutes)</w:t>
            </w:r>
          </w:p>
        </w:tc>
      </w:tr>
      <w:tr w:rsidR="0003423F" w14:paraId="2ABC87F2" w14:textId="77777777" w:rsidTr="0003423F">
        <w:tc>
          <w:tcPr>
            <w:tcW w:w="2122" w:type="dxa"/>
          </w:tcPr>
          <w:p w14:paraId="518A3ADE" w14:textId="3D6F97AD" w:rsidR="0003423F" w:rsidRPr="0003423F" w:rsidRDefault="0003423F">
            <w:r w:rsidRPr="0003423F">
              <w:t>Digital Exhibition</w:t>
            </w:r>
          </w:p>
        </w:tc>
        <w:tc>
          <w:tcPr>
            <w:tcW w:w="6894" w:type="dxa"/>
          </w:tcPr>
          <w:p w14:paraId="3F012A32" w14:textId="33AA11DB" w:rsidR="0003423F" w:rsidRPr="0003423F" w:rsidRDefault="0003423F">
            <w:r w:rsidRPr="0003423F">
              <w:t xml:space="preserve">A web-based exhibition of the makers experiences and makes during the project: </w:t>
            </w:r>
            <w:hyperlink r:id="rId6" w:history="1">
              <w:r w:rsidRPr="0003423F">
                <w:rPr>
                  <w:rStyle w:val="Hyperlink"/>
                </w:rPr>
                <w:t>https://framevr.io/distancepentagon</w:t>
              </w:r>
            </w:hyperlink>
            <w:r w:rsidRPr="0003423F">
              <w:t xml:space="preserve"> </w:t>
            </w:r>
          </w:p>
        </w:tc>
      </w:tr>
      <w:tr w:rsidR="0003423F" w14:paraId="642884C0" w14:textId="77777777" w:rsidTr="0003423F">
        <w:tc>
          <w:tcPr>
            <w:tcW w:w="2122" w:type="dxa"/>
          </w:tcPr>
          <w:p w14:paraId="1DB82934" w14:textId="092F6018" w:rsidR="0003423F" w:rsidRPr="0003423F" w:rsidRDefault="0003423F">
            <w:r w:rsidRPr="0003423F">
              <w:t>Podcast Miniseries</w:t>
            </w:r>
          </w:p>
        </w:tc>
        <w:tc>
          <w:tcPr>
            <w:tcW w:w="6894" w:type="dxa"/>
          </w:tcPr>
          <w:p w14:paraId="3D118502" w14:textId="1939197F" w:rsidR="0003423F" w:rsidRPr="0003423F" w:rsidRDefault="0003423F" w:rsidP="0003423F">
            <w:pPr>
              <w:keepNext/>
            </w:pPr>
            <w:r w:rsidRPr="0003423F">
              <w:t xml:space="preserve">4 podcast episodes produced by AAS and Creative Me on the project and broader engagement of craft makers with immersive digital tech (avg 36 min) </w:t>
            </w:r>
            <w:hyperlink r:id="rId7" w:history="1">
              <w:r w:rsidRPr="0003423F">
                <w:rPr>
                  <w:rStyle w:val="Hyperlink"/>
                </w:rPr>
                <w:t>https://soundcloud.com/user-933577069/sets/distance2-podcast-aas</w:t>
              </w:r>
            </w:hyperlink>
            <w:r w:rsidRPr="0003423F">
              <w:t xml:space="preserve"> </w:t>
            </w:r>
          </w:p>
        </w:tc>
      </w:tr>
      <w:tr w:rsidR="005D4DD4" w14:paraId="2EEC8ED3" w14:textId="77777777" w:rsidTr="0003423F">
        <w:tc>
          <w:tcPr>
            <w:tcW w:w="2122" w:type="dxa"/>
          </w:tcPr>
          <w:p w14:paraId="3BC55767" w14:textId="6D157CAC" w:rsidR="005D4DD4" w:rsidRPr="0003423F" w:rsidRDefault="005D4DD4">
            <w:r>
              <w:t>Field Notes</w:t>
            </w:r>
          </w:p>
        </w:tc>
        <w:tc>
          <w:tcPr>
            <w:tcW w:w="6894" w:type="dxa"/>
          </w:tcPr>
          <w:p w14:paraId="1CB6E143" w14:textId="5102B5B3" w:rsidR="005D4DD4" w:rsidRPr="0003423F" w:rsidRDefault="005D4DD4" w:rsidP="0003423F">
            <w:pPr>
              <w:keepNext/>
            </w:pPr>
            <w:r>
              <w:t>Notes kept by the first author as she participated in the project</w:t>
            </w:r>
          </w:p>
        </w:tc>
      </w:tr>
    </w:tbl>
    <w:p w14:paraId="1EEDD95A" w14:textId="5F4A4D11" w:rsidR="00AA510F" w:rsidRDefault="0003423F" w:rsidP="0003423F">
      <w:pPr>
        <w:pStyle w:val="Caption"/>
        <w:rPr>
          <w:b/>
          <w:bCs/>
        </w:rPr>
      </w:pPr>
      <w:r>
        <w:t xml:space="preserve">Table </w:t>
      </w:r>
      <w:r>
        <w:fldChar w:fldCharType="begin"/>
      </w:r>
      <w:r>
        <w:instrText xml:space="preserve"> SEQ Table \* ARABIC </w:instrText>
      </w:r>
      <w:r>
        <w:fldChar w:fldCharType="separate"/>
      </w:r>
      <w:r>
        <w:rPr>
          <w:noProof/>
        </w:rPr>
        <w:t>1</w:t>
      </w:r>
      <w:r>
        <w:rPr>
          <w:noProof/>
        </w:rPr>
        <w:fldChar w:fldCharType="end"/>
      </w:r>
      <w:r>
        <w:t xml:space="preserve"> - Data Inventory</w:t>
      </w:r>
    </w:p>
    <w:p w14:paraId="15520761" w14:textId="51F306E6" w:rsidR="007255DD" w:rsidRPr="007255DD" w:rsidRDefault="0003423F">
      <w:pPr>
        <w:rPr>
          <w:b/>
          <w:bCs/>
        </w:rPr>
      </w:pPr>
      <w:r>
        <w:rPr>
          <w:b/>
          <w:bCs/>
        </w:rPr>
        <w:t xml:space="preserve">Empirical </w:t>
      </w:r>
      <w:r w:rsidR="00AA510F">
        <w:rPr>
          <w:b/>
          <w:bCs/>
        </w:rPr>
        <w:t>Context</w:t>
      </w:r>
    </w:p>
    <w:p w14:paraId="62CAB667" w14:textId="5FDBFE69" w:rsidR="00AA510F" w:rsidRDefault="00AA510F">
      <w:r>
        <w:t>Applied Arts Scotland is</w:t>
      </w:r>
      <w:r w:rsidR="0023219A">
        <w:t xml:space="preserve"> a </w:t>
      </w:r>
      <w:r w:rsidR="005E36EA">
        <w:t xml:space="preserve">charitable </w:t>
      </w:r>
      <w:r w:rsidR="0023219A">
        <w:t>membership organisation run by makers to support makers (in the craft community) across Scotland through networking, knowledge sharing, professional development and acting as a representative</w:t>
      </w:r>
      <w:r>
        <w:t>.</w:t>
      </w:r>
    </w:p>
    <w:p w14:paraId="3ABF85C7" w14:textId="2FFDB84A" w:rsidR="007255DD" w:rsidRDefault="00D94123" w:rsidP="0023219A">
      <w:r>
        <w:t xml:space="preserve">We specifically focus on AAS’ DISTANCE project, </w:t>
      </w:r>
      <w:r w:rsidR="0023219A">
        <w:t>conceived to “</w:t>
      </w:r>
      <w:r w:rsidR="0023219A" w:rsidRPr="0023219A">
        <w:t>Enable makers to have a digitally immersive and haptic</w:t>
      </w:r>
      <w:r w:rsidR="0023219A">
        <w:t xml:space="preserve"> </w:t>
      </w:r>
      <w:r w:rsidR="0023219A" w:rsidRPr="0023219A">
        <w:t>remote collaborative, skills exchange and creative</w:t>
      </w:r>
      <w:r w:rsidR="0023219A">
        <w:t xml:space="preserve"> </w:t>
      </w:r>
      <w:r w:rsidR="0023219A" w:rsidRPr="0023219A">
        <w:t>experience, overcoming geographical distance and isolation</w:t>
      </w:r>
      <w:r w:rsidR="0023219A">
        <w:t>” (</w:t>
      </w:r>
      <w:r w:rsidR="00977C6F">
        <w:t>AAS</w:t>
      </w:r>
      <w:r w:rsidR="0023219A">
        <w:t>, 2020)</w:t>
      </w:r>
      <w:r w:rsidR="007255DD">
        <w:t xml:space="preserve">. DISTANCE emerged in the aftermath of the COVID-19 pandemic which significantly </w:t>
      </w:r>
      <w:r w:rsidR="0023219A">
        <w:t>“</w:t>
      </w:r>
      <w:r w:rsidR="007255DD" w:rsidRPr="00A624A8">
        <w:t>changed the way social capital is created and maintained, because it significantly restricted the traditional forms of networking between the creative workers and the communities (Dahles &amp; Susilowati, 2015; Torres, Marshall, &amp; Sydnor, 2019) and created the demand for new business models for creative industries</w:t>
      </w:r>
      <w:r w:rsidR="007255DD">
        <w:t xml:space="preserve">” (Khylstova et al, 2022: 1196). </w:t>
      </w:r>
      <w:r w:rsidR="0023219A">
        <w:t>It was envisaged that the DISTANCE project would “</w:t>
      </w:r>
      <w:r w:rsidR="0023219A" w:rsidRPr="0023219A">
        <w:t>support makers professional</w:t>
      </w:r>
      <w:r w:rsidR="0023219A">
        <w:t xml:space="preserve"> </w:t>
      </w:r>
      <w:r w:rsidR="0023219A" w:rsidRPr="0023219A">
        <w:t>and creative development and facilitate collaboration,</w:t>
      </w:r>
      <w:r w:rsidR="0023219A">
        <w:t xml:space="preserve"> </w:t>
      </w:r>
      <w:r w:rsidR="0023219A" w:rsidRPr="0023219A">
        <w:t>knowledge exchange and skills sharing</w:t>
      </w:r>
      <w:r w:rsidR="0023219A">
        <w:t>” (</w:t>
      </w:r>
      <w:r w:rsidR="00977C6F">
        <w:t>AAS</w:t>
      </w:r>
      <w:r w:rsidR="0023219A">
        <w:t xml:space="preserve">, 2020). </w:t>
      </w:r>
    </w:p>
    <w:p w14:paraId="1C7B942F" w14:textId="43ED7C64" w:rsidR="00AA510F" w:rsidRDefault="00AA510F" w:rsidP="00AA510F">
      <w:r>
        <w:t>The questions that AAS wanted to address through DISTANCE were:</w:t>
      </w:r>
    </w:p>
    <w:p w14:paraId="4BF09462" w14:textId="77777777" w:rsidR="00AA510F" w:rsidRPr="00AA510F" w:rsidRDefault="00AA510F" w:rsidP="00AA510F">
      <w:pPr>
        <w:numPr>
          <w:ilvl w:val="0"/>
          <w:numId w:val="2"/>
        </w:numPr>
      </w:pPr>
      <w:r w:rsidRPr="00AA510F">
        <w:t>What aspects of craft practice do makers want to be able to share, and with who?</w:t>
      </w:r>
    </w:p>
    <w:p w14:paraId="67794E1D" w14:textId="77777777" w:rsidR="00AA510F" w:rsidRPr="00AA510F" w:rsidRDefault="00AA510F" w:rsidP="00AA510F">
      <w:pPr>
        <w:numPr>
          <w:ilvl w:val="0"/>
          <w:numId w:val="2"/>
        </w:numPr>
      </w:pPr>
      <w:r w:rsidRPr="00AA510F">
        <w:t>(How) does the available technology support makers to do this? What are its limitations?</w:t>
      </w:r>
    </w:p>
    <w:p w14:paraId="33B6988F" w14:textId="77777777" w:rsidR="00AA510F" w:rsidRPr="00AA510F" w:rsidRDefault="00AA510F" w:rsidP="00AA510F">
      <w:pPr>
        <w:numPr>
          <w:ilvl w:val="0"/>
          <w:numId w:val="2"/>
        </w:numPr>
      </w:pPr>
      <w:r w:rsidRPr="00AA510F">
        <w:t>What aspects of makers’ practice cannot be shared in this environment, as currently available?</w:t>
      </w:r>
    </w:p>
    <w:p w14:paraId="7F07809C" w14:textId="77777777" w:rsidR="00AA510F" w:rsidRPr="00AA510F" w:rsidRDefault="00AA510F" w:rsidP="00AA510F">
      <w:pPr>
        <w:numPr>
          <w:ilvl w:val="0"/>
          <w:numId w:val="2"/>
        </w:numPr>
      </w:pPr>
      <w:r w:rsidRPr="00AA510F">
        <w:t>What else might makers need (in terms of equipment, applications, training) to support any ongoing use of immersive technologies?</w:t>
      </w:r>
    </w:p>
    <w:p w14:paraId="5DDDD8A1" w14:textId="77777777" w:rsidR="00AA510F" w:rsidRPr="00AA510F" w:rsidRDefault="00AA510F" w:rsidP="00AA510F">
      <w:pPr>
        <w:numPr>
          <w:ilvl w:val="0"/>
          <w:numId w:val="2"/>
        </w:numPr>
      </w:pPr>
      <w:r w:rsidRPr="00AA510F">
        <w:t>What, if any, of this would makers consider adopting as a routine part of their practices?</w:t>
      </w:r>
    </w:p>
    <w:p w14:paraId="5D76EC0A" w14:textId="2F5DAB36" w:rsidR="00D94123" w:rsidRPr="00F369EE" w:rsidRDefault="00D94123">
      <w:r w:rsidRPr="00D94123">
        <w:t xml:space="preserve">As appropriate to the </w:t>
      </w:r>
      <w:r>
        <w:t>grounded theory orientation we adopt, we do not seek to ask these same questions, but to embark on a broader inquiry guided by our key question: How does use of VR technology by a group of craft workers enable, shape and limit different values, configurations and techniques of making.</w:t>
      </w:r>
    </w:p>
    <w:p w14:paraId="1B260431" w14:textId="03FFCA40" w:rsidR="00AA510F" w:rsidRPr="00B62551" w:rsidRDefault="00B62551">
      <w:pPr>
        <w:rPr>
          <w:b/>
          <w:bCs/>
        </w:rPr>
      </w:pPr>
      <w:r w:rsidRPr="00B62551">
        <w:rPr>
          <w:b/>
          <w:bCs/>
        </w:rPr>
        <w:t>Significance</w:t>
      </w:r>
    </w:p>
    <w:p w14:paraId="7885CECC" w14:textId="113D9EBF" w:rsidR="00A427E8" w:rsidRDefault="00B62551">
      <w:r>
        <w:t xml:space="preserve">As we move into a period of intense debate over the extent to which digital technologies such as Generative AI can augment or supplant creativity, it is more important than ever to consider diverse examples of how new technology reshapes creatives working practices. This </w:t>
      </w:r>
      <w:r w:rsidR="00D94123">
        <w:t>may</w:t>
      </w:r>
      <w:r>
        <w:t xml:space="preserve"> not </w:t>
      </w:r>
      <w:r w:rsidR="00D94123">
        <w:t xml:space="preserve">only </w:t>
      </w:r>
      <w:r>
        <w:t>present us with new theoretical understandings</w:t>
      </w:r>
      <w:r w:rsidR="00ED7E07">
        <w:t>, but also help us to understand how to work with creative practitioners and how to advise policy makers</w:t>
      </w:r>
      <w:r>
        <w:t xml:space="preserve">. We intend to make a modest contribution to this </w:t>
      </w:r>
      <w:r>
        <w:lastRenderedPageBreak/>
        <w:t>important debate by looking at craft workers,</w:t>
      </w:r>
      <w:r w:rsidR="00ED7E07">
        <w:t xml:space="preserve"> specifically chosen because </w:t>
      </w:r>
      <w:r>
        <w:t xml:space="preserve">craft has traditionally been seen as the antithesis of modern technology. </w:t>
      </w:r>
      <w:r w:rsidR="00ED7E07">
        <w:t xml:space="preserve">We hope that this somewhat extreme case will enable the development of insights that ca be related not only to craft workers but also to areas with equally high creative intensity (Bakshi, Freeman and Higgs, 2013) but which have been traditionally more receptive to emerging technologies. </w:t>
      </w:r>
    </w:p>
    <w:p w14:paraId="204BA45F" w14:textId="77777777" w:rsidR="00AA510F" w:rsidRPr="002542EC" w:rsidRDefault="00AA510F">
      <w:pPr>
        <w:rPr>
          <w:rFonts w:cstheme="minorHAnsi"/>
        </w:rPr>
      </w:pPr>
    </w:p>
    <w:p w14:paraId="0AC3E48C" w14:textId="77777777" w:rsidR="00A427E8" w:rsidRPr="002542EC" w:rsidRDefault="00A427E8">
      <w:pPr>
        <w:rPr>
          <w:rFonts w:cstheme="minorHAnsi"/>
        </w:rPr>
      </w:pPr>
    </w:p>
    <w:p w14:paraId="27C17298" w14:textId="3F9971D0" w:rsidR="00A427E8" w:rsidRPr="002542EC" w:rsidRDefault="00977C6F">
      <w:pPr>
        <w:rPr>
          <w:rFonts w:cstheme="minorHAnsi"/>
        </w:rPr>
      </w:pPr>
      <w:r w:rsidRPr="002542EC">
        <w:rPr>
          <w:rFonts w:cstheme="minorHAnsi"/>
        </w:rPr>
        <w:t xml:space="preserve">Bell, E., Dacin, M. T., &amp; Toraldo, M. L. (2021). Craft Imaginaries – Past, Present and Future. Organization Theory, 2(1). </w:t>
      </w:r>
      <w:hyperlink r:id="rId8" w:history="1">
        <w:r w:rsidR="008D0A52" w:rsidRPr="002542EC">
          <w:rPr>
            <w:rStyle w:val="Hyperlink"/>
            <w:rFonts w:cstheme="minorHAnsi"/>
          </w:rPr>
          <w:t>https://doi.org/10.1177/2631787721991141</w:t>
        </w:r>
      </w:hyperlink>
    </w:p>
    <w:p w14:paraId="1EEB7DCA" w14:textId="3BC99532" w:rsidR="00CC3302" w:rsidRDefault="00CC3302">
      <w:pPr>
        <w:rPr>
          <w:rFonts w:cstheme="minorHAnsi"/>
          <w:color w:val="222222"/>
          <w:shd w:val="clear" w:color="auto" w:fill="FFFFFF"/>
        </w:rPr>
      </w:pPr>
      <w:r w:rsidRPr="002542EC">
        <w:rPr>
          <w:rFonts w:cstheme="minorHAnsi"/>
          <w:color w:val="222222"/>
          <w:shd w:val="clear" w:color="auto" w:fill="FFFFFF"/>
        </w:rPr>
        <w:t>Birch, S. (2008). </w:t>
      </w:r>
      <w:r w:rsidRPr="002542EC">
        <w:rPr>
          <w:rFonts w:cstheme="minorHAnsi"/>
          <w:i/>
          <w:iCs/>
          <w:color w:val="222222"/>
          <w:shd w:val="clear" w:color="auto" w:fill="FFFFFF"/>
        </w:rPr>
        <w:t>The political promotion of the experience economy and creative industries</w:t>
      </w:r>
      <w:r w:rsidRPr="002542EC">
        <w:rPr>
          <w:rFonts w:cstheme="minorHAnsi"/>
          <w:color w:val="222222"/>
          <w:shd w:val="clear" w:color="auto" w:fill="FFFFFF"/>
        </w:rPr>
        <w:t>. Fredricksberg: Denmark: Samfundslitteratur.</w:t>
      </w:r>
    </w:p>
    <w:p w14:paraId="6F4BAD3C" w14:textId="65C757A1" w:rsidR="00C71B50" w:rsidRDefault="00C71B50">
      <w:pPr>
        <w:rPr>
          <w:rFonts w:cstheme="minorHAnsi"/>
          <w:color w:val="222222"/>
          <w:shd w:val="clear" w:color="auto" w:fill="FFFFFF"/>
        </w:rPr>
      </w:pPr>
      <w:r w:rsidRPr="00C71B50">
        <w:rPr>
          <w:rFonts w:cstheme="minorHAnsi"/>
          <w:color w:val="222222"/>
          <w:shd w:val="clear" w:color="auto" w:fill="FFFFFF"/>
        </w:rPr>
        <w:t>Corbin J., Strauss A. (1990). Grounded theory research: Procedures, canons, and evaluative criteria. </w:t>
      </w:r>
      <w:r w:rsidRPr="00C71B50">
        <w:rPr>
          <w:rFonts w:cstheme="minorHAnsi"/>
          <w:i/>
          <w:iCs/>
          <w:color w:val="222222"/>
          <w:shd w:val="clear" w:color="auto" w:fill="FFFFFF"/>
        </w:rPr>
        <w:t>Qualitative Sociology</w:t>
      </w:r>
      <w:r w:rsidRPr="00C71B50">
        <w:rPr>
          <w:rFonts w:cstheme="minorHAnsi"/>
          <w:color w:val="222222"/>
          <w:shd w:val="clear" w:color="auto" w:fill="FFFFFF"/>
        </w:rPr>
        <w:t>, 13(1), 3–21.</w:t>
      </w:r>
    </w:p>
    <w:p w14:paraId="490338AD" w14:textId="073AECB6" w:rsidR="001B22E1" w:rsidRDefault="001B22E1">
      <w:pPr>
        <w:rPr>
          <w:rFonts w:cstheme="minorHAnsi"/>
        </w:rPr>
      </w:pPr>
      <w:r w:rsidRPr="001B22E1">
        <w:rPr>
          <w:rFonts w:cstheme="minorHAnsi"/>
        </w:rPr>
        <w:t>Dhewanto, W., Lestari, Y. D., Herliana, S., &amp; Kania, R. (2020). Information technology adoption model in Indonesian creative industry clusters: toward strengthening competitive advantages. </w:t>
      </w:r>
      <w:r w:rsidRPr="001B22E1">
        <w:rPr>
          <w:rFonts w:cstheme="minorHAnsi"/>
          <w:i/>
          <w:iCs/>
        </w:rPr>
        <w:t>International Journal of Technology Transfer and Commercialisation</w:t>
      </w:r>
      <w:r w:rsidRPr="001B22E1">
        <w:rPr>
          <w:rFonts w:cstheme="minorHAnsi"/>
        </w:rPr>
        <w:t>, </w:t>
      </w:r>
      <w:r w:rsidRPr="001B22E1">
        <w:rPr>
          <w:rFonts w:cstheme="minorHAnsi"/>
          <w:i/>
          <w:iCs/>
        </w:rPr>
        <w:t>17</w:t>
      </w:r>
      <w:r w:rsidRPr="001B22E1">
        <w:rPr>
          <w:rFonts w:cstheme="minorHAnsi"/>
        </w:rPr>
        <w:t>(1), 19-42.</w:t>
      </w:r>
    </w:p>
    <w:p w14:paraId="3DF6F89F" w14:textId="552ECDDC" w:rsidR="000D0623" w:rsidRDefault="000D0623">
      <w:pPr>
        <w:rPr>
          <w:rFonts w:cstheme="minorHAnsi"/>
        </w:rPr>
      </w:pPr>
      <w:r w:rsidRPr="000D0623">
        <w:rPr>
          <w:rFonts w:cstheme="minorHAnsi"/>
        </w:rPr>
        <w:t>Corley K. G. (2015). A commentary on “what grounded theory is…”: Engaging a phenomenon from the perspective of those living it. </w:t>
      </w:r>
      <w:r w:rsidRPr="000D0623">
        <w:rPr>
          <w:rFonts w:cstheme="minorHAnsi"/>
          <w:i/>
          <w:iCs/>
        </w:rPr>
        <w:t>Organizational Research Methods</w:t>
      </w:r>
      <w:r w:rsidRPr="000D0623">
        <w:rPr>
          <w:rFonts w:cstheme="minorHAnsi"/>
        </w:rPr>
        <w:t>, 18(4), 600–605. </w:t>
      </w:r>
      <w:hyperlink r:id="rId9" w:history="1">
        <w:r w:rsidRPr="000D0623">
          <w:rPr>
            <w:rStyle w:val="Hyperlink"/>
            <w:rFonts w:cstheme="minorHAnsi"/>
          </w:rPr>
          <w:t>https://doi.org/10.1177/1094428115574747</w:t>
        </w:r>
      </w:hyperlink>
    </w:p>
    <w:p w14:paraId="4858767C" w14:textId="4F21DF3C" w:rsidR="00C71B50" w:rsidRDefault="00C71B50">
      <w:pPr>
        <w:rPr>
          <w:rFonts w:cstheme="minorHAnsi"/>
        </w:rPr>
      </w:pPr>
      <w:r w:rsidRPr="00C71B50">
        <w:rPr>
          <w:rFonts w:cstheme="minorHAnsi"/>
        </w:rPr>
        <w:t>Glaser B. (1998). </w:t>
      </w:r>
      <w:r w:rsidRPr="00C71B50">
        <w:rPr>
          <w:rFonts w:cstheme="minorHAnsi"/>
          <w:i/>
          <w:iCs/>
        </w:rPr>
        <w:t>Doing grounded theory: Issues and discussions</w:t>
      </w:r>
      <w:r w:rsidRPr="00C71B50">
        <w:rPr>
          <w:rFonts w:cstheme="minorHAnsi"/>
        </w:rPr>
        <w:t>. Sociology Press.</w:t>
      </w:r>
    </w:p>
    <w:p w14:paraId="477285C7" w14:textId="07040CBE" w:rsidR="00C71B50" w:rsidRDefault="00C71B50">
      <w:pPr>
        <w:rPr>
          <w:rFonts w:cstheme="minorHAnsi"/>
        </w:rPr>
      </w:pPr>
      <w:r w:rsidRPr="00C71B50">
        <w:rPr>
          <w:rFonts w:cstheme="minorHAnsi"/>
        </w:rPr>
        <w:t>Glaser B., Strauss A. (1967). </w:t>
      </w:r>
      <w:r w:rsidRPr="00C71B50">
        <w:rPr>
          <w:rFonts w:cstheme="minorHAnsi"/>
          <w:i/>
          <w:iCs/>
        </w:rPr>
        <w:t>The discovery of grounded theory: Strategies for qualitative research</w:t>
      </w:r>
      <w:r w:rsidRPr="00C71B50">
        <w:rPr>
          <w:rFonts w:cstheme="minorHAnsi"/>
        </w:rPr>
        <w:t>. In Aldine Publishing.</w:t>
      </w:r>
    </w:p>
    <w:p w14:paraId="1D017D3B" w14:textId="2F7F792D" w:rsidR="005B28FC" w:rsidRPr="002542EC" w:rsidRDefault="005B28FC">
      <w:pPr>
        <w:rPr>
          <w:rFonts w:cstheme="minorHAnsi"/>
        </w:rPr>
      </w:pPr>
      <w:r w:rsidRPr="005B28FC">
        <w:rPr>
          <w:rFonts w:cstheme="minorHAnsi"/>
        </w:rPr>
        <w:t>Jones, C., Askin, N., Harvey, S., &amp; Phillips, D. J. AMD Special Research Forum-Creative Industries: Challenges and Opportunities of Digital Technologies</w:t>
      </w:r>
      <w:r>
        <w:rPr>
          <w:rFonts w:cstheme="minorHAnsi"/>
        </w:rPr>
        <w:t xml:space="preserve">, CfP available at </w:t>
      </w:r>
      <w:hyperlink r:id="rId10" w:history="1">
        <w:r w:rsidRPr="003D5377">
          <w:rPr>
            <w:rStyle w:val="Hyperlink"/>
            <w:rFonts w:cstheme="minorHAnsi"/>
          </w:rPr>
          <w:t>https://aom.org/events/event-detail/2024/09/30/higher-logic-calendar/amd-special-research-forum-creative-industries-challenges-and-opportunities-of-digital-technologies</w:t>
        </w:r>
      </w:hyperlink>
      <w:r>
        <w:rPr>
          <w:rFonts w:cstheme="minorHAnsi"/>
        </w:rPr>
        <w:t xml:space="preserve"> [accessed on 29/02/24]</w:t>
      </w:r>
    </w:p>
    <w:p w14:paraId="5975DCE0" w14:textId="3046C223" w:rsidR="008D0A52" w:rsidRDefault="008D0A52">
      <w:pPr>
        <w:rPr>
          <w:rFonts w:cstheme="minorHAnsi"/>
          <w:color w:val="222222"/>
          <w:shd w:val="clear" w:color="auto" w:fill="FFFFFF"/>
        </w:rPr>
      </w:pPr>
      <w:r w:rsidRPr="002542EC">
        <w:rPr>
          <w:rFonts w:cstheme="minorHAnsi"/>
          <w:color w:val="222222"/>
          <w:shd w:val="clear" w:color="auto" w:fill="FFFFFF"/>
        </w:rPr>
        <w:t>Khlystova, O., Kalyuzhnova, Y., &amp; Belitski, M. (2022). The impact of the COVID-19 pandemic on the creative industries: A literature review and future research agenda. </w:t>
      </w:r>
      <w:r w:rsidRPr="002542EC">
        <w:rPr>
          <w:rFonts w:cstheme="minorHAnsi"/>
          <w:i/>
          <w:iCs/>
          <w:color w:val="222222"/>
          <w:shd w:val="clear" w:color="auto" w:fill="FFFFFF"/>
        </w:rPr>
        <w:t>Journal of Business Research</w:t>
      </w:r>
      <w:r w:rsidRPr="002542EC">
        <w:rPr>
          <w:rFonts w:cstheme="minorHAnsi"/>
          <w:color w:val="222222"/>
          <w:shd w:val="clear" w:color="auto" w:fill="FFFFFF"/>
        </w:rPr>
        <w:t>, </w:t>
      </w:r>
      <w:r w:rsidRPr="002542EC">
        <w:rPr>
          <w:rFonts w:cstheme="minorHAnsi"/>
          <w:i/>
          <w:iCs/>
          <w:color w:val="222222"/>
          <w:shd w:val="clear" w:color="auto" w:fill="FFFFFF"/>
        </w:rPr>
        <w:t>139</w:t>
      </w:r>
      <w:r w:rsidRPr="002542EC">
        <w:rPr>
          <w:rFonts w:cstheme="minorHAnsi"/>
          <w:color w:val="222222"/>
          <w:shd w:val="clear" w:color="auto" w:fill="FFFFFF"/>
        </w:rPr>
        <w:t>, 1192-1210.</w:t>
      </w:r>
    </w:p>
    <w:p w14:paraId="7D9945A1" w14:textId="7D9D4B73" w:rsidR="00F83BCA" w:rsidRDefault="00F83BCA">
      <w:pPr>
        <w:rPr>
          <w:rFonts w:cstheme="minorHAnsi"/>
          <w:color w:val="222222"/>
          <w:shd w:val="clear" w:color="auto" w:fill="FFFFFF"/>
        </w:rPr>
      </w:pPr>
      <w:r w:rsidRPr="00F83BCA">
        <w:rPr>
          <w:rFonts w:cstheme="minorHAnsi"/>
          <w:color w:val="222222"/>
          <w:shd w:val="clear" w:color="auto" w:fill="FFFFFF"/>
        </w:rPr>
        <w:t>Leovaridis, C., &amp; B</w:t>
      </w:r>
      <w:r>
        <w:rPr>
          <w:rFonts w:cstheme="minorHAnsi"/>
          <w:color w:val="222222"/>
          <w:shd w:val="clear" w:color="auto" w:fill="FFFFFF"/>
        </w:rPr>
        <w:t>ahnă</w:t>
      </w:r>
      <w:r w:rsidRPr="00F83BCA">
        <w:rPr>
          <w:rFonts w:cstheme="minorHAnsi"/>
          <w:color w:val="222222"/>
          <w:shd w:val="clear" w:color="auto" w:fill="FFFFFF"/>
        </w:rPr>
        <w:t xml:space="preserve">, M. (2017). </w:t>
      </w:r>
      <w:r>
        <w:rPr>
          <w:rFonts w:cstheme="minorHAnsi"/>
          <w:color w:val="222222"/>
          <w:shd w:val="clear" w:color="auto" w:fill="FFFFFF"/>
        </w:rPr>
        <w:t>Aspects regarding virtual reality as innovation in creative industries.</w:t>
      </w:r>
      <w:r w:rsidRPr="00F83BCA">
        <w:rPr>
          <w:rFonts w:cstheme="minorHAnsi"/>
          <w:i/>
          <w:iCs/>
          <w:color w:val="222222"/>
          <w:shd w:val="clear" w:color="auto" w:fill="FFFFFF"/>
        </w:rPr>
        <w:t xml:space="preserve"> </w:t>
      </w:r>
      <w:r w:rsidRPr="00F83BCA">
        <w:rPr>
          <w:rFonts w:cstheme="minorHAnsi"/>
          <w:i/>
          <w:iCs/>
          <w:color w:val="222222"/>
          <w:shd w:val="clear" w:color="auto" w:fill="FFFFFF"/>
        </w:rPr>
        <w:t>Revista Romana de Sociologie</w:t>
      </w:r>
      <w:r w:rsidRPr="00F83BCA">
        <w:rPr>
          <w:rFonts w:cstheme="minorHAnsi"/>
          <w:color w:val="222222"/>
          <w:shd w:val="clear" w:color="auto" w:fill="FFFFFF"/>
        </w:rPr>
        <w:t>, </w:t>
      </w:r>
      <w:r w:rsidRPr="00F83BCA">
        <w:rPr>
          <w:rFonts w:cstheme="minorHAnsi"/>
          <w:i/>
          <w:iCs/>
          <w:color w:val="222222"/>
          <w:shd w:val="clear" w:color="auto" w:fill="FFFFFF"/>
        </w:rPr>
        <w:t>28</w:t>
      </w:r>
      <w:r>
        <w:rPr>
          <w:rFonts w:cstheme="minorHAnsi"/>
          <w:color w:val="222222"/>
          <w:shd w:val="clear" w:color="auto" w:fill="FFFFFF"/>
        </w:rPr>
        <w:t>: 157-172.</w:t>
      </w:r>
    </w:p>
    <w:p w14:paraId="202CB85B" w14:textId="65757C37" w:rsidR="001B22E1" w:rsidRPr="002542EC" w:rsidRDefault="001B22E1">
      <w:pPr>
        <w:rPr>
          <w:rFonts w:cstheme="minorHAnsi"/>
        </w:rPr>
      </w:pPr>
      <w:r w:rsidRPr="001B22E1">
        <w:rPr>
          <w:rFonts w:cstheme="minorHAnsi"/>
        </w:rPr>
        <w:t>Li, F. (2020). The digital transformation of business models in the creative industries: A holistic framework and emerging trends. </w:t>
      </w:r>
      <w:r w:rsidRPr="001B22E1">
        <w:rPr>
          <w:rFonts w:cstheme="minorHAnsi"/>
          <w:i/>
          <w:iCs/>
        </w:rPr>
        <w:t>Technovation</w:t>
      </w:r>
      <w:r w:rsidRPr="001B22E1">
        <w:rPr>
          <w:rFonts w:cstheme="minorHAnsi"/>
        </w:rPr>
        <w:t>, </w:t>
      </w:r>
      <w:r w:rsidRPr="001B22E1">
        <w:rPr>
          <w:rFonts w:cstheme="minorHAnsi"/>
          <w:i/>
          <w:iCs/>
        </w:rPr>
        <w:t>92</w:t>
      </w:r>
      <w:r w:rsidRPr="001B22E1">
        <w:rPr>
          <w:rFonts w:cstheme="minorHAnsi"/>
        </w:rPr>
        <w:t>, 102012.</w:t>
      </w:r>
    </w:p>
    <w:p w14:paraId="620C1F31" w14:textId="4F0D3B81" w:rsidR="00A427E8" w:rsidRPr="002542EC" w:rsidRDefault="0074029A">
      <w:pPr>
        <w:rPr>
          <w:rFonts w:cstheme="minorHAnsi"/>
        </w:rPr>
      </w:pPr>
      <w:r w:rsidRPr="002542EC">
        <w:rPr>
          <w:rFonts w:cstheme="minorHAnsi"/>
        </w:rPr>
        <w:t xml:space="preserve">Lazonick, W. (1993). Learning and the Dynamics of International Competitive Advantage, pp. 150-171 in R Thomson (Ed) </w:t>
      </w:r>
      <w:r w:rsidRPr="002542EC">
        <w:rPr>
          <w:rFonts w:cstheme="minorHAnsi"/>
          <w:i/>
          <w:iCs/>
        </w:rPr>
        <w:t>Learning and Technological Change</w:t>
      </w:r>
      <w:r w:rsidRPr="002542EC">
        <w:rPr>
          <w:rFonts w:cstheme="minorHAnsi"/>
        </w:rPr>
        <w:t xml:space="preserve">, London: The MacMillan Press. </w:t>
      </w:r>
    </w:p>
    <w:p w14:paraId="0222727E" w14:textId="692E80DC" w:rsidR="00A427E8" w:rsidRDefault="00A427E8">
      <w:pPr>
        <w:rPr>
          <w:rFonts w:cstheme="minorHAnsi"/>
        </w:rPr>
      </w:pPr>
      <w:r w:rsidRPr="002542EC">
        <w:rPr>
          <w:rFonts w:cstheme="minorHAnsi"/>
        </w:rPr>
        <w:t>Milgram, P., Takemura, H., Utsumi, A., &amp; Kishino, F. (1995, December). Augmented reality: A class of displays on the reality-virtuality continuum. In </w:t>
      </w:r>
      <w:r w:rsidRPr="002542EC">
        <w:rPr>
          <w:rFonts w:cstheme="minorHAnsi"/>
          <w:i/>
          <w:iCs/>
        </w:rPr>
        <w:t>Telemanipulator and telepresence technologies</w:t>
      </w:r>
      <w:r w:rsidRPr="002542EC">
        <w:rPr>
          <w:rFonts w:cstheme="minorHAnsi"/>
        </w:rPr>
        <w:t> (Vol. 2351, pp. 282-292). Spie.</w:t>
      </w:r>
    </w:p>
    <w:p w14:paraId="68D99BD8" w14:textId="15D30F40" w:rsidR="0089525F" w:rsidRPr="002542EC" w:rsidRDefault="0089525F">
      <w:pPr>
        <w:rPr>
          <w:rFonts w:cstheme="minorHAnsi"/>
        </w:rPr>
      </w:pPr>
      <w:r w:rsidRPr="0089525F">
        <w:rPr>
          <w:rFonts w:cstheme="minorHAnsi"/>
        </w:rPr>
        <w:lastRenderedPageBreak/>
        <w:t>Novakova, H., &amp; ŠTarchoň, P. (2021). Creative industries: challenges and opportunities in XR technologies. In </w:t>
      </w:r>
      <w:r w:rsidRPr="0089525F">
        <w:rPr>
          <w:rFonts w:cstheme="minorHAnsi"/>
          <w:i/>
          <w:iCs/>
        </w:rPr>
        <w:t>SHS Web of Conferences</w:t>
      </w:r>
      <w:r w:rsidRPr="0089525F">
        <w:rPr>
          <w:rFonts w:cstheme="minorHAnsi"/>
        </w:rPr>
        <w:t> (Vol. 115, p. 03011). EDP Sciences.</w:t>
      </w:r>
    </w:p>
    <w:p w14:paraId="075603DE" w14:textId="153AEDF1" w:rsidR="002542EC" w:rsidRDefault="002542EC">
      <w:r w:rsidRPr="002542EC">
        <w:rPr>
          <w:rFonts w:cstheme="minorHAnsi"/>
        </w:rPr>
        <w:t>Tsou, H. T., &amp; Chen, J. S. (2023). How does digital technology usage benefit firm performance? Digital transformation</w:t>
      </w:r>
      <w:r w:rsidRPr="002542EC">
        <w:t xml:space="preserve"> strategy and organisational innovation as mediators. </w:t>
      </w:r>
      <w:r w:rsidRPr="002542EC">
        <w:rPr>
          <w:i/>
          <w:iCs/>
        </w:rPr>
        <w:t>Technology Analysis &amp; Strategic Management</w:t>
      </w:r>
      <w:r w:rsidRPr="002542EC">
        <w:t>, </w:t>
      </w:r>
      <w:r w:rsidRPr="002542EC">
        <w:rPr>
          <w:i/>
          <w:iCs/>
        </w:rPr>
        <w:t>35</w:t>
      </w:r>
      <w:r w:rsidRPr="002542EC">
        <w:t>(9), 1114-1127.</w:t>
      </w:r>
    </w:p>
    <w:sectPr w:rsidR="002542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A938E0"/>
    <w:multiLevelType w:val="multilevel"/>
    <w:tmpl w:val="47E81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94029D0"/>
    <w:multiLevelType w:val="multilevel"/>
    <w:tmpl w:val="924CD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82564424">
    <w:abstractNumId w:val="0"/>
  </w:num>
  <w:num w:numId="2" w16cid:durableId="21344468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462"/>
    <w:rsid w:val="00033468"/>
    <w:rsid w:val="0003423F"/>
    <w:rsid w:val="000D0623"/>
    <w:rsid w:val="00137872"/>
    <w:rsid w:val="001B22E1"/>
    <w:rsid w:val="0021397B"/>
    <w:rsid w:val="0023219A"/>
    <w:rsid w:val="002542EC"/>
    <w:rsid w:val="002C5462"/>
    <w:rsid w:val="003759D8"/>
    <w:rsid w:val="0042187A"/>
    <w:rsid w:val="00433555"/>
    <w:rsid w:val="0054112D"/>
    <w:rsid w:val="00541F02"/>
    <w:rsid w:val="005B28FC"/>
    <w:rsid w:val="005D4DD4"/>
    <w:rsid w:val="005E36EA"/>
    <w:rsid w:val="007255DD"/>
    <w:rsid w:val="0074029A"/>
    <w:rsid w:val="00855F38"/>
    <w:rsid w:val="0089525F"/>
    <w:rsid w:val="008D0A52"/>
    <w:rsid w:val="00977C6F"/>
    <w:rsid w:val="009A53D7"/>
    <w:rsid w:val="00A075CE"/>
    <w:rsid w:val="00A427E8"/>
    <w:rsid w:val="00AA510F"/>
    <w:rsid w:val="00B62551"/>
    <w:rsid w:val="00BF074A"/>
    <w:rsid w:val="00C71B50"/>
    <w:rsid w:val="00CC3302"/>
    <w:rsid w:val="00D94123"/>
    <w:rsid w:val="00DA067F"/>
    <w:rsid w:val="00E9383F"/>
    <w:rsid w:val="00ED7E07"/>
    <w:rsid w:val="00F369EE"/>
    <w:rsid w:val="00F77AE4"/>
    <w:rsid w:val="00F83B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D4703"/>
  <w15:chartTrackingRefBased/>
  <w15:docId w15:val="{F39C552A-357E-43C4-8209-A02A45AD2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412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427E8"/>
    <w:rPr>
      <w:color w:val="0563C1" w:themeColor="hyperlink"/>
      <w:u w:val="single"/>
    </w:rPr>
  </w:style>
  <w:style w:type="character" w:styleId="UnresolvedMention">
    <w:name w:val="Unresolved Mention"/>
    <w:basedOn w:val="DefaultParagraphFont"/>
    <w:uiPriority w:val="99"/>
    <w:semiHidden/>
    <w:unhideWhenUsed/>
    <w:rsid w:val="00A427E8"/>
    <w:rPr>
      <w:color w:val="605E5C"/>
      <w:shd w:val="clear" w:color="auto" w:fill="E1DFDD"/>
    </w:rPr>
  </w:style>
  <w:style w:type="table" w:styleId="TableGrid">
    <w:name w:val="Table Grid"/>
    <w:basedOn w:val="TableNormal"/>
    <w:uiPriority w:val="39"/>
    <w:rsid w:val="000342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03423F"/>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D94123"/>
    <w:rPr>
      <w:sz w:val="16"/>
      <w:szCs w:val="16"/>
    </w:rPr>
  </w:style>
  <w:style w:type="paragraph" w:styleId="CommentText">
    <w:name w:val="annotation text"/>
    <w:basedOn w:val="Normal"/>
    <w:link w:val="CommentTextChar"/>
    <w:uiPriority w:val="99"/>
    <w:unhideWhenUsed/>
    <w:rsid w:val="00D94123"/>
    <w:pPr>
      <w:spacing w:line="240" w:lineRule="auto"/>
    </w:pPr>
    <w:rPr>
      <w:sz w:val="20"/>
      <w:szCs w:val="20"/>
    </w:rPr>
  </w:style>
  <w:style w:type="character" w:customStyle="1" w:styleId="CommentTextChar">
    <w:name w:val="Comment Text Char"/>
    <w:basedOn w:val="DefaultParagraphFont"/>
    <w:link w:val="CommentText"/>
    <w:uiPriority w:val="99"/>
    <w:rsid w:val="00D94123"/>
    <w:rPr>
      <w:sz w:val="20"/>
      <w:szCs w:val="20"/>
    </w:rPr>
  </w:style>
  <w:style w:type="paragraph" w:styleId="CommentSubject">
    <w:name w:val="annotation subject"/>
    <w:basedOn w:val="CommentText"/>
    <w:next w:val="CommentText"/>
    <w:link w:val="CommentSubjectChar"/>
    <w:uiPriority w:val="99"/>
    <w:semiHidden/>
    <w:unhideWhenUsed/>
    <w:rsid w:val="00D94123"/>
    <w:rPr>
      <w:b/>
      <w:bCs/>
    </w:rPr>
  </w:style>
  <w:style w:type="character" w:customStyle="1" w:styleId="CommentSubjectChar">
    <w:name w:val="Comment Subject Char"/>
    <w:basedOn w:val="CommentTextChar"/>
    <w:link w:val="CommentSubject"/>
    <w:uiPriority w:val="99"/>
    <w:semiHidden/>
    <w:rsid w:val="00D9412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6036999">
      <w:bodyDiv w:val="1"/>
      <w:marLeft w:val="0"/>
      <w:marRight w:val="0"/>
      <w:marTop w:val="0"/>
      <w:marBottom w:val="0"/>
      <w:divBdr>
        <w:top w:val="none" w:sz="0" w:space="0" w:color="auto"/>
        <w:left w:val="none" w:sz="0" w:space="0" w:color="auto"/>
        <w:bottom w:val="none" w:sz="0" w:space="0" w:color="auto"/>
        <w:right w:val="none" w:sz="0" w:space="0" w:color="auto"/>
      </w:divBdr>
    </w:div>
    <w:div w:id="2051761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2631787721991141" TargetMode="External"/><Relationship Id="rId3" Type="http://schemas.openxmlformats.org/officeDocument/2006/relationships/settings" Target="settings.xml"/><Relationship Id="rId7" Type="http://schemas.openxmlformats.org/officeDocument/2006/relationships/hyperlink" Target="https://soundcloud.com/user-933577069/sets/distance2-podcast-aa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ramevr.io/distancepentagon" TargetMode="External"/><Relationship Id="rId11" Type="http://schemas.openxmlformats.org/officeDocument/2006/relationships/fontTable" Target="fontTable.xml"/><Relationship Id="rId5" Type="http://schemas.openxmlformats.org/officeDocument/2006/relationships/hyperlink" Target="https://www.appliedartsscotland.org.uk/projects/distance-project/" TargetMode="External"/><Relationship Id="rId10" Type="http://schemas.openxmlformats.org/officeDocument/2006/relationships/hyperlink" Target="https://aom.org/events/event-detail/2024/09/30/higher-logic-calendar/amd-special-research-forum-creative-industries-challenges-and-opportunities-of-digital-technologies" TargetMode="External"/><Relationship Id="rId4" Type="http://schemas.openxmlformats.org/officeDocument/2006/relationships/webSettings" Target="webSettings.xml"/><Relationship Id="rId9" Type="http://schemas.openxmlformats.org/officeDocument/2006/relationships/hyperlink" Target="https://doi.org/10.1177/10944281155747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2185</Words>
  <Characters>12459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Holly</dc:creator>
  <cp:keywords/>
  <dc:description/>
  <cp:lastModifiedBy>Patrick, Holly</cp:lastModifiedBy>
  <cp:revision>3</cp:revision>
  <dcterms:created xsi:type="dcterms:W3CDTF">2024-06-27T11:50:00Z</dcterms:created>
  <dcterms:modified xsi:type="dcterms:W3CDTF">2024-06-27T11:51:00Z</dcterms:modified>
</cp:coreProperties>
</file>