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D8551" w14:textId="77777777" w:rsidR="00777EC4" w:rsidRDefault="00777EC4" w:rsidP="00777EC4">
      <w:pPr>
        <w:spacing w:before="120" w:after="0" w:line="240" w:lineRule="auto"/>
        <w:jc w:val="center"/>
        <w:rPr>
          <w:rFonts w:ascii="Times New Roman" w:hAnsi="Times New Roman" w:cs="Times New Roman"/>
          <w:b/>
          <w:bCs/>
          <w:sz w:val="28"/>
          <w:szCs w:val="28"/>
        </w:rPr>
      </w:pPr>
      <w:r w:rsidRPr="00E45D94">
        <w:rPr>
          <w:rFonts w:ascii="Times New Roman" w:hAnsi="Times New Roman" w:cs="Times New Roman"/>
          <w:b/>
          <w:bCs/>
          <w:sz w:val="28"/>
          <w:szCs w:val="28"/>
        </w:rPr>
        <w:t xml:space="preserve">When carbon production meets climate action: co-creating sustainable development for climate change via innovative </w:t>
      </w:r>
      <w:proofErr w:type="gramStart"/>
      <w:r w:rsidRPr="00E45D94">
        <w:rPr>
          <w:rFonts w:ascii="Times New Roman" w:hAnsi="Times New Roman" w:cs="Times New Roman"/>
          <w:b/>
          <w:bCs/>
          <w:sz w:val="28"/>
          <w:szCs w:val="28"/>
        </w:rPr>
        <w:t>storytelling</w:t>
      </w:r>
      <w:proofErr w:type="gramEnd"/>
    </w:p>
    <w:p w14:paraId="0C604D12" w14:textId="77777777" w:rsidR="00777EC4" w:rsidRDefault="00777EC4" w:rsidP="00777EC4">
      <w:pPr>
        <w:spacing w:line="480" w:lineRule="auto"/>
        <w:jc w:val="center"/>
        <w:rPr>
          <w:rFonts w:ascii="Times New Roman" w:hAnsi="Times New Roman" w:cs="Times New Roman"/>
          <w:b/>
          <w:bCs/>
          <w:sz w:val="24"/>
          <w:szCs w:val="24"/>
        </w:rPr>
      </w:pPr>
    </w:p>
    <w:p w14:paraId="77ED9588" w14:textId="603B6230" w:rsidR="001761A4" w:rsidRDefault="005E614F" w:rsidP="005E614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Fabien Littel</w:t>
      </w:r>
    </w:p>
    <w:p w14:paraId="55C83F70" w14:textId="66D124E7" w:rsidR="005E614F" w:rsidRPr="005E614F" w:rsidRDefault="005E614F" w:rsidP="005E614F">
      <w:pPr>
        <w:spacing w:after="0" w:line="240" w:lineRule="auto"/>
        <w:rPr>
          <w:rFonts w:ascii="Times New Roman" w:hAnsi="Times New Roman" w:cs="Times New Roman"/>
          <w:sz w:val="24"/>
          <w:szCs w:val="24"/>
        </w:rPr>
      </w:pPr>
      <w:r w:rsidRPr="005E614F">
        <w:rPr>
          <w:rFonts w:ascii="Times New Roman" w:hAnsi="Times New Roman" w:cs="Times New Roman"/>
          <w:sz w:val="24"/>
          <w:szCs w:val="24"/>
        </w:rPr>
        <w:t>University of Southampton</w:t>
      </w:r>
    </w:p>
    <w:p w14:paraId="4D7D979D" w14:textId="77777777" w:rsidR="005E614F" w:rsidRDefault="005E614F" w:rsidP="005E614F">
      <w:pPr>
        <w:spacing w:after="0" w:line="240" w:lineRule="auto"/>
        <w:rPr>
          <w:rFonts w:ascii="Times New Roman" w:hAnsi="Times New Roman" w:cs="Times New Roman"/>
          <w:b/>
          <w:bCs/>
          <w:sz w:val="24"/>
          <w:szCs w:val="24"/>
        </w:rPr>
      </w:pPr>
    </w:p>
    <w:p w14:paraId="25DEB228" w14:textId="5FB21286" w:rsidR="005E614F" w:rsidRDefault="005E614F" w:rsidP="005E614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Ai Yu</w:t>
      </w:r>
    </w:p>
    <w:p w14:paraId="065F71B1" w14:textId="0AB1B9F4" w:rsidR="005E614F" w:rsidRPr="005E614F" w:rsidRDefault="005E614F" w:rsidP="005E614F">
      <w:pPr>
        <w:spacing w:after="0" w:line="240" w:lineRule="auto"/>
        <w:rPr>
          <w:rFonts w:ascii="Times New Roman" w:hAnsi="Times New Roman" w:cs="Times New Roman"/>
          <w:sz w:val="24"/>
          <w:szCs w:val="24"/>
        </w:rPr>
      </w:pPr>
      <w:r w:rsidRPr="005E614F">
        <w:rPr>
          <w:rFonts w:ascii="Times New Roman" w:hAnsi="Times New Roman" w:cs="Times New Roman"/>
          <w:sz w:val="24"/>
          <w:szCs w:val="24"/>
        </w:rPr>
        <w:t>University of Southampton</w:t>
      </w:r>
    </w:p>
    <w:p w14:paraId="17B306ED" w14:textId="77777777" w:rsidR="005E614F" w:rsidRDefault="005E614F" w:rsidP="00E5081C">
      <w:pPr>
        <w:spacing w:line="480" w:lineRule="auto"/>
        <w:rPr>
          <w:rFonts w:ascii="Times New Roman" w:hAnsi="Times New Roman" w:cs="Times New Roman"/>
          <w:b/>
          <w:bCs/>
          <w:sz w:val="24"/>
          <w:szCs w:val="24"/>
        </w:rPr>
      </w:pPr>
    </w:p>
    <w:p w14:paraId="4E7ADFAF" w14:textId="662E4251" w:rsidR="00777EC4" w:rsidRDefault="00E5081C" w:rsidP="00E5081C">
      <w:pPr>
        <w:spacing w:line="480" w:lineRule="auto"/>
        <w:rPr>
          <w:rFonts w:ascii="Times New Roman" w:hAnsi="Times New Roman" w:cs="Times New Roman"/>
          <w:b/>
          <w:bCs/>
          <w:sz w:val="24"/>
          <w:szCs w:val="24"/>
        </w:rPr>
      </w:pPr>
      <w:r>
        <w:rPr>
          <w:rFonts w:ascii="Times New Roman" w:hAnsi="Times New Roman" w:cs="Times New Roman"/>
          <w:b/>
          <w:bCs/>
          <w:sz w:val="24"/>
          <w:szCs w:val="24"/>
        </w:rPr>
        <w:t>Abstract</w:t>
      </w:r>
    </w:p>
    <w:p w14:paraId="5AE41A4F" w14:textId="1AFA69A6" w:rsidR="00777EC4" w:rsidRDefault="00777EC4" w:rsidP="00C24D62">
      <w:pPr>
        <w:spacing w:after="0" w:line="240" w:lineRule="auto"/>
        <w:ind w:firstLine="720"/>
        <w:jc w:val="both"/>
        <w:rPr>
          <w:rFonts w:ascii="Times New Roman" w:hAnsi="Times New Roman" w:cs="Times New Roman"/>
          <w:sz w:val="24"/>
          <w:szCs w:val="24"/>
        </w:rPr>
      </w:pPr>
      <w:r w:rsidRPr="0090272E">
        <w:rPr>
          <w:rFonts w:ascii="Times New Roman" w:hAnsi="Times New Roman" w:cs="Times New Roman"/>
          <w:sz w:val="24"/>
          <w:szCs w:val="24"/>
        </w:rPr>
        <w:t xml:space="preserve">This paper </w:t>
      </w:r>
      <w:r>
        <w:rPr>
          <w:rFonts w:ascii="Times New Roman" w:hAnsi="Times New Roman" w:cs="Times New Roman"/>
          <w:sz w:val="24"/>
          <w:szCs w:val="24"/>
        </w:rPr>
        <w:t>aims to offer</w:t>
      </w:r>
      <w:r w:rsidRPr="0090272E">
        <w:rPr>
          <w:rFonts w:ascii="Times New Roman" w:hAnsi="Times New Roman" w:cs="Times New Roman"/>
          <w:sz w:val="24"/>
          <w:szCs w:val="24"/>
        </w:rPr>
        <w:t xml:space="preserve"> an innovative contribution to </w:t>
      </w:r>
      <w:r>
        <w:rPr>
          <w:rFonts w:ascii="Times New Roman" w:hAnsi="Times New Roman" w:cs="Times New Roman"/>
          <w:sz w:val="24"/>
          <w:szCs w:val="24"/>
        </w:rPr>
        <w:t xml:space="preserve">organisation and management studies related to climate change, by presenting and analysing experiments of co-creation between actors typically seen as antagonistic: oil and gas industry employees, and climate change advocates, lobbyists, or activists. Based on data collected through storytelling-based online workshops where representatives of these groups share perspectives and engage in co-creating visions of a sustainable future through storytelling, it expands ontological approaches on possible climate solutions by applying a </w:t>
      </w:r>
      <w:proofErr w:type="spellStart"/>
      <w:r>
        <w:rPr>
          <w:rFonts w:ascii="Times New Roman" w:hAnsi="Times New Roman" w:cs="Times New Roman"/>
          <w:sz w:val="24"/>
          <w:szCs w:val="24"/>
        </w:rPr>
        <w:t>Deleuzian</w:t>
      </w:r>
      <w:proofErr w:type="spellEnd"/>
      <w:r>
        <w:rPr>
          <w:rFonts w:ascii="Times New Roman" w:hAnsi="Times New Roman" w:cs="Times New Roman"/>
          <w:sz w:val="24"/>
          <w:szCs w:val="24"/>
        </w:rPr>
        <w:t xml:space="preserve"> immanent ethics lens, going beyond traditional boundaries and established sets of moral values. </w:t>
      </w:r>
      <w:r w:rsidR="004D41CC">
        <w:rPr>
          <w:rFonts w:ascii="Times New Roman" w:hAnsi="Times New Roman" w:cs="Times New Roman"/>
          <w:sz w:val="24"/>
          <w:szCs w:val="24"/>
        </w:rPr>
        <w:t xml:space="preserve">Leaning further into Deleuze’s work, it </w:t>
      </w:r>
      <w:r w:rsidR="00A24A7B">
        <w:rPr>
          <w:rFonts w:ascii="Times New Roman" w:hAnsi="Times New Roman" w:cs="Times New Roman"/>
          <w:sz w:val="24"/>
          <w:szCs w:val="24"/>
        </w:rPr>
        <w:t xml:space="preserve">applies a rhizomatic framework to the </w:t>
      </w:r>
      <w:r w:rsidR="00DA6BF6">
        <w:rPr>
          <w:rFonts w:ascii="Times New Roman" w:hAnsi="Times New Roman" w:cs="Times New Roman"/>
          <w:sz w:val="24"/>
          <w:szCs w:val="24"/>
        </w:rPr>
        <w:t xml:space="preserve">levels of connection through which </w:t>
      </w:r>
      <w:r w:rsidR="004B570D">
        <w:rPr>
          <w:rFonts w:ascii="Times New Roman" w:hAnsi="Times New Roman" w:cs="Times New Roman"/>
          <w:sz w:val="24"/>
          <w:szCs w:val="24"/>
        </w:rPr>
        <w:t xml:space="preserve">dialogical storytelling enables constructive </w:t>
      </w:r>
      <w:r w:rsidR="007C1879">
        <w:rPr>
          <w:rFonts w:ascii="Times New Roman" w:hAnsi="Times New Roman" w:cs="Times New Roman"/>
          <w:sz w:val="24"/>
          <w:szCs w:val="24"/>
        </w:rPr>
        <w:t>vision-developing for a sustainable future.</w:t>
      </w:r>
    </w:p>
    <w:p w14:paraId="273B00BA" w14:textId="77777777" w:rsidR="001761A4" w:rsidRPr="0090272E" w:rsidRDefault="001761A4" w:rsidP="009D08DE">
      <w:pPr>
        <w:spacing w:after="0" w:line="240" w:lineRule="auto"/>
        <w:rPr>
          <w:rFonts w:ascii="Times New Roman" w:hAnsi="Times New Roman" w:cs="Times New Roman"/>
          <w:sz w:val="24"/>
          <w:szCs w:val="24"/>
        </w:rPr>
      </w:pPr>
    </w:p>
    <w:p w14:paraId="647DE04B" w14:textId="6418CC28" w:rsidR="00777EC4" w:rsidRPr="00E5081C" w:rsidRDefault="00E5081C" w:rsidP="009D08DE">
      <w:pPr>
        <w:spacing w:line="240" w:lineRule="auto"/>
        <w:rPr>
          <w:rFonts w:ascii="Times New Roman" w:hAnsi="Times New Roman" w:cs="Times New Roman"/>
          <w:b/>
          <w:bCs/>
          <w:sz w:val="24"/>
          <w:szCs w:val="24"/>
        </w:rPr>
      </w:pPr>
      <w:r w:rsidRPr="00E5081C">
        <w:rPr>
          <w:rFonts w:ascii="Times New Roman" w:hAnsi="Times New Roman" w:cs="Times New Roman"/>
          <w:b/>
          <w:bCs/>
          <w:sz w:val="24"/>
          <w:szCs w:val="24"/>
        </w:rPr>
        <w:t>Introduction</w:t>
      </w:r>
    </w:p>
    <w:p w14:paraId="4C128E2A" w14:textId="77777777" w:rsidR="00777EC4" w:rsidRPr="0095342E" w:rsidRDefault="00777EC4" w:rsidP="009D08DE">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paper is based on the findings of an empirical study bringing together current oil and gas employees with former employees now advocating for alternative paths away from fossil fuels via lobbying or climate activism. Through online workshops, they get to engage, using storytelling, in constructive exchange and co-creation of visions for a sustainable future, envisaging the role of the fossil fuel industry within it. This represents an innovative approach to climate change related action, by facilitating acts of co-creation between individuals adopting positions typically studied separately and considered antagonistic. We argue that this antagonistic perspective and assumption that these groups can only operate against, rather than with, one another, constitutes a missed opportunity to creatively envisage new paths towards a sustainable future. Through bringing these differing views together constructively, this paper embraces a </w:t>
      </w:r>
      <w:proofErr w:type="spellStart"/>
      <w:r>
        <w:rPr>
          <w:rFonts w:ascii="Times New Roman" w:hAnsi="Times New Roman" w:cs="Times New Roman"/>
          <w:sz w:val="24"/>
          <w:szCs w:val="24"/>
        </w:rPr>
        <w:t>Deleuzian</w:t>
      </w:r>
      <w:proofErr w:type="spellEnd"/>
      <w:r>
        <w:rPr>
          <w:rFonts w:ascii="Times New Roman" w:hAnsi="Times New Roman" w:cs="Times New Roman"/>
          <w:sz w:val="24"/>
          <w:szCs w:val="24"/>
        </w:rPr>
        <w:t xml:space="preserve"> immanent ethics theoretical framework, offering a shift in the current climate change debate involving the oil and gas industry. Our empirical study explores the potential for storytelling-based co-creation to challenge existing moral systems, and in doing so offers new possibilities in the context of a grand societal challenge such as climate change.</w:t>
      </w:r>
    </w:p>
    <w:p w14:paraId="7EE4B0D4" w14:textId="77777777" w:rsidR="00777EC4" w:rsidRDefault="00777EC4" w:rsidP="009D08DE">
      <w:pPr>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The oil and gas industry and climate change</w:t>
      </w:r>
    </w:p>
    <w:p w14:paraId="435DB60E" w14:textId="4C32AA4E" w:rsidR="00690303" w:rsidRPr="005E614F" w:rsidRDefault="00777EC4" w:rsidP="009D08DE">
      <w:pPr>
        <w:spacing w:line="240" w:lineRule="auto"/>
        <w:ind w:firstLine="720"/>
        <w:jc w:val="both"/>
        <w:rPr>
          <w:rFonts w:ascii="Times New Roman" w:hAnsi="Times New Roman" w:cs="Times New Roman"/>
          <w:sz w:val="24"/>
          <w:szCs w:val="24"/>
        </w:rPr>
      </w:pPr>
      <w:r w:rsidRPr="00C334BC">
        <w:rPr>
          <w:rFonts w:ascii="Times New Roman" w:hAnsi="Times New Roman" w:cs="Times New Roman"/>
          <w:sz w:val="24"/>
          <w:szCs w:val="24"/>
        </w:rPr>
        <w:t xml:space="preserve">Research literature </w:t>
      </w:r>
      <w:r>
        <w:rPr>
          <w:rFonts w:ascii="Times New Roman" w:hAnsi="Times New Roman" w:cs="Times New Roman"/>
          <w:sz w:val="24"/>
          <w:szCs w:val="24"/>
        </w:rPr>
        <w:t xml:space="preserve">has, over the past few years, highlighted ways in which the oil and gas industry has not only contributed to climate change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{"citationID":"5jgSpufE","properties":{"formattedCitation":"(Grasso, 2019)","plainCitation":"(Grasso, 2019)","noteIndex":0},"citationItems":[{"id":442,"uris":["http://zotero.org/users/10384140/items/J5XMXPV3"],"itemData":{"id":442,"type":"article-journal","abstract":"The article investigates the role the oil and gas industry has played in climate change. Two-thirds of global industrial greenhouse gas emissions over the past two centuries can be traced to the activities of a handful of companies, most of which belong to this industry. Emissions generated by oil and gas companies’ products and processes have significantly increased the concentration of greenhouse gases in the atmosphere. To add to this, some of the oil and gas majors have funded, shaped, and advanced climate denial. Through this behaviour, these companies have besmirched the entire industry and substantially contributed to paralysing global climate policy for decades. In brief, the oil and gas industry has – either directly through emissions or indirectly through denial – played a major role in anthropogenic climate change, the impacts of which are causing serious harm to humanity and the planet. This article carries out a review of the relevant literature in order to explore and justify this claim, as well as to lay the groundwork for analysing the consequent moral and political implications. It opens by overviewing the oil and gas industry, before going on to focus on the contentious and inconsistent process that led oil and gas companies to – grudgingly, and in a limited fashion – acknowledge climate change, a vivid testament to their awkward coexistence. Thereafter, the article turns its attention to the oil and gas companies’ direct contribution to global greenhouse gas emissions; and finally on how their efforts to upend accepted climate science through denial has been a powerful indirect contributing factor to climate change.","container-title":"Energy Research &amp; Social Science","DOI":"10.1016/j.erss.2018.11.017","ISSN":"22146296","journalAbbreviation":"Energy Research &amp; Social Science","language":"en","page":"106-115","source":"DOI.org (Crossref)","title":"Oily politics: A critical assessment of the oil and gas industry’s contribution to climate change","title-short":"Oily politics","volume":"50","author":[{"family":"Grasso","given":"Marco"}],"issued":{"date-parts":[["2019",4]]}}}],"schema":"https://github.com/citation-style-language/schema/raw/master/csl-citation.json"}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(Grasso, 2019)</w:t>
      </w:r>
      <w:r>
        <w:rPr>
          <w:rFonts w:ascii="Times New Roman" w:hAnsi="Times New Roman" w:cs="Times New Roman"/>
          <w:sz w:val="24"/>
          <w:szCs w:val="24"/>
        </w:rPr>
        <w:fldChar w:fldCharType="end"/>
      </w:r>
      <w:r>
        <w:rPr>
          <w:rFonts w:ascii="Times New Roman" w:hAnsi="Times New Roman" w:cs="Times New Roman"/>
          <w:sz w:val="24"/>
          <w:szCs w:val="24"/>
        </w:rPr>
        <w:t xml:space="preserve">, been slow to act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{"citationID":"wr7MwRiu","properties":{"formattedCitation":"(Boon, 2019)","plainCitation":"(Boon, 2019)","noteIndex":0},"citationItems":[{"id":2142,"uris":["http://zotero.org/users/10384140/items/EGKUKPDK"],"itemData":{"id":2142,"type":"article-journal","abstract":"Decarbonization has been identiﬁed as necessary to preventing catastrophic climate change, creating a dilemma for the global oil industry. This article examines the industry’s reaction to this dilemma and focuses on its historical response to market and governmental regulatory pressure. The article argues that differing national climate policies provoked some oil companies to develop proactive decarbonization strategies. However, the continued growth of fossil fuel demand, the industry’s vested interests, and the voluntary nature of climate governance have resulted in the industry taking very little meaningful action to achieve decarbonization.","container-title":"Business History Review","DOI":"10.1017/S0007680519000321","ISSN":"0007-6805, 2044-768X","issue":"1","journalAbbreviation":"Bus. Hist. Rev.","language":"en","page":"101-125","source":"DOI.org (Crossref)","title":"A Climate of Change? The Oil Industry and Decarbonization in Historical Perspective","title-short":"A Climate of Change?","volume":"93","author":[{"family":"Boon","given":"Marten"}],"issued":{"date-parts":[["2019"]]}}}],"schema":"https://github.com/citation-style-language/schema/raw/master/csl-citation.json"}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(Boon, 2019)</w:t>
      </w:r>
      <w:r>
        <w:rPr>
          <w:rFonts w:ascii="Times New Roman" w:hAnsi="Times New Roman" w:cs="Times New Roman"/>
          <w:sz w:val="24"/>
          <w:szCs w:val="24"/>
        </w:rPr>
        <w:fldChar w:fldCharType="end"/>
      </w:r>
      <w:r>
        <w:rPr>
          <w:rFonts w:ascii="Times New Roman" w:hAnsi="Times New Roman" w:cs="Times New Roman"/>
          <w:sz w:val="24"/>
          <w:szCs w:val="24"/>
        </w:rPr>
        <w:t xml:space="preserve">, but also actively managed its image and public perception against criticism towards its activities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{"citationID":"6oydXOzh","properties":{"formattedCitation":"(Kassinis and Panayiotou, 2018)","plainCitation":"(Kassinis and Panayiotou, 2018)","noteIndex":0},"citationItems":[{"id":2223,"uris":["http://zotero.org/users/10384140/items/FJ6XEKVI"],"itemData":{"id":2223,"type":"article-journal","abstract":"We use a visual semiotic approach to explore how BP utilized the power of the visual after the 2010 Deepwater Horizon disaster. Through the careful construction and use of images on its corporate website, BP narrated a visual story that helped the company construct a “logic of representation” when its “logic of practice” became problematic and heavily scrutinized. We argue that the BP case has wider applicability in understanding how companies deploy the visual to create a reality that averts the limelight from risky practices, aid their post-disaster image restoration efforts, or even enhance greenwashing practices when decoupling is exposed. The study adds to a growing literature that raises the importance of visual literacy for both management practitioners and researchers of organizations. It also adds to the literature on greenwashing by showcasing the role of visual imagery in shaping green communication.","container-title":"Organization &amp; Environment","issue":"1","language":"en","page":"25-47","source":"Zotero","title":"Visuality as Greenwashing: The Case of BP and Deepwater Horizon","volume":"31","author":[{"family":"Kassinis","given":"George"},{"family":"Panayiotou","given":"Alexia"}],"issued":{"date-parts":[["2018"]]}}}],"schema":"https://github.com/citation-style-language/schema/raw/master/csl-citation.json"}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(Kassinis and Panayiotou, 2018)</w:t>
      </w:r>
      <w:r>
        <w:rPr>
          <w:rFonts w:ascii="Times New Roman" w:hAnsi="Times New Roman" w:cs="Times New Roman"/>
          <w:sz w:val="24"/>
          <w:szCs w:val="24"/>
        </w:rPr>
        <w:fldChar w:fldCharType="end"/>
      </w:r>
      <w:r>
        <w:rPr>
          <w:rFonts w:ascii="Times New Roman" w:hAnsi="Times New Roman" w:cs="Times New Roman"/>
          <w:sz w:val="24"/>
          <w:szCs w:val="24"/>
        </w:rPr>
        <w:t xml:space="preserve">, as well as its lack of radical transformation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{"citationID":"fdvt4opp","properties":{"formattedCitation":"(Ferns and Amaeshi, 2021; Wright et al., 2021)","plainCitation":"(Ferns and Amaeshi, 2021; Wright et al., 2021)","noteIndex":0},"citationItems":[{"id":1944,"uris":["http://zotero.org/users/10384140/items/K4CBXVSN"],"itemData":{"id":1944,"type":"article-journal","abstract":"This study examines how organizations avoid the urgent need for transformational action on climate change by engaging in a hegemonization process. To show how this unfolds, we draw from Laclau and Mouffe’s discourse theory, focusing on the case of BP and its engagement with the climate change debate from 1990 to 2015. Our study takes a longitudinal approach to illustrate how BP defended its core business of producing and selling fossil fuel products by enacting three sequential hegemonization strategies. These included: adopting new signifiers; building ‘win-win’ relationships; and adapting nodal points. In doing so, we demonstrate how hegemonic construction enables organizations to both incorporate and evade various types of stakeholder critique, which, we argue, reproduces business-as-usual. Our study contributes to organization studies literature on hegemony by highlighting how the construction of hegemony operates accumulatively over an extended period of time. We also contribute more broadly to conversations around political contests and the natural environment by illustrating how the lack of effective climate responses is shaped by temporal dynamics.","container-title":"Organization Studies","DOI":"10.1177/0170840619855744","ISSN":"0170-8406, 1741-3044","issue":"7","journalAbbreviation":"Organization Studies","language":"en","page":"1005-1029","source":"DOI.org (Crossref)","title":"Fueling Climate (In)Action: How organizations engage in hegemonization to avoid transformational action on climate change","title-short":"Fueling Climate (In)Action","volume":"42","author":[{"family":"Ferns","given":"George"},{"family":"Amaeshi","given":"Kenneth"}],"issued":{"date-parts":[["2021",7]]}}},{"id":2156,"uris":["http://zotero.org/users/10384140/items/5WQEXWF4"],"itemData":{"id":2156,"type":"article-journal","abstract":"Despite growing public concern over the worsening climate crisis, tangible action to reduce carbon emissions and limit fossil fuel use remains limited. This is particularly apparent in carbon-rich nations which promote the extraction, export and use of coal, oil and gas as key drivers of economic activity. We examine this contradiction between growing public demands for climate action and the continued dominance of fossil energy in Australia, now the world’s largest exporter of coal and gas. Through a qualitative analysis of media coverage and industry public relations during the period 2008–2019, we show how the fossil fuel hegemony has been maintained and extended in the face of growing social and political critique. We identify the key discourses that the Australian fossil fuel sector has employed in reproducing hegemony and delaying action on climate change. This extends previous theorisations of moral and intellectual leadership by detailing how the fossil fuel sector embeds particular technical claims into the climate change debate. Second, we expand knowledge of political strategy to show how corporate discourses aimed at maintaining hegemony are extended through the state as an ideological promoter.","container-title":"Energy Research &amp; Social Science","DOI":"10.1016/j.erss.2021.102094","ISSN":"22146296","journalAbbreviation":"Energy Research &amp; Social Science","language":"en","page":"102094","source":"DOI.org (Crossref)","title":"Beyond the discourse of denial: The reproduction of fossil fuel hegemony in Australia","title-short":"Beyond the discourse of denial","volume":"77","author":[{"family":"Wright","given":"Christopher"},{"family":"Nyberg","given":"Daniel"},{"family":"Bowden","given":"Vanessa"}],"issued":{"date-parts":[["2021",7]]}}}],"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(Ferns and Amaeshi, 2021; Wright et al., 2021)</w:t>
      </w:r>
      <w:r>
        <w:rPr>
          <w:rFonts w:ascii="Times New Roman" w:hAnsi="Times New Roman" w:cs="Times New Roman"/>
          <w:sz w:val="24"/>
          <w:szCs w:val="24"/>
        </w:rPr>
        <w:fldChar w:fldCharType="end"/>
      </w:r>
      <w:r>
        <w:rPr>
          <w:rFonts w:ascii="Times New Roman" w:hAnsi="Times New Roman" w:cs="Times New Roman"/>
          <w:sz w:val="24"/>
          <w:szCs w:val="24"/>
        </w:rPr>
        <w:t xml:space="preserve">. While some research has sought to give voice and share perspectives from the people at the heart of the oil and gas industry, i.e., its employees, </w:t>
      </w:r>
      <w:r>
        <w:rPr>
          <w:rFonts w:ascii="Times New Roman" w:hAnsi="Times New Roman" w:cs="Times New Roman"/>
          <w:sz w:val="24"/>
          <w:szCs w:val="24"/>
        </w:rPr>
        <w:lastRenderedPageBreak/>
        <w:t xml:space="preserve">it has either focused on employees whose role related directly to sustainability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{"citationID":"bgqr75EB","properties":{"formattedCitation":"(Halttunen et al., 2022)","plainCitation":"(Halttunen et al., 2022)","noteIndex":0},"citationItems":[{"id":1856,"uris":["http://zotero.org/users/10384140/items/NZCGYX49"],"itemData":{"id":1856,"type":"article-journal","abstract":"The operating model of the global oil industry is not compatible with the goals of the Paris Agreement. For the industry, there is a fundamental tension between two competing mandates: the pressure to contribute to the social goal of climate change mitigation, and the need to perform financially and meet obligations to shareholders in activities that directly contribute to climate change. To explore the range of responses to the tension, we interview professionals from large international oil companies who work or have worked in climate related roles. This is novel data from a professional group that has not previously been interviewed in depth about climate change. We develop a framework of six archetypical responses to tension within the oil industry. Examples of strategic responses include accepting the paradox to choose priorities other than climate change mitigation and confronting the paradox to demand changes to the way the oil industry operates. Examples of defensive responses include the transfer of responsibility and projection of tension to other stakeholders. Responses calling for change in the oil industry are the most common among people who have left the industry and the least common for participants from companies headquartered outside of Europe. In a field marked by controversies and value-based debates, a better understanding of the views of people working on the energy transition inside the oil industry provides new insight into the discussion about possible routes to the sustainability transition.","container-title":"Energy Research &amp; Social Science","DOI":"10.1016/j.erss.2022.102800","ISSN":"2214-6296","journalAbbreviation":"Energy Research &amp; Social Science","page":"102800","source":"ScienceDirect","title":"“We don't want to be the bad guys”: Oil industry's sensemaking of the sustainability transition paradox","title-short":"“We don't want to be the bad guys”","volume":"92","author":[{"family":"Halttunen","given":"Krista"},{"family":"Slade","given":"Raphael"},{"family":"Staffell","given":"Iain"}],"issued":{"date-parts":[["2022",10,1]]}}}],"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(Halttunen et al., 2022)</w:t>
      </w:r>
      <w:r>
        <w:rPr>
          <w:rFonts w:ascii="Times New Roman" w:hAnsi="Times New Roman" w:cs="Times New Roman"/>
          <w:sz w:val="24"/>
          <w:szCs w:val="24"/>
        </w:rPr>
        <w:fldChar w:fldCharType="end"/>
      </w:r>
      <w:r>
        <w:rPr>
          <w:rFonts w:ascii="Times New Roman" w:hAnsi="Times New Roman" w:cs="Times New Roman"/>
          <w:sz w:val="24"/>
          <w:szCs w:val="24"/>
        </w:rPr>
        <w:t xml:space="preserve">,  those considered as “experts” in hydrocarbons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{"citationID":"6u3SrmA0","properties":{"formattedCitation":"(Field, 2021)","plainCitation":"(Field, 2021)","noteIndex":0},"citationItems":[{"id":1810,"uris":["http://zotero.org/users/10384140/items/Q8WZVRP3"],"itemData":{"id":1810,"type":"article-journal","abstract":"Drawing on ethnographic research in Houston, Texas, I explore how oil and gas experts negotiate social power and precariousness within the US hydrocarbon sector. In an industry long associated with corporate power, the careers of experts are precariously balanced on rising and falling hydrocarbon prices. This makes the social power these experts wield as fluid as the commodities they are premised on. I show that informal social networks solidified by industry associations can buffer this precariousness by opening new employment opportunities and allowing them to maintain their connection to elite industry circles through periods of unemployment and uncertainty. For many working in the industry, precariousness defines the US hydrocarbon sector as much as the wealth that it is known to generate. Precariousness, I argue, is not just experienced by specific groups of people but rather is a general characteristic of capitalism that touches all but a select few.","container-title":"Critique of Anthropology","DOI":"10.1177/0308275X211038608","ISSN":"0308-275X, 1460-3721","issue":"3","journalAbbreviation":"Critique of Anthropology","language":"en","page":"303-319","source":"DOI.org (Crossref)","title":"Power and precariousness in the expert hierarchies of the US hydrocarbon industry","volume":"41","author":[{"family":"Field","given":"Sean"}],"issued":{"date-parts":[["2021",9]]}}}],"schema":"https://github.com/citation-style-language/schema/raw/master/csl-citation.json"}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(Field, 2021)</w:t>
      </w:r>
      <w:r>
        <w:rPr>
          <w:rFonts w:ascii="Times New Roman" w:hAnsi="Times New Roman" w:cs="Times New Roman"/>
          <w:sz w:val="24"/>
          <w:szCs w:val="24"/>
        </w:rPr>
        <w:fldChar w:fldCharType="end"/>
      </w:r>
      <w:r>
        <w:rPr>
          <w:rFonts w:ascii="Times New Roman" w:hAnsi="Times New Roman" w:cs="Times New Roman"/>
          <w:sz w:val="24"/>
          <w:szCs w:val="24"/>
        </w:rPr>
        <w:t xml:space="preserve">, or a single-company case study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{"citationID":"gJQxOa2D","properties":{"formattedCitation":"(Demers and Gond, 2020)","plainCitation":"(Demers and Gond, 2020)","noteIndex":0},"citationItems":[{"id":2225,"uris":["http://zotero.org/users/10384140/items/GM4XPXVJ"],"itemData":{"id":2225,"type":"article-journal","abstract":"Research on institutional complexity has overlooked the fact that moral judgements are likely involved when individuals face a plurality of logics within organizations. To analyse the moral microfoundations of institutional complexity, we build on Boltanski and Thévenot’s economies of worth framework and explore how individuals produce moral judgement in response to the institutional complexity triggered by a major shift in the sustainability strategy within an oil sands company. Fifty-two interviews with employees, managers and executives reveal how actors rely on four types of justification that combine different moral principles and related objects with the aim of either forming (sheltering and solidifying work) or challenging (fragilizing and deconstructing work) a new compromise with regard to sustainability within the organization. Our results show how the economies of worth framework can enrich institutional complexity theory by bringing morality back into the analysis as a core dimension of inhabited institutions while advancing the microanalysis of compromise-making around sustainability in organization studies.","container-title":"Organization Studies","DOI":"10.1177/0170840619867721","ISSN":"0170-8406, 1741-3044","issue":"4","journalAbbreviation":"Organization Studies","language":"en","page":"563-586","source":"DOI.org (Crossref)","title":"The Moral Microfoundations of Institutional Complexity: Sustainability implementation as compromise-making at an oil sands company","title-short":"The Moral Microfoundations of Institutional Complexity","volume":"41","author":[{"family":"Demers","given":"Christiane"},{"family":"Gond","given":"Jean-Pascal"}],"issued":{"date-parts":[["2020",4]]}}}],"schema":"https://github.com/citation-style-language/schema/raw/master/csl-citation.json"}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(Demers and Gond, 2020)</w:t>
      </w:r>
      <w:r>
        <w:rPr>
          <w:rFonts w:ascii="Times New Roman" w:hAnsi="Times New Roman" w:cs="Times New Roman"/>
          <w:sz w:val="24"/>
          <w:szCs w:val="24"/>
        </w:rPr>
        <w:fldChar w:fldCharType="end"/>
      </w:r>
      <w:r>
        <w:rPr>
          <w:rFonts w:ascii="Times New Roman" w:hAnsi="Times New Roman" w:cs="Times New Roman"/>
          <w:sz w:val="24"/>
          <w:szCs w:val="24"/>
        </w:rPr>
        <w:t xml:space="preserve">. The findings from this burgeoning literature may indicate possibilities for positions of resistance from within, most of it </w:t>
      </w:r>
      <w:r w:rsidR="00154D3A">
        <w:rPr>
          <w:rFonts w:ascii="Times New Roman" w:hAnsi="Times New Roman" w:cs="Times New Roman"/>
          <w:sz w:val="24"/>
          <w:szCs w:val="24"/>
        </w:rPr>
        <w:t xml:space="preserve">situates </w:t>
      </w:r>
      <w:r>
        <w:rPr>
          <w:rFonts w:ascii="Times New Roman" w:hAnsi="Times New Roman" w:cs="Times New Roman"/>
          <w:sz w:val="24"/>
          <w:szCs w:val="24"/>
        </w:rPr>
        <w:t xml:space="preserve">these actors in a position of justification or defensiveness. Where oil and gas employees were observed as taking pro-active steps in support of the environment outside of the control of their organisation, it remained action on a day to day level related to the life of their office, rather than anything more radical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{"citationID":"o2GGyias","properties":{"formattedCitation":"(Skoglund and B\\uc0\\u246{}hm, 2020)","plainCitation":"(Skoglund and Böhm, 2020)","noteIndex":0},"citationItems":[{"id":1962,"uris":["http://zotero.org/users/10384140/items/I999BD4U"],"itemData":{"id":1962,"type":"article-journal","abstract":"The separation between an ‘inside’ and ‘outside’ of organizational politics has become untenable in a rapidly changing political landscape, where people engage in environmental activism in many different domains. To understand contemporary environmental activism, we situate ourselves empirically within an energy utility, Ordalia [pseudonym], a large corporation active across Europe and heavily criticized by external activists for its carbon emitting operations. By merging Rancière’s method of equality and notion of ‘partaking’ with literature on prefiguration in social movements, we analyse everyday green actions pursued by Ordalia’s employees, which we conceptualize as ‘prefigurative partaking’. By focusing on six characterizing themes of prefigurative partaking – aspirational, individual, professional, critical, loyal and communal – we have found that employee activism is incremental, horizontal and boundaryless. We discuss these findings in relation to recent calls for more fruitful exchanges between social movement theory and organization studies, arguing that Rancière’s conceptualization of politics can help us study actions that span civil society and business. This complements and expands our understanding of environmental activism as a dispersed set of actions that can take place anywhere, and hence also at work.","container-title":"Organization Studies","DOI":"10.1177/0170840619847716","ISSN":"0170-8406, 1741-3044","issue":"9","journalAbbreviation":"Organization Studies","language":"en","page":"1257-1283","source":"DOI.org (Crossref)","title":"Prefigurative Partaking: Employees’ Environmental Activism in an Energy Utility","title-short":"Prefigurative Partaking","volume":"41","author":[{"family":"Skoglund","given":"Annika"},{"family":"Böhm","given":"Steffen"}],"issued":{"date-parts":[["2020",9]]}}}],"schema":"https://github.com/citation-style-language/schema/raw/master/csl-citation.json"}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szCs w:val="24"/>
        </w:rPr>
        <w:t>(Skoglund and Böhm, 2020)</w:t>
      </w:r>
      <w:r>
        <w:rPr>
          <w:rFonts w:ascii="Times New Roman" w:hAnsi="Times New Roman" w:cs="Times New Roman"/>
          <w:sz w:val="24"/>
          <w:szCs w:val="24"/>
        </w:rPr>
        <w:fldChar w:fldCharType="end"/>
      </w:r>
      <w:r>
        <w:rPr>
          <w:rFonts w:ascii="Times New Roman" w:hAnsi="Times New Roman" w:cs="Times New Roman"/>
          <w:sz w:val="24"/>
          <w:szCs w:val="24"/>
        </w:rPr>
        <w:t xml:space="preserve">.  In this paper, we propose to represent a more varied cross-section of employees, current and past, from various disciplines and bringing differing views on climate change. We consider their perspectives and bias for action in a more radical and holistic way, for themselves, the industry, and the world. </w:t>
      </w:r>
    </w:p>
    <w:p w14:paraId="66853D8E" w14:textId="0530FCC5" w:rsidR="00777EC4" w:rsidRPr="00113E25" w:rsidRDefault="00777EC4" w:rsidP="009D08DE">
      <w:pPr>
        <w:spacing w:before="120" w:after="0" w:line="240" w:lineRule="auto"/>
        <w:rPr>
          <w:rFonts w:ascii="Times New Roman" w:hAnsi="Times New Roman" w:cs="Times New Roman"/>
          <w:b/>
          <w:bCs/>
          <w:sz w:val="24"/>
          <w:szCs w:val="24"/>
        </w:rPr>
      </w:pPr>
      <w:r w:rsidRPr="00113E25">
        <w:rPr>
          <w:rFonts w:ascii="Times New Roman" w:hAnsi="Times New Roman" w:cs="Times New Roman"/>
          <w:b/>
          <w:bCs/>
          <w:sz w:val="24"/>
          <w:szCs w:val="24"/>
        </w:rPr>
        <w:t>An immanent ethics approach to environmentalism</w:t>
      </w:r>
    </w:p>
    <w:p w14:paraId="20975F2F" w14:textId="77777777" w:rsidR="00777EC4" w:rsidRPr="00C334BC" w:rsidRDefault="00777EC4" w:rsidP="009D08DE">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 envisage possible sustainable futures, this paper adopts an immanent ethics approach for organisational environmentalism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{"citationID":"BUJ2HoQJ","properties":{"formattedCitation":"(Johnsen, 2021)","plainCitation":"(Johnsen, 2021)","noteIndex":0},"citationItems":[{"id":2,"uris":["http://zotero.org/users/10384140/items/AIVI4NA7"],"itemData":{"id":2,"type":"article-journal","abstract":"In research on organizational environmentalism, there has been a repeated call for ways to go beyond the business case for sustainability frame. While the business case frame assumes that developing eco-friendly solutions can benefit firms financially, this article highlights the importance of challenging established understandings of sustainability. To this end, I introduce Deleuze’s distinction between morality and ethics. Morality involves passing judgements on the basis of values. Ethics provides an immanent evaluation of the principles by which specific solutions are considered sustainable. Analysing interviews with architects, building engineers and business developers, the article shows how these actors reflect on the values that form the basis of their practice, but also try to imagine new ways of working with sustainability. In conclusion, the article suggests that an immanent ethics of organizational environmentalism can allow for the values that inform environmental efforts in organizations to be evaluated as well as alternative visions of sustainability to be created.","container-title":"Journal of Business Ethics","DOI":"10.1007/s10551-019-04411-5","ISSN":"0167-4544, 1573-0697","issue":"1","journalAbbreviation":"J Bus Ethics","language":"en","page":"1-14","source":"DOI.org (Crossref)","title":"Sustainability Beyond Instrumentality: Towards an Immanent Ethics of Organizational Environmentalism","title-short":"Sustainability Beyond Instrumentality","volume":"172","author":[{"family":"Johnsen","given":"Christian Garmann"}],"issued":{"date-parts":[["2021",8]]}}}],"schema":"https://github.com/citation-style-language/schema/raw/master/csl-citation.json"}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(Johnsen, 2021)</w:t>
      </w:r>
      <w:r>
        <w:rPr>
          <w:rFonts w:ascii="Times New Roman" w:hAnsi="Times New Roman" w:cs="Times New Roman"/>
          <w:sz w:val="24"/>
          <w:szCs w:val="24"/>
        </w:rPr>
        <w:fldChar w:fldCharType="end"/>
      </w:r>
      <w:r>
        <w:rPr>
          <w:rFonts w:ascii="Times New Roman" w:hAnsi="Times New Roman" w:cs="Times New Roman"/>
          <w:sz w:val="24"/>
          <w:szCs w:val="24"/>
        </w:rPr>
        <w:t xml:space="preserve">, drawing on the work of Deleuze (1983; 1988) on morality and ethics, and specifically the differences between these two concepts. Deleuze stresses the limitations which come with set systems of moral values, and the potential existing within immanent ethics taking distance from such systems, while refraining from applying judgement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{"citationID":"UBJBSmHT","properties":{"formattedCitation":"(Banville and Torres, 2017)","plainCitation":"(Banville and Torres, 2017)","noteIndex":0},"citationItems":[{"id":810,"uris":["http://zotero.org/users/10384140/items/Z6GXIYU9"],"itemData":{"id":810,"type":"article-journal","abstract":"This article draws attention to urban planning’s apparent reluctance to engage with the ethical and political dimensions of Deleuze and Guattari’s thought. It puts forward the hypothesis that planning, as a discipline, is fundamentally inhospitable to the idea of autonomy, and it raises the question of whether planning can survive a radical engagement with an immanent ethics. In other words, if planning questions its close ties with the state and its assumptions about people’s capacity to live together, if it opens itself up to lines of flight, is deterritorialized, becomes imperceptible, is it still urban planning? Six proposals for an urban planning that embraces Deleuzoguattarian ethics are presented.","container-title":"Planning Theory","DOI":"10.1177/1473095215625707","ISSN":"1473-0952, 1741-3052","issue":"3","journalAbbreviation":"Planning Theory","language":"en","page":"255-274","source":"DOI.org (Crossref)","title":"On embracing an immanent ethics in urban planning: Pursuing our Body-without-Organs","title-short":"On embracing an immanent ethics in urban planning","volume":"16","author":[{"family":"Banville","given":"Marie-Sophie"},{"family":"Torres","given":"Juan"}],"issued":{"date-parts":[["2017",8]]}}}],"schema":"https://github.com/citation-style-language/schema/raw/master/csl-citation.json"}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(Banville and Torres, 2017)</w:t>
      </w:r>
      <w:r>
        <w:rPr>
          <w:rFonts w:ascii="Times New Roman" w:hAnsi="Times New Roman" w:cs="Times New Roman"/>
          <w:sz w:val="24"/>
          <w:szCs w:val="24"/>
        </w:rPr>
        <w:fldChar w:fldCharType="end"/>
      </w:r>
      <w:r>
        <w:rPr>
          <w:rFonts w:ascii="Times New Roman" w:hAnsi="Times New Roman" w:cs="Times New Roman"/>
          <w:sz w:val="24"/>
          <w:szCs w:val="24"/>
        </w:rPr>
        <w:t xml:space="preserve">. Deleuze and </w:t>
      </w:r>
      <w:proofErr w:type="spellStart"/>
      <w:r>
        <w:rPr>
          <w:rFonts w:ascii="Times New Roman" w:hAnsi="Times New Roman" w:cs="Times New Roman"/>
          <w:sz w:val="24"/>
          <w:szCs w:val="24"/>
        </w:rPr>
        <w:t>Guatarri’s</w:t>
      </w:r>
      <w:proofErr w:type="spellEnd"/>
      <w:r>
        <w:rPr>
          <w:rFonts w:ascii="Times New Roman" w:hAnsi="Times New Roman" w:cs="Times New Roman"/>
          <w:sz w:val="24"/>
          <w:szCs w:val="24"/>
        </w:rPr>
        <w:t xml:space="preserve"> (1987 [1980]) metaphor of the rhizome as aspiration for connections leading to new collective entities has inspired other collective endeavours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{"citationID":"LnEjXPpy","properties":{"formattedCitation":"(Wyatt et al., 2014)","plainCitation":"(Wyatt et al., 2014)","noteIndex":0},"citationItems":[{"id":2448,"uris":["http://zotero.org/users/10384140/items/3MN7CTKS"],"itemData":{"id":2448,"type":"article-journal","abstract":"In this article, the authors respond to Deleuze and Collaborative Writing: An Immanent Plane of Composition. The book’s authors (Jonathan, Ken, Susanne, and Bronwyn) and two discussants (Elizabeth St. Pierre and Norman Denzin) consider questions such as the following: What does this book open up? How might it help us to think differently (e.g. about inquiry, about collaboration, about the ethics of reading and writing in such an assemblage)? And how does it contribute to the growing literature on collaborative writing as method of inquiry?","container-title":"Cultural Studies ↔ Critical Methodologies","DOI":"10.1177/1532708614530313","ISSN":"1532-7086, 1552-356X","issue":"4","journalAbbreviation":"Cultural Studies ↔ Critical Methodologies","language":"en","page":"407-416","source":"DOI.org (Crossref)","title":"Deleuze and Collaborative Writing: Responding to/With “JKSB”","title-short":"Deleuze and Collaborative Writing","volume":"14","author":[{"family":"Wyatt","given":"Jonathan"},{"family":"Gale","given":"Ken"},{"family":"Gannon","given":"Susanne"},{"family":"Davies","given":"Bronwyn"},{"family":"Denzin","given":"Norman K."},{"family":"St. Pierre","given":"Elizabeth Adams"}],"issued":{"date-parts":[["2014",8]]}}}],"schema":"https://github.com/citation-style-language/schema/raw/master/csl-citation.json"}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(Wyatt et al., 2014)</w:t>
      </w:r>
      <w:r>
        <w:rPr>
          <w:rFonts w:ascii="Times New Roman" w:hAnsi="Times New Roman" w:cs="Times New Roman"/>
          <w:sz w:val="24"/>
          <w:szCs w:val="24"/>
        </w:rPr>
        <w:fldChar w:fldCharType="end"/>
      </w:r>
      <w:r>
        <w:rPr>
          <w:rFonts w:ascii="Times New Roman" w:hAnsi="Times New Roman" w:cs="Times New Roman"/>
          <w:sz w:val="24"/>
          <w:szCs w:val="24"/>
        </w:rPr>
        <w:t xml:space="preserve">, and is seen as appropriate for this study where differing perspectives, from oil and gas employees to climate activists, are encouraged to come together without judgement in an exercise of collective creation. By applying a </w:t>
      </w:r>
      <w:proofErr w:type="spellStart"/>
      <w:r>
        <w:rPr>
          <w:rFonts w:ascii="Times New Roman" w:hAnsi="Times New Roman" w:cs="Times New Roman"/>
          <w:sz w:val="24"/>
          <w:szCs w:val="24"/>
        </w:rPr>
        <w:t>Deleuzian</w:t>
      </w:r>
      <w:proofErr w:type="spellEnd"/>
      <w:r>
        <w:rPr>
          <w:rFonts w:ascii="Times New Roman" w:hAnsi="Times New Roman" w:cs="Times New Roman"/>
          <w:sz w:val="24"/>
          <w:szCs w:val="24"/>
        </w:rPr>
        <w:t xml:space="preserve"> immanent ethics framework to this study, we position our workshops as a series of experiments on how sustainable futures can come to being.  </w:t>
      </w:r>
    </w:p>
    <w:p w14:paraId="6A2B4572" w14:textId="77777777" w:rsidR="00777EC4" w:rsidRDefault="00777EC4" w:rsidP="009D08DE">
      <w:pPr>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Co-creating future visions through </w:t>
      </w:r>
      <w:proofErr w:type="gramStart"/>
      <w:r>
        <w:rPr>
          <w:rFonts w:ascii="Times New Roman" w:hAnsi="Times New Roman" w:cs="Times New Roman"/>
          <w:b/>
          <w:bCs/>
          <w:sz w:val="24"/>
          <w:szCs w:val="24"/>
        </w:rPr>
        <w:t>storytelling</w:t>
      </w:r>
      <w:proofErr w:type="gramEnd"/>
    </w:p>
    <w:p w14:paraId="1914092C" w14:textId="77777777" w:rsidR="00777EC4" w:rsidRPr="007C7204" w:rsidRDefault="00777EC4" w:rsidP="009D08DE">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By conducting these co-creation events, this study f</w:t>
      </w:r>
      <w:r w:rsidRPr="007C7204">
        <w:rPr>
          <w:rFonts w:ascii="Times New Roman" w:hAnsi="Times New Roman" w:cs="Times New Roman"/>
          <w:sz w:val="24"/>
          <w:szCs w:val="24"/>
        </w:rPr>
        <w:t>ollow</w:t>
      </w:r>
      <w:r>
        <w:rPr>
          <w:rFonts w:ascii="Times New Roman" w:hAnsi="Times New Roman" w:cs="Times New Roman"/>
          <w:sz w:val="24"/>
          <w:szCs w:val="24"/>
        </w:rPr>
        <w:t>s</w:t>
      </w:r>
      <w:r w:rsidRPr="007C7204">
        <w:rPr>
          <w:rFonts w:ascii="Times New Roman" w:hAnsi="Times New Roman" w:cs="Times New Roman"/>
          <w:sz w:val="24"/>
          <w:szCs w:val="24"/>
        </w:rPr>
        <w:t xml:space="preserve"> calls for </w:t>
      </w:r>
      <w:r>
        <w:rPr>
          <w:rFonts w:ascii="Times New Roman" w:hAnsi="Times New Roman" w:cs="Times New Roman"/>
          <w:sz w:val="24"/>
          <w:szCs w:val="24"/>
        </w:rPr>
        <w:t xml:space="preserve">sustainability research to be approached in a more critical and relational manner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{"citationID":"HHfNhemV","properties":{"formattedCitation":"(Ergene et al., 2021)","plainCitation":"(Ergene et al., 2021)","noteIndex":0},"citationItems":[{"id":1956,"uris":["http://zotero.org/users/10384140/items/QN7U83YK"],"itemData":{"id":1956,"type":"article-journal","abstract":"In this essay, we trace the evolution of the field of sustainability in management and organization studies and narrate its epistemological twists and turns. Concerned by the current trajectory that tends to diminish a focus on political concerns, we propose a new research agenda, an ecological case for business, that transforms our paradigmatic orientation in four shifts: (1) altering our epistemological lenses from managerial to critical perspectives; (2) altering our ontological lenses from realist to relational view; (3) changing the way we design and conduct research from discipline-focused to interdisciplinary knowledge; and (4) transforming our scholarly stance from value-neutral to engaged scholarship. We argue that these shifts have capacities to overcome the conceptual limitations of the business case and, more fundamentally, help us question our scholarly positioning to the ongoing socio-ecological crises.","container-title":"Organization Studies","DOI":"10.1177/0170840620937892","ISSN":"0170-8406, 1741-3044","issue":"8","journalAbbreviation":"Organization Studies","language":"en","page":"1319-1335","source":"DOI.org (Crossref)","title":"(Un)Sustainability and Organization Studies: Towards a Radical Engagement","title-short":"(Un)Sustainability and Organization Studies","volume":"42","author":[{"family":"Ergene","given":"Seray"},{"family":"Banerjee","given":"Subhabrata Bobby"},{"family":"Hoffman","given":"Andrew J."}],"issued":{"date-parts":[["2021",8]]}}}],"schema":"https://github.com/citation-style-language/schema/raw/master/csl-citation.json"}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(Ergene et al., 2021)</w:t>
      </w:r>
      <w:r>
        <w:rPr>
          <w:rFonts w:ascii="Times New Roman" w:hAnsi="Times New Roman" w:cs="Times New Roman"/>
          <w:sz w:val="24"/>
          <w:szCs w:val="24"/>
        </w:rPr>
        <w:fldChar w:fldCharType="end"/>
      </w:r>
      <w:r>
        <w:rPr>
          <w:rFonts w:ascii="Times New Roman" w:hAnsi="Times New Roman" w:cs="Times New Roman"/>
          <w:sz w:val="24"/>
          <w:szCs w:val="24"/>
        </w:rPr>
        <w:t xml:space="preserve">, and focus on discretionary positive moral intent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{"citationID":"2e0wbxa4","properties":{"formattedCitation":"(Snellman, 2023)","plainCitation":"(Snellman, 2023)","noteIndex":0},"citationItems":[{"id":1916,"uris":["http://zotero.org/users/10384140/items/E4ZTHGSV"],"itemData":{"id":1916,"type":"article-journal","abstract":"Accelerating the sustainability transition demands managers to more intensively and more frequently envisage in supererogatory acts. Supererogatory action is not legally or morally required but consist of praiseworthy acts beyond duty that have the capacity to build a better future. This perspective paper argues that strategic decisionmaking during sustainability transitions should be more supererogatory, and research should pay more explicit attention to the supererogatory acts of managers and business organizations. Supererogation is especially important in any transition, where the business environment is changing rapidly and fundamentally, where stakeholder preferences conflict and first-mover advantages are significant. Our argument is that perceived rightness and confidence are prerequisites for managers to envisage desirable futures and act in ways that transcend duty. We also critically reflect on the threats implied by supererogatory management. Our arguments are illustrated by interview data collected from Finnish managers with first-hand experience with supererogatory acts in the current sustainability transitions of the food packaging industry. We call for empirical research explaining the role of supererogatory management in driving sustainability transitions in different settings and hope that this perspective paper can spur the awareness of managers and policy makers regarding the power of supererogatory acts in management.","container-title":"Technological Forecasting","language":"en","source":"Zotero","title":"The creation of desirable futures: A call for supererogatory management to foster sustainability transitions","author":[{"family":"Snellman","given":"Kirsi"}],"issued":{"date-parts":[["2023"]]}}}],"schema":"https://github.com/citation-style-language/schema/raw/master/csl-citation.json"}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(Snellman, 2023)</w:t>
      </w:r>
      <w:r>
        <w:rPr>
          <w:rFonts w:ascii="Times New Roman" w:hAnsi="Times New Roman" w:cs="Times New Roman"/>
          <w:sz w:val="24"/>
          <w:szCs w:val="24"/>
        </w:rPr>
        <w:fldChar w:fldCharType="end"/>
      </w:r>
      <w:r>
        <w:rPr>
          <w:rFonts w:ascii="Times New Roman" w:hAnsi="Times New Roman" w:cs="Times New Roman"/>
          <w:sz w:val="24"/>
          <w:szCs w:val="24"/>
        </w:rPr>
        <w:t xml:space="preserve"> to enable constructive collaboration beyond individual opinions. Storytelling has been positioned as an effective way of bridging differences in identities and opinions through a dialogical approach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{"citationID":"tpHSWbiR","properties":{"formattedCitation":"(Black, 2008)","plainCitation":"(Black, 2008)","noteIndex":0},"citationItems":[{"id":2325,"uris":["http://zotero.org/users/10384140/items/WX2SQDK9"],"itemData":{"id":2325,"type":"article-journal","container-title":"Communication Theory","DOI":"10.1111/j.1468-2885.2007.00315.x","ISSN":"10503293","issue":"1","language":"en","page":"93-116","source":"DOI.org (Crossref)","title":"Deliberation, Storytelling, and Dialogic Moments: Deliberation, Storytelling, and Dialogic Moments","title-short":"Deliberation, Storytelling, and Dialogic Moments","volume":"18","author":[{"family":"Black","given":"Laura W."}],"issued":{"date-parts":[["2008",1,15]]}}}],"schema":"https://github.com/citation-style-language/schema/raw/master/csl-citation.json"}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(Black, 2008)</w:t>
      </w:r>
      <w:r>
        <w:rPr>
          <w:rFonts w:ascii="Times New Roman" w:hAnsi="Times New Roman" w:cs="Times New Roman"/>
          <w:sz w:val="24"/>
          <w:szCs w:val="24"/>
        </w:rPr>
        <w:fldChar w:fldCharType="end"/>
      </w:r>
      <w:r>
        <w:rPr>
          <w:rFonts w:ascii="Times New Roman" w:hAnsi="Times New Roman" w:cs="Times New Roman"/>
          <w:sz w:val="24"/>
          <w:szCs w:val="24"/>
        </w:rPr>
        <w:t xml:space="preserve">. In the context of climate change, while stories have been shown to support the manipulation of public opinion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{"citationID":"ysTXbhie","properties":{"formattedCitation":"(Munro, 2017)","plainCitation":"(Munro, 2017)","noteIndex":0},"citationItems":[{"id":2306,"uris":["http://zotero.org/users/10384140/items/Z4APGLZ2"],"itemData":{"id":2306,"type":"article-journal","abstract":"Several environmental advocacy organizations have emerged that use narrative persuasion techniques to change climate change opinions and overcome climate change inaction. Written from the perspective of parents and grandparents (particularly mothers), the narratives in these testimonials use socio-cultural values and relatable images to motivate environmental concern. This article identiﬁes pernicious hegemonic themes in the testimonial stories that have been featured on the websites of environmental advocacy organizations and critically analyzes these narratives using feminist and queer theoretical frameworks. Two themes are highlighted for analysis: ﬁrst, themes about the special knowledges, powers, emotions, and duties of motherhood; and second, themes about the importance of preserving the environment for children and their oﬀspring in the future. The oppressive inﬂuence of these particular narratives has been argued at length in previous research. Eﬀorts to mitigate climate change are important, but attempts to shape public opinion should not simultaneously reproduce harmful myths about women and motherhood.","container-title":"Energy Research &amp; Social Science","DOI":"10.1016/j.erss.2017.05.038","ISSN":"22146296","journalAbbreviation":"Energy Research &amp; Social Science","language":"en","page":"233-239","source":"DOI.org (Crossref)","title":"Hegemonic stories in environmental advocacy testimonials","volume":"31","author":[{"family":"Munro","given":"Kirstin"}],"issued":{"date-parts":[["2017",9]]}}}],"schema":"https://github.com/citation-style-language/schema/raw/master/csl-citation.json"}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(Munro, 2017)</w:t>
      </w:r>
      <w:r>
        <w:rPr>
          <w:rFonts w:ascii="Times New Roman" w:hAnsi="Times New Roman" w:cs="Times New Roman"/>
          <w:sz w:val="24"/>
          <w:szCs w:val="24"/>
        </w:rPr>
        <w:fldChar w:fldCharType="end"/>
      </w:r>
      <w:r>
        <w:rPr>
          <w:rFonts w:ascii="Times New Roman" w:hAnsi="Times New Roman" w:cs="Times New Roman"/>
          <w:sz w:val="24"/>
          <w:szCs w:val="24"/>
        </w:rPr>
        <w:t xml:space="preserve">, they have also been used as a way to get people to envisage changes in behaviours regarding the use of energy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{"citationID":"tyjt3jfQ","properties":{"formattedCitation":"(Rotmann, 2017)","plainCitation":"(Rotmann, 2017)","noteIndex":0},"citationItems":[{"id":2298,"uris":["http://zotero.org/users/10384140/items/CMHEHBXP"],"itemData":{"id":2298,"type":"article-journal","abstract":"The International Energy Agency’s Demand-Side Management Programme’s Task 24 aims to turn behaviour change theory into pilot projects. One obstacle to delivering successful behaviour change interventions concerns the silos between diﬀerent stakeholders in the energy system and their limited collaboration. To facilitate multistakeholder collaboration and co-design of better behavioural interventions and pilots, Task 24 focuses on participatory, shared learning in facilitated workshop settings. Storytelling is used as an overarching ‘translation tool’ between invited stakeholders from diﬀerent sectors and research disciplines. A story spine loosely based on a fairy tale structure was used to collect over 160 stories from energy experts from over 20 countries. In this paper, I focus on the process of storytelling using such a story spine, and, to a lesser extent, the participants (the storytellers) and the product (the stories).","container-title":"Energy Research &amp; Social Science","DOI":"10.1016/j.erss.2017.06.033","ISSN":"22146296","journalAbbreviation":"Energy Research &amp; Social Science","language":"en","page":"303-310","source":"DOI.org (Crossref)","title":"“Once upon a time…” Eliciting energy and behaviour change stories using a fairy tale story spine","volume":"31","author":[{"family":"Rotmann","given":"Sea"}],"issued":{"date-parts":[["2017",9]]}}}],"schema":"https://github.com/citation-style-language/schema/raw/master/csl-citation.json"}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(Rotmann, 2017)</w:t>
      </w:r>
      <w:r>
        <w:rPr>
          <w:rFonts w:ascii="Times New Roman" w:hAnsi="Times New Roman" w:cs="Times New Roman"/>
          <w:sz w:val="24"/>
          <w:szCs w:val="24"/>
        </w:rPr>
        <w:fldChar w:fldCharType="end"/>
      </w:r>
      <w:r>
        <w:rPr>
          <w:rFonts w:ascii="Times New Roman" w:hAnsi="Times New Roman" w:cs="Times New Roman"/>
          <w:sz w:val="24"/>
          <w:szCs w:val="24"/>
        </w:rPr>
        <w:t xml:space="preserve"> or picture strategies for adaptation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{"citationID":"meuuvKNy","properties":{"formattedCitation":"(Harcourt et al., 2021)","plainCitation":"(Harcourt et al., 2021)","noteIndex":0},"citationItems":[{"id":2269,"uris":["http://zotero.org/users/10384140/items/I9C9SAAA"],"itemData":{"id":2269,"type":"article-journal","abstract":"Engaging people in preparing for inevitable climate change may help them to improve their own safety and contribute to local and national adaptation objectives. However, existing research shows that individual engagement with adaptation is low. One contributing factor to this might be that public discourses on climate change often seems dominated by overly negative and seemingly pre-determined visions of the future. Futures thinking intends to counter this by re-presenting the future as choice contingent and inclusive of other possible and preferable outcomes. Here, we undertook storytelling workshops with participants from the West Yorkshire region of the U.K. They were asked to write ﬁctional adaptation futures stories which: opened by detailing their imagined story world, moved to events that disrupted those worlds, provided a description of who responded and how and closed with outcomes and learnings from the experience. We found that many of the stories envisioned adaptation as a here-and-now phenomenon, and that good adaptation meant identifying and safeguarding things of most value. However, we also found notable differences as to whether the government, local community or rebel groups were imagined as leaders of the responsive actions, and as to whether good adaptation meant maintaining life as it had been before the disruptive events occurred or using the disruptive events as a catalyst for social change. We suggest that the creative futures storytelling method tested here could be gainfully applied to support adaptation planning across local, regional and national scales.","container-title":"Sustainability","DOI":"10.3390/su13126630","ISSN":"2071-1050","issue":"12","journalAbbreviation":"Sustainability","language":"en","page":"6630","source":"DOI.org (Crossref)","title":"Envisioning Climate Change Adaptation Futures Using Storytelling Workshops","volume":"13","author":[{"family":"Harcourt","given":"Rachel"},{"family":"Bruine De Bruin","given":"Wändi"},{"family":"Dessai","given":"Suraje"},{"family":"Taylor","given":"Andrea"}],"issued":{"date-parts":[["2021",6,10]]}}}],"schema":"https://github.com/citation-style-language/schema/raw/master/csl-citation.json"}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(Harcourt et al., 2021)</w:t>
      </w:r>
      <w:r>
        <w:rPr>
          <w:rFonts w:ascii="Times New Roman" w:hAnsi="Times New Roman" w:cs="Times New Roman"/>
          <w:sz w:val="24"/>
          <w:szCs w:val="24"/>
        </w:rPr>
        <w:fldChar w:fldCharType="end"/>
      </w:r>
      <w:r>
        <w:rPr>
          <w:rFonts w:ascii="Times New Roman" w:hAnsi="Times New Roman" w:cs="Times New Roman"/>
          <w:sz w:val="24"/>
          <w:szCs w:val="24"/>
        </w:rPr>
        <w:t xml:space="preserve">. In particular, seeking to visualise stories about possible futures has been shown to help envisage positive outcomes and drive more constructive paths for action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{"citationID":"UXqFXDmf","properties":{"formattedCitation":"(L\\uc0\\u234{}, 2013)","plainCitation":"(Lê, 2013)","noteIndex":0},"citationItems":[{"id":2219,"uris":["http://zotero.org/users/10384140/items/FUBKUSJN"],"itemData":{"id":2219,"type":"article-journal","abstract":"This empirical study examines the relationship between constructions of the future and anticipated organizational responses to climate change. Findings from the Athabasca oil sands region of Alberta, Canada indicate that actors’ views of climate change affect not only the way they construct the future of oil sands development, but also which responses they see as legitimate. Specifically, whether actors construct a future of no development, partial development or full development of the oil sands, influences the combinations of organizational responses they recommend (i.e. not responding, lobbying, engaging, developing and informing). These findings contribute to our understanding of organizational responses to climate change by showing that (1) climate action requires more than actors simply viewing climate change as strategic; (2) different constructions of the future create alternative strategic environments that necessitate divergent responses; (3) strong future constructions narrow the repertoire of business responses to climate change; and (4) in this process governments play a crucial role beyond setting climate change policy. This study thus highlights the importance of studying future constructions if we want to understand current organizational responses to environmental issues that contribute to climate change.","container-title":"Organization","issue":"5","language":"en","page":"722-742","source":"Zotero","title":"How constructions of the future shape organizational responses: climate change and the Canadian oil sands","volume":"20","author":[{"family":"Lê","given":"Jane K"}],"issued":{"date-parts":[["2013"]]}}}],"schema":"https://github.com/citation-style-language/schema/raw/master/csl-citation.json"}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szCs w:val="24"/>
        </w:rPr>
        <w:t>(Lê, 2013)</w:t>
      </w:r>
      <w:r>
        <w:rPr>
          <w:rFonts w:ascii="Times New Roman" w:hAnsi="Times New Roman" w:cs="Times New Roman"/>
          <w:sz w:val="24"/>
          <w:szCs w:val="24"/>
        </w:rPr>
        <w:fldChar w:fldCharType="end"/>
      </w:r>
      <w:r>
        <w:rPr>
          <w:rFonts w:ascii="Times New Roman" w:hAnsi="Times New Roman" w:cs="Times New Roman"/>
          <w:sz w:val="24"/>
          <w:szCs w:val="24"/>
        </w:rPr>
        <w:t xml:space="preserve">. This study aims to put in practice the concept of dialogic storytelling to help foster collaboration between people with differing opinions, while focusing on visions of the future, in a way which is described in the next section. </w:t>
      </w:r>
    </w:p>
    <w:p w14:paraId="30B09FE6" w14:textId="77777777" w:rsidR="00777EC4" w:rsidRDefault="00777EC4" w:rsidP="009D08DE">
      <w:pPr>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Methodology</w:t>
      </w:r>
    </w:p>
    <w:p w14:paraId="02F2F5E7" w14:textId="6A39F636" w:rsidR="00777EC4" w:rsidRDefault="00777EC4" w:rsidP="009D08DE">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earlier stages of the project of which this </w:t>
      </w:r>
      <w:r w:rsidR="0019576E">
        <w:rPr>
          <w:rFonts w:ascii="Times New Roman" w:hAnsi="Times New Roman" w:cs="Times New Roman"/>
          <w:sz w:val="24"/>
          <w:szCs w:val="24"/>
        </w:rPr>
        <w:t>paper</w:t>
      </w:r>
      <w:r>
        <w:rPr>
          <w:rFonts w:ascii="Times New Roman" w:hAnsi="Times New Roman" w:cs="Times New Roman"/>
          <w:sz w:val="24"/>
          <w:szCs w:val="24"/>
        </w:rPr>
        <w:t xml:space="preserve"> forms the third and final part, a total of thirty-six participants were recruited for semi-structured interviews in support of two separate studies. At the time of their recruitment, all participants were advised that co-creation workshops would be organised as a future study and given an opportunity to express their interest. Recruiting participants from an earlier study enabled the research team to ensure various perspectives and experiences were represented in these workshops, based on data collected in earlier interviews.</w:t>
      </w:r>
    </w:p>
    <w:p w14:paraId="3DD04D00" w14:textId="7243A592" w:rsidR="00777EC4" w:rsidRDefault="00777EC4" w:rsidP="009D08D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From the thirty-six initial participants, </w:t>
      </w:r>
      <w:r w:rsidR="00CF5DEA">
        <w:rPr>
          <w:rFonts w:ascii="Times New Roman" w:hAnsi="Times New Roman" w:cs="Times New Roman"/>
          <w:sz w:val="24"/>
          <w:szCs w:val="24"/>
        </w:rPr>
        <w:t>twelve</w:t>
      </w:r>
      <w:r>
        <w:rPr>
          <w:rFonts w:ascii="Times New Roman" w:hAnsi="Times New Roman" w:cs="Times New Roman"/>
          <w:sz w:val="24"/>
          <w:szCs w:val="24"/>
        </w:rPr>
        <w:t xml:space="preserve"> agreed to take part in these co-creation workshops. They were split across three events </w:t>
      </w:r>
      <w:r w:rsidR="002F65A7">
        <w:rPr>
          <w:rFonts w:ascii="Times New Roman" w:hAnsi="Times New Roman" w:cs="Times New Roman"/>
          <w:sz w:val="24"/>
          <w:szCs w:val="24"/>
        </w:rPr>
        <w:t>which took</w:t>
      </w:r>
      <w:r>
        <w:rPr>
          <w:rFonts w:ascii="Times New Roman" w:hAnsi="Times New Roman" w:cs="Times New Roman"/>
          <w:sz w:val="24"/>
          <w:szCs w:val="24"/>
        </w:rPr>
        <w:t xml:space="preserve"> place between the 13</w:t>
      </w:r>
      <w:r w:rsidRPr="004924CB">
        <w:rPr>
          <w:rFonts w:ascii="Times New Roman" w:hAnsi="Times New Roman" w:cs="Times New Roman"/>
          <w:sz w:val="24"/>
          <w:szCs w:val="24"/>
          <w:vertAlign w:val="superscript"/>
        </w:rPr>
        <w:t>th</w:t>
      </w:r>
      <w:r>
        <w:rPr>
          <w:rFonts w:ascii="Times New Roman" w:hAnsi="Times New Roman" w:cs="Times New Roman"/>
          <w:sz w:val="24"/>
          <w:szCs w:val="24"/>
        </w:rPr>
        <w:t xml:space="preserve"> and 25</w:t>
      </w:r>
      <w:r w:rsidRPr="004924CB">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March 2024, including four participants each. The small group size was deemed appropriate to ensure all participants could contribute substantially and have time and space to share their perspectives and engage in discussions. </w:t>
      </w:r>
    </w:p>
    <w:p w14:paraId="7B26C7AC" w14:textId="35063CEC" w:rsidR="00777EC4" w:rsidRDefault="00777EC4" w:rsidP="009D08D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Due to the geographically spread nature of the participants, the co-creation workshops </w:t>
      </w:r>
      <w:r w:rsidR="002F65A7">
        <w:rPr>
          <w:rFonts w:ascii="Times New Roman" w:hAnsi="Times New Roman" w:cs="Times New Roman"/>
          <w:sz w:val="24"/>
          <w:szCs w:val="24"/>
        </w:rPr>
        <w:t>were</w:t>
      </w:r>
      <w:r>
        <w:rPr>
          <w:rFonts w:ascii="Times New Roman" w:hAnsi="Times New Roman" w:cs="Times New Roman"/>
          <w:sz w:val="24"/>
          <w:szCs w:val="24"/>
        </w:rPr>
        <w:t xml:space="preserve"> held online using MS Teams, and scheduled to last two hours. They </w:t>
      </w:r>
      <w:r w:rsidR="00F86444">
        <w:rPr>
          <w:rFonts w:ascii="Times New Roman" w:hAnsi="Times New Roman" w:cs="Times New Roman"/>
          <w:sz w:val="24"/>
          <w:szCs w:val="24"/>
        </w:rPr>
        <w:t>were</w:t>
      </w:r>
      <w:r>
        <w:rPr>
          <w:rFonts w:ascii="Times New Roman" w:hAnsi="Times New Roman" w:cs="Times New Roman"/>
          <w:sz w:val="24"/>
          <w:szCs w:val="24"/>
        </w:rPr>
        <w:t xml:space="preserve"> structured in five main parts including an introduction, a first activity focusing on individual stories and experiences with oil and gas to date, a discussion looking to identify commonalities and differences, a second activity where the group will collectively develop a story around a sustainable future, and a final discussion to reflect on the process and the outcome which was achieved. See table 1 for the workshop structure.</w:t>
      </w:r>
    </w:p>
    <w:p w14:paraId="19C71E0D" w14:textId="70DAEAF3" w:rsidR="00777EC4" w:rsidRDefault="00777EC4" w:rsidP="009D08D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workshops </w:t>
      </w:r>
      <w:r w:rsidR="00F86444">
        <w:rPr>
          <w:rFonts w:ascii="Times New Roman" w:hAnsi="Times New Roman" w:cs="Times New Roman"/>
          <w:sz w:val="24"/>
          <w:szCs w:val="24"/>
        </w:rPr>
        <w:t>were</w:t>
      </w:r>
      <w:r>
        <w:rPr>
          <w:rFonts w:ascii="Times New Roman" w:hAnsi="Times New Roman" w:cs="Times New Roman"/>
          <w:sz w:val="24"/>
          <w:szCs w:val="24"/>
        </w:rPr>
        <w:t xml:space="preserve"> run by a professional facilitator, with the research team present and acting as observers. To support the dialogic storytelling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{"citationID":"iRqv2n6E","properties":{"formattedCitation":"(Black, 2008)","plainCitation":"(Black, 2008)","noteIndex":0},"citationItems":[{"id":2325,"uris":["http://zotero.org/users/10384140/items/WX2SQDK9"],"itemData":{"id":2325,"type":"article-journal","container-title":"Communication Theory","DOI":"10.1111/j.1468-2885.2007.00315.x","ISSN":"10503293","issue":"1","language":"en","page":"93-116","source":"DOI.org (Crossref)","title":"Deliberation, Storytelling, and Dialogic Moments: Deliberation, Storytelling, and Dialogic Moments","title-short":"Deliberation, Storytelling, and Dialogic Moments","volume":"18","author":[{"family":"Black","given":"Laura W."}],"issued":{"date-parts":[["2008",1,15]]}}}],"schema":"https://github.com/citation-style-language/schema/raw/master/csl-citation.json"}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(Black, 2008)</w:t>
      </w:r>
      <w:r>
        <w:rPr>
          <w:rFonts w:ascii="Times New Roman" w:hAnsi="Times New Roman" w:cs="Times New Roman"/>
          <w:sz w:val="24"/>
          <w:szCs w:val="24"/>
        </w:rPr>
        <w:fldChar w:fldCharType="end"/>
      </w:r>
      <w:r>
        <w:rPr>
          <w:rFonts w:ascii="Times New Roman" w:hAnsi="Times New Roman" w:cs="Times New Roman"/>
          <w:sz w:val="24"/>
          <w:szCs w:val="24"/>
        </w:rPr>
        <w:t xml:space="preserve"> ambition of the event, an artist </w:t>
      </w:r>
      <w:r w:rsidR="0090462D">
        <w:rPr>
          <w:rFonts w:ascii="Times New Roman" w:hAnsi="Times New Roman" w:cs="Times New Roman"/>
          <w:sz w:val="24"/>
          <w:szCs w:val="24"/>
        </w:rPr>
        <w:t>attended</w:t>
      </w:r>
      <w:r>
        <w:rPr>
          <w:rFonts w:ascii="Times New Roman" w:hAnsi="Times New Roman" w:cs="Times New Roman"/>
          <w:sz w:val="24"/>
          <w:szCs w:val="24"/>
        </w:rPr>
        <w:t xml:space="preserve"> each workshop to produce a live visual depiction of the stories being shared and developed. This </w:t>
      </w:r>
      <w:r w:rsidR="0090462D">
        <w:rPr>
          <w:rFonts w:ascii="Times New Roman" w:hAnsi="Times New Roman" w:cs="Times New Roman"/>
          <w:sz w:val="24"/>
          <w:szCs w:val="24"/>
        </w:rPr>
        <w:t>was</w:t>
      </w:r>
      <w:r>
        <w:rPr>
          <w:rFonts w:ascii="Times New Roman" w:hAnsi="Times New Roman" w:cs="Times New Roman"/>
          <w:sz w:val="24"/>
          <w:szCs w:val="24"/>
        </w:rPr>
        <w:t xml:space="preserve"> intended to serve two purposes: overcome the challenges of getting participants via an online platform to produce drawings or visual representations of their </w:t>
      </w:r>
      <w:r w:rsidR="00150D91">
        <w:rPr>
          <w:rFonts w:ascii="Times New Roman" w:hAnsi="Times New Roman" w:cs="Times New Roman"/>
          <w:sz w:val="24"/>
          <w:szCs w:val="24"/>
        </w:rPr>
        <w:t xml:space="preserve">own </w:t>
      </w:r>
      <w:r>
        <w:rPr>
          <w:rFonts w:ascii="Times New Roman" w:hAnsi="Times New Roman" w:cs="Times New Roman"/>
          <w:sz w:val="24"/>
          <w:szCs w:val="24"/>
        </w:rPr>
        <w:t>stories or thoughts, yet still include a visual aid to the storytelling exercises; and produce an artefact which serves as a visual output of each workshop.</w:t>
      </w:r>
      <w:r w:rsidR="00291C6D">
        <w:rPr>
          <w:rFonts w:ascii="Times New Roman" w:hAnsi="Times New Roman" w:cs="Times New Roman"/>
          <w:sz w:val="24"/>
          <w:szCs w:val="24"/>
        </w:rPr>
        <w:t xml:space="preserve"> </w:t>
      </w:r>
      <w:r w:rsidR="0053735B">
        <w:rPr>
          <w:rFonts w:ascii="Times New Roman" w:hAnsi="Times New Roman" w:cs="Times New Roman"/>
          <w:sz w:val="24"/>
          <w:szCs w:val="24"/>
        </w:rPr>
        <w:t xml:space="preserve">See figure 1 for an example of board produced by the </w:t>
      </w:r>
      <w:r w:rsidR="0030332B">
        <w:rPr>
          <w:rFonts w:ascii="Times New Roman" w:hAnsi="Times New Roman" w:cs="Times New Roman"/>
          <w:sz w:val="24"/>
          <w:szCs w:val="24"/>
        </w:rPr>
        <w:t>artist during one of the workshops</w:t>
      </w:r>
      <w:r w:rsidR="00445F68">
        <w:rPr>
          <w:rFonts w:ascii="Times New Roman" w:hAnsi="Times New Roman" w:cs="Times New Roman"/>
          <w:sz w:val="24"/>
          <w:szCs w:val="24"/>
        </w:rPr>
        <w:t>.</w:t>
      </w:r>
    </w:p>
    <w:p w14:paraId="29738F03" w14:textId="2700FA44" w:rsidR="00697EBB" w:rsidRDefault="000E39A7" w:rsidP="0030332B">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B8DCF94" wp14:editId="42AB0756">
            <wp:extent cx="5731510" cy="4072255"/>
            <wp:effectExtent l="0" t="0" r="2540" b="4445"/>
            <wp:docPr id="10" name="Picture 10" descr="A whiteboard with text and imag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whiteboard with text and image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4072255"/>
                    </a:xfrm>
                    <a:prstGeom prst="rect">
                      <a:avLst/>
                    </a:prstGeom>
                  </pic:spPr>
                </pic:pic>
              </a:graphicData>
            </a:graphic>
          </wp:inline>
        </w:drawing>
      </w:r>
    </w:p>
    <w:p w14:paraId="4F8FA014" w14:textId="34EAFF17" w:rsidR="0030332B" w:rsidRPr="000E39A7" w:rsidRDefault="0030332B" w:rsidP="000E39A7">
      <w:pPr>
        <w:spacing w:after="120" w:line="240" w:lineRule="auto"/>
        <w:jc w:val="both"/>
        <w:rPr>
          <w:rFonts w:ascii="Times New Roman" w:hAnsi="Times New Roman" w:cs="Times New Roman"/>
          <w:b/>
          <w:bCs/>
          <w:sz w:val="24"/>
          <w:szCs w:val="24"/>
        </w:rPr>
      </w:pPr>
      <w:r w:rsidRPr="000E39A7">
        <w:rPr>
          <w:rFonts w:ascii="Times New Roman" w:hAnsi="Times New Roman" w:cs="Times New Roman"/>
          <w:b/>
          <w:bCs/>
          <w:sz w:val="24"/>
          <w:szCs w:val="24"/>
        </w:rPr>
        <w:t>Figure 1</w:t>
      </w:r>
      <w:r w:rsidR="00445F68" w:rsidRPr="000E39A7">
        <w:rPr>
          <w:rFonts w:ascii="Times New Roman" w:hAnsi="Times New Roman" w:cs="Times New Roman"/>
          <w:b/>
          <w:bCs/>
          <w:sz w:val="24"/>
          <w:szCs w:val="24"/>
        </w:rPr>
        <w:t xml:space="preserve"> – Board </w:t>
      </w:r>
      <w:r w:rsidR="000E39A7" w:rsidRPr="000E39A7">
        <w:rPr>
          <w:rFonts w:ascii="Times New Roman" w:hAnsi="Times New Roman" w:cs="Times New Roman"/>
          <w:b/>
          <w:bCs/>
          <w:sz w:val="24"/>
          <w:szCs w:val="24"/>
        </w:rPr>
        <w:t xml:space="preserve">produced by the live artist during the collective storytelling exercise of one of the </w:t>
      </w:r>
      <w:proofErr w:type="gramStart"/>
      <w:r w:rsidR="000E39A7" w:rsidRPr="000E39A7">
        <w:rPr>
          <w:rFonts w:ascii="Times New Roman" w:hAnsi="Times New Roman" w:cs="Times New Roman"/>
          <w:b/>
          <w:bCs/>
          <w:sz w:val="24"/>
          <w:szCs w:val="24"/>
        </w:rPr>
        <w:t>workshops</w:t>
      </w:r>
      <w:proofErr w:type="gramEnd"/>
    </w:p>
    <w:p w14:paraId="06D8A946" w14:textId="482B3117" w:rsidR="00777EC4" w:rsidRDefault="00777EC4" w:rsidP="009D08D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workshops </w:t>
      </w:r>
      <w:r w:rsidR="00E15832">
        <w:rPr>
          <w:rFonts w:ascii="Times New Roman" w:hAnsi="Times New Roman" w:cs="Times New Roman"/>
          <w:sz w:val="24"/>
          <w:szCs w:val="24"/>
        </w:rPr>
        <w:t>were</w:t>
      </w:r>
      <w:r>
        <w:rPr>
          <w:rFonts w:ascii="Times New Roman" w:hAnsi="Times New Roman" w:cs="Times New Roman"/>
          <w:sz w:val="24"/>
          <w:szCs w:val="24"/>
        </w:rPr>
        <w:t xml:space="preserve"> recorded on MS Teams, and fully transcribed. This allow</w:t>
      </w:r>
      <w:r w:rsidR="00E15832">
        <w:rPr>
          <w:rFonts w:ascii="Times New Roman" w:hAnsi="Times New Roman" w:cs="Times New Roman"/>
          <w:sz w:val="24"/>
          <w:szCs w:val="24"/>
        </w:rPr>
        <w:t>s</w:t>
      </w:r>
      <w:r>
        <w:rPr>
          <w:rFonts w:ascii="Times New Roman" w:hAnsi="Times New Roman" w:cs="Times New Roman"/>
          <w:sz w:val="24"/>
          <w:szCs w:val="24"/>
        </w:rPr>
        <w:t xml:space="preserve"> the qualitative analysis to take place on two levels. First, the stories produced by the participants, either individually or in group, will be analysed using their written and spoken descriptions, as well as the drawings produced by the artist. Secondly, the co-creation process itself will be analysed </w:t>
      </w:r>
      <w:r>
        <w:rPr>
          <w:rFonts w:ascii="Times New Roman" w:hAnsi="Times New Roman" w:cs="Times New Roman"/>
          <w:sz w:val="24"/>
          <w:szCs w:val="24"/>
        </w:rPr>
        <w:lastRenderedPageBreak/>
        <w:t xml:space="preserve">using a discursive approach based on the transcription of conversations during the workshops, as well as additional reflections the participants will be invited to share in writing with the research team following the events. </w:t>
      </w:r>
    </w:p>
    <w:tbl>
      <w:tblPr>
        <w:tblStyle w:val="GridTable1Light"/>
        <w:tblW w:w="0" w:type="auto"/>
        <w:tblLook w:val="04A0" w:firstRow="1" w:lastRow="0" w:firstColumn="1" w:lastColumn="0" w:noHBand="0" w:noVBand="1"/>
      </w:tblPr>
      <w:tblGrid>
        <w:gridCol w:w="2547"/>
        <w:gridCol w:w="1417"/>
        <w:gridCol w:w="5052"/>
      </w:tblGrid>
      <w:tr w:rsidR="00777EC4" w14:paraId="33729BEB" w14:textId="77777777" w:rsidTr="007F5C34">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5121C57E" w14:textId="77777777" w:rsidR="00777EC4" w:rsidRDefault="00777EC4" w:rsidP="007F5C34">
            <w:pPr>
              <w:rPr>
                <w:rFonts w:ascii="Times New Roman" w:hAnsi="Times New Roman" w:cs="Times New Roman"/>
                <w:sz w:val="24"/>
                <w:szCs w:val="24"/>
              </w:rPr>
            </w:pPr>
            <w:r>
              <w:rPr>
                <w:rFonts w:ascii="Times New Roman" w:hAnsi="Times New Roman" w:cs="Times New Roman"/>
                <w:sz w:val="24"/>
                <w:szCs w:val="24"/>
              </w:rPr>
              <w:t>Section</w:t>
            </w:r>
          </w:p>
        </w:tc>
        <w:tc>
          <w:tcPr>
            <w:tcW w:w="1417" w:type="dxa"/>
          </w:tcPr>
          <w:p w14:paraId="17A25F46" w14:textId="77777777" w:rsidR="00777EC4" w:rsidRDefault="00777EC4" w:rsidP="007F5C3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Duration</w:t>
            </w:r>
          </w:p>
        </w:tc>
        <w:tc>
          <w:tcPr>
            <w:tcW w:w="5052" w:type="dxa"/>
          </w:tcPr>
          <w:p w14:paraId="4B2DB481" w14:textId="77777777" w:rsidR="00777EC4" w:rsidRDefault="00777EC4" w:rsidP="007F5C3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Content</w:t>
            </w:r>
          </w:p>
        </w:tc>
      </w:tr>
      <w:tr w:rsidR="00777EC4" w14:paraId="2C26B796" w14:textId="77777777" w:rsidTr="007F5C34">
        <w:trPr>
          <w:trHeight w:val="34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4ED46528" w14:textId="77777777" w:rsidR="00777EC4" w:rsidRDefault="00777EC4" w:rsidP="007F5C34">
            <w:pPr>
              <w:rPr>
                <w:rFonts w:ascii="Times New Roman" w:hAnsi="Times New Roman" w:cs="Times New Roman"/>
                <w:sz w:val="24"/>
                <w:szCs w:val="24"/>
              </w:rPr>
            </w:pPr>
            <w:r>
              <w:rPr>
                <w:rFonts w:ascii="Times New Roman" w:hAnsi="Times New Roman" w:cs="Times New Roman"/>
                <w:sz w:val="24"/>
                <w:szCs w:val="24"/>
              </w:rPr>
              <w:t>Introduction</w:t>
            </w:r>
          </w:p>
        </w:tc>
        <w:tc>
          <w:tcPr>
            <w:tcW w:w="1417" w:type="dxa"/>
          </w:tcPr>
          <w:p w14:paraId="453980C1"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 minutes</w:t>
            </w:r>
          </w:p>
        </w:tc>
        <w:tc>
          <w:tcPr>
            <w:tcW w:w="5052" w:type="dxa"/>
          </w:tcPr>
          <w:p w14:paraId="4A0D420E"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Welcome</w:t>
            </w:r>
          </w:p>
          <w:p w14:paraId="79ABFA09"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Context of the study</w:t>
            </w:r>
          </w:p>
          <w:p w14:paraId="55A41B23"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Schedule of the session</w:t>
            </w:r>
          </w:p>
          <w:p w14:paraId="13B1EEE6"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Ground rules</w:t>
            </w:r>
          </w:p>
        </w:tc>
      </w:tr>
      <w:tr w:rsidR="00777EC4" w14:paraId="0D439A6A" w14:textId="77777777" w:rsidTr="007F5C34">
        <w:trPr>
          <w:trHeight w:val="34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645DBAA6" w14:textId="77777777" w:rsidR="00777EC4" w:rsidRDefault="00777EC4" w:rsidP="007F5C34">
            <w:pPr>
              <w:rPr>
                <w:rFonts w:ascii="Times New Roman" w:hAnsi="Times New Roman" w:cs="Times New Roman"/>
                <w:sz w:val="24"/>
                <w:szCs w:val="24"/>
              </w:rPr>
            </w:pPr>
            <w:r>
              <w:rPr>
                <w:rFonts w:ascii="Times New Roman" w:hAnsi="Times New Roman" w:cs="Times New Roman"/>
                <w:sz w:val="24"/>
                <w:szCs w:val="24"/>
              </w:rPr>
              <w:t>Activity 1</w:t>
            </w:r>
          </w:p>
        </w:tc>
        <w:tc>
          <w:tcPr>
            <w:tcW w:w="1417" w:type="dxa"/>
          </w:tcPr>
          <w:p w14:paraId="7ACE653E"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 minutes</w:t>
            </w:r>
          </w:p>
        </w:tc>
        <w:tc>
          <w:tcPr>
            <w:tcW w:w="5052" w:type="dxa"/>
          </w:tcPr>
          <w:p w14:paraId="5B0EEDCA"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Individually written short stories on the theme “My personal story with the oil and gas industry”</w:t>
            </w:r>
          </w:p>
          <w:p w14:paraId="66C5385F"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Shared across the group and opened for </w:t>
            </w:r>
            <w:proofErr w:type="gramStart"/>
            <w:r>
              <w:rPr>
                <w:rFonts w:ascii="Times New Roman" w:hAnsi="Times New Roman" w:cs="Times New Roman"/>
                <w:sz w:val="24"/>
                <w:szCs w:val="24"/>
              </w:rPr>
              <w:t>questions</w:t>
            </w:r>
            <w:proofErr w:type="gramEnd"/>
          </w:p>
          <w:p w14:paraId="3710741F"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Live drawing based on individual stories</w:t>
            </w:r>
          </w:p>
        </w:tc>
      </w:tr>
      <w:tr w:rsidR="00777EC4" w14:paraId="665D24D1" w14:textId="77777777" w:rsidTr="007F5C34">
        <w:trPr>
          <w:trHeight w:val="34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75877D1E" w14:textId="77777777" w:rsidR="00777EC4" w:rsidRDefault="00777EC4" w:rsidP="007F5C34">
            <w:pPr>
              <w:rPr>
                <w:rFonts w:ascii="Times New Roman" w:hAnsi="Times New Roman" w:cs="Times New Roman"/>
                <w:sz w:val="24"/>
                <w:szCs w:val="24"/>
              </w:rPr>
            </w:pPr>
            <w:r>
              <w:rPr>
                <w:rFonts w:ascii="Times New Roman" w:hAnsi="Times New Roman" w:cs="Times New Roman"/>
                <w:sz w:val="24"/>
                <w:szCs w:val="24"/>
              </w:rPr>
              <w:t>Discussion</w:t>
            </w:r>
          </w:p>
        </w:tc>
        <w:tc>
          <w:tcPr>
            <w:tcW w:w="1417" w:type="dxa"/>
          </w:tcPr>
          <w:p w14:paraId="69D7D2F8"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 minutes</w:t>
            </w:r>
          </w:p>
        </w:tc>
        <w:tc>
          <w:tcPr>
            <w:tcW w:w="5052" w:type="dxa"/>
          </w:tcPr>
          <w:p w14:paraId="17C563AA"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Compare individual </w:t>
            </w:r>
            <w:proofErr w:type="gramStart"/>
            <w:r>
              <w:rPr>
                <w:rFonts w:ascii="Times New Roman" w:hAnsi="Times New Roman" w:cs="Times New Roman"/>
                <w:sz w:val="24"/>
                <w:szCs w:val="24"/>
              </w:rPr>
              <w:t>stories</w:t>
            </w:r>
            <w:proofErr w:type="gramEnd"/>
          </w:p>
          <w:p w14:paraId="0A8D35FF"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Put greater emphasis on similarities</w:t>
            </w:r>
          </w:p>
        </w:tc>
      </w:tr>
      <w:tr w:rsidR="00777EC4" w14:paraId="0A5810D5" w14:textId="77777777" w:rsidTr="007F5C34">
        <w:trPr>
          <w:trHeight w:val="340"/>
        </w:trPr>
        <w:tc>
          <w:tcPr>
            <w:cnfStyle w:val="001000000000" w:firstRow="0" w:lastRow="0" w:firstColumn="1" w:lastColumn="0" w:oddVBand="0" w:evenVBand="0" w:oddHBand="0" w:evenHBand="0" w:firstRowFirstColumn="0" w:firstRowLastColumn="0" w:lastRowFirstColumn="0" w:lastRowLastColumn="0"/>
            <w:tcW w:w="9016" w:type="dxa"/>
            <w:gridSpan w:val="3"/>
            <w:vAlign w:val="center"/>
          </w:tcPr>
          <w:p w14:paraId="1E5A5413" w14:textId="77777777" w:rsidR="00777EC4" w:rsidRPr="0036522D" w:rsidRDefault="00777EC4" w:rsidP="007F5C34">
            <w:pPr>
              <w:jc w:val="center"/>
              <w:rPr>
                <w:rFonts w:ascii="Times New Roman" w:hAnsi="Times New Roman" w:cs="Times New Roman"/>
                <w:i/>
                <w:iCs/>
                <w:sz w:val="24"/>
                <w:szCs w:val="24"/>
              </w:rPr>
            </w:pPr>
            <w:r w:rsidRPr="0036522D">
              <w:rPr>
                <w:rFonts w:ascii="Times New Roman" w:hAnsi="Times New Roman" w:cs="Times New Roman"/>
                <w:i/>
                <w:iCs/>
                <w:sz w:val="24"/>
                <w:szCs w:val="24"/>
              </w:rPr>
              <w:t>Break (5 minutes)</w:t>
            </w:r>
          </w:p>
        </w:tc>
      </w:tr>
      <w:tr w:rsidR="00777EC4" w14:paraId="7D6AA4F4" w14:textId="77777777" w:rsidTr="007F5C34">
        <w:trPr>
          <w:trHeight w:val="34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6F8A6A22" w14:textId="77777777" w:rsidR="00777EC4" w:rsidRDefault="00777EC4" w:rsidP="007F5C34">
            <w:pPr>
              <w:rPr>
                <w:rFonts w:ascii="Times New Roman" w:hAnsi="Times New Roman" w:cs="Times New Roman"/>
                <w:sz w:val="24"/>
                <w:szCs w:val="24"/>
              </w:rPr>
            </w:pPr>
            <w:r>
              <w:rPr>
                <w:rFonts w:ascii="Times New Roman" w:hAnsi="Times New Roman" w:cs="Times New Roman"/>
                <w:sz w:val="24"/>
                <w:szCs w:val="24"/>
              </w:rPr>
              <w:t>Activity 2</w:t>
            </w:r>
          </w:p>
        </w:tc>
        <w:tc>
          <w:tcPr>
            <w:tcW w:w="1417" w:type="dxa"/>
          </w:tcPr>
          <w:p w14:paraId="2C168161"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 minutes</w:t>
            </w:r>
          </w:p>
        </w:tc>
        <w:tc>
          <w:tcPr>
            <w:tcW w:w="5052" w:type="dxa"/>
          </w:tcPr>
          <w:p w14:paraId="766E36C8"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Group jointly develops a story on the theme “Our collective future with the oil and gas </w:t>
            </w:r>
            <w:proofErr w:type="gramStart"/>
            <w:r>
              <w:rPr>
                <w:rFonts w:ascii="Times New Roman" w:hAnsi="Times New Roman" w:cs="Times New Roman"/>
                <w:sz w:val="24"/>
                <w:szCs w:val="24"/>
              </w:rPr>
              <w:t>industry”</w:t>
            </w:r>
            <w:proofErr w:type="gramEnd"/>
          </w:p>
          <w:p w14:paraId="7D38A0F8"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Start of the story is today, end is </w:t>
            </w:r>
            <w:proofErr w:type="gramStart"/>
            <w:r>
              <w:rPr>
                <w:rFonts w:ascii="Times New Roman" w:hAnsi="Times New Roman" w:cs="Times New Roman"/>
                <w:sz w:val="24"/>
                <w:szCs w:val="24"/>
              </w:rPr>
              <w:t>2050</w:t>
            </w:r>
            <w:proofErr w:type="gramEnd"/>
          </w:p>
          <w:p w14:paraId="0084564A"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The story should end with a positive </w:t>
            </w:r>
            <w:proofErr w:type="gramStart"/>
            <w:r>
              <w:rPr>
                <w:rFonts w:ascii="Times New Roman" w:hAnsi="Times New Roman" w:cs="Times New Roman"/>
                <w:sz w:val="24"/>
                <w:szCs w:val="24"/>
              </w:rPr>
              <w:t>outcome</w:t>
            </w:r>
            <w:proofErr w:type="gramEnd"/>
          </w:p>
          <w:p w14:paraId="6FEF02A9"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The group should agree on the 3 or 4 defining moments of the </w:t>
            </w:r>
            <w:proofErr w:type="gramStart"/>
            <w:r>
              <w:rPr>
                <w:rFonts w:ascii="Times New Roman" w:hAnsi="Times New Roman" w:cs="Times New Roman"/>
                <w:sz w:val="24"/>
                <w:szCs w:val="24"/>
              </w:rPr>
              <w:t>story</w:t>
            </w:r>
            <w:proofErr w:type="gramEnd"/>
          </w:p>
          <w:p w14:paraId="3F460CED"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Live drawing based on the development of the story (to be reviewed throughout the discussion)</w:t>
            </w:r>
          </w:p>
        </w:tc>
      </w:tr>
      <w:tr w:rsidR="00777EC4" w14:paraId="47E9CFF8" w14:textId="77777777" w:rsidTr="007F5C34">
        <w:trPr>
          <w:trHeight w:val="340"/>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7F472211" w14:textId="77777777" w:rsidR="00777EC4" w:rsidRDefault="00777EC4" w:rsidP="007F5C34">
            <w:pPr>
              <w:rPr>
                <w:rFonts w:ascii="Times New Roman" w:hAnsi="Times New Roman" w:cs="Times New Roman"/>
                <w:sz w:val="24"/>
                <w:szCs w:val="24"/>
              </w:rPr>
            </w:pPr>
            <w:r>
              <w:rPr>
                <w:rFonts w:ascii="Times New Roman" w:hAnsi="Times New Roman" w:cs="Times New Roman"/>
                <w:sz w:val="24"/>
                <w:szCs w:val="24"/>
              </w:rPr>
              <w:t>Discussion and close</w:t>
            </w:r>
          </w:p>
        </w:tc>
        <w:tc>
          <w:tcPr>
            <w:tcW w:w="1417" w:type="dxa"/>
          </w:tcPr>
          <w:p w14:paraId="66F2E913"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 minutes</w:t>
            </w:r>
          </w:p>
        </w:tc>
        <w:tc>
          <w:tcPr>
            <w:tcW w:w="5052" w:type="dxa"/>
          </w:tcPr>
          <w:p w14:paraId="0FE46455" w14:textId="77777777" w:rsidR="00777EC4" w:rsidRDefault="00777EC4" w:rsidP="007F5C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Reflections from the group on the process and the outcome reached</w:t>
            </w:r>
          </w:p>
        </w:tc>
      </w:tr>
    </w:tbl>
    <w:p w14:paraId="6FDC34AF" w14:textId="77777777" w:rsidR="00777EC4" w:rsidRPr="002A0019" w:rsidRDefault="00777EC4" w:rsidP="00777EC4">
      <w:pPr>
        <w:spacing w:line="480" w:lineRule="auto"/>
        <w:rPr>
          <w:rFonts w:ascii="Times New Roman" w:hAnsi="Times New Roman" w:cs="Times New Roman"/>
          <w:b/>
          <w:bCs/>
          <w:sz w:val="24"/>
          <w:szCs w:val="24"/>
        </w:rPr>
      </w:pPr>
      <w:r w:rsidRPr="002A0019">
        <w:rPr>
          <w:rFonts w:ascii="Times New Roman" w:hAnsi="Times New Roman" w:cs="Times New Roman"/>
          <w:b/>
          <w:bCs/>
          <w:sz w:val="24"/>
          <w:szCs w:val="24"/>
        </w:rPr>
        <w:t>Table 1 – Co-creation workshop structure</w:t>
      </w:r>
    </w:p>
    <w:p w14:paraId="6DDE0460" w14:textId="77777777" w:rsidR="00777EC4" w:rsidRDefault="00777EC4" w:rsidP="009D08DE">
      <w:pPr>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Contribution</w:t>
      </w:r>
    </w:p>
    <w:p w14:paraId="795AB8CE" w14:textId="77777777" w:rsidR="00777EC4" w:rsidRDefault="00777EC4" w:rsidP="009D08DE">
      <w:pPr>
        <w:spacing w:line="240" w:lineRule="auto"/>
        <w:ind w:firstLine="720"/>
        <w:jc w:val="both"/>
        <w:rPr>
          <w:rFonts w:ascii="Times New Roman" w:hAnsi="Times New Roman" w:cs="Times New Roman"/>
          <w:sz w:val="24"/>
          <w:szCs w:val="24"/>
        </w:rPr>
      </w:pPr>
      <w:r w:rsidRPr="00FD3817">
        <w:rPr>
          <w:rFonts w:ascii="Times New Roman" w:hAnsi="Times New Roman" w:cs="Times New Roman"/>
          <w:sz w:val="24"/>
          <w:szCs w:val="24"/>
        </w:rPr>
        <w:t xml:space="preserve">We expect this paper to contribute to </w:t>
      </w:r>
      <w:r>
        <w:rPr>
          <w:rFonts w:ascii="Times New Roman" w:hAnsi="Times New Roman" w:cs="Times New Roman"/>
          <w:sz w:val="24"/>
          <w:szCs w:val="24"/>
        </w:rPr>
        <w:t xml:space="preserve">the existing literature in three main areas. First, from an empirical standpoint, we explore the potential for climate action which may come from within the oil and gas industry via its employees, by using a positive and constructive approach while confronting them with industry detractors, in contrast with justificative, defensive or critical angles presented thus far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{"citationID":"oLbevdGr","properties":{"formattedCitation":"(Demers and Gond, 2020)","plainCitation":"(Demers and Gond, 2020)","noteIndex":0},"citationItems":[{"id":2225,"uris":["http://zotero.org/users/10384140/items/GM4XPXVJ"],"itemData":{"id":2225,"type":"article-journal","abstract":"Research on institutional complexity has overlooked the fact that moral judgements are likely involved when individuals face a plurality of logics within organizations. To analyse the moral microfoundations of institutional complexity, we build on Boltanski and Thévenot’s economies of worth framework and explore how individuals produce moral judgement in response to the institutional complexity triggered by a major shift in the sustainability strategy within an oil sands company. Fifty-two interviews with employees, managers and executives reveal how actors rely on four types of justification that combine different moral principles and related objects with the aim of either forming (sheltering and solidifying work) or challenging (fragilizing and deconstructing work) a new compromise with regard to sustainability within the organization. Our results show how the economies of worth framework can enrich institutional complexity theory by bringing morality back into the analysis as a core dimension of inhabited institutions while advancing the microanalysis of compromise-making around sustainability in organization studies.","container-title":"Organization Studies","DOI":"10.1177/0170840619867721","ISSN":"0170-8406, 1741-3044","issue":"4","journalAbbreviation":"Organization Studies","language":"en","page":"563-586","source":"DOI.org (Crossref)","title":"The Moral Microfoundations of Institutional Complexity: Sustainability implementation as compromise-making at an oil sands company","title-short":"The Moral Microfoundations of Institutional Complexity","volume":"41","author":[{"family":"Demers","given":"Christiane"},{"family":"Gond","given":"Jean-Pascal"}],"issued":{"date-parts":[["2020",4]]}}}],"schema":"https://github.com/citation-style-language/schema/raw/master/csl-citation.json"}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(Demers and Gond, 2020)</w:t>
      </w:r>
      <w:r>
        <w:rPr>
          <w:rFonts w:ascii="Times New Roman" w:hAnsi="Times New Roman" w:cs="Times New Roman"/>
          <w:sz w:val="24"/>
          <w:szCs w:val="24"/>
        </w:rPr>
        <w:fldChar w:fldCharType="end"/>
      </w:r>
      <w:r>
        <w:rPr>
          <w:rFonts w:ascii="Times New Roman" w:hAnsi="Times New Roman" w:cs="Times New Roman"/>
          <w:sz w:val="24"/>
          <w:szCs w:val="24"/>
        </w:rPr>
        <w:t xml:space="preserve"> and considering topics which go beyond what employees might see as being within their direct scope of control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{"citationID":"8PvBauh4","properties":{"formattedCitation":"(Halttunen et al., 2022)","plainCitation":"(Halttunen et al., 2022)","noteIndex":0},"citationItems":[{"id":1856,"uris":["http://zotero.org/users/10384140/items/NZCGYX49"],"itemData":{"id":1856,"type":"article-journal","abstract":"The operating model of the global oil industry is not compatible with the goals of the Paris Agreement. For the industry, there is a fundamental tension between two competing mandates: the pressure to contribute to the social goal of climate change mitigation, and the need to perform financially and meet obligations to shareholders in activities that directly contribute to climate change. To explore the range of responses to the tension, we interview professionals from large international oil companies who work or have worked in climate related roles. This is novel data from a professional group that has not previously been interviewed in depth about climate change. We develop a framework of six archetypical responses to tension within the oil industry. Examples of strategic responses include accepting the paradox to choose priorities other than climate change mitigation and confronting the paradox to demand changes to the way the oil industry operates. Examples of defensive responses include the transfer of responsibility and projection of tension to other stakeholders. Responses calling for change in the oil industry are the most common among people who have left the industry and the least common for participants from companies headquartered outside of Europe. In a field marked by controversies and value-based debates, a better understanding of the views of people working on the energy transition inside the oil industry provides new insight into the discussion about possible routes to the sustainability transition.","container-title":"Energy Research &amp; Social Science","DOI":"10.1016/j.erss.2022.102800","ISSN":"2214-6296","journalAbbreviation":"Energy Research &amp; Social Science","page":"102800","source":"ScienceDirect","title":"“We don't want to be the bad guys”: Oil industry's sensemaking of the sustainability transition paradox","title-short":"“We don't want to be the bad guys”","volume":"92","author":[{"family":"Halttunen","given":"Krista"},{"family":"Slade","given":"Raphael"},{"family":"Staffell","given":"Iain"}],"issued":{"date-parts":[["2022",10,1]]}}}],"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(Halttunen et al., 2022)</w:t>
      </w:r>
      <w:r>
        <w:rPr>
          <w:rFonts w:ascii="Times New Roman" w:hAnsi="Times New Roman" w:cs="Times New Roman"/>
          <w:sz w:val="24"/>
          <w:szCs w:val="24"/>
        </w:rPr>
        <w:fldChar w:fldCharType="end"/>
      </w:r>
      <w:r>
        <w:rPr>
          <w:rFonts w:ascii="Times New Roman" w:hAnsi="Times New Roman" w:cs="Times New Roman"/>
          <w:sz w:val="24"/>
          <w:szCs w:val="24"/>
        </w:rPr>
        <w:t xml:space="preserve">. Second, from a theoretical perspective, we envisage a </w:t>
      </w:r>
      <w:proofErr w:type="spellStart"/>
      <w:r>
        <w:rPr>
          <w:rFonts w:ascii="Times New Roman" w:hAnsi="Times New Roman" w:cs="Times New Roman"/>
          <w:sz w:val="24"/>
          <w:szCs w:val="24"/>
        </w:rPr>
        <w:t>Deleuzian</w:t>
      </w:r>
      <w:proofErr w:type="spellEnd"/>
      <w:r>
        <w:rPr>
          <w:rFonts w:ascii="Times New Roman" w:hAnsi="Times New Roman" w:cs="Times New Roman"/>
          <w:sz w:val="24"/>
          <w:szCs w:val="24"/>
        </w:rPr>
        <w:t xml:space="preserve"> immanent ethics approach to the collective development of sustainable futures beyond individual positions and moral systems, to expand ontological perspectives used to further the discussion on climate change and action. Third and finally, from a methodological perspective, we present an innovative use of storytelling in the context of climate change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{"citationID":"ZKSh2axh","properties":{"formattedCitation":"(Harcourt et al., 2021)","plainCitation":"(Harcourt et al., 2021)","noteIndex":0},"citationItems":[{"id":2269,"uris":["http://zotero.org/users/10384140/items/I9C9SAAA"],"itemData":{"id":2269,"type":"article-journal","abstract":"Engaging people in preparing for inevitable climate change may help them to improve their own safety and contribute to local and national adaptation objectives. However, existing research shows that individual engagement with adaptation is low. One contributing factor to this might be that public discourses on climate change often seems dominated by overly negative and seemingly pre-determined visions of the future. Futures thinking intends to counter this by re-presenting the future as choice contingent and inclusive of other possible and preferable outcomes. Here, we undertook storytelling workshops with participants from the West Yorkshire region of the U.K. They were asked to write ﬁctional adaptation futures stories which: opened by detailing their imagined story world, moved to events that disrupted those worlds, provided a description of who responded and how and closed with outcomes and learnings from the experience. We found that many of the stories envisioned adaptation as a here-and-now phenomenon, and that good adaptation meant identifying and safeguarding things of most value. However, we also found notable differences as to whether the government, local community or rebel groups were imagined as leaders of the responsive actions, and as to whether good adaptation meant maintaining life as it had been before the disruptive events occurred or using the disruptive events as a catalyst for social change. We suggest that the creative futures storytelling method tested here could be gainfully applied to support adaptation planning across local, regional and national scales.","container-title":"Sustainability","DOI":"10.3390/su13126630","ISSN":"2071-1050","issue":"12","journalAbbreviation":"Sustainability","language":"en","page":"6630","source":"DOI.org (Crossref)","title":"Envisioning Climate Change Adaptation Futures Using Storytelling Workshops","volume":"13","author":[{"family":"Harcourt","given":"Rachel"},{"family":"Bruine De Bruin","given":"Wändi"},{"family":"Dessai","given":"Suraje"},{"family":"Taylor","given":"Andrea"}],"issued":{"date-parts":[["2021",6,10]]}}}],"schema":"https://github.com/citation-style-language/schema/raw/master/csl-citation.json"}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(Harcourt et al., 2021)</w:t>
      </w:r>
      <w:r>
        <w:rPr>
          <w:rFonts w:ascii="Times New Roman" w:hAnsi="Times New Roman" w:cs="Times New Roman"/>
          <w:sz w:val="24"/>
          <w:szCs w:val="24"/>
        </w:rPr>
        <w:fldChar w:fldCharType="end"/>
      </w:r>
      <w:r>
        <w:rPr>
          <w:rFonts w:ascii="Times New Roman" w:hAnsi="Times New Roman" w:cs="Times New Roman"/>
          <w:sz w:val="24"/>
          <w:szCs w:val="24"/>
        </w:rPr>
        <w:t xml:space="preserve">, generating data through discussion and live drawing while applying a dialogic approach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ZOTERO_ITEM CSL_CITATION {"citationID":"wQFH0MmM","properties":{"formattedCitation":"(Black, 2008)","plainCitation":"(Black, 2008)","noteIndex":0},"citationItems":[{"id":2325,"uris":["http://zotero.org/users/10384140/items/WX2SQDK9"],"itemData":{"id":2325,"type":"article-journal","container-title":"Communication Theory","DOI":"10.1111/j.1468-2885.2007.00315.x","ISSN":"10503293","issue":"1","language":"en","page":"93-116","source":"DOI.org (Crossref)","title":"Deliberation, Storytelling, and Dialogic Moments: Deliberation, Storytelling, and Dialogic Moments","title-short":"Deliberation, Storytelling, and Dialogic Moments","volume":"18","author":[{"family":"Black","given":"Laura W."}],"issued":{"date-parts":[["2008",1,15]]}}}],"schema":"https://github.com/citation-style-language/schema/raw/master/csl-citation.json"} </w:instrText>
      </w:r>
      <w:r>
        <w:rPr>
          <w:rFonts w:ascii="Times New Roman" w:hAnsi="Times New Roman" w:cs="Times New Roman"/>
          <w:sz w:val="24"/>
          <w:szCs w:val="24"/>
        </w:rPr>
        <w:fldChar w:fldCharType="separate"/>
      </w:r>
      <w:r w:rsidRPr="00BE0C8A">
        <w:rPr>
          <w:rFonts w:ascii="Times New Roman" w:hAnsi="Times New Roman" w:cs="Times New Roman"/>
          <w:sz w:val="24"/>
        </w:rPr>
        <w:t>(Black, 2008)</w:t>
      </w:r>
      <w:r>
        <w:rPr>
          <w:rFonts w:ascii="Times New Roman" w:hAnsi="Times New Roman" w:cs="Times New Roman"/>
          <w:sz w:val="24"/>
          <w:szCs w:val="24"/>
        </w:rPr>
        <w:fldChar w:fldCharType="end"/>
      </w:r>
      <w:r>
        <w:rPr>
          <w:rFonts w:ascii="Times New Roman" w:hAnsi="Times New Roman" w:cs="Times New Roman"/>
          <w:sz w:val="24"/>
          <w:szCs w:val="24"/>
        </w:rPr>
        <w:t xml:space="preserve"> to create new possibilities for the future, thus paving the way for such creative methods to be used in the context of grand challenges, by actors typically viewed as following more traditional strategy and decision-making processes. </w:t>
      </w:r>
    </w:p>
    <w:p w14:paraId="1C51C6D6" w14:textId="77777777" w:rsidR="00777EC4" w:rsidRDefault="00777EC4" w:rsidP="009D08DE">
      <w:pPr>
        <w:spacing w:before="120" w:after="0" w:line="240" w:lineRule="auto"/>
        <w:rPr>
          <w:rFonts w:ascii="Times New Roman" w:hAnsi="Times New Roman" w:cs="Times New Roman"/>
          <w:b/>
          <w:bCs/>
          <w:sz w:val="24"/>
          <w:szCs w:val="24"/>
        </w:rPr>
      </w:pPr>
      <w:r>
        <w:rPr>
          <w:rFonts w:ascii="Times New Roman" w:hAnsi="Times New Roman" w:cs="Times New Roman"/>
          <w:b/>
          <w:bCs/>
          <w:sz w:val="24"/>
          <w:szCs w:val="24"/>
        </w:rPr>
        <w:t>References</w:t>
      </w:r>
    </w:p>
    <w:p w14:paraId="0845CB0D" w14:textId="77777777" w:rsidR="00777EC4" w:rsidRPr="00BE0C8A" w:rsidRDefault="00777EC4" w:rsidP="009D08DE">
      <w:pPr>
        <w:pStyle w:val="Bibliography"/>
        <w:spacing w:line="240" w:lineRule="auto"/>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BE0C8A">
        <w:rPr>
          <w:rFonts w:ascii="Times New Roman" w:hAnsi="Times New Roman" w:cs="Times New Roman"/>
          <w:sz w:val="24"/>
        </w:rPr>
        <w:t>Banville, M.-S., Torres, J., 2017. On embracing an immanent ethics in urban planning: Pursuing our Body-without-Organs. Planning Theory 16, 255–274. https://doi.org/10.1177/1473095215625707</w:t>
      </w:r>
    </w:p>
    <w:p w14:paraId="788B53E3"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lastRenderedPageBreak/>
        <w:t>Black, L.W., 2008. Deliberation, Storytelling, and Dialogic Moments: Deliberation, Storytelling, and Dialogic Moments. Communication Theory 18, 93–116. https://doi.org/10.1111/j.1468-2885.2007.00315.x</w:t>
      </w:r>
    </w:p>
    <w:p w14:paraId="141E2514"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Boon, M., 2019. A Climate of Change? The Oil Industry and Decarbonization in Historical Perspective. Bus. Hist. Rev. 93, 101–125. https://doi.org/10.1017/S0007680519000321</w:t>
      </w:r>
    </w:p>
    <w:p w14:paraId="63811C3F" w14:textId="77777777" w:rsidR="00777EC4" w:rsidRDefault="00777EC4" w:rsidP="009D08DE">
      <w:pPr>
        <w:pStyle w:val="Bibliography"/>
        <w:spacing w:line="240" w:lineRule="auto"/>
        <w:rPr>
          <w:rFonts w:ascii="Times New Roman" w:hAnsi="Times New Roman" w:cs="Times New Roman"/>
          <w:sz w:val="24"/>
        </w:rPr>
      </w:pPr>
      <w:r w:rsidRPr="00001BD0">
        <w:rPr>
          <w:rFonts w:ascii="Times New Roman" w:hAnsi="Times New Roman" w:cs="Times New Roman"/>
          <w:sz w:val="24"/>
        </w:rPr>
        <w:t xml:space="preserve">Deleuze, G. (1983). Nietzsche and Philosophy. New York: Columbia University Press. </w:t>
      </w:r>
    </w:p>
    <w:p w14:paraId="6B258EA0" w14:textId="77777777" w:rsidR="00777EC4" w:rsidRDefault="00777EC4" w:rsidP="009D08DE">
      <w:pPr>
        <w:pStyle w:val="Bibliography"/>
        <w:spacing w:line="240" w:lineRule="auto"/>
        <w:rPr>
          <w:rFonts w:ascii="Times New Roman" w:hAnsi="Times New Roman" w:cs="Times New Roman"/>
          <w:sz w:val="24"/>
        </w:rPr>
      </w:pPr>
      <w:r w:rsidRPr="00001BD0">
        <w:rPr>
          <w:rFonts w:ascii="Times New Roman" w:hAnsi="Times New Roman" w:cs="Times New Roman"/>
          <w:sz w:val="24"/>
        </w:rPr>
        <w:t>Deleuze, G. (1988). Spinoza: Practical Philosophy. San Francisco: City Lights Books.</w:t>
      </w:r>
    </w:p>
    <w:p w14:paraId="1ADD85FD" w14:textId="77777777" w:rsidR="00777EC4" w:rsidRDefault="00777EC4" w:rsidP="009D08DE">
      <w:pPr>
        <w:pStyle w:val="Bibliography"/>
        <w:spacing w:line="240" w:lineRule="auto"/>
        <w:rPr>
          <w:rFonts w:ascii="Times New Roman" w:hAnsi="Times New Roman" w:cs="Times New Roman"/>
          <w:sz w:val="24"/>
        </w:rPr>
      </w:pPr>
      <w:r w:rsidRPr="00511972">
        <w:rPr>
          <w:rFonts w:ascii="Times New Roman" w:hAnsi="Times New Roman" w:cs="Times New Roman"/>
          <w:sz w:val="24"/>
        </w:rPr>
        <w:t>Deleuze</w:t>
      </w:r>
      <w:r>
        <w:rPr>
          <w:rFonts w:ascii="Times New Roman" w:hAnsi="Times New Roman" w:cs="Times New Roman"/>
          <w:sz w:val="24"/>
        </w:rPr>
        <w:t>,</w:t>
      </w:r>
      <w:r w:rsidRPr="00511972">
        <w:rPr>
          <w:rFonts w:ascii="Times New Roman" w:hAnsi="Times New Roman" w:cs="Times New Roman"/>
          <w:sz w:val="24"/>
        </w:rPr>
        <w:t xml:space="preserve"> G</w:t>
      </w:r>
      <w:r>
        <w:rPr>
          <w:rFonts w:ascii="Times New Roman" w:hAnsi="Times New Roman" w:cs="Times New Roman"/>
          <w:sz w:val="24"/>
        </w:rPr>
        <w:t>, &amp;</w:t>
      </w:r>
      <w:r w:rsidRPr="00511972">
        <w:rPr>
          <w:rFonts w:ascii="Times New Roman" w:hAnsi="Times New Roman" w:cs="Times New Roman"/>
          <w:sz w:val="24"/>
        </w:rPr>
        <w:t xml:space="preserve"> Guattari</w:t>
      </w:r>
      <w:r>
        <w:rPr>
          <w:rFonts w:ascii="Times New Roman" w:hAnsi="Times New Roman" w:cs="Times New Roman"/>
          <w:sz w:val="24"/>
        </w:rPr>
        <w:t>,</w:t>
      </w:r>
      <w:r w:rsidRPr="00511972">
        <w:rPr>
          <w:rFonts w:ascii="Times New Roman" w:hAnsi="Times New Roman" w:cs="Times New Roman"/>
          <w:sz w:val="24"/>
        </w:rPr>
        <w:t xml:space="preserve"> F</w:t>
      </w:r>
      <w:r>
        <w:rPr>
          <w:rFonts w:ascii="Times New Roman" w:hAnsi="Times New Roman" w:cs="Times New Roman"/>
          <w:sz w:val="24"/>
        </w:rPr>
        <w:t>.</w:t>
      </w:r>
      <w:r w:rsidRPr="00511972">
        <w:rPr>
          <w:rFonts w:ascii="Times New Roman" w:hAnsi="Times New Roman" w:cs="Times New Roman"/>
          <w:sz w:val="24"/>
        </w:rPr>
        <w:t xml:space="preserve"> (1987 [1980]) A Thousand Plateaus: Capitalism and Schizophrenia (Trans. Massumi B). Minneapolis, MN: University of Minnesota Press.</w:t>
      </w:r>
    </w:p>
    <w:p w14:paraId="3F6A0A1C"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Demers, C., Gond, J.-P., 2020. The Moral Microfoundations of Institutional Complexity: Sustainability implementation as compromise-making at an oil sands company. Organization Studies 41, 563–586. https://doi.org/10.1177/0170840619867721</w:t>
      </w:r>
    </w:p>
    <w:p w14:paraId="6212ADC9"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Ergene, S., Banerjee, S.B., Hoffman, A.J., 2021. (Un)Sustainability and Organization Studies: Towards a Radical Engagement. Organization Studies 42, 1319–1335. https://doi.org/10.1177/0170840620937892</w:t>
      </w:r>
    </w:p>
    <w:p w14:paraId="01A1DB27"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Ferns, G., Amaeshi, K., 2021. Fueling Climate (In)Action: How organizations engage in hegemonization to avoid transformational action on climate change. Organization Studies 42, 1005–1029. https://doi.org/10.1177/0170840619855744</w:t>
      </w:r>
    </w:p>
    <w:p w14:paraId="3961268F"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Field, S., 2021. Power and precariousness in the expert hierarchies of the US hydrocarbon industry. Critique of Anthropology 41, 303–319. https://doi.org/10.1177/0308275X211038608</w:t>
      </w:r>
    </w:p>
    <w:p w14:paraId="5F11090D"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Grasso, M., 2019. Oily politics: A critical assessment of the oil and gas industry’s contribution to climate change. Energy Research &amp; Social Science 50, 106–115. https://doi.org/10.1016/j.erss.2018.11.017</w:t>
      </w:r>
    </w:p>
    <w:p w14:paraId="2B951981"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Halttunen, K., Slade, R., Staffell, I., 2022. “We don’t want to be the bad guys”: Oil industry’s sensemaking of the sustainability transition paradox. Energy Research &amp; Social Science 92, 102800. https://doi.org/10.1016/j.erss.2022.102800</w:t>
      </w:r>
    </w:p>
    <w:p w14:paraId="12004547"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Harcourt, R., Bruine De Bruin, W., Dessai, S., Taylor, A., 2021. Envisioning Climate Change Adaptation Futures Using Storytelling Workshops. Sustainability 13, 6630. https://doi.org/10.3390/su13126630</w:t>
      </w:r>
    </w:p>
    <w:p w14:paraId="2F6E7F59"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Johnsen, C.G., 2021. Sustainability Beyond Instrumentality: Towards an Immanent Ethics of Organizational Environmentalism. J Bus Ethics 172, 1–14. https://doi.org/10.1007/s10551-019-04411-5</w:t>
      </w:r>
    </w:p>
    <w:p w14:paraId="3D1848E8"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Kassinis, G., Panayiotou, A., 2018. Visuality as Greenwashing: The Case of BP and Deepwater Horizon. Organization &amp; Environment 31, 25–47.</w:t>
      </w:r>
    </w:p>
    <w:p w14:paraId="67B1C25F"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Lê, J.K., 2013. How constructions of the future shape organizational responses: climate change and the Canadian oil sands. Organization 20, 722–742.</w:t>
      </w:r>
    </w:p>
    <w:p w14:paraId="297AAB67"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Munro, K., 2017. Hegemonic stories in environmental advocacy testimonials. Energy Research &amp; Social Science 31, 233–239. https://doi.org/10.1016/j.erss.2017.05.038</w:t>
      </w:r>
    </w:p>
    <w:p w14:paraId="620E4FAE"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Rotmann, S., 2017. “Once upon a time…” Eliciting energy and behaviour change stories using a fairy tale story spine. Energy Research &amp; Social Science 31, 303–310. https://doi.org/10.1016/j.erss.2017.06.033</w:t>
      </w:r>
    </w:p>
    <w:p w14:paraId="5A13A811"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Skoglund, A., Böhm, S., 2020. Prefigurative Partaking: Employees’ Environmental Activism in an Energy Utility. Organization Studies 41, 1257–1283. https://doi.org/10.1177/0170840619847716</w:t>
      </w:r>
    </w:p>
    <w:p w14:paraId="3F23768F"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Snellman, K., 2023. The creation of desirable futures: A call for supererogatory management to foster sustainability transitions. Technological Forecasting.</w:t>
      </w:r>
    </w:p>
    <w:p w14:paraId="4E881262"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lastRenderedPageBreak/>
        <w:t>Wright, C., Nyberg, D., Bowden, V., 2021. Beyond the discourse of denial: The reproduction of fossil fuel hegemony in Australia. Energy Research &amp; Social Science 77, 102094. https://doi.org/10.1016/j.erss.2021.102094</w:t>
      </w:r>
    </w:p>
    <w:p w14:paraId="5536098D" w14:textId="77777777" w:rsidR="00777EC4" w:rsidRPr="00BE0C8A" w:rsidRDefault="00777EC4" w:rsidP="009D08DE">
      <w:pPr>
        <w:pStyle w:val="Bibliography"/>
        <w:spacing w:line="240" w:lineRule="auto"/>
        <w:rPr>
          <w:rFonts w:ascii="Times New Roman" w:hAnsi="Times New Roman" w:cs="Times New Roman"/>
          <w:sz w:val="24"/>
        </w:rPr>
      </w:pPr>
      <w:r w:rsidRPr="00BE0C8A">
        <w:rPr>
          <w:rFonts w:ascii="Times New Roman" w:hAnsi="Times New Roman" w:cs="Times New Roman"/>
          <w:sz w:val="24"/>
        </w:rPr>
        <w:t>Wyatt, J., Gale, K., Gannon, S., Davies, B., Denzin, N.K., St. Pierre, E.A., 2014. Deleuze and Collaborative Writing: Responding to/With “JKSB.” Cultural Studies ↔ Critical Methodologies 14, 407–416. https://doi.org/10.1177/1532708614530313</w:t>
      </w:r>
    </w:p>
    <w:p w14:paraId="151938CC" w14:textId="77777777" w:rsidR="00777EC4" w:rsidRDefault="00777EC4" w:rsidP="009D08DE">
      <w:pPr>
        <w:spacing w:line="240" w:lineRule="auto"/>
        <w:rPr>
          <w:rFonts w:ascii="Times New Roman" w:hAnsi="Times New Roman" w:cs="Times New Roman"/>
          <w:sz w:val="24"/>
          <w:szCs w:val="24"/>
        </w:rPr>
      </w:pPr>
      <w:r>
        <w:rPr>
          <w:rFonts w:ascii="Times New Roman" w:hAnsi="Times New Roman" w:cs="Times New Roman"/>
          <w:sz w:val="24"/>
          <w:szCs w:val="24"/>
        </w:rPr>
        <w:fldChar w:fldCharType="end"/>
      </w:r>
    </w:p>
    <w:p w14:paraId="03A4A408" w14:textId="77777777" w:rsidR="00777EC4" w:rsidRDefault="00777EC4" w:rsidP="009D08DE">
      <w:pPr>
        <w:spacing w:line="240" w:lineRule="auto"/>
        <w:rPr>
          <w:rFonts w:ascii="Times New Roman" w:hAnsi="Times New Roman" w:cs="Times New Roman"/>
          <w:sz w:val="24"/>
          <w:szCs w:val="24"/>
        </w:rPr>
      </w:pPr>
    </w:p>
    <w:p w14:paraId="5E358A0A" w14:textId="77777777" w:rsidR="00777EC4" w:rsidRDefault="00777EC4" w:rsidP="009D08DE">
      <w:pPr>
        <w:spacing w:line="240" w:lineRule="auto"/>
        <w:rPr>
          <w:rFonts w:ascii="Times New Roman" w:hAnsi="Times New Roman" w:cs="Times New Roman"/>
          <w:sz w:val="24"/>
          <w:szCs w:val="24"/>
        </w:rPr>
      </w:pPr>
    </w:p>
    <w:p w14:paraId="46FD983F" w14:textId="77777777" w:rsidR="00777EC4" w:rsidRDefault="00777EC4" w:rsidP="009D08DE">
      <w:pPr>
        <w:spacing w:line="240" w:lineRule="auto"/>
        <w:rPr>
          <w:rFonts w:ascii="Times New Roman" w:hAnsi="Times New Roman" w:cs="Times New Roman"/>
          <w:sz w:val="24"/>
          <w:szCs w:val="24"/>
        </w:rPr>
      </w:pPr>
    </w:p>
    <w:p w14:paraId="09C670F9" w14:textId="77777777" w:rsidR="00777EC4" w:rsidRDefault="00777EC4" w:rsidP="009D08DE">
      <w:pPr>
        <w:spacing w:line="240" w:lineRule="auto"/>
        <w:rPr>
          <w:rFonts w:ascii="Times New Roman" w:hAnsi="Times New Roman" w:cs="Times New Roman"/>
          <w:sz w:val="24"/>
          <w:szCs w:val="24"/>
        </w:rPr>
      </w:pPr>
    </w:p>
    <w:p w14:paraId="1CE8A9E5" w14:textId="77777777" w:rsidR="00777EC4" w:rsidRDefault="00777EC4" w:rsidP="009D08DE">
      <w:pPr>
        <w:spacing w:line="240" w:lineRule="auto"/>
        <w:rPr>
          <w:rFonts w:ascii="Times New Roman" w:hAnsi="Times New Roman" w:cs="Times New Roman"/>
          <w:sz w:val="24"/>
          <w:szCs w:val="24"/>
        </w:rPr>
      </w:pPr>
    </w:p>
    <w:p w14:paraId="69CA84F0" w14:textId="1A60821A" w:rsidR="002D117C" w:rsidRPr="00637978" w:rsidRDefault="002D117C" w:rsidP="009D08DE">
      <w:pPr>
        <w:spacing w:line="240" w:lineRule="auto"/>
        <w:jc w:val="both"/>
        <w:rPr>
          <w:rFonts w:ascii="Times New Roman" w:hAnsi="Times New Roman" w:cs="Times New Roman"/>
          <w:sz w:val="24"/>
          <w:szCs w:val="24"/>
          <w:lang w:val="en-US"/>
        </w:rPr>
      </w:pPr>
    </w:p>
    <w:sectPr w:rsidR="002D117C" w:rsidRPr="00637978" w:rsidSect="0005666F">
      <w:footerReference w:type="defaul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C0123" w14:textId="77777777" w:rsidR="005030AD" w:rsidRDefault="005030AD" w:rsidP="00EE1B14">
      <w:pPr>
        <w:spacing w:after="0" w:line="240" w:lineRule="auto"/>
      </w:pPr>
      <w:r>
        <w:separator/>
      </w:r>
    </w:p>
  </w:endnote>
  <w:endnote w:type="continuationSeparator" w:id="0">
    <w:p w14:paraId="4EAA5A0E" w14:textId="77777777" w:rsidR="005030AD" w:rsidRDefault="005030AD" w:rsidP="00EE1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2885494"/>
      <w:docPartObj>
        <w:docPartGallery w:val="Page Numbers (Bottom of Page)"/>
        <w:docPartUnique/>
      </w:docPartObj>
    </w:sdtPr>
    <w:sdtEndPr>
      <w:rPr>
        <w:noProof/>
      </w:rPr>
    </w:sdtEndPr>
    <w:sdtContent>
      <w:p w14:paraId="561EBDFE" w14:textId="44512200" w:rsidR="00EE1B14" w:rsidRDefault="00EE1B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02081B" w14:textId="77777777" w:rsidR="00EE1B14" w:rsidRDefault="00EE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8B8EA" w14:textId="77777777" w:rsidR="005030AD" w:rsidRDefault="005030AD" w:rsidP="00EE1B14">
      <w:pPr>
        <w:spacing w:after="0" w:line="240" w:lineRule="auto"/>
      </w:pPr>
      <w:r>
        <w:separator/>
      </w:r>
    </w:p>
  </w:footnote>
  <w:footnote w:type="continuationSeparator" w:id="0">
    <w:p w14:paraId="7C930552" w14:textId="77777777" w:rsidR="005030AD" w:rsidRDefault="005030AD" w:rsidP="00EE1B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B08"/>
    <w:multiLevelType w:val="hybridMultilevel"/>
    <w:tmpl w:val="2EDC383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2856625"/>
    <w:multiLevelType w:val="hybridMultilevel"/>
    <w:tmpl w:val="DA325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3A6761"/>
    <w:multiLevelType w:val="hybridMultilevel"/>
    <w:tmpl w:val="DC98673A"/>
    <w:lvl w:ilvl="0" w:tplc="3A728FB0">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4300E"/>
    <w:multiLevelType w:val="multilevel"/>
    <w:tmpl w:val="A712F2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F281A3D"/>
    <w:multiLevelType w:val="hybridMultilevel"/>
    <w:tmpl w:val="5344B2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085528"/>
    <w:multiLevelType w:val="hybridMultilevel"/>
    <w:tmpl w:val="46908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97661A"/>
    <w:multiLevelType w:val="hybridMultilevel"/>
    <w:tmpl w:val="03A8831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8A77FC"/>
    <w:multiLevelType w:val="hybridMultilevel"/>
    <w:tmpl w:val="CFD82B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277AD8"/>
    <w:multiLevelType w:val="hybridMultilevel"/>
    <w:tmpl w:val="2D104A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9C6C2C"/>
    <w:multiLevelType w:val="hybridMultilevel"/>
    <w:tmpl w:val="3B188B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B07A04"/>
    <w:multiLevelType w:val="hybridMultilevel"/>
    <w:tmpl w:val="9CC0FD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026BDF"/>
    <w:multiLevelType w:val="hybridMultilevel"/>
    <w:tmpl w:val="2FB6C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A015C7"/>
    <w:multiLevelType w:val="hybridMultilevel"/>
    <w:tmpl w:val="27A0A35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8D75DD"/>
    <w:multiLevelType w:val="hybridMultilevel"/>
    <w:tmpl w:val="6ADC1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3339E2"/>
    <w:multiLevelType w:val="hybridMultilevel"/>
    <w:tmpl w:val="B366DF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223704"/>
    <w:multiLevelType w:val="hybridMultilevel"/>
    <w:tmpl w:val="A8C28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4B160C"/>
    <w:multiLevelType w:val="multilevel"/>
    <w:tmpl w:val="FB8C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030639">
    <w:abstractNumId w:val="14"/>
  </w:num>
  <w:num w:numId="2" w16cid:durableId="1680428337">
    <w:abstractNumId w:val="1"/>
  </w:num>
  <w:num w:numId="3" w16cid:durableId="1782139225">
    <w:abstractNumId w:val="9"/>
  </w:num>
  <w:num w:numId="4" w16cid:durableId="731005772">
    <w:abstractNumId w:val="6"/>
  </w:num>
  <w:num w:numId="5" w16cid:durableId="1171801209">
    <w:abstractNumId w:val="7"/>
  </w:num>
  <w:num w:numId="6" w16cid:durableId="1620606528">
    <w:abstractNumId w:val="8"/>
  </w:num>
  <w:num w:numId="7" w16cid:durableId="294069010">
    <w:abstractNumId w:val="3"/>
  </w:num>
  <w:num w:numId="8" w16cid:durableId="1469542942">
    <w:abstractNumId w:val="12"/>
  </w:num>
  <w:num w:numId="9" w16cid:durableId="962270887">
    <w:abstractNumId w:val="4"/>
  </w:num>
  <w:num w:numId="10" w16cid:durableId="1067145431">
    <w:abstractNumId w:val="10"/>
  </w:num>
  <w:num w:numId="11" w16cid:durableId="1889415935">
    <w:abstractNumId w:val="0"/>
  </w:num>
  <w:num w:numId="12" w16cid:durableId="287201148">
    <w:abstractNumId w:val="2"/>
  </w:num>
  <w:num w:numId="13" w16cid:durableId="115418034">
    <w:abstractNumId w:val="11"/>
  </w:num>
  <w:num w:numId="14" w16cid:durableId="1306004768">
    <w:abstractNumId w:val="16"/>
  </w:num>
  <w:num w:numId="15" w16cid:durableId="646596875">
    <w:abstractNumId w:val="5"/>
  </w:num>
  <w:num w:numId="16" w16cid:durableId="1928613574">
    <w:abstractNumId w:val="13"/>
  </w:num>
  <w:num w:numId="17" w16cid:durableId="113818417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F26"/>
    <w:rsid w:val="00002A84"/>
    <w:rsid w:val="00003BAD"/>
    <w:rsid w:val="000040F8"/>
    <w:rsid w:val="00006B21"/>
    <w:rsid w:val="00010130"/>
    <w:rsid w:val="00010962"/>
    <w:rsid w:val="00010F29"/>
    <w:rsid w:val="00010F7F"/>
    <w:rsid w:val="000115F4"/>
    <w:rsid w:val="00013554"/>
    <w:rsid w:val="00013810"/>
    <w:rsid w:val="00013AE2"/>
    <w:rsid w:val="00013B05"/>
    <w:rsid w:val="00015426"/>
    <w:rsid w:val="00020122"/>
    <w:rsid w:val="0002039A"/>
    <w:rsid w:val="000208F2"/>
    <w:rsid w:val="00020D9E"/>
    <w:rsid w:val="00021515"/>
    <w:rsid w:val="00022056"/>
    <w:rsid w:val="000242C3"/>
    <w:rsid w:val="00024F4C"/>
    <w:rsid w:val="000250E5"/>
    <w:rsid w:val="000264E4"/>
    <w:rsid w:val="00026F0E"/>
    <w:rsid w:val="000300B8"/>
    <w:rsid w:val="000302D5"/>
    <w:rsid w:val="00031D4F"/>
    <w:rsid w:val="00032794"/>
    <w:rsid w:val="00032E2F"/>
    <w:rsid w:val="00032EE2"/>
    <w:rsid w:val="000330C5"/>
    <w:rsid w:val="0003408C"/>
    <w:rsid w:val="00034C41"/>
    <w:rsid w:val="00035022"/>
    <w:rsid w:val="00036399"/>
    <w:rsid w:val="000372FA"/>
    <w:rsid w:val="00037AE6"/>
    <w:rsid w:val="00040260"/>
    <w:rsid w:val="000425FA"/>
    <w:rsid w:val="00042717"/>
    <w:rsid w:val="0004371F"/>
    <w:rsid w:val="00043C11"/>
    <w:rsid w:val="0004452D"/>
    <w:rsid w:val="0004486D"/>
    <w:rsid w:val="00044A97"/>
    <w:rsid w:val="00045830"/>
    <w:rsid w:val="00045D36"/>
    <w:rsid w:val="00045FAA"/>
    <w:rsid w:val="0004796B"/>
    <w:rsid w:val="00047A77"/>
    <w:rsid w:val="0005423B"/>
    <w:rsid w:val="00055CAD"/>
    <w:rsid w:val="00056151"/>
    <w:rsid w:val="00056359"/>
    <w:rsid w:val="0005666F"/>
    <w:rsid w:val="00060478"/>
    <w:rsid w:val="000618D8"/>
    <w:rsid w:val="00062D65"/>
    <w:rsid w:val="000633E4"/>
    <w:rsid w:val="000639E7"/>
    <w:rsid w:val="00064586"/>
    <w:rsid w:val="0006473A"/>
    <w:rsid w:val="00064D01"/>
    <w:rsid w:val="00065CE0"/>
    <w:rsid w:val="00065EBC"/>
    <w:rsid w:val="000664F2"/>
    <w:rsid w:val="00067463"/>
    <w:rsid w:val="000702AF"/>
    <w:rsid w:val="00070F18"/>
    <w:rsid w:val="0007267A"/>
    <w:rsid w:val="00072E79"/>
    <w:rsid w:val="000748EF"/>
    <w:rsid w:val="00075FF2"/>
    <w:rsid w:val="00076243"/>
    <w:rsid w:val="000765D7"/>
    <w:rsid w:val="00077971"/>
    <w:rsid w:val="000821EC"/>
    <w:rsid w:val="000822ED"/>
    <w:rsid w:val="000834DF"/>
    <w:rsid w:val="00083A74"/>
    <w:rsid w:val="00083EEE"/>
    <w:rsid w:val="000840FB"/>
    <w:rsid w:val="000847A8"/>
    <w:rsid w:val="00084E31"/>
    <w:rsid w:val="00086A05"/>
    <w:rsid w:val="00086B2E"/>
    <w:rsid w:val="00087037"/>
    <w:rsid w:val="000913F4"/>
    <w:rsid w:val="000913F6"/>
    <w:rsid w:val="00091610"/>
    <w:rsid w:val="00091E9E"/>
    <w:rsid w:val="00092D34"/>
    <w:rsid w:val="00094313"/>
    <w:rsid w:val="0009675C"/>
    <w:rsid w:val="0009789A"/>
    <w:rsid w:val="00097E98"/>
    <w:rsid w:val="000A1B71"/>
    <w:rsid w:val="000A1C28"/>
    <w:rsid w:val="000A2AB2"/>
    <w:rsid w:val="000A2DC3"/>
    <w:rsid w:val="000A3F8B"/>
    <w:rsid w:val="000A6E24"/>
    <w:rsid w:val="000A7C66"/>
    <w:rsid w:val="000B2481"/>
    <w:rsid w:val="000B298C"/>
    <w:rsid w:val="000B2B63"/>
    <w:rsid w:val="000B50D4"/>
    <w:rsid w:val="000B593B"/>
    <w:rsid w:val="000B5D66"/>
    <w:rsid w:val="000B77CE"/>
    <w:rsid w:val="000B79B0"/>
    <w:rsid w:val="000C0699"/>
    <w:rsid w:val="000C06B0"/>
    <w:rsid w:val="000C214F"/>
    <w:rsid w:val="000C2896"/>
    <w:rsid w:val="000C3F73"/>
    <w:rsid w:val="000C4109"/>
    <w:rsid w:val="000C4677"/>
    <w:rsid w:val="000C5E8B"/>
    <w:rsid w:val="000C6084"/>
    <w:rsid w:val="000C6132"/>
    <w:rsid w:val="000C6F17"/>
    <w:rsid w:val="000C73B4"/>
    <w:rsid w:val="000D04B4"/>
    <w:rsid w:val="000D0842"/>
    <w:rsid w:val="000D0DA8"/>
    <w:rsid w:val="000D11AD"/>
    <w:rsid w:val="000D1E28"/>
    <w:rsid w:val="000D2558"/>
    <w:rsid w:val="000D29DB"/>
    <w:rsid w:val="000D2BBB"/>
    <w:rsid w:val="000D308F"/>
    <w:rsid w:val="000D31D5"/>
    <w:rsid w:val="000D3904"/>
    <w:rsid w:val="000D408F"/>
    <w:rsid w:val="000D4235"/>
    <w:rsid w:val="000D46BB"/>
    <w:rsid w:val="000D4B4B"/>
    <w:rsid w:val="000D4CEA"/>
    <w:rsid w:val="000D4F6C"/>
    <w:rsid w:val="000D758C"/>
    <w:rsid w:val="000D7B6B"/>
    <w:rsid w:val="000E03FE"/>
    <w:rsid w:val="000E14F9"/>
    <w:rsid w:val="000E1B13"/>
    <w:rsid w:val="000E2AFD"/>
    <w:rsid w:val="000E3245"/>
    <w:rsid w:val="000E39A7"/>
    <w:rsid w:val="000E48DF"/>
    <w:rsid w:val="000E49B6"/>
    <w:rsid w:val="000E5285"/>
    <w:rsid w:val="000E66FC"/>
    <w:rsid w:val="000E745D"/>
    <w:rsid w:val="000E7A6C"/>
    <w:rsid w:val="000F04D4"/>
    <w:rsid w:val="000F0D4C"/>
    <w:rsid w:val="000F1179"/>
    <w:rsid w:val="000F3128"/>
    <w:rsid w:val="000F3CF5"/>
    <w:rsid w:val="000F47FD"/>
    <w:rsid w:val="000F66ED"/>
    <w:rsid w:val="000F7AF8"/>
    <w:rsid w:val="00101C27"/>
    <w:rsid w:val="00104133"/>
    <w:rsid w:val="00104DBF"/>
    <w:rsid w:val="00104EBD"/>
    <w:rsid w:val="00106457"/>
    <w:rsid w:val="0011095E"/>
    <w:rsid w:val="00110BE6"/>
    <w:rsid w:val="0011178E"/>
    <w:rsid w:val="00111E29"/>
    <w:rsid w:val="001125B7"/>
    <w:rsid w:val="00113551"/>
    <w:rsid w:val="001136EC"/>
    <w:rsid w:val="00113EA5"/>
    <w:rsid w:val="00114A9B"/>
    <w:rsid w:val="00114FE4"/>
    <w:rsid w:val="001152EF"/>
    <w:rsid w:val="001161A9"/>
    <w:rsid w:val="001162B3"/>
    <w:rsid w:val="00116EE1"/>
    <w:rsid w:val="00117A38"/>
    <w:rsid w:val="0012032D"/>
    <w:rsid w:val="00120FCD"/>
    <w:rsid w:val="00121122"/>
    <w:rsid w:val="00121582"/>
    <w:rsid w:val="00122658"/>
    <w:rsid w:val="001228F4"/>
    <w:rsid w:val="00124205"/>
    <w:rsid w:val="00125F48"/>
    <w:rsid w:val="00126BA2"/>
    <w:rsid w:val="00130F1B"/>
    <w:rsid w:val="001313E9"/>
    <w:rsid w:val="0013146E"/>
    <w:rsid w:val="001316CB"/>
    <w:rsid w:val="0013320C"/>
    <w:rsid w:val="00133368"/>
    <w:rsid w:val="001338E8"/>
    <w:rsid w:val="001339BB"/>
    <w:rsid w:val="00134A1A"/>
    <w:rsid w:val="00135381"/>
    <w:rsid w:val="00135D1B"/>
    <w:rsid w:val="00136096"/>
    <w:rsid w:val="001361C1"/>
    <w:rsid w:val="0013631E"/>
    <w:rsid w:val="0013661C"/>
    <w:rsid w:val="00136B03"/>
    <w:rsid w:val="00136B42"/>
    <w:rsid w:val="001374E3"/>
    <w:rsid w:val="00141328"/>
    <w:rsid w:val="001418E7"/>
    <w:rsid w:val="0014377F"/>
    <w:rsid w:val="001444EA"/>
    <w:rsid w:val="00145C01"/>
    <w:rsid w:val="001468B1"/>
    <w:rsid w:val="001479AA"/>
    <w:rsid w:val="00147E51"/>
    <w:rsid w:val="00150D91"/>
    <w:rsid w:val="00151DF5"/>
    <w:rsid w:val="001525EB"/>
    <w:rsid w:val="001546F0"/>
    <w:rsid w:val="00154BCB"/>
    <w:rsid w:val="00154D3A"/>
    <w:rsid w:val="00155EE6"/>
    <w:rsid w:val="00156A87"/>
    <w:rsid w:val="00160C69"/>
    <w:rsid w:val="0016152D"/>
    <w:rsid w:val="0016232C"/>
    <w:rsid w:val="00163E52"/>
    <w:rsid w:val="0016461C"/>
    <w:rsid w:val="00165A3C"/>
    <w:rsid w:val="00165BCF"/>
    <w:rsid w:val="00165BD8"/>
    <w:rsid w:val="0016603D"/>
    <w:rsid w:val="00166DFD"/>
    <w:rsid w:val="001703A1"/>
    <w:rsid w:val="00172AA1"/>
    <w:rsid w:val="00173BC8"/>
    <w:rsid w:val="00175132"/>
    <w:rsid w:val="001752E2"/>
    <w:rsid w:val="00175F90"/>
    <w:rsid w:val="001761A4"/>
    <w:rsid w:val="00177739"/>
    <w:rsid w:val="00180556"/>
    <w:rsid w:val="0018099A"/>
    <w:rsid w:val="00181273"/>
    <w:rsid w:val="0018141A"/>
    <w:rsid w:val="00183602"/>
    <w:rsid w:val="00184F9D"/>
    <w:rsid w:val="00186D96"/>
    <w:rsid w:val="001908CB"/>
    <w:rsid w:val="001909ED"/>
    <w:rsid w:val="00190DA1"/>
    <w:rsid w:val="00190FE1"/>
    <w:rsid w:val="00191AF5"/>
    <w:rsid w:val="001931A7"/>
    <w:rsid w:val="00194448"/>
    <w:rsid w:val="00195278"/>
    <w:rsid w:val="0019576E"/>
    <w:rsid w:val="00195947"/>
    <w:rsid w:val="00195973"/>
    <w:rsid w:val="00196666"/>
    <w:rsid w:val="00196CA7"/>
    <w:rsid w:val="0019760D"/>
    <w:rsid w:val="001976C3"/>
    <w:rsid w:val="001979A4"/>
    <w:rsid w:val="001A130D"/>
    <w:rsid w:val="001A14B0"/>
    <w:rsid w:val="001A1D7A"/>
    <w:rsid w:val="001A28A9"/>
    <w:rsid w:val="001A33C4"/>
    <w:rsid w:val="001A3475"/>
    <w:rsid w:val="001A3691"/>
    <w:rsid w:val="001A3886"/>
    <w:rsid w:val="001A415F"/>
    <w:rsid w:val="001A683C"/>
    <w:rsid w:val="001B195F"/>
    <w:rsid w:val="001B276D"/>
    <w:rsid w:val="001B454F"/>
    <w:rsid w:val="001B5E91"/>
    <w:rsid w:val="001B63D1"/>
    <w:rsid w:val="001B7C0B"/>
    <w:rsid w:val="001C0EB8"/>
    <w:rsid w:val="001C1191"/>
    <w:rsid w:val="001C17CB"/>
    <w:rsid w:val="001C2543"/>
    <w:rsid w:val="001C2BAC"/>
    <w:rsid w:val="001C31E1"/>
    <w:rsid w:val="001C39BB"/>
    <w:rsid w:val="001C6B48"/>
    <w:rsid w:val="001C6F03"/>
    <w:rsid w:val="001C7408"/>
    <w:rsid w:val="001D0FB5"/>
    <w:rsid w:val="001D1A0C"/>
    <w:rsid w:val="001D3E46"/>
    <w:rsid w:val="001D4378"/>
    <w:rsid w:val="001D49EB"/>
    <w:rsid w:val="001D519D"/>
    <w:rsid w:val="001D5252"/>
    <w:rsid w:val="001D5B33"/>
    <w:rsid w:val="001D5BED"/>
    <w:rsid w:val="001D61B3"/>
    <w:rsid w:val="001D6E06"/>
    <w:rsid w:val="001E1206"/>
    <w:rsid w:val="001E14A6"/>
    <w:rsid w:val="001E2AA9"/>
    <w:rsid w:val="001E2AD3"/>
    <w:rsid w:val="001E39DE"/>
    <w:rsid w:val="001E3A3B"/>
    <w:rsid w:val="001E57D8"/>
    <w:rsid w:val="001E5D2C"/>
    <w:rsid w:val="001E5DCC"/>
    <w:rsid w:val="001E6084"/>
    <w:rsid w:val="001F12B7"/>
    <w:rsid w:val="001F1A4E"/>
    <w:rsid w:val="001F2C3B"/>
    <w:rsid w:val="001F459E"/>
    <w:rsid w:val="001F5BE3"/>
    <w:rsid w:val="001F694B"/>
    <w:rsid w:val="001F7727"/>
    <w:rsid w:val="001F7A07"/>
    <w:rsid w:val="002002A4"/>
    <w:rsid w:val="002009CC"/>
    <w:rsid w:val="00200A50"/>
    <w:rsid w:val="002016BD"/>
    <w:rsid w:val="00201AA4"/>
    <w:rsid w:val="002025AE"/>
    <w:rsid w:val="002054C9"/>
    <w:rsid w:val="00206115"/>
    <w:rsid w:val="00211376"/>
    <w:rsid w:val="002114BB"/>
    <w:rsid w:val="00215B40"/>
    <w:rsid w:val="00216925"/>
    <w:rsid w:val="00216C28"/>
    <w:rsid w:val="002170DF"/>
    <w:rsid w:val="0022000D"/>
    <w:rsid w:val="00222A89"/>
    <w:rsid w:val="00223283"/>
    <w:rsid w:val="002239FD"/>
    <w:rsid w:val="00223B9F"/>
    <w:rsid w:val="00223C85"/>
    <w:rsid w:val="00223FCF"/>
    <w:rsid w:val="0022477F"/>
    <w:rsid w:val="00225022"/>
    <w:rsid w:val="0022556C"/>
    <w:rsid w:val="00225845"/>
    <w:rsid w:val="002268C7"/>
    <w:rsid w:val="002276E5"/>
    <w:rsid w:val="00227B40"/>
    <w:rsid w:val="00227B54"/>
    <w:rsid w:val="00230B80"/>
    <w:rsid w:val="00231885"/>
    <w:rsid w:val="002328BD"/>
    <w:rsid w:val="00232A48"/>
    <w:rsid w:val="00233E99"/>
    <w:rsid w:val="00234428"/>
    <w:rsid w:val="002352F1"/>
    <w:rsid w:val="00236052"/>
    <w:rsid w:val="00236844"/>
    <w:rsid w:val="00236AD0"/>
    <w:rsid w:val="002373BF"/>
    <w:rsid w:val="00237457"/>
    <w:rsid w:val="00237937"/>
    <w:rsid w:val="00240000"/>
    <w:rsid w:val="002403C4"/>
    <w:rsid w:val="00241DF0"/>
    <w:rsid w:val="00243533"/>
    <w:rsid w:val="00243BA4"/>
    <w:rsid w:val="00245569"/>
    <w:rsid w:val="0024577B"/>
    <w:rsid w:val="00245B80"/>
    <w:rsid w:val="002460C9"/>
    <w:rsid w:val="00246764"/>
    <w:rsid w:val="00247ACB"/>
    <w:rsid w:val="00247C9D"/>
    <w:rsid w:val="00247D0B"/>
    <w:rsid w:val="00247E8E"/>
    <w:rsid w:val="00250181"/>
    <w:rsid w:val="00253E55"/>
    <w:rsid w:val="00254007"/>
    <w:rsid w:val="00254B1F"/>
    <w:rsid w:val="00255710"/>
    <w:rsid w:val="00255F57"/>
    <w:rsid w:val="0025659E"/>
    <w:rsid w:val="00260739"/>
    <w:rsid w:val="00260F96"/>
    <w:rsid w:val="0026176A"/>
    <w:rsid w:val="00261812"/>
    <w:rsid w:val="00261EA3"/>
    <w:rsid w:val="002623B0"/>
    <w:rsid w:val="00263F81"/>
    <w:rsid w:val="00264D8C"/>
    <w:rsid w:val="00264F0E"/>
    <w:rsid w:val="00265DC6"/>
    <w:rsid w:val="00266D53"/>
    <w:rsid w:val="002670F0"/>
    <w:rsid w:val="002679F1"/>
    <w:rsid w:val="00270669"/>
    <w:rsid w:val="0027255C"/>
    <w:rsid w:val="00273205"/>
    <w:rsid w:val="0027513B"/>
    <w:rsid w:val="002753EE"/>
    <w:rsid w:val="00275CFC"/>
    <w:rsid w:val="00276633"/>
    <w:rsid w:val="00280030"/>
    <w:rsid w:val="002817A1"/>
    <w:rsid w:val="00282C6F"/>
    <w:rsid w:val="00283524"/>
    <w:rsid w:val="00283847"/>
    <w:rsid w:val="00285678"/>
    <w:rsid w:val="00286476"/>
    <w:rsid w:val="002870DE"/>
    <w:rsid w:val="00290E3F"/>
    <w:rsid w:val="00291C6D"/>
    <w:rsid w:val="00292ED4"/>
    <w:rsid w:val="00296560"/>
    <w:rsid w:val="00296F19"/>
    <w:rsid w:val="002A1720"/>
    <w:rsid w:val="002A1FDA"/>
    <w:rsid w:val="002A2D9E"/>
    <w:rsid w:val="002A336D"/>
    <w:rsid w:val="002A3656"/>
    <w:rsid w:val="002A370E"/>
    <w:rsid w:val="002A7134"/>
    <w:rsid w:val="002B044F"/>
    <w:rsid w:val="002B04D3"/>
    <w:rsid w:val="002B2159"/>
    <w:rsid w:val="002B228B"/>
    <w:rsid w:val="002B25D0"/>
    <w:rsid w:val="002B2A23"/>
    <w:rsid w:val="002B4444"/>
    <w:rsid w:val="002B6181"/>
    <w:rsid w:val="002B62CE"/>
    <w:rsid w:val="002B6C67"/>
    <w:rsid w:val="002B760C"/>
    <w:rsid w:val="002C02F2"/>
    <w:rsid w:val="002C26A7"/>
    <w:rsid w:val="002C2EE7"/>
    <w:rsid w:val="002C38FD"/>
    <w:rsid w:val="002C3937"/>
    <w:rsid w:val="002C4C7C"/>
    <w:rsid w:val="002C57D9"/>
    <w:rsid w:val="002C60B1"/>
    <w:rsid w:val="002C62A0"/>
    <w:rsid w:val="002C7731"/>
    <w:rsid w:val="002C7A4E"/>
    <w:rsid w:val="002D0B7D"/>
    <w:rsid w:val="002D117C"/>
    <w:rsid w:val="002D433E"/>
    <w:rsid w:val="002D5760"/>
    <w:rsid w:val="002D6149"/>
    <w:rsid w:val="002D64A3"/>
    <w:rsid w:val="002D67FA"/>
    <w:rsid w:val="002D6E81"/>
    <w:rsid w:val="002D717F"/>
    <w:rsid w:val="002D73C8"/>
    <w:rsid w:val="002D769B"/>
    <w:rsid w:val="002E2D5F"/>
    <w:rsid w:val="002E3FC4"/>
    <w:rsid w:val="002E410C"/>
    <w:rsid w:val="002E4630"/>
    <w:rsid w:val="002F1234"/>
    <w:rsid w:val="002F164E"/>
    <w:rsid w:val="002F2565"/>
    <w:rsid w:val="002F2E36"/>
    <w:rsid w:val="002F4163"/>
    <w:rsid w:val="002F49E0"/>
    <w:rsid w:val="002F50D3"/>
    <w:rsid w:val="002F5750"/>
    <w:rsid w:val="002F625A"/>
    <w:rsid w:val="002F65A7"/>
    <w:rsid w:val="002F7D55"/>
    <w:rsid w:val="002F7F5A"/>
    <w:rsid w:val="00300162"/>
    <w:rsid w:val="0030077F"/>
    <w:rsid w:val="0030141E"/>
    <w:rsid w:val="00301B46"/>
    <w:rsid w:val="00302C9F"/>
    <w:rsid w:val="00302D24"/>
    <w:rsid w:val="0030332B"/>
    <w:rsid w:val="00303B7D"/>
    <w:rsid w:val="003044C1"/>
    <w:rsid w:val="003055BB"/>
    <w:rsid w:val="00305A47"/>
    <w:rsid w:val="00306366"/>
    <w:rsid w:val="003074CE"/>
    <w:rsid w:val="00307878"/>
    <w:rsid w:val="00307905"/>
    <w:rsid w:val="00307FA2"/>
    <w:rsid w:val="003104FC"/>
    <w:rsid w:val="00311382"/>
    <w:rsid w:val="00311420"/>
    <w:rsid w:val="00312727"/>
    <w:rsid w:val="0031332A"/>
    <w:rsid w:val="003144FD"/>
    <w:rsid w:val="00316B4C"/>
    <w:rsid w:val="00317C66"/>
    <w:rsid w:val="00321904"/>
    <w:rsid w:val="00321C26"/>
    <w:rsid w:val="0032336A"/>
    <w:rsid w:val="00323CFE"/>
    <w:rsid w:val="0032441E"/>
    <w:rsid w:val="0032666D"/>
    <w:rsid w:val="003302A6"/>
    <w:rsid w:val="00330920"/>
    <w:rsid w:val="00330C6F"/>
    <w:rsid w:val="00332FDD"/>
    <w:rsid w:val="00333082"/>
    <w:rsid w:val="00333216"/>
    <w:rsid w:val="00334299"/>
    <w:rsid w:val="00336BAB"/>
    <w:rsid w:val="003467B1"/>
    <w:rsid w:val="00346F3A"/>
    <w:rsid w:val="00350454"/>
    <w:rsid w:val="003515F2"/>
    <w:rsid w:val="003516A4"/>
    <w:rsid w:val="00351BE2"/>
    <w:rsid w:val="003531D6"/>
    <w:rsid w:val="0035398C"/>
    <w:rsid w:val="00354107"/>
    <w:rsid w:val="003541B1"/>
    <w:rsid w:val="00354656"/>
    <w:rsid w:val="00354756"/>
    <w:rsid w:val="00355205"/>
    <w:rsid w:val="003556C9"/>
    <w:rsid w:val="00355A93"/>
    <w:rsid w:val="00356861"/>
    <w:rsid w:val="003572A5"/>
    <w:rsid w:val="00357A68"/>
    <w:rsid w:val="00360591"/>
    <w:rsid w:val="0036242B"/>
    <w:rsid w:val="00362802"/>
    <w:rsid w:val="00362D75"/>
    <w:rsid w:val="00362E4A"/>
    <w:rsid w:val="00363165"/>
    <w:rsid w:val="00366F6C"/>
    <w:rsid w:val="00367052"/>
    <w:rsid w:val="00370B4F"/>
    <w:rsid w:val="00371654"/>
    <w:rsid w:val="00371664"/>
    <w:rsid w:val="0037173A"/>
    <w:rsid w:val="00372837"/>
    <w:rsid w:val="00372B98"/>
    <w:rsid w:val="00374439"/>
    <w:rsid w:val="00377547"/>
    <w:rsid w:val="00377D78"/>
    <w:rsid w:val="003800A2"/>
    <w:rsid w:val="00380802"/>
    <w:rsid w:val="003809C7"/>
    <w:rsid w:val="0038373B"/>
    <w:rsid w:val="003858C0"/>
    <w:rsid w:val="00386215"/>
    <w:rsid w:val="0039096D"/>
    <w:rsid w:val="0039330A"/>
    <w:rsid w:val="00393857"/>
    <w:rsid w:val="00394FCC"/>
    <w:rsid w:val="003954A6"/>
    <w:rsid w:val="00395E33"/>
    <w:rsid w:val="003A1A4C"/>
    <w:rsid w:val="003A4810"/>
    <w:rsid w:val="003A489C"/>
    <w:rsid w:val="003A497A"/>
    <w:rsid w:val="003A4B73"/>
    <w:rsid w:val="003A5248"/>
    <w:rsid w:val="003A54AB"/>
    <w:rsid w:val="003A6849"/>
    <w:rsid w:val="003A6FEC"/>
    <w:rsid w:val="003A7DB6"/>
    <w:rsid w:val="003A7FAC"/>
    <w:rsid w:val="003B0233"/>
    <w:rsid w:val="003B1456"/>
    <w:rsid w:val="003B1984"/>
    <w:rsid w:val="003B19C8"/>
    <w:rsid w:val="003B2A86"/>
    <w:rsid w:val="003B30B9"/>
    <w:rsid w:val="003B391F"/>
    <w:rsid w:val="003B451B"/>
    <w:rsid w:val="003B4ED3"/>
    <w:rsid w:val="003B5A96"/>
    <w:rsid w:val="003B7BBF"/>
    <w:rsid w:val="003C0452"/>
    <w:rsid w:val="003C0E9A"/>
    <w:rsid w:val="003C2254"/>
    <w:rsid w:val="003C2FC7"/>
    <w:rsid w:val="003C3195"/>
    <w:rsid w:val="003C43B4"/>
    <w:rsid w:val="003C4A57"/>
    <w:rsid w:val="003C4D3B"/>
    <w:rsid w:val="003C6BCB"/>
    <w:rsid w:val="003C789D"/>
    <w:rsid w:val="003D07C9"/>
    <w:rsid w:val="003D10C2"/>
    <w:rsid w:val="003D5BD1"/>
    <w:rsid w:val="003E1B8F"/>
    <w:rsid w:val="003E1BC1"/>
    <w:rsid w:val="003E2D99"/>
    <w:rsid w:val="003E59F7"/>
    <w:rsid w:val="003E6F99"/>
    <w:rsid w:val="003E7269"/>
    <w:rsid w:val="003E7590"/>
    <w:rsid w:val="003F0562"/>
    <w:rsid w:val="003F0B21"/>
    <w:rsid w:val="003F32EE"/>
    <w:rsid w:val="003F45A3"/>
    <w:rsid w:val="003F4D68"/>
    <w:rsid w:val="003F5545"/>
    <w:rsid w:val="003F5945"/>
    <w:rsid w:val="003F6F28"/>
    <w:rsid w:val="00401635"/>
    <w:rsid w:val="00401772"/>
    <w:rsid w:val="004017D1"/>
    <w:rsid w:val="0040188A"/>
    <w:rsid w:val="00401D0B"/>
    <w:rsid w:val="00402AE2"/>
    <w:rsid w:val="00403903"/>
    <w:rsid w:val="00403A80"/>
    <w:rsid w:val="00403DD6"/>
    <w:rsid w:val="0040443E"/>
    <w:rsid w:val="00404C73"/>
    <w:rsid w:val="00404E2B"/>
    <w:rsid w:val="004053FD"/>
    <w:rsid w:val="0040635C"/>
    <w:rsid w:val="00407F26"/>
    <w:rsid w:val="004104C6"/>
    <w:rsid w:val="00410DA8"/>
    <w:rsid w:val="0041147E"/>
    <w:rsid w:val="00412910"/>
    <w:rsid w:val="00413193"/>
    <w:rsid w:val="00414112"/>
    <w:rsid w:val="0041462D"/>
    <w:rsid w:val="00414669"/>
    <w:rsid w:val="00414F91"/>
    <w:rsid w:val="00415C46"/>
    <w:rsid w:val="00415DDA"/>
    <w:rsid w:val="0041634E"/>
    <w:rsid w:val="00416595"/>
    <w:rsid w:val="00420DAB"/>
    <w:rsid w:val="004222A6"/>
    <w:rsid w:val="00422D44"/>
    <w:rsid w:val="00422F96"/>
    <w:rsid w:val="00424727"/>
    <w:rsid w:val="00425497"/>
    <w:rsid w:val="00425EA2"/>
    <w:rsid w:val="004271B6"/>
    <w:rsid w:val="00427873"/>
    <w:rsid w:val="00431C22"/>
    <w:rsid w:val="0043226B"/>
    <w:rsid w:val="0043376A"/>
    <w:rsid w:val="00433E66"/>
    <w:rsid w:val="0043419C"/>
    <w:rsid w:val="004400C0"/>
    <w:rsid w:val="004403BE"/>
    <w:rsid w:val="00440780"/>
    <w:rsid w:val="0044105C"/>
    <w:rsid w:val="00441138"/>
    <w:rsid w:val="00443878"/>
    <w:rsid w:val="0044434E"/>
    <w:rsid w:val="004443A2"/>
    <w:rsid w:val="0044445B"/>
    <w:rsid w:val="004457AE"/>
    <w:rsid w:val="00445B8D"/>
    <w:rsid w:val="00445F68"/>
    <w:rsid w:val="00447A86"/>
    <w:rsid w:val="00450F28"/>
    <w:rsid w:val="00451F08"/>
    <w:rsid w:val="00453DD9"/>
    <w:rsid w:val="004559B1"/>
    <w:rsid w:val="00455EA4"/>
    <w:rsid w:val="00457CD8"/>
    <w:rsid w:val="00457FA7"/>
    <w:rsid w:val="00461714"/>
    <w:rsid w:val="00461ABA"/>
    <w:rsid w:val="0046334B"/>
    <w:rsid w:val="00464C96"/>
    <w:rsid w:val="0046697F"/>
    <w:rsid w:val="00467122"/>
    <w:rsid w:val="00470321"/>
    <w:rsid w:val="00470C56"/>
    <w:rsid w:val="00472B7B"/>
    <w:rsid w:val="00473826"/>
    <w:rsid w:val="00473CAA"/>
    <w:rsid w:val="0047458F"/>
    <w:rsid w:val="00475F58"/>
    <w:rsid w:val="00476A53"/>
    <w:rsid w:val="00476E04"/>
    <w:rsid w:val="00477323"/>
    <w:rsid w:val="00477473"/>
    <w:rsid w:val="004800F4"/>
    <w:rsid w:val="004824A7"/>
    <w:rsid w:val="00483AC0"/>
    <w:rsid w:val="00484926"/>
    <w:rsid w:val="00484CF7"/>
    <w:rsid w:val="00484F28"/>
    <w:rsid w:val="00485686"/>
    <w:rsid w:val="00485E05"/>
    <w:rsid w:val="00486E47"/>
    <w:rsid w:val="004870D0"/>
    <w:rsid w:val="00490FBD"/>
    <w:rsid w:val="004928BA"/>
    <w:rsid w:val="00493DA7"/>
    <w:rsid w:val="00494395"/>
    <w:rsid w:val="00495F25"/>
    <w:rsid w:val="00496927"/>
    <w:rsid w:val="004A08CF"/>
    <w:rsid w:val="004A17AD"/>
    <w:rsid w:val="004A1D2B"/>
    <w:rsid w:val="004A1D99"/>
    <w:rsid w:val="004A207D"/>
    <w:rsid w:val="004A2655"/>
    <w:rsid w:val="004A3875"/>
    <w:rsid w:val="004A3DAA"/>
    <w:rsid w:val="004A414B"/>
    <w:rsid w:val="004A47E4"/>
    <w:rsid w:val="004A494B"/>
    <w:rsid w:val="004A4E5D"/>
    <w:rsid w:val="004A5B06"/>
    <w:rsid w:val="004A702D"/>
    <w:rsid w:val="004A756A"/>
    <w:rsid w:val="004A7EC9"/>
    <w:rsid w:val="004B036F"/>
    <w:rsid w:val="004B049E"/>
    <w:rsid w:val="004B07CE"/>
    <w:rsid w:val="004B2790"/>
    <w:rsid w:val="004B389C"/>
    <w:rsid w:val="004B395D"/>
    <w:rsid w:val="004B466E"/>
    <w:rsid w:val="004B4766"/>
    <w:rsid w:val="004B4789"/>
    <w:rsid w:val="004B4FBA"/>
    <w:rsid w:val="004B570D"/>
    <w:rsid w:val="004B67C0"/>
    <w:rsid w:val="004B6C24"/>
    <w:rsid w:val="004B6D41"/>
    <w:rsid w:val="004B7B8C"/>
    <w:rsid w:val="004B7EF3"/>
    <w:rsid w:val="004C0553"/>
    <w:rsid w:val="004C0709"/>
    <w:rsid w:val="004C1847"/>
    <w:rsid w:val="004C1CB9"/>
    <w:rsid w:val="004C29FB"/>
    <w:rsid w:val="004C3E67"/>
    <w:rsid w:val="004C47DA"/>
    <w:rsid w:val="004C5AC2"/>
    <w:rsid w:val="004C5D94"/>
    <w:rsid w:val="004C7111"/>
    <w:rsid w:val="004C7146"/>
    <w:rsid w:val="004C7890"/>
    <w:rsid w:val="004D0C7C"/>
    <w:rsid w:val="004D0F26"/>
    <w:rsid w:val="004D36BF"/>
    <w:rsid w:val="004D41CC"/>
    <w:rsid w:val="004D4506"/>
    <w:rsid w:val="004D46BF"/>
    <w:rsid w:val="004D58ED"/>
    <w:rsid w:val="004D7727"/>
    <w:rsid w:val="004E04C0"/>
    <w:rsid w:val="004E0A60"/>
    <w:rsid w:val="004E2C61"/>
    <w:rsid w:val="004E3B64"/>
    <w:rsid w:val="004E3F98"/>
    <w:rsid w:val="004E4F34"/>
    <w:rsid w:val="004E5DF7"/>
    <w:rsid w:val="004E64EB"/>
    <w:rsid w:val="004E656E"/>
    <w:rsid w:val="004F2B13"/>
    <w:rsid w:val="004F2DE3"/>
    <w:rsid w:val="004F411C"/>
    <w:rsid w:val="004F51C4"/>
    <w:rsid w:val="004F59A1"/>
    <w:rsid w:val="004F6879"/>
    <w:rsid w:val="004F699A"/>
    <w:rsid w:val="004F7EB5"/>
    <w:rsid w:val="0050039C"/>
    <w:rsid w:val="005004CF"/>
    <w:rsid w:val="0050094A"/>
    <w:rsid w:val="005027ED"/>
    <w:rsid w:val="005030AD"/>
    <w:rsid w:val="005038A0"/>
    <w:rsid w:val="005043D3"/>
    <w:rsid w:val="005048F5"/>
    <w:rsid w:val="005057A2"/>
    <w:rsid w:val="00506823"/>
    <w:rsid w:val="00510B37"/>
    <w:rsid w:val="00511DDF"/>
    <w:rsid w:val="00511FAD"/>
    <w:rsid w:val="00512839"/>
    <w:rsid w:val="00512973"/>
    <w:rsid w:val="00512AB8"/>
    <w:rsid w:val="00512D06"/>
    <w:rsid w:val="00513A72"/>
    <w:rsid w:val="0051596A"/>
    <w:rsid w:val="0051693D"/>
    <w:rsid w:val="00517F77"/>
    <w:rsid w:val="005200D2"/>
    <w:rsid w:val="00520CEA"/>
    <w:rsid w:val="005236A4"/>
    <w:rsid w:val="0052455B"/>
    <w:rsid w:val="00524FA6"/>
    <w:rsid w:val="005258C2"/>
    <w:rsid w:val="00527DD1"/>
    <w:rsid w:val="0053044E"/>
    <w:rsid w:val="005305FD"/>
    <w:rsid w:val="00530879"/>
    <w:rsid w:val="00532D01"/>
    <w:rsid w:val="0053338D"/>
    <w:rsid w:val="005348F2"/>
    <w:rsid w:val="00535CC4"/>
    <w:rsid w:val="00537074"/>
    <w:rsid w:val="00537282"/>
    <w:rsid w:val="0053735B"/>
    <w:rsid w:val="005404A4"/>
    <w:rsid w:val="00540933"/>
    <w:rsid w:val="00540EE1"/>
    <w:rsid w:val="00542B10"/>
    <w:rsid w:val="005438BD"/>
    <w:rsid w:val="005454A0"/>
    <w:rsid w:val="0054578D"/>
    <w:rsid w:val="00545AB1"/>
    <w:rsid w:val="00547B94"/>
    <w:rsid w:val="00547CCD"/>
    <w:rsid w:val="00553800"/>
    <w:rsid w:val="00553D99"/>
    <w:rsid w:val="00556332"/>
    <w:rsid w:val="00557B2F"/>
    <w:rsid w:val="00557B88"/>
    <w:rsid w:val="00560043"/>
    <w:rsid w:val="005611E1"/>
    <w:rsid w:val="005617FA"/>
    <w:rsid w:val="00562694"/>
    <w:rsid w:val="00562F0C"/>
    <w:rsid w:val="0056354F"/>
    <w:rsid w:val="00563568"/>
    <w:rsid w:val="00563CA4"/>
    <w:rsid w:val="00563CB2"/>
    <w:rsid w:val="00564E72"/>
    <w:rsid w:val="0056520D"/>
    <w:rsid w:val="00566447"/>
    <w:rsid w:val="00567327"/>
    <w:rsid w:val="005677C4"/>
    <w:rsid w:val="00570916"/>
    <w:rsid w:val="00570C6C"/>
    <w:rsid w:val="005727D0"/>
    <w:rsid w:val="00572C87"/>
    <w:rsid w:val="005739F2"/>
    <w:rsid w:val="0057581F"/>
    <w:rsid w:val="005802DB"/>
    <w:rsid w:val="00580374"/>
    <w:rsid w:val="005806E8"/>
    <w:rsid w:val="00580AF8"/>
    <w:rsid w:val="00581203"/>
    <w:rsid w:val="005823A1"/>
    <w:rsid w:val="00582ABE"/>
    <w:rsid w:val="0058317A"/>
    <w:rsid w:val="005832F8"/>
    <w:rsid w:val="00583480"/>
    <w:rsid w:val="005835B4"/>
    <w:rsid w:val="00585A29"/>
    <w:rsid w:val="00585D07"/>
    <w:rsid w:val="005863FA"/>
    <w:rsid w:val="005867BC"/>
    <w:rsid w:val="00586B07"/>
    <w:rsid w:val="005877E1"/>
    <w:rsid w:val="00587D59"/>
    <w:rsid w:val="00587DD0"/>
    <w:rsid w:val="00590DE4"/>
    <w:rsid w:val="00590FF6"/>
    <w:rsid w:val="00591DF8"/>
    <w:rsid w:val="00592FDD"/>
    <w:rsid w:val="005944BF"/>
    <w:rsid w:val="005960E7"/>
    <w:rsid w:val="00596695"/>
    <w:rsid w:val="0059750D"/>
    <w:rsid w:val="00597C7F"/>
    <w:rsid w:val="005A09B1"/>
    <w:rsid w:val="005A1E85"/>
    <w:rsid w:val="005A2277"/>
    <w:rsid w:val="005A2598"/>
    <w:rsid w:val="005A3411"/>
    <w:rsid w:val="005A3AC7"/>
    <w:rsid w:val="005A3E9D"/>
    <w:rsid w:val="005A50AA"/>
    <w:rsid w:val="005A705E"/>
    <w:rsid w:val="005A73CA"/>
    <w:rsid w:val="005B0044"/>
    <w:rsid w:val="005B023F"/>
    <w:rsid w:val="005B080C"/>
    <w:rsid w:val="005B08B3"/>
    <w:rsid w:val="005B17A6"/>
    <w:rsid w:val="005B1EE3"/>
    <w:rsid w:val="005B2DF1"/>
    <w:rsid w:val="005B3BB3"/>
    <w:rsid w:val="005B3DC9"/>
    <w:rsid w:val="005B4E36"/>
    <w:rsid w:val="005B5E2B"/>
    <w:rsid w:val="005B69F7"/>
    <w:rsid w:val="005B6CDA"/>
    <w:rsid w:val="005B6D11"/>
    <w:rsid w:val="005B774A"/>
    <w:rsid w:val="005B7E8B"/>
    <w:rsid w:val="005C0E15"/>
    <w:rsid w:val="005C109F"/>
    <w:rsid w:val="005C1C7C"/>
    <w:rsid w:val="005C22FE"/>
    <w:rsid w:val="005C2A5A"/>
    <w:rsid w:val="005C3F55"/>
    <w:rsid w:val="005C4250"/>
    <w:rsid w:val="005C4627"/>
    <w:rsid w:val="005C53EE"/>
    <w:rsid w:val="005C5BA0"/>
    <w:rsid w:val="005C6B08"/>
    <w:rsid w:val="005C6B0A"/>
    <w:rsid w:val="005C6E3F"/>
    <w:rsid w:val="005C7B8F"/>
    <w:rsid w:val="005D018E"/>
    <w:rsid w:val="005D319F"/>
    <w:rsid w:val="005D48C4"/>
    <w:rsid w:val="005D4C0E"/>
    <w:rsid w:val="005D4E6B"/>
    <w:rsid w:val="005D5E69"/>
    <w:rsid w:val="005D69E5"/>
    <w:rsid w:val="005D6D97"/>
    <w:rsid w:val="005D72F9"/>
    <w:rsid w:val="005D77D1"/>
    <w:rsid w:val="005E1B90"/>
    <w:rsid w:val="005E4314"/>
    <w:rsid w:val="005E45C0"/>
    <w:rsid w:val="005E45EF"/>
    <w:rsid w:val="005E5B84"/>
    <w:rsid w:val="005E614F"/>
    <w:rsid w:val="005E6D28"/>
    <w:rsid w:val="005E75AC"/>
    <w:rsid w:val="005F0284"/>
    <w:rsid w:val="005F1D5D"/>
    <w:rsid w:val="005F1E96"/>
    <w:rsid w:val="005F2E5E"/>
    <w:rsid w:val="005F2EBC"/>
    <w:rsid w:val="005F3491"/>
    <w:rsid w:val="005F3AB6"/>
    <w:rsid w:val="005F42EF"/>
    <w:rsid w:val="005F43B7"/>
    <w:rsid w:val="005F45BC"/>
    <w:rsid w:val="005F6FD6"/>
    <w:rsid w:val="005F756B"/>
    <w:rsid w:val="005F7987"/>
    <w:rsid w:val="0060026B"/>
    <w:rsid w:val="00601A55"/>
    <w:rsid w:val="00601DBE"/>
    <w:rsid w:val="00602D2B"/>
    <w:rsid w:val="00605BBB"/>
    <w:rsid w:val="00610371"/>
    <w:rsid w:val="00610A3C"/>
    <w:rsid w:val="006115ED"/>
    <w:rsid w:val="00612B40"/>
    <w:rsid w:val="0061342B"/>
    <w:rsid w:val="00613D74"/>
    <w:rsid w:val="00614121"/>
    <w:rsid w:val="0061446D"/>
    <w:rsid w:val="00614965"/>
    <w:rsid w:val="00616395"/>
    <w:rsid w:val="00624C49"/>
    <w:rsid w:val="00625C55"/>
    <w:rsid w:val="00630C96"/>
    <w:rsid w:val="006314FC"/>
    <w:rsid w:val="00632418"/>
    <w:rsid w:val="006333D3"/>
    <w:rsid w:val="00633B07"/>
    <w:rsid w:val="00633F1F"/>
    <w:rsid w:val="0063513C"/>
    <w:rsid w:val="00635331"/>
    <w:rsid w:val="006369B8"/>
    <w:rsid w:val="006372D6"/>
    <w:rsid w:val="00637978"/>
    <w:rsid w:val="006405BD"/>
    <w:rsid w:val="006413D1"/>
    <w:rsid w:val="006423F7"/>
    <w:rsid w:val="00642B35"/>
    <w:rsid w:val="00644563"/>
    <w:rsid w:val="00645D85"/>
    <w:rsid w:val="0065049B"/>
    <w:rsid w:val="006509E4"/>
    <w:rsid w:val="00650D9B"/>
    <w:rsid w:val="00650DF4"/>
    <w:rsid w:val="00651B96"/>
    <w:rsid w:val="00651F08"/>
    <w:rsid w:val="00652D7A"/>
    <w:rsid w:val="00653BA3"/>
    <w:rsid w:val="0065434B"/>
    <w:rsid w:val="00655301"/>
    <w:rsid w:val="00655650"/>
    <w:rsid w:val="00655989"/>
    <w:rsid w:val="00656710"/>
    <w:rsid w:val="0065794A"/>
    <w:rsid w:val="00660225"/>
    <w:rsid w:val="00660E62"/>
    <w:rsid w:val="00660FC0"/>
    <w:rsid w:val="00661B76"/>
    <w:rsid w:val="006627A2"/>
    <w:rsid w:val="00662C4A"/>
    <w:rsid w:val="00662FF7"/>
    <w:rsid w:val="0066310B"/>
    <w:rsid w:val="00663320"/>
    <w:rsid w:val="00664DF0"/>
    <w:rsid w:val="00664E23"/>
    <w:rsid w:val="00665963"/>
    <w:rsid w:val="0066720F"/>
    <w:rsid w:val="006678EC"/>
    <w:rsid w:val="00670301"/>
    <w:rsid w:val="006705A9"/>
    <w:rsid w:val="00671258"/>
    <w:rsid w:val="00671F24"/>
    <w:rsid w:val="00672156"/>
    <w:rsid w:val="006725DF"/>
    <w:rsid w:val="006741D6"/>
    <w:rsid w:val="00674AC0"/>
    <w:rsid w:val="0067555B"/>
    <w:rsid w:val="00680536"/>
    <w:rsid w:val="0068252F"/>
    <w:rsid w:val="0068282E"/>
    <w:rsid w:val="0068369D"/>
    <w:rsid w:val="006844EB"/>
    <w:rsid w:val="00685493"/>
    <w:rsid w:val="006855EC"/>
    <w:rsid w:val="00685BCA"/>
    <w:rsid w:val="0068763F"/>
    <w:rsid w:val="006900AF"/>
    <w:rsid w:val="00690303"/>
    <w:rsid w:val="00690B75"/>
    <w:rsid w:val="00691321"/>
    <w:rsid w:val="006939BB"/>
    <w:rsid w:val="00693DFD"/>
    <w:rsid w:val="00695B9B"/>
    <w:rsid w:val="00696A9A"/>
    <w:rsid w:val="00697EBB"/>
    <w:rsid w:val="006A19B9"/>
    <w:rsid w:val="006A280E"/>
    <w:rsid w:val="006A2D85"/>
    <w:rsid w:val="006A34CD"/>
    <w:rsid w:val="006A3D69"/>
    <w:rsid w:val="006A4405"/>
    <w:rsid w:val="006A448B"/>
    <w:rsid w:val="006A57F8"/>
    <w:rsid w:val="006A6D96"/>
    <w:rsid w:val="006A6E97"/>
    <w:rsid w:val="006A7FD0"/>
    <w:rsid w:val="006B06B0"/>
    <w:rsid w:val="006B1012"/>
    <w:rsid w:val="006B2291"/>
    <w:rsid w:val="006B2443"/>
    <w:rsid w:val="006B2C1E"/>
    <w:rsid w:val="006B36E3"/>
    <w:rsid w:val="006B3F34"/>
    <w:rsid w:val="006B4098"/>
    <w:rsid w:val="006B4346"/>
    <w:rsid w:val="006B43A4"/>
    <w:rsid w:val="006B4D01"/>
    <w:rsid w:val="006B6202"/>
    <w:rsid w:val="006B650B"/>
    <w:rsid w:val="006B6A11"/>
    <w:rsid w:val="006C017F"/>
    <w:rsid w:val="006C0500"/>
    <w:rsid w:val="006C123A"/>
    <w:rsid w:val="006C1D44"/>
    <w:rsid w:val="006C316F"/>
    <w:rsid w:val="006C3313"/>
    <w:rsid w:val="006C33AC"/>
    <w:rsid w:val="006C39D2"/>
    <w:rsid w:val="006C4255"/>
    <w:rsid w:val="006C4E3A"/>
    <w:rsid w:val="006C5A5E"/>
    <w:rsid w:val="006C7E6F"/>
    <w:rsid w:val="006D022A"/>
    <w:rsid w:val="006D04A5"/>
    <w:rsid w:val="006D0C53"/>
    <w:rsid w:val="006D0C6D"/>
    <w:rsid w:val="006D112A"/>
    <w:rsid w:val="006D5E23"/>
    <w:rsid w:val="006D6691"/>
    <w:rsid w:val="006D69BD"/>
    <w:rsid w:val="006D69F2"/>
    <w:rsid w:val="006E02DF"/>
    <w:rsid w:val="006E14D4"/>
    <w:rsid w:val="006E17B2"/>
    <w:rsid w:val="006E1BE3"/>
    <w:rsid w:val="006E1ED4"/>
    <w:rsid w:val="006E1F4B"/>
    <w:rsid w:val="006E2710"/>
    <w:rsid w:val="006E2C72"/>
    <w:rsid w:val="006E3254"/>
    <w:rsid w:val="006E62A7"/>
    <w:rsid w:val="006E6BAD"/>
    <w:rsid w:val="006E75E3"/>
    <w:rsid w:val="006E7C40"/>
    <w:rsid w:val="006F02CE"/>
    <w:rsid w:val="006F0F9A"/>
    <w:rsid w:val="006F269C"/>
    <w:rsid w:val="006F3B6E"/>
    <w:rsid w:val="006F3E80"/>
    <w:rsid w:val="006F45EA"/>
    <w:rsid w:val="006F5421"/>
    <w:rsid w:val="006F5640"/>
    <w:rsid w:val="006F58DF"/>
    <w:rsid w:val="00700371"/>
    <w:rsid w:val="0070093F"/>
    <w:rsid w:val="00700B9B"/>
    <w:rsid w:val="00702A18"/>
    <w:rsid w:val="0070317E"/>
    <w:rsid w:val="00703DF0"/>
    <w:rsid w:val="00704943"/>
    <w:rsid w:val="007053EC"/>
    <w:rsid w:val="00705E95"/>
    <w:rsid w:val="00705FCA"/>
    <w:rsid w:val="00705FCB"/>
    <w:rsid w:val="00707410"/>
    <w:rsid w:val="007074C2"/>
    <w:rsid w:val="00707AED"/>
    <w:rsid w:val="00710686"/>
    <w:rsid w:val="00712013"/>
    <w:rsid w:val="00712EA1"/>
    <w:rsid w:val="00714153"/>
    <w:rsid w:val="0071447B"/>
    <w:rsid w:val="00714DB9"/>
    <w:rsid w:val="00714EB5"/>
    <w:rsid w:val="00715109"/>
    <w:rsid w:val="00716849"/>
    <w:rsid w:val="00717078"/>
    <w:rsid w:val="00717522"/>
    <w:rsid w:val="007176DC"/>
    <w:rsid w:val="0071782D"/>
    <w:rsid w:val="00720FA4"/>
    <w:rsid w:val="00721159"/>
    <w:rsid w:val="00721FF0"/>
    <w:rsid w:val="00722540"/>
    <w:rsid w:val="0072316B"/>
    <w:rsid w:val="00723D94"/>
    <w:rsid w:val="00724108"/>
    <w:rsid w:val="0072445D"/>
    <w:rsid w:val="0072501F"/>
    <w:rsid w:val="00727047"/>
    <w:rsid w:val="00727141"/>
    <w:rsid w:val="00727173"/>
    <w:rsid w:val="00727E79"/>
    <w:rsid w:val="00731C73"/>
    <w:rsid w:val="00732B9F"/>
    <w:rsid w:val="00732E29"/>
    <w:rsid w:val="00733096"/>
    <w:rsid w:val="00734578"/>
    <w:rsid w:val="00734F72"/>
    <w:rsid w:val="007353D2"/>
    <w:rsid w:val="00735437"/>
    <w:rsid w:val="00737D09"/>
    <w:rsid w:val="00737DF3"/>
    <w:rsid w:val="007401EE"/>
    <w:rsid w:val="00741EE9"/>
    <w:rsid w:val="007425F9"/>
    <w:rsid w:val="007428A4"/>
    <w:rsid w:val="00742E3C"/>
    <w:rsid w:val="00743E8B"/>
    <w:rsid w:val="00745E74"/>
    <w:rsid w:val="007472A7"/>
    <w:rsid w:val="00750D98"/>
    <w:rsid w:val="007510C6"/>
    <w:rsid w:val="00751922"/>
    <w:rsid w:val="00751AB6"/>
    <w:rsid w:val="00751E24"/>
    <w:rsid w:val="00751F67"/>
    <w:rsid w:val="00753016"/>
    <w:rsid w:val="00753C2D"/>
    <w:rsid w:val="00754439"/>
    <w:rsid w:val="00757315"/>
    <w:rsid w:val="007573AF"/>
    <w:rsid w:val="007614A6"/>
    <w:rsid w:val="00762B3B"/>
    <w:rsid w:val="00763CBC"/>
    <w:rsid w:val="00763EE2"/>
    <w:rsid w:val="00764147"/>
    <w:rsid w:val="007644C9"/>
    <w:rsid w:val="007648B2"/>
    <w:rsid w:val="00765223"/>
    <w:rsid w:val="00766893"/>
    <w:rsid w:val="00771A32"/>
    <w:rsid w:val="00771EE3"/>
    <w:rsid w:val="00772496"/>
    <w:rsid w:val="00773B02"/>
    <w:rsid w:val="0077576C"/>
    <w:rsid w:val="00775B77"/>
    <w:rsid w:val="007760FE"/>
    <w:rsid w:val="00776BB1"/>
    <w:rsid w:val="00776D9F"/>
    <w:rsid w:val="00777EC4"/>
    <w:rsid w:val="007828AA"/>
    <w:rsid w:val="00784FE0"/>
    <w:rsid w:val="007858D9"/>
    <w:rsid w:val="00785950"/>
    <w:rsid w:val="007865E4"/>
    <w:rsid w:val="00790D91"/>
    <w:rsid w:val="00790E74"/>
    <w:rsid w:val="00791D08"/>
    <w:rsid w:val="00791E5C"/>
    <w:rsid w:val="0079415E"/>
    <w:rsid w:val="007958E8"/>
    <w:rsid w:val="007960ED"/>
    <w:rsid w:val="00796AB1"/>
    <w:rsid w:val="0079756A"/>
    <w:rsid w:val="007A0F5A"/>
    <w:rsid w:val="007A14A6"/>
    <w:rsid w:val="007A33E7"/>
    <w:rsid w:val="007A3C52"/>
    <w:rsid w:val="007A4C02"/>
    <w:rsid w:val="007A6392"/>
    <w:rsid w:val="007A724C"/>
    <w:rsid w:val="007B00C8"/>
    <w:rsid w:val="007B06E2"/>
    <w:rsid w:val="007B0F09"/>
    <w:rsid w:val="007B173B"/>
    <w:rsid w:val="007B1748"/>
    <w:rsid w:val="007B2984"/>
    <w:rsid w:val="007B3BE2"/>
    <w:rsid w:val="007B4183"/>
    <w:rsid w:val="007B4438"/>
    <w:rsid w:val="007B451A"/>
    <w:rsid w:val="007B462E"/>
    <w:rsid w:val="007B56CD"/>
    <w:rsid w:val="007B67D4"/>
    <w:rsid w:val="007C0995"/>
    <w:rsid w:val="007C161E"/>
    <w:rsid w:val="007C1672"/>
    <w:rsid w:val="007C1879"/>
    <w:rsid w:val="007C1D11"/>
    <w:rsid w:val="007C2859"/>
    <w:rsid w:val="007C2D8A"/>
    <w:rsid w:val="007C3B36"/>
    <w:rsid w:val="007C3FF4"/>
    <w:rsid w:val="007C4FF2"/>
    <w:rsid w:val="007C6A74"/>
    <w:rsid w:val="007C7297"/>
    <w:rsid w:val="007D0BD8"/>
    <w:rsid w:val="007D1872"/>
    <w:rsid w:val="007D4972"/>
    <w:rsid w:val="007D6803"/>
    <w:rsid w:val="007D6F0A"/>
    <w:rsid w:val="007E0308"/>
    <w:rsid w:val="007E1BF7"/>
    <w:rsid w:val="007E299F"/>
    <w:rsid w:val="007E2A42"/>
    <w:rsid w:val="007E2BEF"/>
    <w:rsid w:val="007E3D5D"/>
    <w:rsid w:val="007E478E"/>
    <w:rsid w:val="007E5114"/>
    <w:rsid w:val="007E6D0C"/>
    <w:rsid w:val="007E7159"/>
    <w:rsid w:val="007F0FF4"/>
    <w:rsid w:val="007F2753"/>
    <w:rsid w:val="007F2F0D"/>
    <w:rsid w:val="007F332E"/>
    <w:rsid w:val="007F4107"/>
    <w:rsid w:val="007F4238"/>
    <w:rsid w:val="007F501B"/>
    <w:rsid w:val="007F5081"/>
    <w:rsid w:val="007F54A0"/>
    <w:rsid w:val="007F59DA"/>
    <w:rsid w:val="007F5DE5"/>
    <w:rsid w:val="007F718F"/>
    <w:rsid w:val="007F746A"/>
    <w:rsid w:val="008030B5"/>
    <w:rsid w:val="008032E4"/>
    <w:rsid w:val="0080574E"/>
    <w:rsid w:val="00805E25"/>
    <w:rsid w:val="00806668"/>
    <w:rsid w:val="008115C6"/>
    <w:rsid w:val="0081311F"/>
    <w:rsid w:val="008132F9"/>
    <w:rsid w:val="0081372D"/>
    <w:rsid w:val="0081398A"/>
    <w:rsid w:val="008143AC"/>
    <w:rsid w:val="00814FC8"/>
    <w:rsid w:val="00815181"/>
    <w:rsid w:val="00815ED4"/>
    <w:rsid w:val="00816544"/>
    <w:rsid w:val="0081688E"/>
    <w:rsid w:val="0082037E"/>
    <w:rsid w:val="00820D43"/>
    <w:rsid w:val="00820E8C"/>
    <w:rsid w:val="008229D0"/>
    <w:rsid w:val="00822C22"/>
    <w:rsid w:val="0082377F"/>
    <w:rsid w:val="00825C4F"/>
    <w:rsid w:val="00827A54"/>
    <w:rsid w:val="008307BD"/>
    <w:rsid w:val="0083082E"/>
    <w:rsid w:val="00830878"/>
    <w:rsid w:val="008318A3"/>
    <w:rsid w:val="008319A2"/>
    <w:rsid w:val="00831D13"/>
    <w:rsid w:val="008329D0"/>
    <w:rsid w:val="0083326F"/>
    <w:rsid w:val="00833503"/>
    <w:rsid w:val="0083434E"/>
    <w:rsid w:val="00834366"/>
    <w:rsid w:val="008348EF"/>
    <w:rsid w:val="00835D0D"/>
    <w:rsid w:val="00836DFC"/>
    <w:rsid w:val="008379ED"/>
    <w:rsid w:val="00840C2C"/>
    <w:rsid w:val="008419FC"/>
    <w:rsid w:val="00841FA4"/>
    <w:rsid w:val="00842ED7"/>
    <w:rsid w:val="00843DD7"/>
    <w:rsid w:val="00844EA9"/>
    <w:rsid w:val="008470FA"/>
    <w:rsid w:val="00847243"/>
    <w:rsid w:val="00850289"/>
    <w:rsid w:val="0085195C"/>
    <w:rsid w:val="00853BF6"/>
    <w:rsid w:val="00854510"/>
    <w:rsid w:val="008571B2"/>
    <w:rsid w:val="00857AE5"/>
    <w:rsid w:val="00860A29"/>
    <w:rsid w:val="00862453"/>
    <w:rsid w:val="00864CCF"/>
    <w:rsid w:val="00864DC9"/>
    <w:rsid w:val="00865A2F"/>
    <w:rsid w:val="00865DFA"/>
    <w:rsid w:val="00865E8A"/>
    <w:rsid w:val="008664AC"/>
    <w:rsid w:val="00866B85"/>
    <w:rsid w:val="00871E9C"/>
    <w:rsid w:val="00872D15"/>
    <w:rsid w:val="008746D3"/>
    <w:rsid w:val="00874A02"/>
    <w:rsid w:val="00874EB4"/>
    <w:rsid w:val="00875913"/>
    <w:rsid w:val="00877950"/>
    <w:rsid w:val="00880192"/>
    <w:rsid w:val="00880456"/>
    <w:rsid w:val="00880C0F"/>
    <w:rsid w:val="00881E66"/>
    <w:rsid w:val="00881F06"/>
    <w:rsid w:val="00882189"/>
    <w:rsid w:val="0088391E"/>
    <w:rsid w:val="00883DEE"/>
    <w:rsid w:val="008850FD"/>
    <w:rsid w:val="00885973"/>
    <w:rsid w:val="00885D8A"/>
    <w:rsid w:val="00890461"/>
    <w:rsid w:val="00890800"/>
    <w:rsid w:val="00891B45"/>
    <w:rsid w:val="00892962"/>
    <w:rsid w:val="00893078"/>
    <w:rsid w:val="00893416"/>
    <w:rsid w:val="0089357A"/>
    <w:rsid w:val="00893E0A"/>
    <w:rsid w:val="00894F40"/>
    <w:rsid w:val="00895624"/>
    <w:rsid w:val="008960BD"/>
    <w:rsid w:val="00896291"/>
    <w:rsid w:val="00897114"/>
    <w:rsid w:val="008977D4"/>
    <w:rsid w:val="008A04A5"/>
    <w:rsid w:val="008A0FA6"/>
    <w:rsid w:val="008A24F5"/>
    <w:rsid w:val="008A2603"/>
    <w:rsid w:val="008A2B15"/>
    <w:rsid w:val="008A39C2"/>
    <w:rsid w:val="008A3C51"/>
    <w:rsid w:val="008A3D7D"/>
    <w:rsid w:val="008A4032"/>
    <w:rsid w:val="008A4C71"/>
    <w:rsid w:val="008A5189"/>
    <w:rsid w:val="008A5359"/>
    <w:rsid w:val="008A53CF"/>
    <w:rsid w:val="008A551F"/>
    <w:rsid w:val="008A7068"/>
    <w:rsid w:val="008A76DA"/>
    <w:rsid w:val="008B0693"/>
    <w:rsid w:val="008B0833"/>
    <w:rsid w:val="008B105B"/>
    <w:rsid w:val="008B108E"/>
    <w:rsid w:val="008B1B39"/>
    <w:rsid w:val="008B2457"/>
    <w:rsid w:val="008B28CA"/>
    <w:rsid w:val="008B294E"/>
    <w:rsid w:val="008B443E"/>
    <w:rsid w:val="008B4673"/>
    <w:rsid w:val="008B61D6"/>
    <w:rsid w:val="008B6487"/>
    <w:rsid w:val="008B75ED"/>
    <w:rsid w:val="008C0AA2"/>
    <w:rsid w:val="008C195A"/>
    <w:rsid w:val="008C1F51"/>
    <w:rsid w:val="008C5B01"/>
    <w:rsid w:val="008C72F9"/>
    <w:rsid w:val="008C75C2"/>
    <w:rsid w:val="008D0CC0"/>
    <w:rsid w:val="008D0DC8"/>
    <w:rsid w:val="008D106F"/>
    <w:rsid w:val="008D1165"/>
    <w:rsid w:val="008D11D8"/>
    <w:rsid w:val="008D1E56"/>
    <w:rsid w:val="008D2132"/>
    <w:rsid w:val="008D5653"/>
    <w:rsid w:val="008D5DAD"/>
    <w:rsid w:val="008D6265"/>
    <w:rsid w:val="008D749D"/>
    <w:rsid w:val="008D764B"/>
    <w:rsid w:val="008D7953"/>
    <w:rsid w:val="008D7EBB"/>
    <w:rsid w:val="008E0A98"/>
    <w:rsid w:val="008E1BB5"/>
    <w:rsid w:val="008E2A3E"/>
    <w:rsid w:val="008E2AA9"/>
    <w:rsid w:val="008E2CBC"/>
    <w:rsid w:val="008E3496"/>
    <w:rsid w:val="008E38ED"/>
    <w:rsid w:val="008E47FF"/>
    <w:rsid w:val="008E5AEB"/>
    <w:rsid w:val="008E6749"/>
    <w:rsid w:val="008E7818"/>
    <w:rsid w:val="008E7F19"/>
    <w:rsid w:val="008F0025"/>
    <w:rsid w:val="008F06E8"/>
    <w:rsid w:val="008F22D9"/>
    <w:rsid w:val="008F316D"/>
    <w:rsid w:val="008F5667"/>
    <w:rsid w:val="008F5987"/>
    <w:rsid w:val="008F611D"/>
    <w:rsid w:val="008F7CC8"/>
    <w:rsid w:val="00900DB0"/>
    <w:rsid w:val="0090124F"/>
    <w:rsid w:val="00901E7F"/>
    <w:rsid w:val="0090226C"/>
    <w:rsid w:val="00903B80"/>
    <w:rsid w:val="0090462D"/>
    <w:rsid w:val="009055FB"/>
    <w:rsid w:val="00905878"/>
    <w:rsid w:val="00907752"/>
    <w:rsid w:val="00907959"/>
    <w:rsid w:val="00907D31"/>
    <w:rsid w:val="00907F33"/>
    <w:rsid w:val="00910A4E"/>
    <w:rsid w:val="00910A67"/>
    <w:rsid w:val="00911A9D"/>
    <w:rsid w:val="009125E4"/>
    <w:rsid w:val="00912D8B"/>
    <w:rsid w:val="00913098"/>
    <w:rsid w:val="00914771"/>
    <w:rsid w:val="00914D8C"/>
    <w:rsid w:val="009154C6"/>
    <w:rsid w:val="0091682C"/>
    <w:rsid w:val="00916B37"/>
    <w:rsid w:val="00917AC3"/>
    <w:rsid w:val="00917C0B"/>
    <w:rsid w:val="00917C41"/>
    <w:rsid w:val="0092169A"/>
    <w:rsid w:val="009216AB"/>
    <w:rsid w:val="00921C6E"/>
    <w:rsid w:val="00923D63"/>
    <w:rsid w:val="0092680B"/>
    <w:rsid w:val="0092692C"/>
    <w:rsid w:val="00930045"/>
    <w:rsid w:val="00931036"/>
    <w:rsid w:val="00931101"/>
    <w:rsid w:val="00931DF6"/>
    <w:rsid w:val="00932C63"/>
    <w:rsid w:val="009332F9"/>
    <w:rsid w:val="00933A38"/>
    <w:rsid w:val="009356F8"/>
    <w:rsid w:val="00935856"/>
    <w:rsid w:val="00936C12"/>
    <w:rsid w:val="00942029"/>
    <w:rsid w:val="009425E7"/>
    <w:rsid w:val="00945804"/>
    <w:rsid w:val="00950115"/>
    <w:rsid w:val="00950511"/>
    <w:rsid w:val="00950D60"/>
    <w:rsid w:val="00951A9A"/>
    <w:rsid w:val="00952AEF"/>
    <w:rsid w:val="00952DAF"/>
    <w:rsid w:val="00953B4B"/>
    <w:rsid w:val="00953C39"/>
    <w:rsid w:val="00954B6A"/>
    <w:rsid w:val="00957F23"/>
    <w:rsid w:val="009605F5"/>
    <w:rsid w:val="009614D6"/>
    <w:rsid w:val="00961658"/>
    <w:rsid w:val="0096173A"/>
    <w:rsid w:val="0096326C"/>
    <w:rsid w:val="0096583F"/>
    <w:rsid w:val="00965D40"/>
    <w:rsid w:val="0096619E"/>
    <w:rsid w:val="0096640D"/>
    <w:rsid w:val="00966B44"/>
    <w:rsid w:val="00966EAF"/>
    <w:rsid w:val="00966FC0"/>
    <w:rsid w:val="00967247"/>
    <w:rsid w:val="0096765D"/>
    <w:rsid w:val="00967DE3"/>
    <w:rsid w:val="009701F1"/>
    <w:rsid w:val="00970F09"/>
    <w:rsid w:val="00971442"/>
    <w:rsid w:val="0097312C"/>
    <w:rsid w:val="00974C32"/>
    <w:rsid w:val="009754A3"/>
    <w:rsid w:val="00975EFE"/>
    <w:rsid w:val="009762E3"/>
    <w:rsid w:val="00976E7D"/>
    <w:rsid w:val="00977980"/>
    <w:rsid w:val="009812F8"/>
    <w:rsid w:val="009843FA"/>
    <w:rsid w:val="00984E34"/>
    <w:rsid w:val="00990EA8"/>
    <w:rsid w:val="0099214C"/>
    <w:rsid w:val="009923BD"/>
    <w:rsid w:val="00992819"/>
    <w:rsid w:val="00992CE1"/>
    <w:rsid w:val="00993BDF"/>
    <w:rsid w:val="00993F8E"/>
    <w:rsid w:val="0099403A"/>
    <w:rsid w:val="0099572E"/>
    <w:rsid w:val="009A1527"/>
    <w:rsid w:val="009A1675"/>
    <w:rsid w:val="009A1D3F"/>
    <w:rsid w:val="009A3039"/>
    <w:rsid w:val="009A3532"/>
    <w:rsid w:val="009A49BC"/>
    <w:rsid w:val="009A4E03"/>
    <w:rsid w:val="009A5037"/>
    <w:rsid w:val="009A5671"/>
    <w:rsid w:val="009A6266"/>
    <w:rsid w:val="009A679D"/>
    <w:rsid w:val="009A7356"/>
    <w:rsid w:val="009B0693"/>
    <w:rsid w:val="009B0F41"/>
    <w:rsid w:val="009B1B08"/>
    <w:rsid w:val="009B1C29"/>
    <w:rsid w:val="009B3494"/>
    <w:rsid w:val="009B3B1A"/>
    <w:rsid w:val="009B3CD6"/>
    <w:rsid w:val="009B485D"/>
    <w:rsid w:val="009B4F47"/>
    <w:rsid w:val="009B5170"/>
    <w:rsid w:val="009B6A09"/>
    <w:rsid w:val="009B7048"/>
    <w:rsid w:val="009B74A3"/>
    <w:rsid w:val="009C03F0"/>
    <w:rsid w:val="009C2181"/>
    <w:rsid w:val="009C21D4"/>
    <w:rsid w:val="009C26C5"/>
    <w:rsid w:val="009C31AB"/>
    <w:rsid w:val="009C3DFD"/>
    <w:rsid w:val="009C4CF1"/>
    <w:rsid w:val="009C6438"/>
    <w:rsid w:val="009C6CDC"/>
    <w:rsid w:val="009C7178"/>
    <w:rsid w:val="009C72D3"/>
    <w:rsid w:val="009C780F"/>
    <w:rsid w:val="009C7F4F"/>
    <w:rsid w:val="009D00D6"/>
    <w:rsid w:val="009D08DE"/>
    <w:rsid w:val="009D0DB9"/>
    <w:rsid w:val="009D0F3E"/>
    <w:rsid w:val="009D1023"/>
    <w:rsid w:val="009D190E"/>
    <w:rsid w:val="009D264A"/>
    <w:rsid w:val="009D4781"/>
    <w:rsid w:val="009D5CFB"/>
    <w:rsid w:val="009D6640"/>
    <w:rsid w:val="009D66C4"/>
    <w:rsid w:val="009D76D7"/>
    <w:rsid w:val="009E0458"/>
    <w:rsid w:val="009E075E"/>
    <w:rsid w:val="009E1709"/>
    <w:rsid w:val="009E4534"/>
    <w:rsid w:val="009E6F22"/>
    <w:rsid w:val="009E76A1"/>
    <w:rsid w:val="009F15EB"/>
    <w:rsid w:val="009F292C"/>
    <w:rsid w:val="009F2CF0"/>
    <w:rsid w:val="009F3BD0"/>
    <w:rsid w:val="009F5836"/>
    <w:rsid w:val="009F58EA"/>
    <w:rsid w:val="009F6BE0"/>
    <w:rsid w:val="009F7528"/>
    <w:rsid w:val="009F7A5E"/>
    <w:rsid w:val="009F7B4E"/>
    <w:rsid w:val="00A0075F"/>
    <w:rsid w:val="00A009C1"/>
    <w:rsid w:val="00A01137"/>
    <w:rsid w:val="00A01292"/>
    <w:rsid w:val="00A026AF"/>
    <w:rsid w:val="00A04F26"/>
    <w:rsid w:val="00A0570A"/>
    <w:rsid w:val="00A057A3"/>
    <w:rsid w:val="00A05D21"/>
    <w:rsid w:val="00A0636F"/>
    <w:rsid w:val="00A0642F"/>
    <w:rsid w:val="00A06F25"/>
    <w:rsid w:val="00A0781B"/>
    <w:rsid w:val="00A07827"/>
    <w:rsid w:val="00A10615"/>
    <w:rsid w:val="00A11293"/>
    <w:rsid w:val="00A11D31"/>
    <w:rsid w:val="00A122DD"/>
    <w:rsid w:val="00A12D11"/>
    <w:rsid w:val="00A12D6D"/>
    <w:rsid w:val="00A13758"/>
    <w:rsid w:val="00A13EBB"/>
    <w:rsid w:val="00A14F7D"/>
    <w:rsid w:val="00A15975"/>
    <w:rsid w:val="00A16452"/>
    <w:rsid w:val="00A20938"/>
    <w:rsid w:val="00A21B61"/>
    <w:rsid w:val="00A24A7B"/>
    <w:rsid w:val="00A24CD9"/>
    <w:rsid w:val="00A252D0"/>
    <w:rsid w:val="00A26388"/>
    <w:rsid w:val="00A26960"/>
    <w:rsid w:val="00A27C80"/>
    <w:rsid w:val="00A30C3A"/>
    <w:rsid w:val="00A32AC2"/>
    <w:rsid w:val="00A33C5A"/>
    <w:rsid w:val="00A341D5"/>
    <w:rsid w:val="00A354CA"/>
    <w:rsid w:val="00A357BA"/>
    <w:rsid w:val="00A36D58"/>
    <w:rsid w:val="00A36D8B"/>
    <w:rsid w:val="00A4034C"/>
    <w:rsid w:val="00A4066A"/>
    <w:rsid w:val="00A429F9"/>
    <w:rsid w:val="00A44494"/>
    <w:rsid w:val="00A44DF6"/>
    <w:rsid w:val="00A45FF7"/>
    <w:rsid w:val="00A466C6"/>
    <w:rsid w:val="00A4694C"/>
    <w:rsid w:val="00A47827"/>
    <w:rsid w:val="00A50503"/>
    <w:rsid w:val="00A545C8"/>
    <w:rsid w:val="00A54BFE"/>
    <w:rsid w:val="00A55670"/>
    <w:rsid w:val="00A55C64"/>
    <w:rsid w:val="00A57397"/>
    <w:rsid w:val="00A60C3D"/>
    <w:rsid w:val="00A6223E"/>
    <w:rsid w:val="00A6343D"/>
    <w:rsid w:val="00A63CD1"/>
    <w:rsid w:val="00A66B48"/>
    <w:rsid w:val="00A67B1A"/>
    <w:rsid w:val="00A71431"/>
    <w:rsid w:val="00A72832"/>
    <w:rsid w:val="00A73F57"/>
    <w:rsid w:val="00A7456C"/>
    <w:rsid w:val="00A7651A"/>
    <w:rsid w:val="00A76A1C"/>
    <w:rsid w:val="00A77D4A"/>
    <w:rsid w:val="00A80F72"/>
    <w:rsid w:val="00A824DE"/>
    <w:rsid w:val="00A835AB"/>
    <w:rsid w:val="00A83FE7"/>
    <w:rsid w:val="00A84BD0"/>
    <w:rsid w:val="00A84BE2"/>
    <w:rsid w:val="00A85B26"/>
    <w:rsid w:val="00A87168"/>
    <w:rsid w:val="00A90333"/>
    <w:rsid w:val="00A90DFC"/>
    <w:rsid w:val="00A91393"/>
    <w:rsid w:val="00A92B47"/>
    <w:rsid w:val="00A92B52"/>
    <w:rsid w:val="00A94219"/>
    <w:rsid w:val="00A94EED"/>
    <w:rsid w:val="00A95CF5"/>
    <w:rsid w:val="00A96433"/>
    <w:rsid w:val="00A96587"/>
    <w:rsid w:val="00A97AB2"/>
    <w:rsid w:val="00AA02C0"/>
    <w:rsid w:val="00AA0AA2"/>
    <w:rsid w:val="00AA0D11"/>
    <w:rsid w:val="00AA2A31"/>
    <w:rsid w:val="00AA3417"/>
    <w:rsid w:val="00AA40AE"/>
    <w:rsid w:val="00AA5215"/>
    <w:rsid w:val="00AA5633"/>
    <w:rsid w:val="00AA6152"/>
    <w:rsid w:val="00AA653A"/>
    <w:rsid w:val="00AB0170"/>
    <w:rsid w:val="00AB093A"/>
    <w:rsid w:val="00AB210B"/>
    <w:rsid w:val="00AB5471"/>
    <w:rsid w:val="00AB615C"/>
    <w:rsid w:val="00AB7D85"/>
    <w:rsid w:val="00AC113C"/>
    <w:rsid w:val="00AC15D5"/>
    <w:rsid w:val="00AC2043"/>
    <w:rsid w:val="00AC55AD"/>
    <w:rsid w:val="00AC57BA"/>
    <w:rsid w:val="00AC645D"/>
    <w:rsid w:val="00AD0150"/>
    <w:rsid w:val="00AD08D2"/>
    <w:rsid w:val="00AD6449"/>
    <w:rsid w:val="00AD6A9C"/>
    <w:rsid w:val="00AD798E"/>
    <w:rsid w:val="00AD7F77"/>
    <w:rsid w:val="00AE0A85"/>
    <w:rsid w:val="00AE1499"/>
    <w:rsid w:val="00AE5901"/>
    <w:rsid w:val="00AE5CE1"/>
    <w:rsid w:val="00AE79D5"/>
    <w:rsid w:val="00AF070A"/>
    <w:rsid w:val="00AF1270"/>
    <w:rsid w:val="00AF24D4"/>
    <w:rsid w:val="00AF276D"/>
    <w:rsid w:val="00AF3DA4"/>
    <w:rsid w:val="00AF432F"/>
    <w:rsid w:val="00AF4CF2"/>
    <w:rsid w:val="00AF561B"/>
    <w:rsid w:val="00AF5828"/>
    <w:rsid w:val="00AF5D69"/>
    <w:rsid w:val="00AF73BB"/>
    <w:rsid w:val="00AF7B64"/>
    <w:rsid w:val="00AF7C43"/>
    <w:rsid w:val="00B030FB"/>
    <w:rsid w:val="00B0443B"/>
    <w:rsid w:val="00B04D41"/>
    <w:rsid w:val="00B056B2"/>
    <w:rsid w:val="00B05EDA"/>
    <w:rsid w:val="00B060F3"/>
    <w:rsid w:val="00B06199"/>
    <w:rsid w:val="00B062FA"/>
    <w:rsid w:val="00B0691B"/>
    <w:rsid w:val="00B10D74"/>
    <w:rsid w:val="00B12596"/>
    <w:rsid w:val="00B131F4"/>
    <w:rsid w:val="00B1427C"/>
    <w:rsid w:val="00B149E9"/>
    <w:rsid w:val="00B154FF"/>
    <w:rsid w:val="00B169ED"/>
    <w:rsid w:val="00B17699"/>
    <w:rsid w:val="00B20A87"/>
    <w:rsid w:val="00B20E2A"/>
    <w:rsid w:val="00B21682"/>
    <w:rsid w:val="00B21702"/>
    <w:rsid w:val="00B21C00"/>
    <w:rsid w:val="00B21F3A"/>
    <w:rsid w:val="00B22701"/>
    <w:rsid w:val="00B227B6"/>
    <w:rsid w:val="00B22BB5"/>
    <w:rsid w:val="00B24810"/>
    <w:rsid w:val="00B27682"/>
    <w:rsid w:val="00B277F7"/>
    <w:rsid w:val="00B277FF"/>
    <w:rsid w:val="00B27C7D"/>
    <w:rsid w:val="00B3119C"/>
    <w:rsid w:val="00B31E54"/>
    <w:rsid w:val="00B32464"/>
    <w:rsid w:val="00B3561A"/>
    <w:rsid w:val="00B36A47"/>
    <w:rsid w:val="00B36AE2"/>
    <w:rsid w:val="00B3701E"/>
    <w:rsid w:val="00B376C9"/>
    <w:rsid w:val="00B3783E"/>
    <w:rsid w:val="00B37C7D"/>
    <w:rsid w:val="00B40CD8"/>
    <w:rsid w:val="00B42A26"/>
    <w:rsid w:val="00B42D00"/>
    <w:rsid w:val="00B43CB0"/>
    <w:rsid w:val="00B4458D"/>
    <w:rsid w:val="00B445F2"/>
    <w:rsid w:val="00B455EA"/>
    <w:rsid w:val="00B456B2"/>
    <w:rsid w:val="00B459EE"/>
    <w:rsid w:val="00B4798E"/>
    <w:rsid w:val="00B50C22"/>
    <w:rsid w:val="00B50E2D"/>
    <w:rsid w:val="00B514CF"/>
    <w:rsid w:val="00B51C0A"/>
    <w:rsid w:val="00B51D9F"/>
    <w:rsid w:val="00B51F98"/>
    <w:rsid w:val="00B52765"/>
    <w:rsid w:val="00B52849"/>
    <w:rsid w:val="00B53CE2"/>
    <w:rsid w:val="00B544F0"/>
    <w:rsid w:val="00B5563A"/>
    <w:rsid w:val="00B558C2"/>
    <w:rsid w:val="00B559F8"/>
    <w:rsid w:val="00B55E29"/>
    <w:rsid w:val="00B61070"/>
    <w:rsid w:val="00B61254"/>
    <w:rsid w:val="00B62529"/>
    <w:rsid w:val="00B6299A"/>
    <w:rsid w:val="00B6378E"/>
    <w:rsid w:val="00B64DB1"/>
    <w:rsid w:val="00B6627B"/>
    <w:rsid w:val="00B675E5"/>
    <w:rsid w:val="00B70049"/>
    <w:rsid w:val="00B707AD"/>
    <w:rsid w:val="00B71887"/>
    <w:rsid w:val="00B8005C"/>
    <w:rsid w:val="00B80A14"/>
    <w:rsid w:val="00B8113A"/>
    <w:rsid w:val="00B81645"/>
    <w:rsid w:val="00B820A8"/>
    <w:rsid w:val="00B835CE"/>
    <w:rsid w:val="00B839C1"/>
    <w:rsid w:val="00B83B1C"/>
    <w:rsid w:val="00B83CB4"/>
    <w:rsid w:val="00B8404E"/>
    <w:rsid w:val="00B858CE"/>
    <w:rsid w:val="00B863F9"/>
    <w:rsid w:val="00B86837"/>
    <w:rsid w:val="00B87310"/>
    <w:rsid w:val="00B90681"/>
    <w:rsid w:val="00B91391"/>
    <w:rsid w:val="00B91CE3"/>
    <w:rsid w:val="00B92058"/>
    <w:rsid w:val="00B92794"/>
    <w:rsid w:val="00B93A86"/>
    <w:rsid w:val="00B93EE0"/>
    <w:rsid w:val="00B95372"/>
    <w:rsid w:val="00B96B57"/>
    <w:rsid w:val="00B96E2B"/>
    <w:rsid w:val="00B97049"/>
    <w:rsid w:val="00B977D1"/>
    <w:rsid w:val="00B97868"/>
    <w:rsid w:val="00BA0646"/>
    <w:rsid w:val="00BA0E4E"/>
    <w:rsid w:val="00BA418D"/>
    <w:rsid w:val="00BB378D"/>
    <w:rsid w:val="00BB3FF1"/>
    <w:rsid w:val="00BB54FB"/>
    <w:rsid w:val="00BB699D"/>
    <w:rsid w:val="00BB71E4"/>
    <w:rsid w:val="00BB7B9D"/>
    <w:rsid w:val="00BB7DC1"/>
    <w:rsid w:val="00BC14D5"/>
    <w:rsid w:val="00BC1F93"/>
    <w:rsid w:val="00BC2C4A"/>
    <w:rsid w:val="00BC300D"/>
    <w:rsid w:val="00BC34DD"/>
    <w:rsid w:val="00BC35BA"/>
    <w:rsid w:val="00BC41F5"/>
    <w:rsid w:val="00BC5184"/>
    <w:rsid w:val="00BC5295"/>
    <w:rsid w:val="00BC537F"/>
    <w:rsid w:val="00BC5AA6"/>
    <w:rsid w:val="00BC7C34"/>
    <w:rsid w:val="00BD0249"/>
    <w:rsid w:val="00BD0ABC"/>
    <w:rsid w:val="00BD13F2"/>
    <w:rsid w:val="00BD18E8"/>
    <w:rsid w:val="00BD3208"/>
    <w:rsid w:val="00BD3A09"/>
    <w:rsid w:val="00BD3DE0"/>
    <w:rsid w:val="00BD5529"/>
    <w:rsid w:val="00BD59B3"/>
    <w:rsid w:val="00BD64D1"/>
    <w:rsid w:val="00BD745E"/>
    <w:rsid w:val="00BE0B20"/>
    <w:rsid w:val="00BE0E08"/>
    <w:rsid w:val="00BE1A15"/>
    <w:rsid w:val="00BE1D7A"/>
    <w:rsid w:val="00BE1DC8"/>
    <w:rsid w:val="00BE3905"/>
    <w:rsid w:val="00BE61E5"/>
    <w:rsid w:val="00BE6A15"/>
    <w:rsid w:val="00BE70A6"/>
    <w:rsid w:val="00BE72F3"/>
    <w:rsid w:val="00BE7BED"/>
    <w:rsid w:val="00BF0113"/>
    <w:rsid w:val="00BF0D5B"/>
    <w:rsid w:val="00BF102F"/>
    <w:rsid w:val="00BF1075"/>
    <w:rsid w:val="00BF12D1"/>
    <w:rsid w:val="00BF2E3B"/>
    <w:rsid w:val="00BF304A"/>
    <w:rsid w:val="00BF37AC"/>
    <w:rsid w:val="00BF418E"/>
    <w:rsid w:val="00BF49A3"/>
    <w:rsid w:val="00BF52A9"/>
    <w:rsid w:val="00BF660C"/>
    <w:rsid w:val="00BF7929"/>
    <w:rsid w:val="00C00DCB"/>
    <w:rsid w:val="00C029DB"/>
    <w:rsid w:val="00C0318B"/>
    <w:rsid w:val="00C0378B"/>
    <w:rsid w:val="00C03DC1"/>
    <w:rsid w:val="00C04610"/>
    <w:rsid w:val="00C063BD"/>
    <w:rsid w:val="00C0725C"/>
    <w:rsid w:val="00C1069F"/>
    <w:rsid w:val="00C109F7"/>
    <w:rsid w:val="00C10ED4"/>
    <w:rsid w:val="00C10F85"/>
    <w:rsid w:val="00C111C7"/>
    <w:rsid w:val="00C118C1"/>
    <w:rsid w:val="00C11E51"/>
    <w:rsid w:val="00C11E9C"/>
    <w:rsid w:val="00C12029"/>
    <w:rsid w:val="00C12D32"/>
    <w:rsid w:val="00C13C00"/>
    <w:rsid w:val="00C14580"/>
    <w:rsid w:val="00C16327"/>
    <w:rsid w:val="00C16810"/>
    <w:rsid w:val="00C17130"/>
    <w:rsid w:val="00C213CF"/>
    <w:rsid w:val="00C243FE"/>
    <w:rsid w:val="00C24D62"/>
    <w:rsid w:val="00C24E13"/>
    <w:rsid w:val="00C26434"/>
    <w:rsid w:val="00C2718F"/>
    <w:rsid w:val="00C3008E"/>
    <w:rsid w:val="00C30565"/>
    <w:rsid w:val="00C30D4A"/>
    <w:rsid w:val="00C3104F"/>
    <w:rsid w:val="00C32CEB"/>
    <w:rsid w:val="00C32D12"/>
    <w:rsid w:val="00C33361"/>
    <w:rsid w:val="00C3404D"/>
    <w:rsid w:val="00C341FE"/>
    <w:rsid w:val="00C36235"/>
    <w:rsid w:val="00C36AED"/>
    <w:rsid w:val="00C3741E"/>
    <w:rsid w:val="00C379FA"/>
    <w:rsid w:val="00C403B7"/>
    <w:rsid w:val="00C41DD9"/>
    <w:rsid w:val="00C42871"/>
    <w:rsid w:val="00C43EF8"/>
    <w:rsid w:val="00C4462E"/>
    <w:rsid w:val="00C45C32"/>
    <w:rsid w:val="00C46A49"/>
    <w:rsid w:val="00C46F6D"/>
    <w:rsid w:val="00C479BD"/>
    <w:rsid w:val="00C50794"/>
    <w:rsid w:val="00C52103"/>
    <w:rsid w:val="00C5249E"/>
    <w:rsid w:val="00C52D97"/>
    <w:rsid w:val="00C53509"/>
    <w:rsid w:val="00C55B23"/>
    <w:rsid w:val="00C56C44"/>
    <w:rsid w:val="00C56F74"/>
    <w:rsid w:val="00C571A1"/>
    <w:rsid w:val="00C577C6"/>
    <w:rsid w:val="00C60E3B"/>
    <w:rsid w:val="00C60ECE"/>
    <w:rsid w:val="00C60F49"/>
    <w:rsid w:val="00C641E1"/>
    <w:rsid w:val="00C646FF"/>
    <w:rsid w:val="00C65742"/>
    <w:rsid w:val="00C666EF"/>
    <w:rsid w:val="00C6699E"/>
    <w:rsid w:val="00C66F87"/>
    <w:rsid w:val="00C70776"/>
    <w:rsid w:val="00C70B47"/>
    <w:rsid w:val="00C70CC1"/>
    <w:rsid w:val="00C71752"/>
    <w:rsid w:val="00C718F8"/>
    <w:rsid w:val="00C72950"/>
    <w:rsid w:val="00C72AE9"/>
    <w:rsid w:val="00C72B75"/>
    <w:rsid w:val="00C73832"/>
    <w:rsid w:val="00C75B2B"/>
    <w:rsid w:val="00C75D2F"/>
    <w:rsid w:val="00C76FB0"/>
    <w:rsid w:val="00C770D2"/>
    <w:rsid w:val="00C77542"/>
    <w:rsid w:val="00C77DC3"/>
    <w:rsid w:val="00C8039A"/>
    <w:rsid w:val="00C8100C"/>
    <w:rsid w:val="00C8237A"/>
    <w:rsid w:val="00C83C31"/>
    <w:rsid w:val="00C83F12"/>
    <w:rsid w:val="00C8405D"/>
    <w:rsid w:val="00C8508A"/>
    <w:rsid w:val="00C854BC"/>
    <w:rsid w:val="00C8609E"/>
    <w:rsid w:val="00C86C74"/>
    <w:rsid w:val="00C86F7F"/>
    <w:rsid w:val="00C8714D"/>
    <w:rsid w:val="00C873E3"/>
    <w:rsid w:val="00C8759A"/>
    <w:rsid w:val="00C900B1"/>
    <w:rsid w:val="00C90182"/>
    <w:rsid w:val="00C90677"/>
    <w:rsid w:val="00C90BDD"/>
    <w:rsid w:val="00C933EE"/>
    <w:rsid w:val="00C94D17"/>
    <w:rsid w:val="00C9529F"/>
    <w:rsid w:val="00C96DA4"/>
    <w:rsid w:val="00CA0E35"/>
    <w:rsid w:val="00CA28D2"/>
    <w:rsid w:val="00CA2E48"/>
    <w:rsid w:val="00CA2F3A"/>
    <w:rsid w:val="00CA3338"/>
    <w:rsid w:val="00CA373F"/>
    <w:rsid w:val="00CA40B5"/>
    <w:rsid w:val="00CA421C"/>
    <w:rsid w:val="00CA4715"/>
    <w:rsid w:val="00CA4A88"/>
    <w:rsid w:val="00CA6EEF"/>
    <w:rsid w:val="00CA7067"/>
    <w:rsid w:val="00CA70EE"/>
    <w:rsid w:val="00CB0287"/>
    <w:rsid w:val="00CB0770"/>
    <w:rsid w:val="00CB0960"/>
    <w:rsid w:val="00CB0DF3"/>
    <w:rsid w:val="00CB1695"/>
    <w:rsid w:val="00CB1704"/>
    <w:rsid w:val="00CB234D"/>
    <w:rsid w:val="00CB30C6"/>
    <w:rsid w:val="00CB33FE"/>
    <w:rsid w:val="00CB4568"/>
    <w:rsid w:val="00CB59EF"/>
    <w:rsid w:val="00CB5B6F"/>
    <w:rsid w:val="00CB68E9"/>
    <w:rsid w:val="00CB6BD3"/>
    <w:rsid w:val="00CB7089"/>
    <w:rsid w:val="00CB74E2"/>
    <w:rsid w:val="00CB786F"/>
    <w:rsid w:val="00CB7E3F"/>
    <w:rsid w:val="00CC047A"/>
    <w:rsid w:val="00CC1094"/>
    <w:rsid w:val="00CC242F"/>
    <w:rsid w:val="00CC24C3"/>
    <w:rsid w:val="00CC2AC9"/>
    <w:rsid w:val="00CC2B8A"/>
    <w:rsid w:val="00CC2F97"/>
    <w:rsid w:val="00CC2FAD"/>
    <w:rsid w:val="00CC31C9"/>
    <w:rsid w:val="00CC4031"/>
    <w:rsid w:val="00CC49CE"/>
    <w:rsid w:val="00CC5AEE"/>
    <w:rsid w:val="00CC7061"/>
    <w:rsid w:val="00CC799F"/>
    <w:rsid w:val="00CD041F"/>
    <w:rsid w:val="00CD10B8"/>
    <w:rsid w:val="00CD1F64"/>
    <w:rsid w:val="00CD22B5"/>
    <w:rsid w:val="00CD2C45"/>
    <w:rsid w:val="00CD2E0E"/>
    <w:rsid w:val="00CD2E53"/>
    <w:rsid w:val="00CD307E"/>
    <w:rsid w:val="00CD4228"/>
    <w:rsid w:val="00CD45CE"/>
    <w:rsid w:val="00CD55AD"/>
    <w:rsid w:val="00CE0029"/>
    <w:rsid w:val="00CE065A"/>
    <w:rsid w:val="00CE084A"/>
    <w:rsid w:val="00CE093F"/>
    <w:rsid w:val="00CE0C88"/>
    <w:rsid w:val="00CE0FD7"/>
    <w:rsid w:val="00CE1F2A"/>
    <w:rsid w:val="00CE21E8"/>
    <w:rsid w:val="00CE23BC"/>
    <w:rsid w:val="00CE34CE"/>
    <w:rsid w:val="00CE3DF5"/>
    <w:rsid w:val="00CE435A"/>
    <w:rsid w:val="00CE49E6"/>
    <w:rsid w:val="00CE518A"/>
    <w:rsid w:val="00CE74FC"/>
    <w:rsid w:val="00CF0206"/>
    <w:rsid w:val="00CF2446"/>
    <w:rsid w:val="00CF3481"/>
    <w:rsid w:val="00CF5B60"/>
    <w:rsid w:val="00CF5CF0"/>
    <w:rsid w:val="00CF5DEA"/>
    <w:rsid w:val="00CF6BAD"/>
    <w:rsid w:val="00CF6C0C"/>
    <w:rsid w:val="00D005D0"/>
    <w:rsid w:val="00D005F0"/>
    <w:rsid w:val="00D009A2"/>
    <w:rsid w:val="00D01049"/>
    <w:rsid w:val="00D010DA"/>
    <w:rsid w:val="00D01FAD"/>
    <w:rsid w:val="00D02164"/>
    <w:rsid w:val="00D02402"/>
    <w:rsid w:val="00D051D3"/>
    <w:rsid w:val="00D06C31"/>
    <w:rsid w:val="00D1000D"/>
    <w:rsid w:val="00D10044"/>
    <w:rsid w:val="00D103C6"/>
    <w:rsid w:val="00D103DC"/>
    <w:rsid w:val="00D105C5"/>
    <w:rsid w:val="00D11471"/>
    <w:rsid w:val="00D129DB"/>
    <w:rsid w:val="00D137E4"/>
    <w:rsid w:val="00D13EC2"/>
    <w:rsid w:val="00D14627"/>
    <w:rsid w:val="00D146EE"/>
    <w:rsid w:val="00D15314"/>
    <w:rsid w:val="00D155EF"/>
    <w:rsid w:val="00D15A4C"/>
    <w:rsid w:val="00D17BBB"/>
    <w:rsid w:val="00D20723"/>
    <w:rsid w:val="00D21091"/>
    <w:rsid w:val="00D21D3A"/>
    <w:rsid w:val="00D24A73"/>
    <w:rsid w:val="00D2529F"/>
    <w:rsid w:val="00D27A12"/>
    <w:rsid w:val="00D31345"/>
    <w:rsid w:val="00D31484"/>
    <w:rsid w:val="00D31CAB"/>
    <w:rsid w:val="00D32DE0"/>
    <w:rsid w:val="00D33BB1"/>
    <w:rsid w:val="00D3402A"/>
    <w:rsid w:val="00D346B4"/>
    <w:rsid w:val="00D34ADF"/>
    <w:rsid w:val="00D35304"/>
    <w:rsid w:val="00D35DFE"/>
    <w:rsid w:val="00D35E99"/>
    <w:rsid w:val="00D3636B"/>
    <w:rsid w:val="00D36769"/>
    <w:rsid w:val="00D3781A"/>
    <w:rsid w:val="00D41280"/>
    <w:rsid w:val="00D43656"/>
    <w:rsid w:val="00D4432E"/>
    <w:rsid w:val="00D473F0"/>
    <w:rsid w:val="00D47DBF"/>
    <w:rsid w:val="00D5007E"/>
    <w:rsid w:val="00D501AF"/>
    <w:rsid w:val="00D504FF"/>
    <w:rsid w:val="00D512F4"/>
    <w:rsid w:val="00D51493"/>
    <w:rsid w:val="00D5162F"/>
    <w:rsid w:val="00D516AE"/>
    <w:rsid w:val="00D52152"/>
    <w:rsid w:val="00D53B9F"/>
    <w:rsid w:val="00D53BFA"/>
    <w:rsid w:val="00D54114"/>
    <w:rsid w:val="00D546EF"/>
    <w:rsid w:val="00D55C4B"/>
    <w:rsid w:val="00D60C48"/>
    <w:rsid w:val="00D61C11"/>
    <w:rsid w:val="00D61C8D"/>
    <w:rsid w:val="00D61CE3"/>
    <w:rsid w:val="00D621CF"/>
    <w:rsid w:val="00D62486"/>
    <w:rsid w:val="00D626E9"/>
    <w:rsid w:val="00D62B8E"/>
    <w:rsid w:val="00D64BE4"/>
    <w:rsid w:val="00D64CA5"/>
    <w:rsid w:val="00D64D5F"/>
    <w:rsid w:val="00D6501D"/>
    <w:rsid w:val="00D65079"/>
    <w:rsid w:val="00D65EC2"/>
    <w:rsid w:val="00D66A12"/>
    <w:rsid w:val="00D67979"/>
    <w:rsid w:val="00D7189D"/>
    <w:rsid w:val="00D71C44"/>
    <w:rsid w:val="00D7227B"/>
    <w:rsid w:val="00D72A27"/>
    <w:rsid w:val="00D737AB"/>
    <w:rsid w:val="00D74BAE"/>
    <w:rsid w:val="00D75F3C"/>
    <w:rsid w:val="00D814DF"/>
    <w:rsid w:val="00D83AC2"/>
    <w:rsid w:val="00D85724"/>
    <w:rsid w:val="00D860AC"/>
    <w:rsid w:val="00D86716"/>
    <w:rsid w:val="00D86742"/>
    <w:rsid w:val="00D86C75"/>
    <w:rsid w:val="00D87419"/>
    <w:rsid w:val="00D87DC5"/>
    <w:rsid w:val="00D91852"/>
    <w:rsid w:val="00D93D73"/>
    <w:rsid w:val="00D94BB5"/>
    <w:rsid w:val="00D9531F"/>
    <w:rsid w:val="00D97182"/>
    <w:rsid w:val="00D975CC"/>
    <w:rsid w:val="00D97D27"/>
    <w:rsid w:val="00D97EB3"/>
    <w:rsid w:val="00DA003E"/>
    <w:rsid w:val="00DA0EC8"/>
    <w:rsid w:val="00DA2525"/>
    <w:rsid w:val="00DA3831"/>
    <w:rsid w:val="00DA3D27"/>
    <w:rsid w:val="00DA3E30"/>
    <w:rsid w:val="00DA41D2"/>
    <w:rsid w:val="00DA4719"/>
    <w:rsid w:val="00DA4811"/>
    <w:rsid w:val="00DA49F3"/>
    <w:rsid w:val="00DA4DFF"/>
    <w:rsid w:val="00DA51C6"/>
    <w:rsid w:val="00DA5ADE"/>
    <w:rsid w:val="00DA67B2"/>
    <w:rsid w:val="00DA6BF6"/>
    <w:rsid w:val="00DA74A9"/>
    <w:rsid w:val="00DA7832"/>
    <w:rsid w:val="00DB0EFF"/>
    <w:rsid w:val="00DB1B9E"/>
    <w:rsid w:val="00DB20F7"/>
    <w:rsid w:val="00DB3F43"/>
    <w:rsid w:val="00DB43E7"/>
    <w:rsid w:val="00DB499D"/>
    <w:rsid w:val="00DB4C77"/>
    <w:rsid w:val="00DB5847"/>
    <w:rsid w:val="00DB60FC"/>
    <w:rsid w:val="00DB652C"/>
    <w:rsid w:val="00DC0CB9"/>
    <w:rsid w:val="00DC61BF"/>
    <w:rsid w:val="00DC62B6"/>
    <w:rsid w:val="00DC7511"/>
    <w:rsid w:val="00DC7599"/>
    <w:rsid w:val="00DC788D"/>
    <w:rsid w:val="00DD0318"/>
    <w:rsid w:val="00DD1220"/>
    <w:rsid w:val="00DD20D8"/>
    <w:rsid w:val="00DD32B7"/>
    <w:rsid w:val="00DD6126"/>
    <w:rsid w:val="00DE0502"/>
    <w:rsid w:val="00DE349D"/>
    <w:rsid w:val="00DE3568"/>
    <w:rsid w:val="00DE3825"/>
    <w:rsid w:val="00DE3F49"/>
    <w:rsid w:val="00DE4F75"/>
    <w:rsid w:val="00DE5A5B"/>
    <w:rsid w:val="00DE7164"/>
    <w:rsid w:val="00DE75B3"/>
    <w:rsid w:val="00DF02A8"/>
    <w:rsid w:val="00DF057F"/>
    <w:rsid w:val="00DF1D6D"/>
    <w:rsid w:val="00DF2EC5"/>
    <w:rsid w:val="00DF352A"/>
    <w:rsid w:val="00DF660C"/>
    <w:rsid w:val="00DF6805"/>
    <w:rsid w:val="00E00288"/>
    <w:rsid w:val="00E004F3"/>
    <w:rsid w:val="00E0155F"/>
    <w:rsid w:val="00E0220E"/>
    <w:rsid w:val="00E02435"/>
    <w:rsid w:val="00E0352C"/>
    <w:rsid w:val="00E03681"/>
    <w:rsid w:val="00E03CC5"/>
    <w:rsid w:val="00E04758"/>
    <w:rsid w:val="00E05260"/>
    <w:rsid w:val="00E0608E"/>
    <w:rsid w:val="00E06488"/>
    <w:rsid w:val="00E0655F"/>
    <w:rsid w:val="00E06661"/>
    <w:rsid w:val="00E06770"/>
    <w:rsid w:val="00E067B3"/>
    <w:rsid w:val="00E10737"/>
    <w:rsid w:val="00E10AAA"/>
    <w:rsid w:val="00E121F3"/>
    <w:rsid w:val="00E12447"/>
    <w:rsid w:val="00E12B44"/>
    <w:rsid w:val="00E12FEC"/>
    <w:rsid w:val="00E13BF3"/>
    <w:rsid w:val="00E13BFF"/>
    <w:rsid w:val="00E14CDD"/>
    <w:rsid w:val="00E14D48"/>
    <w:rsid w:val="00E15832"/>
    <w:rsid w:val="00E17733"/>
    <w:rsid w:val="00E214B5"/>
    <w:rsid w:val="00E224F4"/>
    <w:rsid w:val="00E22CA0"/>
    <w:rsid w:val="00E22D87"/>
    <w:rsid w:val="00E23BA1"/>
    <w:rsid w:val="00E2402A"/>
    <w:rsid w:val="00E24F8B"/>
    <w:rsid w:val="00E27F6A"/>
    <w:rsid w:val="00E30146"/>
    <w:rsid w:val="00E30189"/>
    <w:rsid w:val="00E3069B"/>
    <w:rsid w:val="00E30D64"/>
    <w:rsid w:val="00E314B5"/>
    <w:rsid w:val="00E32949"/>
    <w:rsid w:val="00E332D4"/>
    <w:rsid w:val="00E34026"/>
    <w:rsid w:val="00E349B1"/>
    <w:rsid w:val="00E34D93"/>
    <w:rsid w:val="00E36357"/>
    <w:rsid w:val="00E3719B"/>
    <w:rsid w:val="00E372D2"/>
    <w:rsid w:val="00E37333"/>
    <w:rsid w:val="00E37347"/>
    <w:rsid w:val="00E37540"/>
    <w:rsid w:val="00E37C53"/>
    <w:rsid w:val="00E402AB"/>
    <w:rsid w:val="00E4127F"/>
    <w:rsid w:val="00E41C5C"/>
    <w:rsid w:val="00E41CB2"/>
    <w:rsid w:val="00E42CD4"/>
    <w:rsid w:val="00E42E9C"/>
    <w:rsid w:val="00E431A7"/>
    <w:rsid w:val="00E43B83"/>
    <w:rsid w:val="00E43CBC"/>
    <w:rsid w:val="00E440B7"/>
    <w:rsid w:val="00E44596"/>
    <w:rsid w:val="00E44638"/>
    <w:rsid w:val="00E446D5"/>
    <w:rsid w:val="00E44C04"/>
    <w:rsid w:val="00E4585E"/>
    <w:rsid w:val="00E4718F"/>
    <w:rsid w:val="00E5081C"/>
    <w:rsid w:val="00E51062"/>
    <w:rsid w:val="00E51AAA"/>
    <w:rsid w:val="00E51EE3"/>
    <w:rsid w:val="00E51F31"/>
    <w:rsid w:val="00E52086"/>
    <w:rsid w:val="00E521B5"/>
    <w:rsid w:val="00E52866"/>
    <w:rsid w:val="00E547EF"/>
    <w:rsid w:val="00E54942"/>
    <w:rsid w:val="00E55AB8"/>
    <w:rsid w:val="00E56573"/>
    <w:rsid w:val="00E5665A"/>
    <w:rsid w:val="00E5785B"/>
    <w:rsid w:val="00E61970"/>
    <w:rsid w:val="00E62819"/>
    <w:rsid w:val="00E63300"/>
    <w:rsid w:val="00E638DA"/>
    <w:rsid w:val="00E63CE3"/>
    <w:rsid w:val="00E6615B"/>
    <w:rsid w:val="00E665D6"/>
    <w:rsid w:val="00E6663E"/>
    <w:rsid w:val="00E67D20"/>
    <w:rsid w:val="00E70687"/>
    <w:rsid w:val="00E70725"/>
    <w:rsid w:val="00E71C05"/>
    <w:rsid w:val="00E724F9"/>
    <w:rsid w:val="00E7345D"/>
    <w:rsid w:val="00E74A1E"/>
    <w:rsid w:val="00E75A3B"/>
    <w:rsid w:val="00E75C60"/>
    <w:rsid w:val="00E75E91"/>
    <w:rsid w:val="00E76830"/>
    <w:rsid w:val="00E80B18"/>
    <w:rsid w:val="00E80E2F"/>
    <w:rsid w:val="00E81402"/>
    <w:rsid w:val="00E81B53"/>
    <w:rsid w:val="00E84AF6"/>
    <w:rsid w:val="00E87095"/>
    <w:rsid w:val="00E872B9"/>
    <w:rsid w:val="00E872FE"/>
    <w:rsid w:val="00E9093F"/>
    <w:rsid w:val="00E91A4A"/>
    <w:rsid w:val="00E93D5C"/>
    <w:rsid w:val="00E9412E"/>
    <w:rsid w:val="00E95D84"/>
    <w:rsid w:val="00E964D7"/>
    <w:rsid w:val="00E97325"/>
    <w:rsid w:val="00E973EA"/>
    <w:rsid w:val="00EA071C"/>
    <w:rsid w:val="00EA0A0B"/>
    <w:rsid w:val="00EA0BE4"/>
    <w:rsid w:val="00EA2429"/>
    <w:rsid w:val="00EA244D"/>
    <w:rsid w:val="00EA2E43"/>
    <w:rsid w:val="00EA3F5B"/>
    <w:rsid w:val="00EA42D8"/>
    <w:rsid w:val="00EA4FB0"/>
    <w:rsid w:val="00EA6C29"/>
    <w:rsid w:val="00EA6E0E"/>
    <w:rsid w:val="00EA7A63"/>
    <w:rsid w:val="00EA7C07"/>
    <w:rsid w:val="00EA7D1D"/>
    <w:rsid w:val="00EA7D40"/>
    <w:rsid w:val="00EB08CE"/>
    <w:rsid w:val="00EB1A6E"/>
    <w:rsid w:val="00EB6DAA"/>
    <w:rsid w:val="00EB733E"/>
    <w:rsid w:val="00EC01A2"/>
    <w:rsid w:val="00EC1313"/>
    <w:rsid w:val="00EC1677"/>
    <w:rsid w:val="00EC1CA2"/>
    <w:rsid w:val="00EC2740"/>
    <w:rsid w:val="00EC330E"/>
    <w:rsid w:val="00EC41AD"/>
    <w:rsid w:val="00EC6774"/>
    <w:rsid w:val="00EC7927"/>
    <w:rsid w:val="00EC7F9B"/>
    <w:rsid w:val="00ED1A12"/>
    <w:rsid w:val="00ED1DBF"/>
    <w:rsid w:val="00ED27E8"/>
    <w:rsid w:val="00ED3AAB"/>
    <w:rsid w:val="00ED4559"/>
    <w:rsid w:val="00ED5EFA"/>
    <w:rsid w:val="00ED63FC"/>
    <w:rsid w:val="00ED6637"/>
    <w:rsid w:val="00EE15FB"/>
    <w:rsid w:val="00EE1B14"/>
    <w:rsid w:val="00EE24E1"/>
    <w:rsid w:val="00EE28D5"/>
    <w:rsid w:val="00EE50B5"/>
    <w:rsid w:val="00EE5279"/>
    <w:rsid w:val="00EE5F80"/>
    <w:rsid w:val="00EE68F1"/>
    <w:rsid w:val="00EF08E2"/>
    <w:rsid w:val="00EF0E8D"/>
    <w:rsid w:val="00EF33DF"/>
    <w:rsid w:val="00EF3C2D"/>
    <w:rsid w:val="00EF4070"/>
    <w:rsid w:val="00EF48A7"/>
    <w:rsid w:val="00EF5B14"/>
    <w:rsid w:val="00EF665A"/>
    <w:rsid w:val="00EF6B8A"/>
    <w:rsid w:val="00EF7E09"/>
    <w:rsid w:val="00F00A94"/>
    <w:rsid w:val="00F01256"/>
    <w:rsid w:val="00F02B1B"/>
    <w:rsid w:val="00F036C3"/>
    <w:rsid w:val="00F03739"/>
    <w:rsid w:val="00F03D34"/>
    <w:rsid w:val="00F06F6C"/>
    <w:rsid w:val="00F075E5"/>
    <w:rsid w:val="00F07A38"/>
    <w:rsid w:val="00F11D51"/>
    <w:rsid w:val="00F140AB"/>
    <w:rsid w:val="00F1432A"/>
    <w:rsid w:val="00F155BE"/>
    <w:rsid w:val="00F208A8"/>
    <w:rsid w:val="00F21525"/>
    <w:rsid w:val="00F21924"/>
    <w:rsid w:val="00F23A85"/>
    <w:rsid w:val="00F23B03"/>
    <w:rsid w:val="00F2433C"/>
    <w:rsid w:val="00F2478D"/>
    <w:rsid w:val="00F24E73"/>
    <w:rsid w:val="00F2507F"/>
    <w:rsid w:val="00F2551B"/>
    <w:rsid w:val="00F26558"/>
    <w:rsid w:val="00F3050A"/>
    <w:rsid w:val="00F30F63"/>
    <w:rsid w:val="00F31D8B"/>
    <w:rsid w:val="00F320C9"/>
    <w:rsid w:val="00F3286D"/>
    <w:rsid w:val="00F330E2"/>
    <w:rsid w:val="00F341A9"/>
    <w:rsid w:val="00F35F95"/>
    <w:rsid w:val="00F36860"/>
    <w:rsid w:val="00F40FDC"/>
    <w:rsid w:val="00F41426"/>
    <w:rsid w:val="00F427E8"/>
    <w:rsid w:val="00F43839"/>
    <w:rsid w:val="00F44DBA"/>
    <w:rsid w:val="00F4561F"/>
    <w:rsid w:val="00F4585F"/>
    <w:rsid w:val="00F4667F"/>
    <w:rsid w:val="00F47778"/>
    <w:rsid w:val="00F501AC"/>
    <w:rsid w:val="00F509F9"/>
    <w:rsid w:val="00F51526"/>
    <w:rsid w:val="00F522C6"/>
    <w:rsid w:val="00F5328C"/>
    <w:rsid w:val="00F5345E"/>
    <w:rsid w:val="00F54207"/>
    <w:rsid w:val="00F54387"/>
    <w:rsid w:val="00F613CC"/>
    <w:rsid w:val="00F621BD"/>
    <w:rsid w:val="00F62C50"/>
    <w:rsid w:val="00F62F5C"/>
    <w:rsid w:val="00F6316F"/>
    <w:rsid w:val="00F6391B"/>
    <w:rsid w:val="00F64EA4"/>
    <w:rsid w:val="00F665B4"/>
    <w:rsid w:val="00F67308"/>
    <w:rsid w:val="00F67B8C"/>
    <w:rsid w:val="00F7079E"/>
    <w:rsid w:val="00F729D4"/>
    <w:rsid w:val="00F72DB6"/>
    <w:rsid w:val="00F74343"/>
    <w:rsid w:val="00F75C87"/>
    <w:rsid w:val="00F77712"/>
    <w:rsid w:val="00F809B3"/>
    <w:rsid w:val="00F80F7A"/>
    <w:rsid w:val="00F81657"/>
    <w:rsid w:val="00F819D4"/>
    <w:rsid w:val="00F8282A"/>
    <w:rsid w:val="00F82984"/>
    <w:rsid w:val="00F82DF0"/>
    <w:rsid w:val="00F84227"/>
    <w:rsid w:val="00F844EA"/>
    <w:rsid w:val="00F8461D"/>
    <w:rsid w:val="00F84B72"/>
    <w:rsid w:val="00F857F8"/>
    <w:rsid w:val="00F85E81"/>
    <w:rsid w:val="00F86444"/>
    <w:rsid w:val="00F86595"/>
    <w:rsid w:val="00F869E7"/>
    <w:rsid w:val="00F86D17"/>
    <w:rsid w:val="00F87DFF"/>
    <w:rsid w:val="00F9063F"/>
    <w:rsid w:val="00F91899"/>
    <w:rsid w:val="00F92158"/>
    <w:rsid w:val="00F93327"/>
    <w:rsid w:val="00F942EF"/>
    <w:rsid w:val="00F950BB"/>
    <w:rsid w:val="00F964ED"/>
    <w:rsid w:val="00F97484"/>
    <w:rsid w:val="00FA0702"/>
    <w:rsid w:val="00FA0CC2"/>
    <w:rsid w:val="00FA0E8A"/>
    <w:rsid w:val="00FA130C"/>
    <w:rsid w:val="00FA1399"/>
    <w:rsid w:val="00FA2847"/>
    <w:rsid w:val="00FA394F"/>
    <w:rsid w:val="00FA3BC4"/>
    <w:rsid w:val="00FA43DC"/>
    <w:rsid w:val="00FA48E5"/>
    <w:rsid w:val="00FA66CA"/>
    <w:rsid w:val="00FB30BB"/>
    <w:rsid w:val="00FB30E2"/>
    <w:rsid w:val="00FB3117"/>
    <w:rsid w:val="00FB351B"/>
    <w:rsid w:val="00FB39FA"/>
    <w:rsid w:val="00FB5E76"/>
    <w:rsid w:val="00FB6205"/>
    <w:rsid w:val="00FB69AA"/>
    <w:rsid w:val="00FB7658"/>
    <w:rsid w:val="00FC0E35"/>
    <w:rsid w:val="00FC0FC5"/>
    <w:rsid w:val="00FC1046"/>
    <w:rsid w:val="00FC135D"/>
    <w:rsid w:val="00FC1C36"/>
    <w:rsid w:val="00FC1C73"/>
    <w:rsid w:val="00FC2690"/>
    <w:rsid w:val="00FC44FE"/>
    <w:rsid w:val="00FC5666"/>
    <w:rsid w:val="00FC67AD"/>
    <w:rsid w:val="00FC68C6"/>
    <w:rsid w:val="00FC73DD"/>
    <w:rsid w:val="00FC74D5"/>
    <w:rsid w:val="00FD0103"/>
    <w:rsid w:val="00FD04ED"/>
    <w:rsid w:val="00FD0A34"/>
    <w:rsid w:val="00FD1730"/>
    <w:rsid w:val="00FD185E"/>
    <w:rsid w:val="00FD1A35"/>
    <w:rsid w:val="00FD219C"/>
    <w:rsid w:val="00FD24E8"/>
    <w:rsid w:val="00FD33C2"/>
    <w:rsid w:val="00FD41D2"/>
    <w:rsid w:val="00FD4954"/>
    <w:rsid w:val="00FD4F21"/>
    <w:rsid w:val="00FD715A"/>
    <w:rsid w:val="00FE019C"/>
    <w:rsid w:val="00FE051B"/>
    <w:rsid w:val="00FE0ABF"/>
    <w:rsid w:val="00FE2508"/>
    <w:rsid w:val="00FE38D0"/>
    <w:rsid w:val="00FE4A18"/>
    <w:rsid w:val="00FE5892"/>
    <w:rsid w:val="00FE7114"/>
    <w:rsid w:val="00FE73EB"/>
    <w:rsid w:val="00FE77CE"/>
    <w:rsid w:val="00FE7AEC"/>
    <w:rsid w:val="00FF0444"/>
    <w:rsid w:val="00FF211B"/>
    <w:rsid w:val="00FF244A"/>
    <w:rsid w:val="00FF26D2"/>
    <w:rsid w:val="00FF3ABA"/>
    <w:rsid w:val="00FF42D2"/>
    <w:rsid w:val="00FF51A8"/>
    <w:rsid w:val="00FF52CB"/>
    <w:rsid w:val="00FF64CE"/>
    <w:rsid w:val="00FF6F44"/>
    <w:rsid w:val="00FF775E"/>
    <w:rsid w:val="00FF7A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9A42D"/>
  <w15:chartTrackingRefBased/>
  <w15:docId w15:val="{E93D1549-AB65-4E12-BDB8-EEFC29A01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4287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C68C6"/>
    <w:pPr>
      <w:ind w:left="720"/>
      <w:contextualSpacing/>
    </w:pPr>
  </w:style>
  <w:style w:type="paragraph" w:styleId="Revision">
    <w:name w:val="Revision"/>
    <w:hidden/>
    <w:uiPriority w:val="99"/>
    <w:semiHidden/>
    <w:rsid w:val="00165BD8"/>
    <w:pPr>
      <w:spacing w:after="0" w:line="240" w:lineRule="auto"/>
    </w:pPr>
  </w:style>
  <w:style w:type="character" w:styleId="Strong">
    <w:name w:val="Strong"/>
    <w:basedOn w:val="DefaultParagraphFont"/>
    <w:uiPriority w:val="22"/>
    <w:qFormat/>
    <w:rsid w:val="005B0044"/>
    <w:rPr>
      <w:b/>
      <w:bCs/>
    </w:rPr>
  </w:style>
  <w:style w:type="paragraph" w:styleId="Bibliography">
    <w:name w:val="Bibliography"/>
    <w:basedOn w:val="Normal"/>
    <w:next w:val="Normal"/>
    <w:uiPriority w:val="37"/>
    <w:unhideWhenUsed/>
    <w:rsid w:val="00A6223E"/>
    <w:pPr>
      <w:spacing w:after="0" w:line="480" w:lineRule="auto"/>
      <w:ind w:left="720" w:hanging="720"/>
    </w:pPr>
  </w:style>
  <w:style w:type="character" w:styleId="CommentReference">
    <w:name w:val="annotation reference"/>
    <w:basedOn w:val="DefaultParagraphFont"/>
    <w:uiPriority w:val="99"/>
    <w:semiHidden/>
    <w:unhideWhenUsed/>
    <w:rsid w:val="00581203"/>
    <w:rPr>
      <w:sz w:val="16"/>
      <w:szCs w:val="16"/>
    </w:rPr>
  </w:style>
  <w:style w:type="paragraph" w:styleId="CommentText">
    <w:name w:val="annotation text"/>
    <w:basedOn w:val="Normal"/>
    <w:link w:val="CommentTextChar"/>
    <w:uiPriority w:val="99"/>
    <w:unhideWhenUsed/>
    <w:rsid w:val="00581203"/>
    <w:pPr>
      <w:spacing w:line="240" w:lineRule="auto"/>
    </w:pPr>
    <w:rPr>
      <w:sz w:val="20"/>
      <w:szCs w:val="20"/>
    </w:rPr>
  </w:style>
  <w:style w:type="character" w:customStyle="1" w:styleId="CommentTextChar">
    <w:name w:val="Comment Text Char"/>
    <w:basedOn w:val="DefaultParagraphFont"/>
    <w:link w:val="CommentText"/>
    <w:uiPriority w:val="99"/>
    <w:rsid w:val="00581203"/>
    <w:rPr>
      <w:sz w:val="20"/>
      <w:szCs w:val="20"/>
    </w:rPr>
  </w:style>
  <w:style w:type="paragraph" w:styleId="CommentSubject">
    <w:name w:val="annotation subject"/>
    <w:basedOn w:val="CommentText"/>
    <w:next w:val="CommentText"/>
    <w:link w:val="CommentSubjectChar"/>
    <w:uiPriority w:val="99"/>
    <w:semiHidden/>
    <w:unhideWhenUsed/>
    <w:rsid w:val="00581203"/>
    <w:rPr>
      <w:b/>
      <w:bCs/>
    </w:rPr>
  </w:style>
  <w:style w:type="character" w:customStyle="1" w:styleId="CommentSubjectChar">
    <w:name w:val="Comment Subject Char"/>
    <w:basedOn w:val="CommentTextChar"/>
    <w:link w:val="CommentSubject"/>
    <w:uiPriority w:val="99"/>
    <w:semiHidden/>
    <w:rsid w:val="00581203"/>
    <w:rPr>
      <w:b/>
      <w:bCs/>
      <w:sz w:val="20"/>
      <w:szCs w:val="20"/>
    </w:rPr>
  </w:style>
  <w:style w:type="table" w:styleId="GridTable1Light">
    <w:name w:val="Grid Table 1 Light"/>
    <w:basedOn w:val="TableNormal"/>
    <w:uiPriority w:val="46"/>
    <w:rsid w:val="0076522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0">
    <w:name w:val="[Normal]"/>
    <w:uiPriority w:val="99"/>
    <w:rsid w:val="009A5671"/>
    <w:pPr>
      <w:widowControl w:val="0"/>
      <w:autoSpaceDE w:val="0"/>
      <w:autoSpaceDN w:val="0"/>
      <w:adjustRightInd w:val="0"/>
      <w:spacing w:after="0" w:line="240" w:lineRule="auto"/>
    </w:pPr>
    <w:rPr>
      <w:rFonts w:ascii="Arial" w:hAnsi="Arial" w:cs="Arial"/>
      <w:sz w:val="24"/>
      <w:szCs w:val="24"/>
    </w:rPr>
  </w:style>
  <w:style w:type="paragraph" w:styleId="Header">
    <w:name w:val="header"/>
    <w:basedOn w:val="Normal"/>
    <w:link w:val="HeaderChar"/>
    <w:uiPriority w:val="99"/>
    <w:unhideWhenUsed/>
    <w:rsid w:val="00EE1B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1B14"/>
  </w:style>
  <w:style w:type="paragraph" w:styleId="Footer">
    <w:name w:val="footer"/>
    <w:basedOn w:val="Normal"/>
    <w:link w:val="FooterChar"/>
    <w:uiPriority w:val="99"/>
    <w:unhideWhenUsed/>
    <w:rsid w:val="00EE1B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1B14"/>
  </w:style>
  <w:style w:type="paragraph" w:styleId="NoSpacing">
    <w:name w:val="No Spacing"/>
    <w:link w:val="NoSpacingChar"/>
    <w:uiPriority w:val="1"/>
    <w:qFormat/>
    <w:rsid w:val="0005666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05666F"/>
    <w:rPr>
      <w:rFonts w:eastAsiaTheme="minorEastAsia"/>
      <w:lang w:val="en-US"/>
    </w:rPr>
  </w:style>
  <w:style w:type="character" w:customStyle="1" w:styleId="contentpasted0">
    <w:name w:val="contentpasted0"/>
    <w:basedOn w:val="DefaultParagraphFont"/>
    <w:rsid w:val="001228F4"/>
  </w:style>
  <w:style w:type="table" w:styleId="TableGrid">
    <w:name w:val="Table Grid"/>
    <w:basedOn w:val="TableNormal"/>
    <w:uiPriority w:val="39"/>
    <w:rsid w:val="00317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31D13"/>
    <w:pPr>
      <w:autoSpaceDE w:val="0"/>
      <w:autoSpaceDN w:val="0"/>
      <w:adjustRightInd w:val="0"/>
      <w:spacing w:after="0" w:line="240" w:lineRule="auto"/>
    </w:pPr>
    <w:rPr>
      <w:rFonts w:ascii="Calibri" w:hAnsi="Calibri" w:cs="Calibri"/>
      <w:sz w:val="20"/>
      <w:szCs w:val="20"/>
    </w:rPr>
  </w:style>
  <w:style w:type="character" w:customStyle="1" w:styleId="FootnoteTextChar">
    <w:name w:val="Footnote Text Char"/>
    <w:basedOn w:val="DefaultParagraphFont"/>
    <w:link w:val="FootnoteText"/>
    <w:uiPriority w:val="99"/>
    <w:semiHidden/>
    <w:rsid w:val="00831D13"/>
    <w:rPr>
      <w:rFonts w:ascii="Calibri" w:hAnsi="Calibri" w:cs="Calibri"/>
      <w:sz w:val="20"/>
      <w:szCs w:val="20"/>
    </w:rPr>
  </w:style>
  <w:style w:type="character" w:styleId="FootnoteReference">
    <w:name w:val="footnote reference"/>
    <w:basedOn w:val="DefaultParagraphFont"/>
    <w:uiPriority w:val="99"/>
    <w:semiHidden/>
    <w:unhideWhenUsed/>
    <w:rsid w:val="00831D13"/>
    <w:rPr>
      <w:vertAlign w:val="superscript"/>
    </w:rPr>
  </w:style>
  <w:style w:type="character" w:styleId="Hyperlink">
    <w:name w:val="Hyperlink"/>
    <w:basedOn w:val="DefaultParagraphFont"/>
    <w:uiPriority w:val="99"/>
    <w:unhideWhenUsed/>
    <w:rsid w:val="00831D13"/>
    <w:rPr>
      <w:color w:val="0563C1" w:themeColor="hyperlink"/>
      <w:u w:val="single"/>
    </w:rPr>
  </w:style>
  <w:style w:type="character" w:styleId="UnresolvedMention">
    <w:name w:val="Unresolved Mention"/>
    <w:basedOn w:val="DefaultParagraphFont"/>
    <w:uiPriority w:val="99"/>
    <w:semiHidden/>
    <w:unhideWhenUsed/>
    <w:rsid w:val="00831D13"/>
    <w:rPr>
      <w:color w:val="605E5C"/>
      <w:shd w:val="clear" w:color="auto" w:fill="E1DFDD"/>
    </w:rPr>
  </w:style>
  <w:style w:type="character" w:styleId="EndnoteReference">
    <w:name w:val="endnote reference"/>
    <w:basedOn w:val="DefaultParagraphFont"/>
    <w:uiPriority w:val="99"/>
    <w:semiHidden/>
    <w:unhideWhenUsed/>
    <w:rsid w:val="0041462D"/>
    <w:rPr>
      <w:vertAlign w:val="superscript"/>
    </w:rPr>
  </w:style>
  <w:style w:type="table" w:styleId="TableGridLight">
    <w:name w:val="Grid Table Light"/>
    <w:basedOn w:val="TableNormal"/>
    <w:uiPriority w:val="40"/>
    <w:rsid w:val="00156A87"/>
    <w:pPr>
      <w:spacing w:after="0" w:line="240" w:lineRule="auto"/>
    </w:pPr>
    <w:rPr>
      <w:rFonts w:eastAsia="SimSun"/>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56A87"/>
    <w:pPr>
      <w:spacing w:after="0" w:line="240" w:lineRule="auto"/>
    </w:pPr>
    <w:rPr>
      <w:rFonts w:eastAsia="SimSun"/>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ageNumber">
    <w:name w:val="page number"/>
    <w:basedOn w:val="DefaultParagraphFont"/>
    <w:uiPriority w:val="99"/>
    <w:semiHidden/>
    <w:unhideWhenUsed/>
    <w:rsid w:val="00156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789378">
      <w:bodyDiv w:val="1"/>
      <w:marLeft w:val="0"/>
      <w:marRight w:val="0"/>
      <w:marTop w:val="0"/>
      <w:marBottom w:val="0"/>
      <w:divBdr>
        <w:top w:val="none" w:sz="0" w:space="0" w:color="auto"/>
        <w:left w:val="none" w:sz="0" w:space="0" w:color="auto"/>
        <w:bottom w:val="none" w:sz="0" w:space="0" w:color="auto"/>
        <w:right w:val="none" w:sz="0" w:space="0" w:color="auto"/>
      </w:divBdr>
    </w:div>
    <w:div w:id="319161177">
      <w:bodyDiv w:val="1"/>
      <w:marLeft w:val="0"/>
      <w:marRight w:val="0"/>
      <w:marTop w:val="0"/>
      <w:marBottom w:val="0"/>
      <w:divBdr>
        <w:top w:val="none" w:sz="0" w:space="0" w:color="auto"/>
        <w:left w:val="none" w:sz="0" w:space="0" w:color="auto"/>
        <w:bottom w:val="none" w:sz="0" w:space="0" w:color="auto"/>
        <w:right w:val="none" w:sz="0" w:space="0" w:color="auto"/>
      </w:divBdr>
    </w:div>
    <w:div w:id="565803089">
      <w:bodyDiv w:val="1"/>
      <w:marLeft w:val="0"/>
      <w:marRight w:val="0"/>
      <w:marTop w:val="0"/>
      <w:marBottom w:val="0"/>
      <w:divBdr>
        <w:top w:val="none" w:sz="0" w:space="0" w:color="auto"/>
        <w:left w:val="none" w:sz="0" w:space="0" w:color="auto"/>
        <w:bottom w:val="none" w:sz="0" w:space="0" w:color="auto"/>
        <w:right w:val="none" w:sz="0" w:space="0" w:color="auto"/>
      </w:divBdr>
      <w:divsChild>
        <w:div w:id="305360771">
          <w:marLeft w:val="0"/>
          <w:marRight w:val="0"/>
          <w:marTop w:val="0"/>
          <w:marBottom w:val="0"/>
          <w:divBdr>
            <w:top w:val="none" w:sz="0" w:space="0" w:color="auto"/>
            <w:left w:val="none" w:sz="0" w:space="0" w:color="auto"/>
            <w:bottom w:val="none" w:sz="0" w:space="0" w:color="auto"/>
            <w:right w:val="none" w:sz="0" w:space="0" w:color="auto"/>
          </w:divBdr>
        </w:div>
        <w:div w:id="490415641">
          <w:marLeft w:val="0"/>
          <w:marRight w:val="0"/>
          <w:marTop w:val="0"/>
          <w:marBottom w:val="0"/>
          <w:divBdr>
            <w:top w:val="none" w:sz="0" w:space="0" w:color="auto"/>
            <w:left w:val="none" w:sz="0" w:space="0" w:color="auto"/>
            <w:bottom w:val="none" w:sz="0" w:space="0" w:color="auto"/>
            <w:right w:val="none" w:sz="0" w:space="0" w:color="auto"/>
          </w:divBdr>
        </w:div>
      </w:divsChild>
    </w:div>
    <w:div w:id="819466008">
      <w:bodyDiv w:val="1"/>
      <w:marLeft w:val="0"/>
      <w:marRight w:val="0"/>
      <w:marTop w:val="0"/>
      <w:marBottom w:val="0"/>
      <w:divBdr>
        <w:top w:val="none" w:sz="0" w:space="0" w:color="auto"/>
        <w:left w:val="none" w:sz="0" w:space="0" w:color="auto"/>
        <w:bottom w:val="none" w:sz="0" w:space="0" w:color="auto"/>
        <w:right w:val="none" w:sz="0" w:space="0" w:color="auto"/>
      </w:divBdr>
    </w:div>
    <w:div w:id="1192501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Foreword</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B6E0FE-97DA-4477-85A8-50CB5C30D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9202</Words>
  <Characters>52456</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61535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Phd progression report 2</dc:title>
  <dc:subject>Fabien Littel – May 2024              Supervisors: Dr Ai Yu &amp; Prof Peter Rodgers</dc:subject>
  <dc:creator>Fabien Littel</dc:creator>
  <cp:keywords/>
  <dc:description/>
  <cp:lastModifiedBy>Fabien Littel</cp:lastModifiedBy>
  <cp:revision>5</cp:revision>
  <dcterms:created xsi:type="dcterms:W3CDTF">2024-06-03T16:27:00Z</dcterms:created>
  <dcterms:modified xsi:type="dcterms:W3CDTF">2024-06-03T16:47:00Z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id="LAim0sxd"/&gt;&lt;style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