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0B0AA" w14:textId="77777777" w:rsidR="00C02423" w:rsidRDefault="00C02423" w:rsidP="00C02423">
      <w:pPr>
        <w:spacing w:line="360" w:lineRule="auto"/>
        <w:jc w:val="center"/>
        <w:rPr>
          <w:b/>
          <w:bCs/>
          <w:color w:val="000000"/>
        </w:rPr>
      </w:pPr>
    </w:p>
    <w:p w14:paraId="1ADDD803" w14:textId="77777777" w:rsidR="00C02423" w:rsidRDefault="00C02423" w:rsidP="00C02423">
      <w:pPr>
        <w:spacing w:line="360" w:lineRule="auto"/>
        <w:jc w:val="center"/>
        <w:rPr>
          <w:b/>
          <w:bCs/>
          <w:color w:val="000000"/>
        </w:rPr>
      </w:pPr>
    </w:p>
    <w:p w14:paraId="6B5950AA" w14:textId="77777777" w:rsidR="00C02423" w:rsidRDefault="00C02423" w:rsidP="00C02423">
      <w:pPr>
        <w:spacing w:line="360" w:lineRule="auto"/>
        <w:jc w:val="center"/>
        <w:rPr>
          <w:b/>
          <w:bCs/>
          <w:color w:val="000000"/>
        </w:rPr>
      </w:pPr>
    </w:p>
    <w:p w14:paraId="14F8AF12" w14:textId="77777777" w:rsidR="00C02423" w:rsidRDefault="00C02423" w:rsidP="00C02423">
      <w:pPr>
        <w:spacing w:line="360" w:lineRule="auto"/>
        <w:jc w:val="center"/>
        <w:rPr>
          <w:b/>
          <w:bCs/>
          <w:color w:val="000000"/>
        </w:rPr>
      </w:pPr>
    </w:p>
    <w:p w14:paraId="61A8ECE6" w14:textId="5C787A4C" w:rsidR="00C02423" w:rsidRPr="002A7693" w:rsidRDefault="00C02423" w:rsidP="00C02423">
      <w:pPr>
        <w:spacing w:line="360" w:lineRule="auto"/>
        <w:jc w:val="center"/>
        <w:rPr>
          <w:b/>
          <w:bCs/>
          <w:sz w:val="32"/>
          <w:szCs w:val="32"/>
        </w:rPr>
      </w:pPr>
      <w:r w:rsidRPr="002A7693">
        <w:rPr>
          <w:b/>
          <w:bCs/>
          <w:color w:val="000000"/>
          <w:sz w:val="32"/>
          <w:szCs w:val="32"/>
        </w:rPr>
        <w:t>Operational competitive advantage for the public sector: A Resource-Based View perspective</w:t>
      </w:r>
    </w:p>
    <w:p w14:paraId="54765392" w14:textId="77777777" w:rsidR="00C02423" w:rsidRDefault="00C02423" w:rsidP="00C02423">
      <w:pPr>
        <w:jc w:val="center"/>
        <w:rPr>
          <w:rFonts w:eastAsia="Arial"/>
          <w:b/>
          <w:bCs/>
          <w:color w:val="000000"/>
          <w:sz w:val="28"/>
          <w:szCs w:val="28"/>
        </w:rPr>
      </w:pPr>
    </w:p>
    <w:p w14:paraId="5A70E34D" w14:textId="77777777" w:rsidR="00C02423" w:rsidRDefault="00C02423" w:rsidP="00C02423">
      <w:pPr>
        <w:jc w:val="center"/>
      </w:pPr>
    </w:p>
    <w:p w14:paraId="37CCE3F4" w14:textId="77777777" w:rsidR="00C02423" w:rsidRDefault="00C02423" w:rsidP="00C02423"/>
    <w:p w14:paraId="4A51DF75" w14:textId="7ECC67E4" w:rsidR="00C02423" w:rsidRPr="004C1046" w:rsidRDefault="00C02423" w:rsidP="00C02423">
      <w:pPr>
        <w:jc w:val="center"/>
      </w:pPr>
      <w:r w:rsidRPr="004C1046">
        <w:rPr>
          <w:b/>
        </w:rPr>
        <w:t>Paul Armitage</w:t>
      </w:r>
      <w:r w:rsidRPr="004C1046">
        <w:t xml:space="preserve"> (paularmitage444@outlook.com)</w:t>
      </w:r>
    </w:p>
    <w:p w14:paraId="41F660D9" w14:textId="77777777" w:rsidR="00C02423" w:rsidRPr="004C1046" w:rsidRDefault="00C02423" w:rsidP="00C02423">
      <w:pPr>
        <w:jc w:val="center"/>
      </w:pPr>
      <w:r w:rsidRPr="004C1046">
        <w:t xml:space="preserve">Calderdale College, Francis Street, </w:t>
      </w:r>
    </w:p>
    <w:p w14:paraId="23EE3A67" w14:textId="77777777" w:rsidR="00C02423" w:rsidRDefault="00C02423" w:rsidP="00C02423">
      <w:pPr>
        <w:jc w:val="center"/>
      </w:pPr>
      <w:r w:rsidRPr="004C1046">
        <w:t>Halifax, HX1 3UZ, UK</w:t>
      </w:r>
    </w:p>
    <w:p w14:paraId="05434588" w14:textId="77777777" w:rsidR="00C02423" w:rsidRDefault="00C02423" w:rsidP="00C02423"/>
    <w:p w14:paraId="00CF2A28" w14:textId="77777777" w:rsidR="00C02423" w:rsidRDefault="00C02423" w:rsidP="00C02423"/>
    <w:p w14:paraId="2690F967" w14:textId="0FD1D9B6" w:rsidR="00C02423" w:rsidRPr="00A30D56" w:rsidRDefault="00C02423" w:rsidP="00C02423">
      <w:pPr>
        <w:jc w:val="center"/>
        <w:rPr>
          <w:b/>
          <w:lang w:val="fr-FR"/>
        </w:rPr>
      </w:pPr>
      <w:r w:rsidRPr="00045E5B">
        <w:rPr>
          <w:b/>
          <w:lang w:val="fr-FR"/>
        </w:rPr>
        <w:t xml:space="preserve">Benjamin </w:t>
      </w:r>
      <w:proofErr w:type="spellStart"/>
      <w:r w:rsidRPr="00045E5B">
        <w:rPr>
          <w:b/>
          <w:lang w:val="fr-FR"/>
        </w:rPr>
        <w:t>Dehe</w:t>
      </w:r>
      <w:proofErr w:type="spellEnd"/>
      <w:r w:rsidRPr="00A30D56">
        <w:rPr>
          <w:lang w:val="fr-FR"/>
        </w:rPr>
        <w:t xml:space="preserve"> </w:t>
      </w:r>
      <w:r>
        <w:rPr>
          <w:lang w:val="fr-FR"/>
        </w:rPr>
        <w:t>(</w:t>
      </w:r>
      <w:hyperlink r:id="rId8" w:history="1">
        <w:r w:rsidRPr="00D821F9">
          <w:rPr>
            <w:rStyle w:val="Hyperlink"/>
            <w:lang w:val="fr-FR"/>
          </w:rPr>
          <w:t>benjamin.dehe@aut.ac.nz</w:t>
        </w:r>
      </w:hyperlink>
      <w:r>
        <w:rPr>
          <w:lang w:val="fr-FR"/>
        </w:rPr>
        <w:t>)</w:t>
      </w:r>
    </w:p>
    <w:p w14:paraId="22BCB917" w14:textId="77777777" w:rsidR="00C02423" w:rsidRDefault="00C02423" w:rsidP="00C02423">
      <w:pPr>
        <w:jc w:val="center"/>
        <w:rPr>
          <w:lang w:val="en-US"/>
        </w:rPr>
      </w:pPr>
      <w:r>
        <w:rPr>
          <w:lang w:val="en-US"/>
        </w:rPr>
        <w:t>Business Information System,</w:t>
      </w:r>
    </w:p>
    <w:p w14:paraId="3D157013" w14:textId="77777777" w:rsidR="00C02423" w:rsidRDefault="00C02423" w:rsidP="00C02423">
      <w:pPr>
        <w:jc w:val="center"/>
        <w:rPr>
          <w:lang w:val="en-US"/>
        </w:rPr>
      </w:pPr>
      <w:r>
        <w:rPr>
          <w:lang w:val="en-US"/>
        </w:rPr>
        <w:t>Auckland University of Technology</w:t>
      </w:r>
    </w:p>
    <w:p w14:paraId="7A795A62" w14:textId="77777777" w:rsidR="00C02423" w:rsidRPr="00692A41" w:rsidRDefault="00C02423" w:rsidP="00C02423">
      <w:pPr>
        <w:jc w:val="center"/>
        <w:rPr>
          <w:lang w:val="en-US"/>
        </w:rPr>
      </w:pPr>
      <w:r w:rsidRPr="00692A41">
        <w:rPr>
          <w:lang w:val="en-US"/>
        </w:rPr>
        <w:t>WF Building, City Campus</w:t>
      </w:r>
    </w:p>
    <w:p w14:paraId="1C8D6328" w14:textId="77777777" w:rsidR="00C02423" w:rsidRDefault="00C02423" w:rsidP="00C02423">
      <w:pPr>
        <w:jc w:val="center"/>
        <w:rPr>
          <w:lang w:val="en-US"/>
        </w:rPr>
      </w:pPr>
      <w:r w:rsidRPr="00692A41">
        <w:rPr>
          <w:lang w:val="en-US"/>
        </w:rPr>
        <w:t>Auckland City</w:t>
      </w:r>
      <w:r>
        <w:rPr>
          <w:lang w:val="en-US"/>
        </w:rPr>
        <w:t>, New Zealand</w:t>
      </w:r>
    </w:p>
    <w:p w14:paraId="7721AB40" w14:textId="77777777" w:rsidR="00C02423" w:rsidRDefault="00C02423" w:rsidP="00C02423">
      <w:pPr>
        <w:jc w:val="center"/>
        <w:rPr>
          <w:lang w:val="en-US"/>
        </w:rPr>
      </w:pPr>
    </w:p>
    <w:p w14:paraId="61B3BF84" w14:textId="77777777" w:rsidR="00C02423" w:rsidRDefault="00C02423" w:rsidP="00C02423">
      <w:pPr>
        <w:jc w:val="center"/>
        <w:rPr>
          <w:lang w:val="en-US"/>
        </w:rPr>
      </w:pPr>
    </w:p>
    <w:p w14:paraId="47C7222A" w14:textId="28A8829B" w:rsidR="00C02423" w:rsidRPr="004A08AD" w:rsidRDefault="00C02423" w:rsidP="00C02423">
      <w:pPr>
        <w:jc w:val="center"/>
      </w:pPr>
      <w:r w:rsidRPr="004A08AD">
        <w:rPr>
          <w:b/>
          <w:bCs/>
          <w:lang w:val="en-US"/>
        </w:rPr>
        <w:t>David Bamford</w:t>
      </w:r>
      <w:r>
        <w:rPr>
          <w:b/>
          <w:lang w:val="fr-FR"/>
        </w:rPr>
        <w:t>*</w:t>
      </w:r>
      <w:r w:rsidRPr="00A30D56">
        <w:rPr>
          <w:lang w:val="fr-FR"/>
        </w:rPr>
        <w:t xml:space="preserve"> </w:t>
      </w:r>
      <w:r>
        <w:rPr>
          <w:lang w:val="en-US"/>
        </w:rPr>
        <w:t>(</w:t>
      </w:r>
      <w:hyperlink r:id="rId9" w:history="1">
        <w:r w:rsidRPr="004A08AD">
          <w:rPr>
            <w:rStyle w:val="Hyperlink"/>
          </w:rPr>
          <w:t>d.bamford@mmu.ac.uk</w:t>
        </w:r>
      </w:hyperlink>
      <w:r>
        <w:rPr>
          <w:lang w:val="en-US"/>
        </w:rPr>
        <w:t>)</w:t>
      </w:r>
    </w:p>
    <w:p w14:paraId="3D767EB9" w14:textId="77777777" w:rsidR="00C02423" w:rsidRDefault="00C02423" w:rsidP="00C02423">
      <w:pPr>
        <w:jc w:val="center"/>
        <w:rPr>
          <w:lang w:val="en-US"/>
        </w:rPr>
      </w:pPr>
      <w:r w:rsidRPr="00795169">
        <w:rPr>
          <w:lang w:val="en-US"/>
        </w:rPr>
        <w:t xml:space="preserve">Operation, Technology, Event &amp; Hospitality </w:t>
      </w:r>
      <w:r>
        <w:rPr>
          <w:lang w:val="en-US"/>
        </w:rPr>
        <w:t>management</w:t>
      </w:r>
      <w:r w:rsidRPr="00795169">
        <w:rPr>
          <w:lang w:val="en-US"/>
        </w:rPr>
        <w:t xml:space="preserve">, </w:t>
      </w:r>
    </w:p>
    <w:p w14:paraId="05E85468" w14:textId="77777777" w:rsidR="00C02423" w:rsidRPr="00105C2D" w:rsidRDefault="00C02423" w:rsidP="00C02423">
      <w:pPr>
        <w:jc w:val="center"/>
        <w:rPr>
          <w:lang w:val="en-US"/>
        </w:rPr>
      </w:pPr>
      <w:r w:rsidRPr="00105C2D">
        <w:rPr>
          <w:lang w:val="en-US"/>
        </w:rPr>
        <w:t>Manchester Metropolitan University</w:t>
      </w:r>
    </w:p>
    <w:p w14:paraId="3CFABB0D" w14:textId="77777777" w:rsidR="00C02423" w:rsidRDefault="00C02423" w:rsidP="00C02423">
      <w:pPr>
        <w:jc w:val="center"/>
        <w:rPr>
          <w:lang w:val="en-US"/>
        </w:rPr>
      </w:pPr>
      <w:r>
        <w:rPr>
          <w:lang w:val="en-US"/>
        </w:rPr>
        <w:t>Manchester,</w:t>
      </w:r>
      <w:r w:rsidRPr="00105C2D">
        <w:rPr>
          <w:lang w:val="en-US"/>
        </w:rPr>
        <w:t xml:space="preserve"> M15 6BH</w:t>
      </w:r>
      <w:r>
        <w:rPr>
          <w:lang w:val="en-US"/>
        </w:rPr>
        <w:t>, UK</w:t>
      </w:r>
    </w:p>
    <w:p w14:paraId="79E6AE12" w14:textId="77777777" w:rsidR="00C02423" w:rsidRDefault="00C02423" w:rsidP="00C02423"/>
    <w:p w14:paraId="21B0EC44" w14:textId="77777777" w:rsidR="00C02423" w:rsidRDefault="00C02423" w:rsidP="00C02423"/>
    <w:p w14:paraId="1B64AC9F" w14:textId="77777777" w:rsidR="00C02423" w:rsidRDefault="00C02423" w:rsidP="00C02423">
      <w:pPr>
        <w:jc w:val="center"/>
      </w:pPr>
      <w:r>
        <w:rPr>
          <w:b/>
          <w:bCs/>
        </w:rPr>
        <w:t xml:space="preserve">Marina </w:t>
      </w:r>
      <w:proofErr w:type="spellStart"/>
      <w:r>
        <w:rPr>
          <w:b/>
          <w:bCs/>
        </w:rPr>
        <w:t>Papalexi</w:t>
      </w:r>
      <w:proofErr w:type="spellEnd"/>
      <w:r>
        <w:t xml:space="preserve"> (</w:t>
      </w:r>
      <w:hyperlink r:id="rId10" w:history="1">
        <w:r w:rsidRPr="007C3AF9">
          <w:rPr>
            <w:rStyle w:val="Hyperlink"/>
          </w:rPr>
          <w:t>M.papalexi@mmu.ac.uk</w:t>
        </w:r>
      </w:hyperlink>
      <w:r>
        <w:t>)</w:t>
      </w:r>
    </w:p>
    <w:p w14:paraId="003F00EB" w14:textId="77777777" w:rsidR="00C02423" w:rsidRDefault="00C02423" w:rsidP="00C02423">
      <w:pPr>
        <w:jc w:val="center"/>
        <w:rPr>
          <w:lang w:val="en-US"/>
        </w:rPr>
      </w:pPr>
      <w:r w:rsidRPr="00795169">
        <w:rPr>
          <w:lang w:val="en-US"/>
        </w:rPr>
        <w:t xml:space="preserve">Operation, Technology, Event &amp; Hospitality </w:t>
      </w:r>
      <w:r>
        <w:rPr>
          <w:lang w:val="en-US"/>
        </w:rPr>
        <w:t>management</w:t>
      </w:r>
      <w:r w:rsidRPr="00795169">
        <w:rPr>
          <w:lang w:val="en-US"/>
        </w:rPr>
        <w:t xml:space="preserve">, </w:t>
      </w:r>
    </w:p>
    <w:p w14:paraId="0C12F0D8" w14:textId="77777777" w:rsidR="00C02423" w:rsidRPr="00105C2D" w:rsidRDefault="00C02423" w:rsidP="00C02423">
      <w:pPr>
        <w:jc w:val="center"/>
        <w:rPr>
          <w:lang w:val="en-US"/>
        </w:rPr>
      </w:pPr>
      <w:r w:rsidRPr="00105C2D">
        <w:rPr>
          <w:lang w:val="en-US"/>
        </w:rPr>
        <w:t>Manchester Metropolitan University</w:t>
      </w:r>
    </w:p>
    <w:p w14:paraId="4DAE4E29" w14:textId="77777777" w:rsidR="00C02423" w:rsidRDefault="00C02423" w:rsidP="00C02423">
      <w:pPr>
        <w:jc w:val="center"/>
        <w:rPr>
          <w:lang w:val="en-US"/>
        </w:rPr>
      </w:pPr>
      <w:r>
        <w:rPr>
          <w:lang w:val="en-US"/>
        </w:rPr>
        <w:t>Manchester,</w:t>
      </w:r>
      <w:r w:rsidRPr="00105C2D">
        <w:rPr>
          <w:lang w:val="en-US"/>
        </w:rPr>
        <w:t xml:space="preserve"> M15 6BH</w:t>
      </w:r>
      <w:r>
        <w:rPr>
          <w:lang w:val="en-US"/>
        </w:rPr>
        <w:t>, UK</w:t>
      </w:r>
    </w:p>
    <w:p w14:paraId="32F94BE2" w14:textId="77777777" w:rsidR="00C02423" w:rsidRPr="004A08AD" w:rsidRDefault="00C02423" w:rsidP="00C02423">
      <w:pPr>
        <w:jc w:val="center"/>
      </w:pPr>
    </w:p>
    <w:p w14:paraId="20E0F538" w14:textId="77777777" w:rsidR="00C02423" w:rsidRDefault="00C02423" w:rsidP="00C02423">
      <w:pPr>
        <w:jc w:val="center"/>
      </w:pPr>
    </w:p>
    <w:p w14:paraId="444621A5" w14:textId="77777777" w:rsidR="00C02423" w:rsidRDefault="00C02423" w:rsidP="00C02423">
      <w:pPr>
        <w:jc w:val="center"/>
      </w:pPr>
    </w:p>
    <w:p w14:paraId="518586F7" w14:textId="77777777" w:rsidR="00C02423" w:rsidRDefault="00C02423" w:rsidP="00C02423">
      <w:pPr>
        <w:jc w:val="center"/>
      </w:pPr>
    </w:p>
    <w:p w14:paraId="0A978B46" w14:textId="77777777" w:rsidR="00C02423" w:rsidRDefault="00C02423" w:rsidP="00C02423">
      <w:pPr>
        <w:jc w:val="center"/>
      </w:pPr>
    </w:p>
    <w:p w14:paraId="72C6B23A" w14:textId="2F402D20" w:rsidR="00C02423" w:rsidRDefault="00C02423" w:rsidP="00C02423">
      <w:pPr>
        <w:pStyle w:val="ListParagraph"/>
      </w:pPr>
      <w:r>
        <w:t>*</w:t>
      </w:r>
      <w:r>
        <w:t xml:space="preserve">Presenting / </w:t>
      </w:r>
      <w:r>
        <w:t>Corresponding author</w:t>
      </w:r>
    </w:p>
    <w:p w14:paraId="7A37378F" w14:textId="4BB044F2" w:rsidR="00C02423" w:rsidRDefault="00C02423">
      <w:pPr>
        <w:rPr>
          <w:b/>
          <w:bCs/>
          <w:color w:val="000000"/>
        </w:rPr>
      </w:pPr>
    </w:p>
    <w:p w14:paraId="1A2C693A" w14:textId="77777777" w:rsidR="00C02423" w:rsidRDefault="00C02423">
      <w:pPr>
        <w:rPr>
          <w:b/>
          <w:bCs/>
          <w:color w:val="000000"/>
        </w:rPr>
      </w:pPr>
      <w:r>
        <w:rPr>
          <w:b/>
          <w:bCs/>
          <w:color w:val="000000"/>
        </w:rPr>
        <w:br w:type="page"/>
      </w:r>
    </w:p>
    <w:p w14:paraId="7DCC5C76" w14:textId="4C0FEE0E" w:rsidR="00162454" w:rsidRPr="00162454" w:rsidRDefault="00162454">
      <w:pPr>
        <w:spacing w:line="360" w:lineRule="auto"/>
        <w:jc w:val="center"/>
        <w:rPr>
          <w:b/>
          <w:bCs/>
        </w:rPr>
      </w:pPr>
      <w:r w:rsidRPr="00F56085">
        <w:rPr>
          <w:b/>
          <w:bCs/>
          <w:color w:val="000000"/>
        </w:rPr>
        <w:lastRenderedPageBreak/>
        <w:t xml:space="preserve">Operational competitive advantage for </w:t>
      </w:r>
      <w:r>
        <w:rPr>
          <w:b/>
          <w:bCs/>
          <w:color w:val="000000"/>
        </w:rPr>
        <w:t xml:space="preserve">the </w:t>
      </w:r>
      <w:r w:rsidRPr="00F56085">
        <w:rPr>
          <w:b/>
          <w:bCs/>
          <w:color w:val="000000"/>
        </w:rPr>
        <w:t>public sector: A Resource-Based View</w:t>
      </w:r>
      <w:r w:rsidR="00BD1623">
        <w:rPr>
          <w:b/>
          <w:bCs/>
          <w:color w:val="000000"/>
        </w:rPr>
        <w:t xml:space="preserve"> perspective</w:t>
      </w:r>
    </w:p>
    <w:p w14:paraId="13547075" w14:textId="77777777" w:rsidR="005D5B0A" w:rsidRDefault="005D5B0A">
      <w:pPr>
        <w:spacing w:line="360" w:lineRule="auto"/>
        <w:rPr>
          <w:b/>
        </w:rPr>
      </w:pPr>
    </w:p>
    <w:p w14:paraId="296AF439" w14:textId="086BB4EE" w:rsidR="005D5B0A" w:rsidRDefault="00063CDD" w:rsidP="00063CDD">
      <w:pPr>
        <w:spacing w:line="360" w:lineRule="auto"/>
        <w:jc w:val="center"/>
        <w:rPr>
          <w:b/>
        </w:rPr>
      </w:pPr>
      <w:r>
        <w:rPr>
          <w:b/>
        </w:rPr>
        <w:t>SUMMARY</w:t>
      </w:r>
    </w:p>
    <w:p w14:paraId="0727FFA2" w14:textId="64E6163D" w:rsidR="005D5B0A" w:rsidRDefault="00A73EE7" w:rsidP="00063CDD">
      <w:pPr>
        <w:spacing w:line="360" w:lineRule="auto"/>
        <w:jc w:val="both"/>
      </w:pPr>
      <w:r>
        <w:t>Increased competition and changes in financial landscapes have transformed the way public sector services are managed and delivered, which has also been amplified by the Covid-19 pandemic. This empirical research with local authorities (LA) in the UK examines project management assets, processes and practices. We analysed data using linear and hierarchical regression models from a LA parent organisation and 27 partner organisations.</w:t>
      </w:r>
    </w:p>
    <w:p w14:paraId="2486A3EC" w14:textId="3B002028" w:rsidR="005D5B0A" w:rsidRDefault="00A73EE7">
      <w:pPr>
        <w:spacing w:line="360" w:lineRule="auto"/>
        <w:jc w:val="both"/>
      </w:pPr>
      <w:r>
        <w:t xml:space="preserve">The analysis identified the mix of tangible and intangible assets which could lead to a sustainable competitive advantage for LA. Our findings suggest that a higher degree of deliberate project management investment, with increased project management knowledge, results in defined operational competitive advantage.  </w:t>
      </w:r>
    </w:p>
    <w:p w14:paraId="5C4B65CE" w14:textId="77777777" w:rsidR="005D5B0A" w:rsidRDefault="00A73EE7">
      <w:pPr>
        <w:spacing w:line="360" w:lineRule="auto"/>
        <w:jc w:val="both"/>
      </w:pPr>
      <w:r>
        <w:t>This research contributes to theory and practice by adding to the established Resource Based View body of knowledge and its nascent understanding within the public sector, and by identifying the endowment of project management assets offering local authorities temporary and sustainable degrees of competitiveness.</w:t>
      </w:r>
    </w:p>
    <w:p w14:paraId="538D7E34" w14:textId="77777777" w:rsidR="005D5B0A" w:rsidRDefault="005D5B0A">
      <w:pPr>
        <w:spacing w:line="360" w:lineRule="auto"/>
        <w:jc w:val="both"/>
      </w:pPr>
    </w:p>
    <w:p w14:paraId="762F8015" w14:textId="7601476A" w:rsidR="005D5B0A" w:rsidRPr="00063CDD" w:rsidRDefault="00A73EE7">
      <w:pPr>
        <w:spacing w:line="360" w:lineRule="auto"/>
        <w:jc w:val="both"/>
      </w:pPr>
      <w:r w:rsidRPr="00063CDD">
        <w:rPr>
          <w:b/>
        </w:rPr>
        <w:t>Keywords</w:t>
      </w:r>
      <w:r w:rsidRPr="00063CDD">
        <w:t xml:space="preserve">: Local authorities, </w:t>
      </w:r>
      <w:r w:rsidR="00162454" w:rsidRPr="00063CDD">
        <w:t>competitive advantage, resource-based view (RBV)</w:t>
      </w:r>
    </w:p>
    <w:p w14:paraId="175194C0" w14:textId="2A7251D9" w:rsidR="008A2CAD" w:rsidRPr="00063CDD" w:rsidRDefault="008A2CAD"/>
    <w:p w14:paraId="5F387640" w14:textId="09F4AFCE" w:rsidR="00063CDD" w:rsidRPr="00063CDD" w:rsidRDefault="00063CDD" w:rsidP="00063CDD">
      <w:pPr>
        <w:pStyle w:val="Default"/>
        <w:rPr>
          <w:rFonts w:ascii="Times New Roman" w:hAnsi="Times New Roman" w:cs="Times New Roman"/>
        </w:rPr>
      </w:pPr>
      <w:r w:rsidRPr="00063CDD">
        <w:rPr>
          <w:rFonts w:ascii="Times New Roman" w:hAnsi="Times New Roman" w:cs="Times New Roman"/>
          <w:b/>
          <w:bCs/>
        </w:rPr>
        <w:t>Track</w:t>
      </w:r>
      <w:r w:rsidRPr="00063CDD">
        <w:rPr>
          <w:rFonts w:ascii="Times New Roman" w:hAnsi="Times New Roman" w:cs="Times New Roman"/>
        </w:rPr>
        <w:t xml:space="preserve">: Public Management and Governance </w:t>
      </w:r>
    </w:p>
    <w:p w14:paraId="205EFE70" w14:textId="77777777" w:rsidR="00063CDD" w:rsidRDefault="00063CDD"/>
    <w:p w14:paraId="2B68FEBC" w14:textId="77777777" w:rsidR="00063CDD" w:rsidRPr="00063CDD" w:rsidRDefault="00063CDD"/>
    <w:p w14:paraId="0A0592A8" w14:textId="1F9280A9" w:rsidR="00063CDD" w:rsidRPr="00063CDD" w:rsidRDefault="00063CDD">
      <w:r w:rsidRPr="00063CDD">
        <w:rPr>
          <w:b/>
          <w:bCs/>
        </w:rPr>
        <w:t>Word count</w:t>
      </w:r>
      <w:r w:rsidRPr="00063CDD">
        <w:t>: 6937</w:t>
      </w:r>
    </w:p>
    <w:p w14:paraId="1F668485" w14:textId="77777777" w:rsidR="00063CDD" w:rsidRPr="00063CDD" w:rsidRDefault="00063CDD"/>
    <w:p w14:paraId="22250FAD" w14:textId="77777777" w:rsidR="00063CDD" w:rsidRPr="00063CDD" w:rsidRDefault="00063CDD"/>
    <w:p w14:paraId="145177AF" w14:textId="77777777" w:rsidR="00063CDD" w:rsidRPr="00063CDD" w:rsidRDefault="00063CDD"/>
    <w:p w14:paraId="44CEA740" w14:textId="77777777" w:rsidR="00063CDD" w:rsidRPr="00063CDD" w:rsidRDefault="00063CDD"/>
    <w:p w14:paraId="76DCF7C9" w14:textId="161AC47F" w:rsidR="00063CDD" w:rsidRDefault="00063CDD">
      <w:r>
        <w:br w:type="page"/>
      </w:r>
    </w:p>
    <w:p w14:paraId="1BF0F3F6" w14:textId="77777777" w:rsidR="00063CDD" w:rsidRDefault="00063CDD"/>
    <w:p w14:paraId="50A99F10" w14:textId="77777777" w:rsidR="008A2CAD" w:rsidRPr="00162454" w:rsidRDefault="008A2CAD" w:rsidP="008A2CAD">
      <w:pPr>
        <w:spacing w:line="360" w:lineRule="auto"/>
        <w:jc w:val="center"/>
        <w:rPr>
          <w:b/>
          <w:bCs/>
        </w:rPr>
      </w:pPr>
      <w:r w:rsidRPr="00F56085">
        <w:rPr>
          <w:b/>
          <w:bCs/>
          <w:color w:val="000000"/>
        </w:rPr>
        <w:t xml:space="preserve">Operational competitive advantage for </w:t>
      </w:r>
      <w:r>
        <w:rPr>
          <w:b/>
          <w:bCs/>
          <w:color w:val="000000"/>
        </w:rPr>
        <w:t xml:space="preserve">the </w:t>
      </w:r>
      <w:r w:rsidRPr="00F56085">
        <w:rPr>
          <w:b/>
          <w:bCs/>
          <w:color w:val="000000"/>
        </w:rPr>
        <w:t>public sector: A Resource-Based View</w:t>
      </w:r>
      <w:r>
        <w:rPr>
          <w:b/>
          <w:bCs/>
          <w:color w:val="000000"/>
        </w:rPr>
        <w:t xml:space="preserve"> perspective </w:t>
      </w:r>
    </w:p>
    <w:p w14:paraId="59BD5D1A" w14:textId="77777777" w:rsidR="005D5B0A" w:rsidRDefault="005D5B0A">
      <w:pPr>
        <w:spacing w:line="360" w:lineRule="auto"/>
        <w:jc w:val="both"/>
      </w:pPr>
    </w:p>
    <w:p w14:paraId="2FC44B9D" w14:textId="77777777" w:rsidR="005D5B0A" w:rsidRDefault="00A73EE7" w:rsidP="008A2CAD">
      <w:pPr>
        <w:pBdr>
          <w:top w:val="nil"/>
          <w:left w:val="nil"/>
          <w:bottom w:val="nil"/>
          <w:right w:val="nil"/>
          <w:between w:val="nil"/>
        </w:pBdr>
        <w:spacing w:line="480" w:lineRule="auto"/>
        <w:rPr>
          <w:b/>
          <w:color w:val="000000"/>
        </w:rPr>
      </w:pPr>
      <w:r>
        <w:rPr>
          <w:b/>
          <w:color w:val="000000"/>
        </w:rPr>
        <w:t>Introduction</w:t>
      </w:r>
    </w:p>
    <w:p w14:paraId="189592EA" w14:textId="6893B662" w:rsidR="005D5B0A" w:rsidRDefault="00A73EE7">
      <w:pPr>
        <w:spacing w:line="480" w:lineRule="auto"/>
        <w:jc w:val="both"/>
      </w:pPr>
      <w:r>
        <w:t xml:space="preserve">Though relatively stable and with little conflict to compete, local authorities (LA) in the United Kingdom (UK) have traditionally been subject to discretionary pressures from central government spending regimes (Piercy et al., 2013; Genovese et al., 2020).  Recent events such as Covid-19 and Brexit create significant disruptions and uncertainties. After the 2008 global financial crisis, there were several policy changes and a redefinition of the distribution of social welfare in the UK (Genovese et al., 2020; Hills, 2011; </w:t>
      </w:r>
      <w:proofErr w:type="spellStart"/>
      <w:r>
        <w:t>Putten</w:t>
      </w:r>
      <w:proofErr w:type="spellEnd"/>
      <w:r>
        <w:t xml:space="preserve"> &amp; Green 2011; Joseph &amp; </w:t>
      </w:r>
      <w:proofErr w:type="spellStart"/>
      <w:r>
        <w:t>Rowlingson</w:t>
      </w:r>
      <w:proofErr w:type="spellEnd"/>
      <w:r>
        <w:t>, 2012).  A result of successive UK spending reviews (SR, 2015) and successive Spring and Autumn Budget Statements (HM Treasury, 2021), combined with radical reform in the way public services were to be delivered, saw LA budgets cut by 28% between 2010-2015 (HM Treasury, 2017), and a further 29% by 2019-20, which represents a 36% decline in funding (National Audit Office, 2021). Thus, although the funding regression was predicted to even out at a rate of 7.3% annually between 2015-20 (NAO, 2017), LA now operates in a funding model that is no longer operationally predictable nor reliable. This issue is exacerbated by the impact of the ongoing Covid-19 pandemic, with new threats and uncertainties generated, and predicted future policy changes (Lee &amp; Chen, 2021). A significant challenge of austerity has been the retrenchment of LA grant dependent third-sector funding (</w:t>
      </w:r>
      <w:proofErr w:type="spellStart"/>
      <w:r>
        <w:t>Cepiku</w:t>
      </w:r>
      <w:proofErr w:type="spellEnd"/>
      <w:r>
        <w:t xml:space="preserve"> et al., 2018</w:t>
      </w:r>
      <w:r w:rsidR="000A4597">
        <w:t>; Azizi</w:t>
      </w:r>
      <w:r w:rsidR="00992DB3">
        <w:t xml:space="preserve"> et al., 2021</w:t>
      </w:r>
      <w:r>
        <w:t xml:space="preserve">).  In the UK, LA would </w:t>
      </w:r>
      <w:r w:rsidR="00992DB3">
        <w:t>enter</w:t>
      </w:r>
      <w:r>
        <w:t xml:space="preserve"> collaborative contracts with third-sector organisations to deliver services across a wide range of social needs (Bonomi et al., 2020). However, these arrangements were becoming increasingly financially unviable. Therefore, LA have been needing to find ways to make its third sector collaborating arrangements efficient and sustainable, within a context of increasing competition, whilst honouring their range of </w:t>
      </w:r>
      <w:r>
        <w:lastRenderedPageBreak/>
        <w:t>public duties and services (Genovese et al., 2020; Scott, 2016</w:t>
      </w:r>
      <w:r w:rsidR="00F442D7">
        <w:t xml:space="preserve">; </w:t>
      </w:r>
      <w:bookmarkStart w:id="0" w:name="_Hlk120713865"/>
      <w:r w:rsidR="00F442D7">
        <w:t>Clarke &amp; MacDonald, 2016</w:t>
      </w:r>
      <w:bookmarkEnd w:id="0"/>
      <w:r w:rsidR="006A4BF1">
        <w:t>; Chen et al., 2020</w:t>
      </w:r>
      <w:r>
        <w:t>).</w:t>
      </w:r>
    </w:p>
    <w:p w14:paraId="3D31DC6C" w14:textId="6080E9BB" w:rsidR="005D5B0A" w:rsidRDefault="00A73EE7">
      <w:pPr>
        <w:spacing w:line="480" w:lineRule="auto"/>
        <w:jc w:val="both"/>
        <w:rPr>
          <w:color w:val="222222"/>
          <w:highlight w:val="white"/>
        </w:rPr>
      </w:pPr>
      <w:r>
        <w:tab/>
        <w:t xml:space="preserve">It is only relatively recently that aspects of strategic operations and project management have received attention as a source of competitive advantage in the public-sector administration literature (Andrews et al., 2016; Hansen &amp; </w:t>
      </w:r>
      <w:proofErr w:type="spellStart"/>
      <w:r>
        <w:t>Firlie</w:t>
      </w:r>
      <w:proofErr w:type="spellEnd"/>
      <w:r>
        <w:t xml:space="preserve"> 2016; Hazlett et al., 2013; Lee &amp; Whitford, 2012) and Williams et al. (2020) reported on the ‘</w:t>
      </w:r>
      <w:r>
        <w:rPr>
          <w:color w:val="000000"/>
        </w:rPr>
        <w:t>burgeoning’ project management literature</w:t>
      </w:r>
      <w:r>
        <w:t xml:space="preserve">, citing </w:t>
      </w:r>
      <w:r>
        <w:rPr>
          <w:color w:val="000000"/>
        </w:rPr>
        <w:t xml:space="preserve">Cano </w:t>
      </w:r>
      <w:r w:rsidRPr="00C462CF">
        <w:t xml:space="preserve">and Saenz, 2003; </w:t>
      </w:r>
      <w:proofErr w:type="spellStart"/>
      <w:r w:rsidRPr="00C462CF">
        <w:t>Ollus</w:t>
      </w:r>
      <w:proofErr w:type="spellEnd"/>
      <w:r w:rsidRPr="00C462CF">
        <w:t xml:space="preserve"> et al., 2011; </w:t>
      </w:r>
      <w:proofErr w:type="spellStart"/>
      <w:r w:rsidRPr="00C462CF">
        <w:t>Ojiako</w:t>
      </w:r>
      <w:proofErr w:type="spellEnd"/>
      <w:r w:rsidRPr="00C462CF">
        <w:t xml:space="preserve"> et al., 2015</w:t>
      </w:r>
      <w:r w:rsidR="00F442D7" w:rsidRPr="00C462CF">
        <w:t xml:space="preserve">. </w:t>
      </w:r>
      <w:r w:rsidRPr="00C462CF">
        <w:t xml:space="preserve">They </w:t>
      </w:r>
      <w:r>
        <w:rPr>
          <w:color w:val="000000"/>
        </w:rPr>
        <w:t xml:space="preserve">also reported on their own cross-national comparison of public project benefits management practices and frameworks.  Perhaps building on these </w:t>
      </w:r>
      <w:r>
        <w:t xml:space="preserve">developments Lee and Chen (2021) adopted a Resource-Based View (RBV) approach to examine to what extent various types of government resources influence the government’s ability to maintain normalcy as one of the financial resilience phenomena. They found that there are only a few quantitative studies that focus on understanding the impact of organisational resources on financial resilience. Similarly, </w:t>
      </w:r>
      <w:r>
        <w:rPr>
          <w:highlight w:val="white"/>
        </w:rPr>
        <w:t>dos Santos et al. (2021) suggest that</w:t>
      </w:r>
      <w:r>
        <w:rPr>
          <w:color w:val="222222"/>
          <w:highlight w:val="white"/>
        </w:rPr>
        <w:t xml:space="preserve"> </w:t>
      </w:r>
      <w:r>
        <w:t>most research in the field of project management as a source of competitive advantage has focused on maturity models with limited empirical investigations. The opportunity presented in our research is to achieve operational sustainability through effective project management practices, in particular the acknowledgement, development, deployment and exploitation of project management assets and associated processes and practices (</w:t>
      </w:r>
      <w:proofErr w:type="spellStart"/>
      <w:r>
        <w:t>Jugdev</w:t>
      </w:r>
      <w:proofErr w:type="spellEnd"/>
      <w:r>
        <w:t xml:space="preserve">, 2004; </w:t>
      </w:r>
      <w:proofErr w:type="spellStart"/>
      <w:r>
        <w:t>Jugdev</w:t>
      </w:r>
      <w:proofErr w:type="spellEnd"/>
      <w:r>
        <w:t xml:space="preserve"> et al., 2011; Mathur et al., 2013, 2014; Perkins et al., 2018). </w:t>
      </w:r>
      <w:r>
        <w:rPr>
          <w:color w:val="222222"/>
          <w:highlight w:val="white"/>
        </w:rPr>
        <w:t xml:space="preserve"> </w:t>
      </w:r>
    </w:p>
    <w:p w14:paraId="3CE1E4AA" w14:textId="77777777" w:rsidR="005D5B0A" w:rsidRDefault="00A73EE7">
      <w:pPr>
        <w:spacing w:line="480" w:lineRule="auto"/>
        <w:ind w:firstLine="720"/>
        <w:jc w:val="both"/>
      </w:pPr>
      <w:r>
        <w:t xml:space="preserve">Using the RBV theory, this study seeks to contribute by investigating the project management endowments that LA organisations need to consider and practice to sustain long-term competitive advantage. To structure the study, two research questions (RQs) were developed: </w:t>
      </w:r>
      <w:r>
        <w:rPr>
          <w:i/>
        </w:rPr>
        <w:t xml:space="preserve">RQ1: Which project management asset endowments are valuable, rare, imitable and are organisationally supported across local authorities? RQ2: Which project management assets and organisationally supported processes and practices predict local authorities’ </w:t>
      </w:r>
      <w:r>
        <w:rPr>
          <w:i/>
        </w:rPr>
        <w:lastRenderedPageBreak/>
        <w:t xml:space="preserve">performance? </w:t>
      </w:r>
      <w:r>
        <w:t>To address these questions, we analysed data, collected through a LA parent organisation and 27 partner organisations, by using linear and hierarchical regression models. This study contributes by providing further theoretical and practical insights into the established RBV theory and project management, which has the potential to influence the future of public policy changes regarding the commissioning of services by local authorities. In addition, this research enriches the previous RBV studies in the public management literature by linking organisational resources to project management and competitive advantage. It also adds to the empirical body of knowledge of the RBV regarding project management, a gap identified by Lee and Chen (2021) and dos Santos et al. (2021).</w:t>
      </w:r>
    </w:p>
    <w:p w14:paraId="410E27E6" w14:textId="77777777" w:rsidR="005D5B0A" w:rsidRDefault="00A73EE7">
      <w:pPr>
        <w:spacing w:line="480" w:lineRule="auto"/>
        <w:ind w:firstLine="720"/>
        <w:jc w:val="both"/>
      </w:pPr>
      <w:r>
        <w:t>The next section provides a literature review, arguing that project management could act as a catalyst in sustaining a competitive advantage for LA organisations. This is followed by the methodology where the research approach adopted is presented. Subsequently, the empirical research findings are presented, outlining which project management assets and associated processes and practices are valuable, rare, inimitable and organisationally supported, and which project management asset endowments leverage certain degrees of competitive advantage. Then, the discussion section addresses the established research questions. Finally, the paper presents the contribution and limitations of the study.</w:t>
      </w:r>
    </w:p>
    <w:p w14:paraId="571D69BC" w14:textId="77777777" w:rsidR="005D5B0A" w:rsidRDefault="005D5B0A">
      <w:pPr>
        <w:spacing w:line="480" w:lineRule="auto"/>
      </w:pPr>
    </w:p>
    <w:p w14:paraId="41043B05" w14:textId="77777777" w:rsidR="008A2CAD" w:rsidRDefault="00A73EE7" w:rsidP="008A2CAD">
      <w:pPr>
        <w:pBdr>
          <w:top w:val="nil"/>
          <w:left w:val="nil"/>
          <w:bottom w:val="nil"/>
          <w:right w:val="nil"/>
          <w:between w:val="nil"/>
        </w:pBdr>
        <w:spacing w:line="480" w:lineRule="auto"/>
        <w:rPr>
          <w:b/>
          <w:color w:val="000000"/>
        </w:rPr>
      </w:pPr>
      <w:r>
        <w:rPr>
          <w:b/>
          <w:color w:val="000000"/>
        </w:rPr>
        <w:t xml:space="preserve">Literature review </w:t>
      </w:r>
    </w:p>
    <w:p w14:paraId="06AFCA67" w14:textId="6DADD654" w:rsidR="005D5B0A" w:rsidRPr="008A2CAD" w:rsidRDefault="00A73EE7" w:rsidP="008A2CAD">
      <w:pPr>
        <w:pBdr>
          <w:top w:val="nil"/>
          <w:left w:val="nil"/>
          <w:bottom w:val="nil"/>
          <w:right w:val="nil"/>
          <w:between w:val="nil"/>
        </w:pBdr>
        <w:spacing w:line="480" w:lineRule="auto"/>
        <w:rPr>
          <w:b/>
          <w:color w:val="000000"/>
        </w:rPr>
      </w:pPr>
      <w:r>
        <w:rPr>
          <w:b/>
          <w:i/>
          <w:color w:val="000000"/>
        </w:rPr>
        <w:t>Business strategy and competitive advantage in the public sector</w:t>
      </w:r>
    </w:p>
    <w:p w14:paraId="20F48F16" w14:textId="5023D1C4" w:rsidR="005D5B0A" w:rsidRDefault="00A73EE7">
      <w:pPr>
        <w:spacing w:line="480" w:lineRule="auto"/>
        <w:jc w:val="both"/>
      </w:pPr>
      <w:r>
        <w:t xml:space="preserve">Thompson &amp; Martin (2005), Matthews &amp; Shulman (2005), Mintzberg et al. (2009), Arundel et al. (2019) and Wirtz et al. (2021) agree that the primary objective of the firm is to gain a competitive advantage. This can be achieved by adopting a combination of generic tools, techniques, frameworks and ultimately knowledge that enable the firm to meet its strategy and objectives.  Interestingly, </w:t>
      </w:r>
      <w:proofErr w:type="spellStart"/>
      <w:r>
        <w:t>Saranga</w:t>
      </w:r>
      <w:proofErr w:type="spellEnd"/>
      <w:r>
        <w:t xml:space="preserve"> et al. (2018) and Williams et al. (2020) explained that there </w:t>
      </w:r>
      <w:r>
        <w:lastRenderedPageBreak/>
        <w:t xml:space="preserve">are considerable combinations and permutations in the adoption and of this knowledge and it needs to fit the business environment. For example, Davies et al. (2018), </w:t>
      </w:r>
      <w:proofErr w:type="spellStart"/>
      <w:r>
        <w:t>Hjelmar</w:t>
      </w:r>
      <w:proofErr w:type="spellEnd"/>
      <w:r>
        <w:t xml:space="preserve"> (2019) </w:t>
      </w:r>
      <w:proofErr w:type="spellStart"/>
      <w:r>
        <w:t>Kobarg</w:t>
      </w:r>
      <w:proofErr w:type="spellEnd"/>
      <w:r>
        <w:t xml:space="preserve"> et al. (2019)</w:t>
      </w:r>
      <w:r w:rsidR="00F03EAA">
        <w:t>,</w:t>
      </w:r>
      <w:r>
        <w:t xml:space="preserve"> Al-</w:t>
      </w:r>
      <w:proofErr w:type="spellStart"/>
      <w:r>
        <w:t>Tabbaa</w:t>
      </w:r>
      <w:proofErr w:type="spellEnd"/>
      <w:r>
        <w:t xml:space="preserve"> et al. (2019)</w:t>
      </w:r>
      <w:r w:rsidR="00F03EAA">
        <w:t>,</w:t>
      </w:r>
      <w:r>
        <w:t xml:space="preserve"> </w:t>
      </w:r>
      <w:r w:rsidR="00F03EAA">
        <w:t xml:space="preserve">Rey-Garcia et al. (2020), </w:t>
      </w:r>
      <w:r>
        <w:t xml:space="preserve">Bonomi et al. (2020) and Lee &amp; Hung (2021) explore innovation knowledge and project management expertise and test their effectiveness leading to differentiation. Sustained competitive advantage is achieved when an organisation is creating a strategy that no other competitor, whether current or potential is simultaneously implementing (Barney 1991), and when firms are unable to duplicate the benefits of that strategy (Lippman &amp; </w:t>
      </w:r>
      <w:proofErr w:type="spellStart"/>
      <w:r>
        <w:t>Rumelt</w:t>
      </w:r>
      <w:proofErr w:type="spellEnd"/>
      <w:r>
        <w:t xml:space="preserve"> 1982; Barney 1991; Madsen &amp; Walker 2016; </w:t>
      </w:r>
      <w:r w:rsidR="00F03EAA" w:rsidRPr="00F03EAA">
        <w:t>Clarke &amp; MacDonald, 2016</w:t>
      </w:r>
      <w:r w:rsidR="00F03EAA">
        <w:t xml:space="preserve">; </w:t>
      </w:r>
      <w:proofErr w:type="spellStart"/>
      <w:r>
        <w:t>Asgari</w:t>
      </w:r>
      <w:proofErr w:type="spellEnd"/>
      <w:r>
        <w:t xml:space="preserve"> et al. 2018; Williams et al. 2020; Nayak et al., 2022). Specifically, Porter’s (1996) work reflects on a firm’s ability to perform all its tangible and intangible activities in such a manner that not only maximises operational effectiveness but also is unlikely to be copied by rival competitors. This is a cornerstone for the Resource-Based View (RBV) theory, which was developed in the 1990s by notable contributors including, Barney (1986, 1991, 1995), </w:t>
      </w:r>
      <w:proofErr w:type="spellStart"/>
      <w:r>
        <w:t>Parhalad</w:t>
      </w:r>
      <w:proofErr w:type="spellEnd"/>
      <w:r>
        <w:t xml:space="preserve"> and Hamel (1990), </w:t>
      </w:r>
      <w:proofErr w:type="spellStart"/>
      <w:r>
        <w:t>Rumelt</w:t>
      </w:r>
      <w:proofErr w:type="spellEnd"/>
      <w:r>
        <w:t xml:space="preserve"> et al</w:t>
      </w:r>
      <w:r>
        <w:rPr>
          <w:i/>
        </w:rPr>
        <w:t>.</w:t>
      </w:r>
      <w:r>
        <w:t xml:space="preserve"> (1994) and Penrose (1995). However, Barney’s value, rare, imperfectly imitable and organisationally supported (VRIO) framework (Barney, 1991) has become synonymous with a resource-based approach to sustained competitive advantage (Mahdi et al., 2019), becoming one of the most influential and cited theories in the history of management (</w:t>
      </w:r>
      <w:proofErr w:type="spellStart"/>
      <w:r>
        <w:t>Kraaijenbrink</w:t>
      </w:r>
      <w:proofErr w:type="spellEnd"/>
      <w:r>
        <w:t xml:space="preserve"> et al., 2010; </w:t>
      </w:r>
      <w:proofErr w:type="spellStart"/>
      <w:r>
        <w:t>Alexy</w:t>
      </w:r>
      <w:proofErr w:type="spellEnd"/>
      <w:r>
        <w:t xml:space="preserve"> et al., 2017). </w:t>
      </w:r>
    </w:p>
    <w:p w14:paraId="61220546" w14:textId="77777777" w:rsidR="005D5B0A" w:rsidRDefault="00A73EE7">
      <w:pPr>
        <w:spacing w:line="480" w:lineRule="auto"/>
        <w:jc w:val="both"/>
      </w:pPr>
      <w:r>
        <w:tab/>
        <w:t xml:space="preserve">Based on the VRIO framework, it is the intangible assets of project management that are more likely to satisfy the requirements of valuable, rare, and inimitable (Killen et al., 2012; </w:t>
      </w:r>
      <w:proofErr w:type="spellStart"/>
      <w:r>
        <w:t>Saranga</w:t>
      </w:r>
      <w:proofErr w:type="spellEnd"/>
      <w:r>
        <w:t xml:space="preserve"> et al. 2018) and thus offer a better scenario for sustained competitive advantage (Mathur et al., 2014; </w:t>
      </w:r>
      <w:proofErr w:type="spellStart"/>
      <w:r>
        <w:t>Almarri</w:t>
      </w:r>
      <w:proofErr w:type="spellEnd"/>
      <w:r>
        <w:t xml:space="preserve"> &amp; Gardiner, 2014; </w:t>
      </w:r>
      <w:proofErr w:type="spellStart"/>
      <w:r>
        <w:t>Alexy</w:t>
      </w:r>
      <w:proofErr w:type="spellEnd"/>
      <w:r>
        <w:t xml:space="preserve"> et al., 2017). However, there are difficulties in defining and codifying intangible assets into a coherent format, such as tacit knowledge (Teece et al., 1997; </w:t>
      </w:r>
      <w:proofErr w:type="spellStart"/>
      <w:r>
        <w:t>Priem</w:t>
      </w:r>
      <w:proofErr w:type="spellEnd"/>
      <w:r>
        <w:t xml:space="preserve"> &amp; Butler, 2001; </w:t>
      </w:r>
      <w:proofErr w:type="spellStart"/>
      <w:r>
        <w:t>Almarri</w:t>
      </w:r>
      <w:proofErr w:type="spellEnd"/>
      <w:r>
        <w:t xml:space="preserve"> &amp; Gardiner, 2014; Goldstein </w:t>
      </w:r>
      <w:r>
        <w:lastRenderedPageBreak/>
        <w:t xml:space="preserve">and Kearney, 2020). Project management assets are only one of many confounding factors influencing organisational performance (Killen et al., 2012; Walker and Andrews, 2015; Williams et al., 2020; Liu, 2021). This is significant as to date, the main thrust on project management research based on the VRIO framework is extremely limited, and mainly from one particular research team, located in the North Americas (Beamish &amp; Chakravarty, 2021). </w:t>
      </w:r>
    </w:p>
    <w:p w14:paraId="713136CD" w14:textId="77777777" w:rsidR="005D5B0A" w:rsidRDefault="00A73EE7">
      <w:pPr>
        <w:spacing w:line="480" w:lineRule="auto"/>
        <w:ind w:firstLine="720"/>
        <w:jc w:val="both"/>
      </w:pPr>
      <w:r>
        <w:t xml:space="preserve">Very few public-sector and ‘not for profit’ studies are represented in the literature that has applied RBV logic to firm resources that are heterogeneous, imperfectly mobile, valuable, rare and imperfectly imitable in line with Barney’s RBV framework (Hansen &amp; </w:t>
      </w:r>
      <w:proofErr w:type="spellStart"/>
      <w:r>
        <w:t>Firlie</w:t>
      </w:r>
      <w:proofErr w:type="spellEnd"/>
      <w:r>
        <w:t xml:space="preserve">, 2016).  However, with the exception of </w:t>
      </w:r>
      <w:proofErr w:type="spellStart"/>
      <w:r>
        <w:t>Salwan</w:t>
      </w:r>
      <w:proofErr w:type="spellEnd"/>
      <w:r>
        <w:t xml:space="preserve"> and </w:t>
      </w:r>
      <w:proofErr w:type="spellStart"/>
      <w:r>
        <w:t>Satarker’s</w:t>
      </w:r>
      <w:proofErr w:type="spellEnd"/>
      <w:r>
        <w:t xml:space="preserve"> (2011) VRIO analysis of India’s NTNL public-sector owned telecommunications company, to date, no other public sector, ‘not for profit’ sector or social enterprise organisation has measured the amount of competitive advantage that a resource, asset or capability leverages via the VRIO framework. Hence, this research contributes to this existing body of literature.</w:t>
      </w:r>
    </w:p>
    <w:p w14:paraId="081057A7" w14:textId="77777777" w:rsidR="005D5B0A" w:rsidRDefault="005D5B0A">
      <w:pPr>
        <w:spacing w:line="480" w:lineRule="auto"/>
      </w:pPr>
    </w:p>
    <w:p w14:paraId="75FF5AD6" w14:textId="77777777" w:rsidR="005D5B0A" w:rsidRDefault="00A73EE7" w:rsidP="008A2CAD">
      <w:pPr>
        <w:pBdr>
          <w:top w:val="nil"/>
          <w:left w:val="nil"/>
          <w:bottom w:val="nil"/>
          <w:right w:val="nil"/>
          <w:between w:val="nil"/>
        </w:pBdr>
        <w:spacing w:line="480" w:lineRule="auto"/>
        <w:rPr>
          <w:b/>
          <w:i/>
          <w:color w:val="000000"/>
        </w:rPr>
      </w:pPr>
      <w:r>
        <w:rPr>
          <w:b/>
          <w:i/>
          <w:color w:val="000000"/>
        </w:rPr>
        <w:t>Project Management resources</w:t>
      </w:r>
    </w:p>
    <w:p w14:paraId="604CB448" w14:textId="77777777" w:rsidR="005D5B0A" w:rsidRDefault="00A73EE7">
      <w:pPr>
        <w:spacing w:line="480" w:lineRule="auto"/>
        <w:jc w:val="both"/>
      </w:pPr>
      <w:r>
        <w:t xml:space="preserve">It has been argued that a firm’s endowments of resources and assets are used to maximise a firm’s operational and strategic effectiveness (Porter, 1979; </w:t>
      </w:r>
      <w:proofErr w:type="spellStart"/>
      <w:r>
        <w:t>Wernerfelt</w:t>
      </w:r>
      <w:proofErr w:type="spellEnd"/>
      <w:r>
        <w:t>, 1984; Barney, 1991; Grant, 1991; Amit &amp; Shoemaker, 1993; Penrose, 1995; McCrea et al., 2021; Wagner</w:t>
      </w:r>
      <w:r>
        <w:rPr>
          <w:i/>
        </w:rPr>
        <w:t xml:space="preserve"> </w:t>
      </w:r>
      <w:r>
        <w:t>et al., 2021) and they can become a source of competitive advantage (</w:t>
      </w:r>
      <w:proofErr w:type="spellStart"/>
      <w:r>
        <w:t>Wernerfelt</w:t>
      </w:r>
      <w:proofErr w:type="spellEnd"/>
      <w:r>
        <w:t xml:space="preserve">, 1984; Barney, 1991; </w:t>
      </w:r>
      <w:proofErr w:type="spellStart"/>
      <w:r>
        <w:t>Jugdev</w:t>
      </w:r>
      <w:proofErr w:type="spellEnd"/>
      <w:r>
        <w:t xml:space="preserve">, 2004).  Scholars debate whether a firm’s resource endowments are categorically tangible or intangible (Porter, 1979; </w:t>
      </w:r>
      <w:proofErr w:type="spellStart"/>
      <w:r>
        <w:t>Wernerfelt</w:t>
      </w:r>
      <w:proofErr w:type="spellEnd"/>
      <w:r>
        <w:t>, 1984; Dierickx &amp; Cool, 1989; Barney, 1991; Penrose 1995) and argue that whilst tangible resources do offer some degree of competitive advantage (</w:t>
      </w:r>
      <w:proofErr w:type="spellStart"/>
      <w:r>
        <w:t>Jugdev</w:t>
      </w:r>
      <w:proofErr w:type="spellEnd"/>
      <w:r>
        <w:t xml:space="preserve">, 2004; Killen et al., 2012), it is the intangible resource endowments that offer the best potential for sustained competitive advantage (Spender, 1996; </w:t>
      </w:r>
      <w:proofErr w:type="spellStart"/>
      <w:r>
        <w:t>Jugdev</w:t>
      </w:r>
      <w:proofErr w:type="spellEnd"/>
      <w:r>
        <w:t xml:space="preserve"> et al., 2011; Killen et al., 2012; Lee &amp; Whitford, 2012; </w:t>
      </w:r>
      <w:proofErr w:type="spellStart"/>
      <w:r>
        <w:t>Almarri</w:t>
      </w:r>
      <w:proofErr w:type="spellEnd"/>
      <w:r>
        <w:t xml:space="preserve"> &amp; Gardiner, 2014).  Mathur et al. (2014) </w:t>
      </w:r>
      <w:r>
        <w:lastRenderedPageBreak/>
        <w:t xml:space="preserve">and </w:t>
      </w:r>
      <w:proofErr w:type="spellStart"/>
      <w:r>
        <w:t>Jugdev</w:t>
      </w:r>
      <w:proofErr w:type="spellEnd"/>
      <w:r>
        <w:t xml:space="preserve"> et al. (2011) suggested that certain project management tangible resources in combination with certain intangible project management resources are potential sources of sustainable competitive advantage. Though </w:t>
      </w:r>
      <w:proofErr w:type="spellStart"/>
      <w:r>
        <w:t>Lytras</w:t>
      </w:r>
      <w:proofErr w:type="spellEnd"/>
      <w:r>
        <w:t xml:space="preserve"> and </w:t>
      </w:r>
      <w:proofErr w:type="spellStart"/>
      <w:r>
        <w:t>Poulondi</w:t>
      </w:r>
      <w:proofErr w:type="spellEnd"/>
      <w:r>
        <w:t xml:space="preserve"> (2003) lament that business strategy has shifted from the management of tangible to intangible resources, there is little literature researching the merits of the intangible ‘know how’ resources of project management. Suggesting a poor appreciation by scholars and practitioners alike regards the importance intangibles play in the creation of strategic capabilities bestowed within project management resources as argued by Killen et al. (2012) and </w:t>
      </w:r>
      <w:proofErr w:type="spellStart"/>
      <w:r>
        <w:t>Jugdev</w:t>
      </w:r>
      <w:proofErr w:type="spellEnd"/>
      <w:r>
        <w:t xml:space="preserve"> et al. (2011) and further evidenced as no studies are anchored to the RBV logic and VRIO framework (Mathur et al., 2013).</w:t>
      </w:r>
    </w:p>
    <w:p w14:paraId="79AD27C3" w14:textId="268CF912" w:rsidR="005D5B0A" w:rsidRDefault="00A73EE7">
      <w:pPr>
        <w:spacing w:line="480" w:lineRule="auto"/>
        <w:ind w:firstLine="720"/>
        <w:jc w:val="both"/>
      </w:pPr>
      <w:r>
        <w:t xml:space="preserve">Tangible resources or assets are well covered in literature, for example, plant and equipment, mining rights and employees with specific training, </w:t>
      </w:r>
      <w:proofErr w:type="spellStart"/>
      <w:r>
        <w:t>Wernerfelt</w:t>
      </w:r>
      <w:proofErr w:type="spellEnd"/>
      <w:r>
        <w:t xml:space="preserve"> (1984), physical capital (Williamson, 1975, cited in Barney, 1991), and IT resources (Mata et al., 1995).  However, with the exception of project management maturity models as a means of assessing the effectiveness of a firms project management tangible endowments (</w:t>
      </w:r>
      <w:proofErr w:type="spellStart"/>
      <w:r>
        <w:t>Ibbs</w:t>
      </w:r>
      <w:proofErr w:type="spellEnd"/>
      <w:r>
        <w:t xml:space="preserve"> &amp; Kwak, 2000; Kwak &amp; </w:t>
      </w:r>
      <w:proofErr w:type="spellStart"/>
      <w:r>
        <w:t>Ibbs</w:t>
      </w:r>
      <w:proofErr w:type="spellEnd"/>
      <w:r>
        <w:t>, 2000) and the wealth of literature regarding project management ‘tools and techniques’ such as planning tools, estimating tools, control tools (</w:t>
      </w:r>
      <w:proofErr w:type="spellStart"/>
      <w:r>
        <w:t>Besner</w:t>
      </w:r>
      <w:proofErr w:type="spellEnd"/>
      <w:r>
        <w:t xml:space="preserve"> &amp; Hobbs, 2012; Williams et al., 2020) and methodology frameworks such as PRINCE2 (OGC, 2009), Agile (</w:t>
      </w:r>
      <w:proofErr w:type="spellStart"/>
      <w:r>
        <w:t>Cervone</w:t>
      </w:r>
      <w:proofErr w:type="spellEnd"/>
      <w:r>
        <w:t>, 2011) and Waterfall methodology for software development and engineering, specific project management tangible resources and assets providing potential for competitive advantage in the literature is once again limited to the pioneers of Mathur et al. (2013). On the other hand, intangible assets are those firm’s resources that are tacit, unspoken but understood (Teece et al., 1997) particular tacit knowledge of sharing process and facilitation (</w:t>
      </w:r>
      <w:proofErr w:type="spellStart"/>
      <w:r>
        <w:t>Almarri</w:t>
      </w:r>
      <w:proofErr w:type="spellEnd"/>
      <w:r>
        <w:t xml:space="preserve"> &amp; Gardiner, 2014) technical know-how (Amit &amp; Shoemaker, 1993) and social capital practices (</w:t>
      </w:r>
      <w:proofErr w:type="spellStart"/>
      <w:r>
        <w:t>Jugdev</w:t>
      </w:r>
      <w:proofErr w:type="spellEnd"/>
      <w:r>
        <w:t xml:space="preserve">, 2004). Moreover, but not exclusive to project management, intangible project management assets are knowledge-based that are path-dependant on a firm’s history and its </w:t>
      </w:r>
      <w:r>
        <w:lastRenderedPageBreak/>
        <w:t>unique set of organisational idiosyncrasies, for example, a firm’s culture (Barney, 1986; Connor &amp; Prahalad, 1996) or reputation (</w:t>
      </w:r>
      <w:proofErr w:type="spellStart"/>
      <w:r>
        <w:t>Wernerfelt</w:t>
      </w:r>
      <w:proofErr w:type="spellEnd"/>
      <w:r>
        <w:t>, 1984; Grant, 1991). Twelve project management resources have been identified as being the main assets that have the potential for firm competitive advantage. These include printed materials (Winter et al., 2006; Mathur et al., 2013), databases (</w:t>
      </w:r>
      <w:proofErr w:type="spellStart"/>
      <w:r>
        <w:t>Jugdev</w:t>
      </w:r>
      <w:proofErr w:type="spellEnd"/>
      <w:r>
        <w:t xml:space="preserve"> et al., 2011; </w:t>
      </w:r>
      <w:proofErr w:type="spellStart"/>
      <w:r>
        <w:t>Besner</w:t>
      </w:r>
      <w:proofErr w:type="spellEnd"/>
      <w:r>
        <w:t xml:space="preserve"> &amp; Hobbs, 2012), hardware (</w:t>
      </w:r>
      <w:proofErr w:type="spellStart"/>
      <w:r>
        <w:t>Chitkara</w:t>
      </w:r>
      <w:proofErr w:type="spellEnd"/>
      <w:r>
        <w:t xml:space="preserve"> 1998; Wang et al., 2016), software (</w:t>
      </w:r>
      <w:proofErr w:type="spellStart"/>
      <w:r>
        <w:t>Patanakul</w:t>
      </w:r>
      <w:proofErr w:type="spellEnd"/>
      <w:r>
        <w:t xml:space="preserve"> et al., 2010; </w:t>
      </w:r>
      <w:proofErr w:type="spellStart"/>
      <w:r>
        <w:t>Jugdev</w:t>
      </w:r>
      <w:proofErr w:type="spellEnd"/>
      <w:r>
        <w:t xml:space="preserve"> et al., 2013), methodologies (McHugh &amp; Hogan 2011; Mathur et al., 2014), templates (</w:t>
      </w:r>
      <w:proofErr w:type="spellStart"/>
      <w:r>
        <w:t>Kor</w:t>
      </w:r>
      <w:proofErr w:type="spellEnd"/>
      <w:r>
        <w:t xml:space="preserve"> &amp; Wijnen,2017), Office PMO (Unger et al., 2012), project shadowing and mentoring (</w:t>
      </w:r>
      <w:proofErr w:type="spellStart"/>
      <w:r>
        <w:t>Bryde</w:t>
      </w:r>
      <w:proofErr w:type="spellEnd"/>
      <w:r>
        <w:t xml:space="preserve"> &amp; Wright, 2007; Hung &amp; Chou, 2013), social capital (</w:t>
      </w:r>
      <w:proofErr w:type="spellStart"/>
      <w:r>
        <w:t>Nahapiet</w:t>
      </w:r>
      <w:proofErr w:type="spellEnd"/>
      <w:r>
        <w:t xml:space="preserve"> &amp; Ghoshal, 2000; Catts &amp; </w:t>
      </w:r>
      <w:proofErr w:type="spellStart"/>
      <w:r>
        <w:t>Ozga</w:t>
      </w:r>
      <w:proofErr w:type="spellEnd"/>
      <w:r>
        <w:t xml:space="preserve">, 2005), communities of practice (Spender, 1996; </w:t>
      </w:r>
      <w:proofErr w:type="spellStart"/>
      <w:r>
        <w:t>Bresnen</w:t>
      </w:r>
      <w:proofErr w:type="spellEnd"/>
      <w:r>
        <w:t xml:space="preserve"> et al., 2003), project management practice (</w:t>
      </w:r>
      <w:proofErr w:type="spellStart"/>
      <w:r>
        <w:t>Bryde</w:t>
      </w:r>
      <w:proofErr w:type="spellEnd"/>
      <w:r>
        <w:t xml:space="preserve">, 2003; Killen et al., 2012; </w:t>
      </w:r>
      <w:proofErr w:type="spellStart"/>
      <w:r>
        <w:t>Almarri</w:t>
      </w:r>
      <w:proofErr w:type="spellEnd"/>
      <w:r>
        <w:t xml:space="preserve"> &amp; Gardiner 2014; Nishimura </w:t>
      </w:r>
      <w:r w:rsidR="00C462CF">
        <w:t>&amp;</w:t>
      </w:r>
      <w:r>
        <w:t xml:space="preserve"> </w:t>
      </w:r>
      <w:proofErr w:type="spellStart"/>
      <w:r>
        <w:t>Okamuro</w:t>
      </w:r>
      <w:proofErr w:type="spellEnd"/>
      <w:r>
        <w:t xml:space="preserve"> 2018). Notwithstanding that measuring project success has developed more of an inclusive approach (</w:t>
      </w:r>
      <w:proofErr w:type="spellStart"/>
      <w:r>
        <w:t>Jugdev</w:t>
      </w:r>
      <w:proofErr w:type="spellEnd"/>
      <w:r>
        <w:t xml:space="preserve"> and Muller, 2005; Toor and </w:t>
      </w:r>
      <w:proofErr w:type="spellStart"/>
      <w:r>
        <w:t>Ogunlana</w:t>
      </w:r>
      <w:proofErr w:type="spellEnd"/>
      <w:r>
        <w:t xml:space="preserve">, 2010; McLeod et al., 2012), operational efficiency metrics are still widely used by project managers across all sectors and industries; clearly evidenced in </w:t>
      </w:r>
      <w:proofErr w:type="spellStart"/>
      <w:r>
        <w:t>Jugdev</w:t>
      </w:r>
      <w:proofErr w:type="spellEnd"/>
      <w:r>
        <w:t xml:space="preserve"> and Muller (2005) and Davis (2014) reviews of project success literature. </w:t>
      </w:r>
    </w:p>
    <w:p w14:paraId="02DB5C7A" w14:textId="77777777" w:rsidR="005D5B0A" w:rsidRDefault="005D5B0A">
      <w:pPr>
        <w:spacing w:line="480" w:lineRule="auto"/>
      </w:pPr>
    </w:p>
    <w:p w14:paraId="347778E1" w14:textId="4472F15A" w:rsidR="005D5B0A" w:rsidRDefault="00A73EE7" w:rsidP="008A2CAD">
      <w:pPr>
        <w:spacing w:line="480" w:lineRule="auto"/>
        <w:rPr>
          <w:b/>
          <w:i/>
        </w:rPr>
      </w:pPr>
      <w:r>
        <w:rPr>
          <w:b/>
          <w:i/>
        </w:rPr>
        <w:t xml:space="preserve">Public sector and local authorities </w:t>
      </w:r>
    </w:p>
    <w:p w14:paraId="6665314C" w14:textId="77777777" w:rsidR="005D5B0A" w:rsidRDefault="00A73EE7">
      <w:pPr>
        <w:spacing w:line="480" w:lineRule="auto"/>
        <w:jc w:val="both"/>
      </w:pPr>
      <w:r>
        <w:t xml:space="preserve">The economic climate post-2008 global financial crisis radically redefined the distribution of social welfare in the UK and other first-world economies (Hills, 2011; </w:t>
      </w:r>
      <w:proofErr w:type="spellStart"/>
      <w:r>
        <w:t>Putten</w:t>
      </w:r>
      <w:proofErr w:type="spellEnd"/>
      <w:r>
        <w:t xml:space="preserve"> &amp; Green, 2011; Joseph &amp; </w:t>
      </w:r>
      <w:proofErr w:type="spellStart"/>
      <w:r>
        <w:t>Rowlingson</w:t>
      </w:r>
      <w:proofErr w:type="spellEnd"/>
      <w:r>
        <w:t>, 2012; Genovese et al., 2020). The impacts of the sub-sequent austerity measures are far-reaching and go beyond a mere readjustment of soaring public expenditure (</w:t>
      </w:r>
      <w:r>
        <w:rPr>
          <w:color w:val="000000"/>
        </w:rPr>
        <w:t>Gordon-</w:t>
      </w:r>
      <w:r>
        <w:t xml:space="preserve">Murray et al., 2012; Piercy et al., 2013, </w:t>
      </w:r>
      <w:proofErr w:type="spellStart"/>
      <w:r>
        <w:t>Cepiku</w:t>
      </w:r>
      <w:proofErr w:type="spellEnd"/>
      <w:r>
        <w:t xml:space="preserve"> et al., 2018). </w:t>
      </w:r>
      <w:proofErr w:type="spellStart"/>
      <w:r>
        <w:t>Greatbanks</w:t>
      </w:r>
      <w:proofErr w:type="spellEnd"/>
      <w:r>
        <w:t xml:space="preserve"> and </w:t>
      </w:r>
      <w:proofErr w:type="spellStart"/>
      <w:r>
        <w:t>Tapp</w:t>
      </w:r>
      <w:proofErr w:type="spellEnd"/>
      <w:r>
        <w:t xml:space="preserve"> (2007) and </w:t>
      </w:r>
      <w:proofErr w:type="spellStart"/>
      <w:r>
        <w:t>Ghobadian</w:t>
      </w:r>
      <w:proofErr w:type="spellEnd"/>
      <w:r>
        <w:t xml:space="preserve"> and Ashworth (1994) explain that LA form a significant part of the service sector. Another wave of retrenchment imposed via the 2013 Comprehensive Spending Review confirmed the fears of the Local Government Association (LGA) own assessment, of </w:t>
      </w:r>
      <w:r>
        <w:lastRenderedPageBreak/>
        <w:t xml:space="preserve">a gap of £1.4 billion in local authority council revenue to expenditure by 2013/14 raising to over £16.5 billion in 2019/20 (Local Government Association 2018). Provoking debates regarding the future sustainability of the existing model’s ability to deliver current service levels without radical reform are re-emerging (LGA Funding Outlook executive Summary, 2012). Also, it is difficult to predict the exact Covid-19 pandemic impact will have on public funding medium term, however, there is no doubt it is reinforcing these issues. </w:t>
      </w:r>
    </w:p>
    <w:p w14:paraId="53210E1E" w14:textId="77777777" w:rsidR="005D5B0A" w:rsidRDefault="00A73EE7">
      <w:pPr>
        <w:spacing w:line="480" w:lineRule="auto"/>
        <w:ind w:firstLine="720"/>
        <w:jc w:val="both"/>
      </w:pPr>
      <w:r>
        <w:t>Third sector and local community organisations since 1997 have increasingly taken on a growing share of services, which were previously delivered through statutory agencies (</w:t>
      </w:r>
      <w:proofErr w:type="spellStart"/>
      <w:r>
        <w:t>Milbourne</w:t>
      </w:r>
      <w:proofErr w:type="spellEnd"/>
      <w:r>
        <w:t xml:space="preserve"> &amp; Cushman, 2013). From the ‘Big Society’ ideology emerged localism empowering communities to have a bigger voice in how service is provided (Adamson &amp; Bromiley, 2013). Historically, project management in the public sector has not just been about delivering successful public products and services, but also about public value for the benefit of citizens (</w:t>
      </w:r>
      <w:proofErr w:type="spellStart"/>
      <w:r>
        <w:t>Wirick</w:t>
      </w:r>
      <w:proofErr w:type="spellEnd"/>
      <w:r>
        <w:t xml:space="preserve">, 2009; </w:t>
      </w:r>
      <w:proofErr w:type="spellStart"/>
      <w:r>
        <w:t>Blixt</w:t>
      </w:r>
      <w:proofErr w:type="spellEnd"/>
      <w:r>
        <w:t xml:space="preserve"> &amp; </w:t>
      </w:r>
      <w:proofErr w:type="spellStart"/>
      <w:r>
        <w:t>Kirytopoulos</w:t>
      </w:r>
      <w:proofErr w:type="spellEnd"/>
      <w:r>
        <w:t>, 2017; Wontner et al., 2020); and efficiency and effectiveness for the governments (</w:t>
      </w:r>
      <w:proofErr w:type="spellStart"/>
      <w:r>
        <w:t>Wirick</w:t>
      </w:r>
      <w:proofErr w:type="spellEnd"/>
      <w:r>
        <w:t xml:space="preserve">, 2009; Hazlett et al., 2013; Goldstein &amp; Kearney 2020). All within a context of increasing public scrutiny (Moxham, 2009; Moxham &amp; </w:t>
      </w:r>
      <w:proofErr w:type="spellStart"/>
      <w:r>
        <w:t>Boaden</w:t>
      </w:r>
      <w:proofErr w:type="spellEnd"/>
      <w:r>
        <w:t>, 2007) and the assurance of evidencing the value of public expenditure (</w:t>
      </w:r>
      <w:proofErr w:type="spellStart"/>
      <w:r>
        <w:t>Cepiku</w:t>
      </w:r>
      <w:proofErr w:type="spellEnd"/>
      <w:r>
        <w:t xml:space="preserve"> et al., 2018), as Crawford and Helm (2009) illustrate in their article comparing project management governance in the UK, Australia, and USA. However, the public-sector environment possesses greater project management challenges than one would expect in equivalent private-sector projects (Gomes et al., 2013; Radnor &amp; </w:t>
      </w:r>
      <w:proofErr w:type="spellStart"/>
      <w:r>
        <w:t>Noke</w:t>
      </w:r>
      <w:proofErr w:type="spellEnd"/>
      <w:r>
        <w:t>, 2013). Thus, the overall research aim is to identify which project management assets and associated processes and practices, LA strategic managers need to deliberately acknowledge, develop, deploy, and exploit, when conceiving competitive strategies, to deliver impact and leverage sustainable operational competitive advantage?</w:t>
      </w:r>
    </w:p>
    <w:p w14:paraId="73487132" w14:textId="77777777" w:rsidR="008A2CAD" w:rsidRDefault="008A2CAD" w:rsidP="008A2CAD">
      <w:pPr>
        <w:spacing w:line="480" w:lineRule="auto"/>
      </w:pPr>
    </w:p>
    <w:p w14:paraId="25C3ECD0" w14:textId="19F1FB75" w:rsidR="005D5B0A" w:rsidRDefault="00A73EE7" w:rsidP="008A2CAD">
      <w:pPr>
        <w:spacing w:line="480" w:lineRule="auto"/>
        <w:rPr>
          <w:b/>
          <w:i/>
        </w:rPr>
      </w:pPr>
      <w:r>
        <w:rPr>
          <w:b/>
          <w:i/>
        </w:rPr>
        <w:t xml:space="preserve">Empirical and conceptual positioning </w:t>
      </w:r>
    </w:p>
    <w:p w14:paraId="6860A1C8" w14:textId="77777777" w:rsidR="005D5B0A" w:rsidRDefault="00A73EE7">
      <w:pPr>
        <w:spacing w:line="480" w:lineRule="auto"/>
        <w:jc w:val="both"/>
        <w:rPr>
          <w:b/>
          <w:i/>
        </w:rPr>
      </w:pPr>
      <w:r>
        <w:lastRenderedPageBreak/>
        <w:t>Whilst a central focus of empirical research in strategic management has been to understand the link between a firm’s competitive environment, its strategy, and its performance (Bowen &amp; Wiersema, 1999; Nayak et al., 2022), there is little empirical research which measures sustainable competitive advantage from the RBV perspective (</w:t>
      </w:r>
      <w:proofErr w:type="spellStart"/>
      <w:r>
        <w:t>Newbert</w:t>
      </w:r>
      <w:proofErr w:type="spellEnd"/>
      <w:r>
        <w:t xml:space="preserve">, 2007; Bromiley &amp; Rau, 2016; Andrews et al., 2016; Mahdi et al., 2019; Hossain et al., 2021).  Moreover, </w:t>
      </w:r>
      <w:proofErr w:type="spellStart"/>
      <w:r>
        <w:t>Jugdev</w:t>
      </w:r>
      <w:proofErr w:type="spellEnd"/>
      <w:r>
        <w:t xml:space="preserve"> et al. (2011), Mathur et al. (2014), and Perkins et al. (2018) point out that there is negligible empirical research associated with project management as a source of competitive advantage applying the VRIO framework. Considering that a goal of empirical research is to advance theory and policy, and as </w:t>
      </w:r>
      <w:proofErr w:type="spellStart"/>
      <w:r>
        <w:t>Newbert</w:t>
      </w:r>
      <w:proofErr w:type="spellEnd"/>
      <w:r>
        <w:t xml:space="preserve"> (2007) suggests this research offers the opportunity to contribute to the RBV theory and operations management body of knowledge (</w:t>
      </w:r>
      <w:proofErr w:type="spellStart"/>
      <w:r>
        <w:t>Hitt</w:t>
      </w:r>
      <w:proofErr w:type="spellEnd"/>
      <w:r>
        <w:t xml:space="preserve"> et al., 2016).  Moreover, an underlying consideration of this research is that project management, as a source of competitive advantage in LA, is a unique context. Consequently, it is relevant to undertake an empirical study, and develop both theoretical and conceptual models and frameworks, in contemplation of contributing to the operation strategic management, project management, and the developing public sector bodies of knowledge and, practitioner insight for communities of practice.  </w:t>
      </w:r>
    </w:p>
    <w:p w14:paraId="5E2B54AA" w14:textId="77777777" w:rsidR="005D5B0A" w:rsidRDefault="00A73EE7">
      <w:pPr>
        <w:spacing w:line="480" w:lineRule="auto"/>
        <w:jc w:val="both"/>
        <w:rPr>
          <w:i/>
        </w:rPr>
      </w:pPr>
      <w:r>
        <w:t xml:space="preserve"> </w:t>
      </w:r>
    </w:p>
    <w:p w14:paraId="3F5BE3E3" w14:textId="77777777" w:rsidR="005D5B0A" w:rsidRDefault="00A73EE7" w:rsidP="008A2CAD">
      <w:pPr>
        <w:pBdr>
          <w:top w:val="nil"/>
          <w:left w:val="nil"/>
          <w:bottom w:val="nil"/>
          <w:right w:val="nil"/>
          <w:between w:val="nil"/>
        </w:pBdr>
        <w:spacing w:line="480" w:lineRule="auto"/>
        <w:rPr>
          <w:b/>
          <w:color w:val="000000"/>
        </w:rPr>
      </w:pPr>
      <w:r>
        <w:rPr>
          <w:b/>
          <w:color w:val="000000"/>
        </w:rPr>
        <w:t xml:space="preserve">Research Methodology   </w:t>
      </w:r>
    </w:p>
    <w:p w14:paraId="4342450B" w14:textId="77777777" w:rsidR="005D5B0A" w:rsidRDefault="00A73EE7" w:rsidP="008A2CAD">
      <w:pPr>
        <w:pBdr>
          <w:top w:val="nil"/>
          <w:left w:val="nil"/>
          <w:bottom w:val="nil"/>
          <w:right w:val="nil"/>
          <w:between w:val="nil"/>
        </w:pBdr>
        <w:spacing w:line="480" w:lineRule="auto"/>
        <w:rPr>
          <w:b/>
          <w:i/>
          <w:color w:val="000000"/>
        </w:rPr>
      </w:pPr>
      <w:r>
        <w:rPr>
          <w:b/>
          <w:i/>
          <w:color w:val="000000"/>
        </w:rPr>
        <w:t>Research Context</w:t>
      </w:r>
    </w:p>
    <w:p w14:paraId="605F9F12" w14:textId="77777777" w:rsidR="005D5B0A" w:rsidRDefault="00A73EE7">
      <w:pPr>
        <w:spacing w:line="480" w:lineRule="auto"/>
        <w:jc w:val="both"/>
      </w:pPr>
      <w:r>
        <w:t xml:space="preserve">As there is no dominant theory established in this tripartite field (project management, RBV VRIO, and public sector context), we adopted a survey approach within a case-study environment as the empirical research strategy.  In collaboration with North of England local authorities, this research was designed to investigate, which project management assets, processes and practices are essential for competitive advantage and which asset endowments predict performance. Appendix 1 summarises all twenty-seven partner organisations. </w:t>
      </w:r>
    </w:p>
    <w:p w14:paraId="4F665AD7" w14:textId="77777777" w:rsidR="005D5B0A" w:rsidRDefault="005D5B0A">
      <w:pPr>
        <w:spacing w:line="480" w:lineRule="auto"/>
      </w:pPr>
    </w:p>
    <w:p w14:paraId="24B7DA20" w14:textId="77777777" w:rsidR="005D5B0A" w:rsidRDefault="00A73EE7" w:rsidP="008A2CAD">
      <w:pPr>
        <w:pBdr>
          <w:top w:val="nil"/>
          <w:left w:val="nil"/>
          <w:bottom w:val="nil"/>
          <w:right w:val="nil"/>
          <w:between w:val="nil"/>
        </w:pBdr>
        <w:spacing w:line="480" w:lineRule="auto"/>
        <w:rPr>
          <w:b/>
          <w:i/>
          <w:color w:val="000000"/>
        </w:rPr>
      </w:pPr>
      <w:r>
        <w:rPr>
          <w:b/>
          <w:i/>
          <w:color w:val="000000"/>
        </w:rPr>
        <w:t xml:space="preserve">Research Design </w:t>
      </w:r>
    </w:p>
    <w:p w14:paraId="3C37C64E" w14:textId="77777777" w:rsidR="005D5B0A" w:rsidRDefault="00A73EE7">
      <w:pPr>
        <w:spacing w:line="480" w:lineRule="auto"/>
        <w:jc w:val="both"/>
      </w:pPr>
      <w:r>
        <w:t>Based on extant literature, an existing survey instrument (Mathur et al., 2013) was first piloted and then adapted for the local authorities’ specific non-professional project management practitioner usage. Moreover, after a first draft modification, it was necessary to pilot the survey with a selection of academics, and a range of respondents across the parent and partner organisations.  The performance constructs were slightly modified to better reflect the local authority’s context (one new item for each of the two performance constructs).  Also, an additional item was included aligned to project management maturity level. This questionnaire has been reviewed and has received ethical approval from the authors’ institution Research Ethics Committee.</w:t>
      </w:r>
    </w:p>
    <w:p w14:paraId="42BF7F85" w14:textId="77777777" w:rsidR="005D5B0A" w:rsidRDefault="005D5B0A">
      <w:pPr>
        <w:spacing w:line="480" w:lineRule="auto"/>
      </w:pPr>
    </w:p>
    <w:p w14:paraId="478BDB58" w14:textId="77777777" w:rsidR="005D5B0A" w:rsidRDefault="00A73EE7" w:rsidP="008A2CAD">
      <w:pPr>
        <w:pBdr>
          <w:top w:val="nil"/>
          <w:left w:val="nil"/>
          <w:bottom w:val="nil"/>
          <w:right w:val="nil"/>
          <w:between w:val="nil"/>
        </w:pBdr>
        <w:spacing w:line="480" w:lineRule="auto"/>
        <w:rPr>
          <w:b/>
          <w:i/>
          <w:color w:val="000000"/>
        </w:rPr>
      </w:pPr>
      <w:r>
        <w:rPr>
          <w:b/>
          <w:i/>
          <w:color w:val="000000"/>
        </w:rPr>
        <w:t>Data collection, sample population and data analysis</w:t>
      </w:r>
    </w:p>
    <w:p w14:paraId="5B6AAA7D" w14:textId="77777777" w:rsidR="005D5B0A" w:rsidRDefault="00A73EE7">
      <w:pPr>
        <w:spacing w:line="480" w:lineRule="auto"/>
        <w:jc w:val="both"/>
      </w:pPr>
      <w:r>
        <w:t>The survey instrument was applied to collect the participants’ profiles, the contextual data and to operationalise the VRIO model.  The instrument was developed to capture data from the two distinctive groups (the parent organisation and the 27 partner organisations) and was divided into two sections.  Section one was designed to collect general demographic data about the participants and the organisation they represent, and their project management knowledge, experience and role within the organisation.  Section two was developed by integrating Mathur et al</w:t>
      </w:r>
      <w:r>
        <w:rPr>
          <w:i/>
        </w:rPr>
        <w:t>.</w:t>
      </w:r>
      <w:r>
        <w:t xml:space="preserve"> (2013, 2014) pre-existing questionnaire based on project management assets, processes and practices and the VIRO framework. In total, there were eight constructs.  The first three constructs aligned to ‘valuable’, ‘rareness’ and ‘inimitability’ (each with 12 items), followed by three constructs aligned to ‘organisational support’ (3 items, 3 items and 6 items respectfully), with a final two constructs aligned to project and firm performance each with 6 </w:t>
      </w:r>
      <w:r>
        <w:lastRenderedPageBreak/>
        <w:t>items).  The VRIO aligned constructs were the independent variables, whereas the two performance constructs were the dependent variables.</w:t>
      </w:r>
    </w:p>
    <w:p w14:paraId="261B705A" w14:textId="77777777" w:rsidR="005D5B0A" w:rsidRDefault="00A73EE7">
      <w:pPr>
        <w:spacing w:line="480" w:lineRule="auto"/>
        <w:ind w:firstLine="720"/>
        <w:jc w:val="both"/>
      </w:pPr>
      <w:r>
        <w:t xml:space="preserve">Prior to conducting factor analysis, tests of normality and scale reliability were performed. Normality tests were conducted and though in general returned reasonable normal distribution, some variables demonstrated varying degrees of positive and negative skewness and kurtosis. </w:t>
      </w:r>
      <w:proofErr w:type="spellStart"/>
      <w:r>
        <w:t>Tabachnick</w:t>
      </w:r>
      <w:proofErr w:type="spellEnd"/>
      <w:r>
        <w:t xml:space="preserve"> and </w:t>
      </w:r>
      <w:proofErr w:type="spellStart"/>
      <w:r>
        <w:t>Fidell</w:t>
      </w:r>
      <w:proofErr w:type="spellEnd"/>
      <w:r>
        <w:t xml:space="preserve"> (2013) provide a reasoned argument for the transformation of variables to enable parametric tests across all variables. Several variables returned a number of outliners, however comparison of the respective variable x̅ with the 5% trimmed x̅ was acceptable and therefore no manipulation of variables was necessary.</w:t>
      </w:r>
    </w:p>
    <w:p w14:paraId="05B1F89A" w14:textId="77777777" w:rsidR="005D5B0A" w:rsidRDefault="00A73EE7">
      <w:pPr>
        <w:spacing w:line="480" w:lineRule="auto"/>
        <w:ind w:firstLine="720"/>
        <w:jc w:val="both"/>
      </w:pPr>
      <w:r>
        <w:t xml:space="preserve">Results from reliability tests across 8 ordinal scale variables returned Cronbach’s Alpha score of between .863 and .956, (VRIO value α = .956; VRIO rareness α = .901; VRIO Imitable α = .946; Organisation Support Alignment α = .949; Organisation Support Integration α = .953; Organisation Support Communication α = .863; Project Performance α = .95; Firm Performance α = .955) which is similar with Mathur </w:t>
      </w:r>
      <w:r>
        <w:rPr>
          <w:i/>
        </w:rPr>
        <w:t>et al.</w:t>
      </w:r>
      <w:r>
        <w:t xml:space="preserve"> (2013, 2014) exploratory factor analysis study. </w:t>
      </w:r>
    </w:p>
    <w:p w14:paraId="179ADF80" w14:textId="3925015B" w:rsidR="005D5B0A" w:rsidRDefault="00A73EE7">
      <w:pPr>
        <w:spacing w:line="480" w:lineRule="auto"/>
        <w:ind w:firstLine="720"/>
        <w:jc w:val="both"/>
      </w:pPr>
      <w:r>
        <w:t xml:space="preserve">Distribution of the survey was based on separate sampling rationales.  For the parent organisation, specific criteria were used to select respondents based on a defined project management responsibility either explicit in job description or as a wider expectation of current role: n=48.  Whereas, for the partner organisations, all delegates attending a project management awareness training session were identified: n=50 delegates from n=26 organisations. A return rate of 71.4% (n=26, 54.2 % parent; n=44, 88% partner) fully completed and returned the questionnaire. In total, n=70 valid completed questionnaires were returned, which is considered a good response rate for small sample size between &gt;50 but &lt;100, points out Stevens (2002). Table 1 summarises information extracted from frequency counts, mean </w:t>
      </w:r>
      <w:r w:rsidR="008A2CAD">
        <w:lastRenderedPageBreak/>
        <w:t>§</w:t>
      </w:r>
      <w:r>
        <w:t>and standard deviation across the collective local authority (LA) group and the two disparate groups.</w:t>
      </w:r>
    </w:p>
    <w:p w14:paraId="2B7CE3C7" w14:textId="05E31259" w:rsidR="005D5B0A" w:rsidRDefault="008A2CAD" w:rsidP="008A2CAD">
      <w:pPr>
        <w:spacing w:line="360" w:lineRule="auto"/>
        <w:jc w:val="center"/>
      </w:pPr>
      <w:r>
        <w:t>--------------------------------</w:t>
      </w:r>
    </w:p>
    <w:p w14:paraId="49C52FF3" w14:textId="74A1F6ED" w:rsidR="008A2CAD" w:rsidRDefault="008A2CAD" w:rsidP="008A2CAD">
      <w:pPr>
        <w:spacing w:line="360" w:lineRule="auto"/>
        <w:jc w:val="center"/>
      </w:pPr>
      <w:r>
        <w:t>Insert Table 1 about here</w:t>
      </w:r>
    </w:p>
    <w:p w14:paraId="02B27C11" w14:textId="77777777" w:rsidR="008A2CAD" w:rsidRDefault="008A2CAD" w:rsidP="008A2CAD">
      <w:pPr>
        <w:spacing w:line="360" w:lineRule="auto"/>
        <w:jc w:val="center"/>
      </w:pPr>
      <w:r>
        <w:t>--------------------------------</w:t>
      </w:r>
    </w:p>
    <w:p w14:paraId="42B5D4CC" w14:textId="77777777" w:rsidR="005D5B0A" w:rsidRDefault="005D5B0A">
      <w:pPr>
        <w:spacing w:line="360" w:lineRule="auto"/>
        <w:jc w:val="both"/>
        <w:rPr>
          <w:i/>
        </w:rPr>
      </w:pPr>
    </w:p>
    <w:p w14:paraId="54B17A10" w14:textId="77777777" w:rsidR="005D5B0A" w:rsidRDefault="00A73EE7">
      <w:pPr>
        <w:spacing w:line="480" w:lineRule="auto"/>
        <w:jc w:val="both"/>
      </w:pPr>
      <w:r>
        <w:t xml:space="preserve">IBMSPSSv.22 was used to analyse the data.  Section one items (participant profile and organisation context) was a selection of descriptive nominal, numerical interval continuous, numerical internal discrete, and descriptive dichotomous. Whereas section two (VRIO, project and firm performance, and project management maturity constructs) were ranked ordinal items based on Likert Scales (the constructs of ‘value’, ‘rareness’, ‘inimitableness’, ‘organisational support’ and the two constructs for project and firm level performance’ consisted of a 7-point Likert scale; based on the P3M3 Project Management Maturity Model (Sowden </w:t>
      </w:r>
      <w:r>
        <w:rPr>
          <w:i/>
        </w:rPr>
        <w:t>et al.</w:t>
      </w:r>
      <w:r>
        <w:t xml:space="preserve"> 2008), the project management maturity construct consists of a 5-point Likert scale.  Factor analysis was conducted to identify and resulted in the identification of eleven factors across the three meta-level themes. Having identified the factors we constructed four relational independent-dependant models, in which the meta-level of ‘organisational support’ is either an independent variable along with (VRI) assets, or a moderating variable impacting on (VRI) assets.  In either model, organisational support is an influencing factor in the dependent variables of the project and firm performance. Thus, linear and hierarchical regression was conducted to determine the predictive value of each of the VRIO elements on the dependent variables of the project and firm performance.  </w:t>
      </w:r>
    </w:p>
    <w:p w14:paraId="37A49D7E" w14:textId="77777777" w:rsidR="005D5B0A" w:rsidRDefault="005D5B0A">
      <w:pPr>
        <w:spacing w:line="480" w:lineRule="auto"/>
        <w:jc w:val="both"/>
      </w:pPr>
    </w:p>
    <w:p w14:paraId="413AB0E8" w14:textId="77777777" w:rsidR="005D5B0A" w:rsidRDefault="00A73EE7">
      <w:pPr>
        <w:numPr>
          <w:ilvl w:val="0"/>
          <w:numId w:val="3"/>
        </w:numPr>
        <w:pBdr>
          <w:top w:val="nil"/>
          <w:left w:val="nil"/>
          <w:bottom w:val="nil"/>
          <w:right w:val="nil"/>
          <w:between w:val="nil"/>
        </w:pBdr>
        <w:spacing w:line="480" w:lineRule="auto"/>
        <w:rPr>
          <w:b/>
          <w:color w:val="000000"/>
        </w:rPr>
      </w:pPr>
      <w:r>
        <w:rPr>
          <w:b/>
          <w:color w:val="000000"/>
        </w:rPr>
        <w:t>Findings -</w:t>
      </w:r>
      <w:r>
        <w:rPr>
          <w:rFonts w:ascii="Calibri" w:eastAsia="Calibri" w:hAnsi="Calibri" w:cs="Calibri"/>
          <w:color w:val="000000"/>
          <w:sz w:val="22"/>
          <w:szCs w:val="22"/>
        </w:rPr>
        <w:t xml:space="preserve"> </w:t>
      </w:r>
      <w:r>
        <w:rPr>
          <w:b/>
          <w:color w:val="000000"/>
        </w:rPr>
        <w:t>Survey Analysis</w:t>
      </w:r>
    </w:p>
    <w:p w14:paraId="03A18EB9" w14:textId="77777777" w:rsidR="005D5B0A" w:rsidRDefault="00A73EE7">
      <w:pPr>
        <w:numPr>
          <w:ilvl w:val="1"/>
          <w:numId w:val="3"/>
        </w:numPr>
        <w:pBdr>
          <w:top w:val="nil"/>
          <w:left w:val="nil"/>
          <w:bottom w:val="nil"/>
          <w:right w:val="nil"/>
          <w:between w:val="nil"/>
        </w:pBdr>
        <w:spacing w:line="480" w:lineRule="auto"/>
        <w:rPr>
          <w:b/>
          <w:i/>
          <w:color w:val="000000"/>
        </w:rPr>
      </w:pPr>
      <w:r>
        <w:rPr>
          <w:b/>
          <w:i/>
          <w:color w:val="000000"/>
        </w:rPr>
        <w:t>The study models</w:t>
      </w:r>
    </w:p>
    <w:p w14:paraId="67ED0BE6" w14:textId="77777777" w:rsidR="005D5B0A" w:rsidRDefault="00A73EE7">
      <w:pPr>
        <w:spacing w:line="480" w:lineRule="auto"/>
        <w:jc w:val="both"/>
      </w:pPr>
      <w:r>
        <w:lastRenderedPageBreak/>
        <w:t>Factor analysis across the VRIO framework was carried out in order to identify the best-fit parsimonious solution (</w:t>
      </w:r>
      <w:proofErr w:type="spellStart"/>
      <w:r>
        <w:t>Pallant</w:t>
      </w:r>
      <w:proofErr w:type="spellEnd"/>
      <w:r>
        <w:t xml:space="preserve">, 2013) and resulted in the identification of eleven factors across the three meta-level themes: </w:t>
      </w:r>
      <w:proofErr w:type="spellStart"/>
      <w:r>
        <w:t>i</w:t>
      </w:r>
      <w:proofErr w:type="spellEnd"/>
      <w:r>
        <w:t>) valuable, rare and imitable (VRI) project management assets; ii) organisational support; and, iii) project and firm performance, confirming with Mathur et al</w:t>
      </w:r>
      <w:r>
        <w:rPr>
          <w:i/>
        </w:rPr>
        <w:t>.</w:t>
      </w:r>
      <w:r>
        <w:t xml:space="preserve"> (2014) in their North American PMI exploratory factor analysis study. The factor analysis reduction techniques identified the specific endowment of project management assets that loaded onto eleven factors, which enabled the development of two literature-based empirical models. Figure 1 presents the first model, which suggests that all VRIO characteristics (value, rare, imitable and organisational support) are independent variables, and the two performance characteristics are the dependent variables. It assumes that all VRIO conditions must be satisfied (Barney 1991) before these predictor variables (VRIO) cause a change in the outcome variables (project or firm-level performance). Whereas the second model, illustrated in Figure 2, suggests that whilst the VRI characteristics (value, rare and imitable) are the predictor variables, organisational support acts as a moderating variable (</w:t>
      </w:r>
      <w:proofErr w:type="spellStart"/>
      <w:r>
        <w:t>Jugdev</w:t>
      </w:r>
      <w:proofErr w:type="spellEnd"/>
      <w:r>
        <w:t xml:space="preserve"> et al., 2011) on the VRI characteristics, and thus may further moderate a change in the outcome variables (project and firm-level performance).  </w:t>
      </w:r>
    </w:p>
    <w:p w14:paraId="0BEE5558" w14:textId="77777777" w:rsidR="005D5B0A" w:rsidRDefault="005D5B0A">
      <w:pPr>
        <w:spacing w:line="360" w:lineRule="auto"/>
      </w:pPr>
    </w:p>
    <w:p w14:paraId="60424C6E" w14:textId="77777777" w:rsidR="008A2CAD" w:rsidRDefault="008A2CAD" w:rsidP="008A2CAD">
      <w:pPr>
        <w:spacing w:line="360" w:lineRule="auto"/>
        <w:jc w:val="center"/>
      </w:pPr>
      <w:r>
        <w:t>--------------------------------</w:t>
      </w:r>
    </w:p>
    <w:p w14:paraId="6A7AF4A5" w14:textId="2FB29968" w:rsidR="008A2CAD" w:rsidRDefault="008A2CAD" w:rsidP="008A2CAD">
      <w:pPr>
        <w:spacing w:line="360" w:lineRule="auto"/>
        <w:jc w:val="center"/>
      </w:pPr>
      <w:r>
        <w:t>Insert Figure 1 about here</w:t>
      </w:r>
    </w:p>
    <w:p w14:paraId="0A08523C" w14:textId="77777777" w:rsidR="008A2CAD" w:rsidRDefault="008A2CAD" w:rsidP="008A2CAD">
      <w:pPr>
        <w:spacing w:line="360" w:lineRule="auto"/>
        <w:jc w:val="center"/>
      </w:pPr>
      <w:r>
        <w:t>--------------------------------</w:t>
      </w:r>
    </w:p>
    <w:p w14:paraId="18CFE7E4" w14:textId="77777777" w:rsidR="008A2CAD" w:rsidRDefault="008A2CAD" w:rsidP="008A2CAD">
      <w:pPr>
        <w:spacing w:line="360" w:lineRule="auto"/>
        <w:jc w:val="center"/>
      </w:pPr>
    </w:p>
    <w:p w14:paraId="28477B7E" w14:textId="5989DC29" w:rsidR="008A2CAD" w:rsidRDefault="008A2CAD" w:rsidP="008A2CAD">
      <w:pPr>
        <w:spacing w:line="360" w:lineRule="auto"/>
        <w:jc w:val="center"/>
      </w:pPr>
      <w:r>
        <w:t>--------------------------------</w:t>
      </w:r>
    </w:p>
    <w:p w14:paraId="595954F5" w14:textId="6AC6623B" w:rsidR="008A2CAD" w:rsidRDefault="008A2CAD" w:rsidP="008A2CAD">
      <w:pPr>
        <w:spacing w:line="360" w:lineRule="auto"/>
        <w:jc w:val="center"/>
      </w:pPr>
      <w:r>
        <w:t>Insert Figure 2 about here</w:t>
      </w:r>
    </w:p>
    <w:p w14:paraId="531D2015" w14:textId="77777777" w:rsidR="008A2CAD" w:rsidRDefault="008A2CAD" w:rsidP="008A2CAD">
      <w:pPr>
        <w:spacing w:line="360" w:lineRule="auto"/>
        <w:jc w:val="center"/>
      </w:pPr>
      <w:r>
        <w:t>--------------------------------</w:t>
      </w:r>
    </w:p>
    <w:p w14:paraId="1F64A0BE" w14:textId="77777777" w:rsidR="008A2CAD" w:rsidRDefault="008A2CAD" w:rsidP="008A2CAD">
      <w:pPr>
        <w:spacing w:line="360" w:lineRule="auto"/>
      </w:pPr>
    </w:p>
    <w:p w14:paraId="78D0CABF" w14:textId="77777777" w:rsidR="005D5B0A" w:rsidRDefault="00A73EE7">
      <w:pPr>
        <w:numPr>
          <w:ilvl w:val="1"/>
          <w:numId w:val="3"/>
        </w:numPr>
        <w:pBdr>
          <w:top w:val="nil"/>
          <w:left w:val="nil"/>
          <w:bottom w:val="nil"/>
          <w:right w:val="nil"/>
          <w:between w:val="nil"/>
        </w:pBdr>
        <w:spacing w:line="480" w:lineRule="auto"/>
        <w:rPr>
          <w:b/>
          <w:i/>
          <w:color w:val="000000"/>
        </w:rPr>
      </w:pPr>
      <w:r>
        <w:rPr>
          <w:b/>
          <w:i/>
          <w:color w:val="000000"/>
        </w:rPr>
        <w:t>The study variables</w:t>
      </w:r>
    </w:p>
    <w:p w14:paraId="5E73E999" w14:textId="61534129" w:rsidR="005D5B0A" w:rsidRDefault="00A73EE7">
      <w:pPr>
        <w:spacing w:line="480" w:lineRule="auto"/>
        <w:jc w:val="both"/>
      </w:pPr>
      <w:r>
        <w:t xml:space="preserve">Initially, multiple linear regression analysis was conducted to determine the relationships between single factors across the four VRIO themes and each of the two dependent variables </w:t>
      </w:r>
      <w:r>
        <w:lastRenderedPageBreak/>
        <w:t>of project performance and firm performance. The quantitative analysis contains 11 variables, which are presented in Table 2. The two dependent variables (1-2) are Project Performance (PP) and Firm Performance (FP). Variables 3-11 are the independent variables for this study. Table 2 also presents key descriptive statistics: means, standard deviations and correlations between the study variables. No concerns are raised regarding common method variance or multi-collinearity issues regarding the specific variables in the data set.</w:t>
      </w:r>
    </w:p>
    <w:p w14:paraId="51C33CC7" w14:textId="77777777" w:rsidR="008A2CAD" w:rsidRDefault="008A2CAD" w:rsidP="008A2CAD">
      <w:pPr>
        <w:spacing w:line="360" w:lineRule="auto"/>
        <w:jc w:val="center"/>
      </w:pPr>
      <w:r>
        <w:t>--------------------------------</w:t>
      </w:r>
    </w:p>
    <w:p w14:paraId="49FF6E51" w14:textId="49FE19B4" w:rsidR="008A2CAD" w:rsidRDefault="008A2CAD" w:rsidP="008A2CAD">
      <w:pPr>
        <w:spacing w:line="360" w:lineRule="auto"/>
        <w:jc w:val="center"/>
      </w:pPr>
      <w:r>
        <w:t>Insert Table 2 about here</w:t>
      </w:r>
    </w:p>
    <w:p w14:paraId="6737F2F7" w14:textId="77777777" w:rsidR="008A2CAD" w:rsidRDefault="008A2CAD" w:rsidP="008A2CAD">
      <w:pPr>
        <w:spacing w:line="360" w:lineRule="auto"/>
        <w:jc w:val="center"/>
      </w:pPr>
      <w:r>
        <w:t>--------------------------------</w:t>
      </w:r>
    </w:p>
    <w:p w14:paraId="58425ABF" w14:textId="77777777" w:rsidR="005D5B0A" w:rsidRDefault="005D5B0A">
      <w:pPr>
        <w:spacing w:line="360" w:lineRule="auto"/>
        <w:rPr>
          <w:sz w:val="20"/>
          <w:szCs w:val="20"/>
        </w:rPr>
      </w:pPr>
    </w:p>
    <w:p w14:paraId="04A037F8" w14:textId="77777777" w:rsidR="005D5B0A" w:rsidRDefault="00A73EE7">
      <w:pPr>
        <w:numPr>
          <w:ilvl w:val="1"/>
          <w:numId w:val="3"/>
        </w:numPr>
        <w:pBdr>
          <w:top w:val="nil"/>
          <w:left w:val="nil"/>
          <w:bottom w:val="nil"/>
          <w:right w:val="nil"/>
          <w:between w:val="nil"/>
        </w:pBdr>
        <w:spacing w:line="480" w:lineRule="auto"/>
        <w:rPr>
          <w:b/>
          <w:i/>
          <w:color w:val="000000"/>
        </w:rPr>
      </w:pPr>
      <w:r>
        <w:rPr>
          <w:b/>
          <w:i/>
          <w:color w:val="000000"/>
        </w:rPr>
        <w:t>Multiple Regression Analysis Results and Empirical Models</w:t>
      </w:r>
    </w:p>
    <w:p w14:paraId="118FCBC3" w14:textId="77777777" w:rsidR="005D5B0A" w:rsidRDefault="00A73EE7">
      <w:pPr>
        <w:spacing w:line="480" w:lineRule="auto"/>
        <w:jc w:val="both"/>
      </w:pPr>
      <w:r>
        <w:t>Multiple linear regression analysis was first conducted to identify the degree of contribution between the organisational support, valuable; rareness; and imitable factors and the two performance-dependent variables of the project and firm performance level factor; and the significance of each factor.</w:t>
      </w:r>
    </w:p>
    <w:p w14:paraId="5488A0D3" w14:textId="77777777" w:rsidR="005D5B0A" w:rsidRDefault="00A73EE7">
      <w:pPr>
        <w:spacing w:line="480" w:lineRule="auto"/>
        <w:jc w:val="both"/>
        <w:rPr>
          <w:color w:val="000000"/>
        </w:rPr>
      </w:pPr>
      <w:r>
        <w:tab/>
        <w:t>Looking first at Project Performance: organisational support processes and practices explain 48.6%, valuable assets explained 20.4%, rare assets explained 1.1%, and imitable assets explained 20.9% of the variance in project performance. The most significant predictors of Project Performance are Project Management Integration (OS1), Project Management Alignment (OS2), Project Management Communications (OS3), Knowledge-Based Process (V2) and Embedded Intangible Assets (I1).  Whilst Formal Project Management Knowledge (R1) appears to be a negative predictor and thus is not significant.</w:t>
      </w:r>
      <w:r>
        <w:tab/>
      </w:r>
      <w:r>
        <w:rPr>
          <w:color w:val="000000"/>
        </w:rPr>
        <w:t xml:space="preserve">Looking at Firm Performance: organisational support assets explained 56.5%, valuable assets explained 5.5%, rare assets explained 4.9% and imitable assets explained 25.7% of the variance in performance. The most significant predictors of Firm Performance are Project Management Integration (OS1), Project Management Alignment (OS2) and Embedded Assets (I1).  Whilst Impart </w:t>
      </w:r>
      <w:r>
        <w:rPr>
          <w:color w:val="000000"/>
        </w:rPr>
        <w:lastRenderedPageBreak/>
        <w:t xml:space="preserve">Project Management Knowledge (V1) and Development of Individual Intangible Knowledge (R2) appear to be a negative predictor and thus are not significant.  </w:t>
      </w:r>
    </w:p>
    <w:p w14:paraId="188EA635" w14:textId="77777777" w:rsidR="005D5B0A" w:rsidRDefault="005D5B0A">
      <w:pPr>
        <w:spacing w:line="480" w:lineRule="auto"/>
        <w:rPr>
          <w:i/>
        </w:rPr>
      </w:pPr>
    </w:p>
    <w:p w14:paraId="338AF3C8" w14:textId="77777777" w:rsidR="005D5B0A" w:rsidRDefault="00A73EE7">
      <w:pPr>
        <w:numPr>
          <w:ilvl w:val="1"/>
          <w:numId w:val="3"/>
        </w:numPr>
        <w:pBdr>
          <w:top w:val="nil"/>
          <w:left w:val="nil"/>
          <w:bottom w:val="nil"/>
          <w:right w:val="nil"/>
          <w:between w:val="nil"/>
        </w:pBdr>
        <w:spacing w:line="480" w:lineRule="auto"/>
        <w:rPr>
          <w:b/>
          <w:i/>
          <w:color w:val="000000"/>
        </w:rPr>
      </w:pPr>
      <w:r>
        <w:rPr>
          <w:b/>
          <w:i/>
          <w:color w:val="000000"/>
        </w:rPr>
        <w:t>Hierarchical Regression Analysis</w:t>
      </w:r>
    </w:p>
    <w:p w14:paraId="74B6FFCB" w14:textId="77777777" w:rsidR="005D5B0A" w:rsidRDefault="00A73EE7">
      <w:pPr>
        <w:spacing w:line="480" w:lineRule="auto"/>
        <w:jc w:val="both"/>
      </w:pPr>
      <w:r>
        <w:t xml:space="preserve">First looking at Project Performance, it is observed that collectively OS, V, R, I explain 56.9% of the variance of the dependant variable PP. With assets that are organisationally supported explaining 48.6% of the variance, assets that are valuable and organisationally supported explain a further 5.4%.  Rare assets controlled by organisational support and valuable add an additional 0.2% of the variance. Finally, imitable assets controlling organisational support, valuable and rare explain a further 2.7% of the variance. The only significant predictors of Project Performance are Project Management Integration (OS1) and Project Management Alignment (OS2), whilst model 1 is the best fit parsimonious model contributing .486 of the total </w:t>
      </w:r>
      <w:proofErr w:type="gramStart"/>
      <w:r>
        <w:t>variance</w:t>
      </w:r>
      <w:proofErr w:type="gramEnd"/>
      <w:r>
        <w:t>.</w:t>
      </w:r>
    </w:p>
    <w:p w14:paraId="2B7FFB2B" w14:textId="77777777" w:rsidR="005D5B0A" w:rsidRDefault="00A73EE7">
      <w:pPr>
        <w:spacing w:line="480" w:lineRule="auto"/>
        <w:jc w:val="both"/>
      </w:pPr>
      <w:r>
        <w:tab/>
        <w:t xml:space="preserve">This illustrates the individual R2 contributions for the VRIO characteristic Organisational Support, and the total R2 these significant factors contribute to firm performance level.  When moderated by organisational support there is no additional explained variance to Project Performance from valuable, rare, and imitable factors. A possible explanation is that though local authorities individually (parent, partner) may have a history of strategy design and implementation based on a sound foundation and practical experience of wider management integration and alignment, they are unconscious of the notion of competitive advantage from the exploitation of strategic assets. Thus, they may have an ambivalent attitude towards project management as a strategic discipline, although the parent organisation has recognised the value of project management and is developing its project management assets and associated processes and practices.  </w:t>
      </w:r>
    </w:p>
    <w:p w14:paraId="67D3742A" w14:textId="77777777" w:rsidR="005D5B0A" w:rsidRDefault="00A73EE7">
      <w:pPr>
        <w:spacing w:line="480" w:lineRule="auto"/>
        <w:jc w:val="both"/>
      </w:pPr>
      <w:r>
        <w:lastRenderedPageBreak/>
        <w:tab/>
        <w:t xml:space="preserve">Looking at Firm Performance: it is observed that collectively OS, V, R, I explained 64.2% of the variance of the dependant variable FP. With assets that are organisationally supported explaining 56.5% of the variance, assets that are valuable and organisationally supported explain a further 0.1%.  Rare assets controlled by organisational support and valuable add an additional 2.2% of the variance. Finally, imitable assets controlling organisational support, valuable and rare explain a further 5.4% of the variance. The most significant predictors of Project Performance are Project Management Integration (OS1) Project Management Alignment (OS2) and Embedded Assets (I1), whilst model 4 is the best fit parsimonious model contributing .642 of the total </w:t>
      </w:r>
      <w:proofErr w:type="gramStart"/>
      <w:r>
        <w:t>variance</w:t>
      </w:r>
      <w:proofErr w:type="gramEnd"/>
      <w:r>
        <w:t xml:space="preserve">. </w:t>
      </w:r>
    </w:p>
    <w:p w14:paraId="361C5D67" w14:textId="77777777" w:rsidR="005D5B0A" w:rsidRDefault="00A73EE7">
      <w:pPr>
        <w:spacing w:line="480" w:lineRule="auto"/>
        <w:ind w:firstLine="720"/>
        <w:jc w:val="both"/>
      </w:pPr>
      <w:r>
        <w:t xml:space="preserve">Whilst model [4] illustrates the individual R2 contributions for all VRIO characteristics, only Embedded Assets (I1), Project Integration (OS1) and Project Alignment (OS2) are significant factors likely to indicate the firm-level performance.  When moderated by organisational support the contribution of variance from valuable and rare assets are at best minimal, however, imitable embedded assets (methodologies, shadowing, templates, implicit knowledge and mentoring) suggest that the Social Impact Scheme have routines and relationships in place aligned and integrated to achieve stated mission, aims and objectives.  </w:t>
      </w:r>
    </w:p>
    <w:p w14:paraId="793812B4" w14:textId="77777777" w:rsidR="005D5B0A" w:rsidRDefault="005D5B0A">
      <w:pPr>
        <w:spacing w:line="480" w:lineRule="auto"/>
      </w:pPr>
    </w:p>
    <w:p w14:paraId="77327EDF" w14:textId="77777777" w:rsidR="005D5B0A" w:rsidRDefault="00A73EE7">
      <w:pPr>
        <w:numPr>
          <w:ilvl w:val="0"/>
          <w:numId w:val="3"/>
        </w:numPr>
        <w:pBdr>
          <w:top w:val="nil"/>
          <w:left w:val="nil"/>
          <w:bottom w:val="nil"/>
          <w:right w:val="nil"/>
          <w:between w:val="nil"/>
        </w:pBdr>
        <w:spacing w:line="480" w:lineRule="auto"/>
        <w:rPr>
          <w:b/>
          <w:color w:val="000000"/>
        </w:rPr>
      </w:pPr>
      <w:r>
        <w:rPr>
          <w:b/>
          <w:color w:val="000000"/>
        </w:rPr>
        <w:t xml:space="preserve">Discussion </w:t>
      </w:r>
    </w:p>
    <w:p w14:paraId="673A1809" w14:textId="77777777" w:rsidR="005D5B0A" w:rsidRDefault="00A73EE7">
      <w:pPr>
        <w:spacing w:line="480" w:lineRule="auto"/>
        <w:ind w:left="360"/>
        <w:rPr>
          <w:b/>
          <w:i/>
        </w:rPr>
      </w:pPr>
      <w:r>
        <w:rPr>
          <w:b/>
          <w:i/>
        </w:rPr>
        <w:t xml:space="preserve">5.1 RQ1: Which project management asset endowments are valuable, rare, imitable and organisationally supported across local authorities?  </w:t>
      </w:r>
    </w:p>
    <w:p w14:paraId="3AB9082E" w14:textId="1FB185A3" w:rsidR="005D5B0A" w:rsidRDefault="00A73EE7">
      <w:pPr>
        <w:spacing w:line="480" w:lineRule="auto"/>
        <w:jc w:val="both"/>
      </w:pPr>
      <w:r>
        <w:t xml:space="preserve">The traditional LA third-sector grant dependant model is no longer viable. Both LA and third-sector organisations are compelled to become more financially and operationally sustainable, whilst facing competitive challenges from other LA, community groups as well as from for-profit organisations. If the parent LA and their collaborating third-sector partners are to become sustainable and secure funding and other resources, they need to acquire innovative capabilities </w:t>
      </w:r>
      <w:r>
        <w:lastRenderedPageBreak/>
        <w:t>and develop effective relationships (</w:t>
      </w:r>
      <w:proofErr w:type="spellStart"/>
      <w:r>
        <w:t>Kobarg</w:t>
      </w:r>
      <w:proofErr w:type="spellEnd"/>
      <w:r>
        <w:t xml:space="preserve"> et al., 2019; </w:t>
      </w:r>
      <w:proofErr w:type="spellStart"/>
      <w:r>
        <w:t>Hjelmar</w:t>
      </w:r>
      <w:proofErr w:type="spellEnd"/>
      <w:r>
        <w:t>, 2019; Genovese et al., 2020; Williams et al., 2020; Bonomi et al., 2020</w:t>
      </w:r>
      <w:r w:rsidR="00992DB3">
        <w:t>; Azizi et al., 2021</w:t>
      </w:r>
      <w:r>
        <w:t>). This is going to be even more critical, as we move into the post Covid-19 pandemic period (Lee &amp; Chen 2021). Our interpretation of the findings suggests that one such opportunity is the acknowledgement, development, deployment and exploitation of certain project management assets and associated processes and practices. This is in line with Goldstein and Kearney’s (2020) results that show the criticality and the impact on the performance of active project management in public research funding programmes.</w:t>
      </w:r>
    </w:p>
    <w:p w14:paraId="677BB0AA" w14:textId="77777777" w:rsidR="005D5B0A" w:rsidRDefault="00A73EE7">
      <w:pPr>
        <w:spacing w:line="480" w:lineRule="auto"/>
        <w:ind w:firstLine="720"/>
        <w:jc w:val="both"/>
      </w:pPr>
      <w:r>
        <w:t xml:space="preserve">The endowment of project management assets relevant for this research are both tangible and intangible in nature and include specific explicit and tacit type assets: printed materials, databases, hardware, software, methodologies, shadowing, templates, personal contacts, explicit knowledge, project management office, implicit/tacit knowledge, mentoring (Nishimura &amp; </w:t>
      </w:r>
      <w:proofErr w:type="spellStart"/>
      <w:r>
        <w:t>Okamuro</w:t>
      </w:r>
      <w:proofErr w:type="spellEnd"/>
      <w:r>
        <w:t xml:space="preserve">, 2018; Davies et al., 2018).  Table 3 presents the project management asset endowments that are valuable, rare, and imitable across the LA. </w:t>
      </w:r>
    </w:p>
    <w:p w14:paraId="0F354F70" w14:textId="33CA403A" w:rsidR="005D5B0A" w:rsidRDefault="005D5B0A">
      <w:pPr>
        <w:spacing w:line="480" w:lineRule="auto"/>
        <w:ind w:firstLine="720"/>
        <w:jc w:val="both"/>
      </w:pPr>
    </w:p>
    <w:p w14:paraId="5EDEA613" w14:textId="77777777" w:rsidR="008A2CAD" w:rsidRDefault="008A2CAD" w:rsidP="008A2CAD">
      <w:pPr>
        <w:spacing w:line="360" w:lineRule="auto"/>
        <w:jc w:val="center"/>
      </w:pPr>
      <w:r>
        <w:t>--------------------------------</w:t>
      </w:r>
    </w:p>
    <w:p w14:paraId="1E961187" w14:textId="77777777" w:rsidR="008A2CAD" w:rsidRDefault="008A2CAD" w:rsidP="008A2CAD">
      <w:pPr>
        <w:spacing w:line="360" w:lineRule="auto"/>
        <w:jc w:val="center"/>
      </w:pPr>
      <w:r>
        <w:t>Insert Table 2 about here</w:t>
      </w:r>
    </w:p>
    <w:p w14:paraId="7E2B2DB9" w14:textId="77777777" w:rsidR="008A2CAD" w:rsidRDefault="008A2CAD" w:rsidP="008A2CAD">
      <w:pPr>
        <w:spacing w:line="360" w:lineRule="auto"/>
        <w:jc w:val="center"/>
      </w:pPr>
      <w:r>
        <w:t>--------------------------------</w:t>
      </w:r>
    </w:p>
    <w:p w14:paraId="710EC669" w14:textId="77777777" w:rsidR="008A2CAD" w:rsidRDefault="008A2CAD">
      <w:pPr>
        <w:spacing w:line="480" w:lineRule="auto"/>
        <w:ind w:firstLine="720"/>
        <w:jc w:val="both"/>
      </w:pPr>
    </w:p>
    <w:p w14:paraId="32D38B53" w14:textId="77777777" w:rsidR="005D5B0A" w:rsidRDefault="00A73EE7">
      <w:pPr>
        <w:spacing w:line="480" w:lineRule="auto"/>
        <w:ind w:firstLine="720"/>
        <w:jc w:val="both"/>
      </w:pPr>
      <w:r>
        <w:t xml:space="preserve">The VRIO analysis identified the endowment of assets that have the potential of leveraging some degree of competitive advantage and significant innovation (Arundel et al.,2019). Though tangible assets are necessary and offer some degree of competitive advantage it is the intangible assets, which are more likely to satisfy the VRIO conditions and offer sustained competitive advantage (Barney, 1991; Spender, 1996; Killen et al., 2012; </w:t>
      </w:r>
      <w:proofErr w:type="spellStart"/>
      <w:r>
        <w:t>Almarri</w:t>
      </w:r>
      <w:proofErr w:type="spellEnd"/>
      <w:r>
        <w:t xml:space="preserve"> &amp; Gardiner, 2014). This is due to their inherent difficulties to be imitated, as </w:t>
      </w:r>
      <w:proofErr w:type="spellStart"/>
      <w:r>
        <w:t>Hitt</w:t>
      </w:r>
      <w:proofErr w:type="spellEnd"/>
      <w:r>
        <w:t xml:space="preserve"> et al. (2016) contend in their challenge to interrelate RBV with other complementary meta-competences. </w:t>
      </w:r>
      <w:r>
        <w:lastRenderedPageBreak/>
        <w:t xml:space="preserve">However, the degree to which LA provide organisational support to endowments of project management assets, is a moderating factor, confirming </w:t>
      </w:r>
      <w:proofErr w:type="spellStart"/>
      <w:r>
        <w:t>Jugdev</w:t>
      </w:r>
      <w:proofErr w:type="spellEnd"/>
      <w:r>
        <w:t xml:space="preserve"> et al. (2011) contention that to fully exploit a firm’s resources and capabilities (in this study the project management function and its assets) requires a significant investment in organisational support (Barney &amp; Wright, 1998) particular project management processes and practices necessary to fully exploit the endowment of project management assets. Based on the analysis, the recognition of PMO is emerging as a significant asset when considered as a deliberate project management investment. In the post-2008 global financial crisis and post-Covid-19 pandemic public sector competitive funding paradigm, LA should consciously acknowledge, develop and deploy PMO in the early stages of start-up and implementation. However, resource constraints may prohibit dedicated PMO investment in all partner organisations. Thus, it is suggested that the parent organisation take the key role and coordinate PMO resources centrally, and whilst supporting the partners; individual partner organisations develop a pragmatic PMO role. </w:t>
      </w:r>
    </w:p>
    <w:p w14:paraId="7894C59E" w14:textId="77777777" w:rsidR="005D5B0A" w:rsidRDefault="00A73EE7">
      <w:pPr>
        <w:spacing w:line="480" w:lineRule="auto"/>
        <w:ind w:firstLine="720"/>
        <w:jc w:val="both"/>
      </w:pPr>
      <w:r>
        <w:t xml:space="preserve">Factor I1 refers to assets and processes, which are embedded in LA routines and relationships and are therefore hard for competitors to imitate. These include both tangible and intangible assets that are customised and bespoke to specific parent and partner organisations. Factor I2 refers to tangible assets, which embody codified knowledge that is, specific or proprietary and therefore difficult for competitors to copy. These include tangible formal processes, which gather accessible knowledge for sharing and dissemination. The key point is that this type of knowledge is explicit and codified (Polanyi, 1962), which is embedded in the organisation in forms that are easily taught or written down, akin to Spender’s (1996) objectifying knowledge type. Like the </w:t>
      </w:r>
      <w:proofErr w:type="spellStart"/>
      <w:r>
        <w:t>valueness</w:t>
      </w:r>
      <w:proofErr w:type="spellEnd"/>
      <w:r>
        <w:t xml:space="preserve"> and rareness analysis, there is evidence of poor inimitable awareness of why difficult to copy or imitate assets linked with providing a competitive advantage, though this relates more to the partner organisations. Once again, an explanation may be the notion that LA and their partner organisations believe they do not have </w:t>
      </w:r>
      <w:r>
        <w:lastRenderedPageBreak/>
        <w:t xml:space="preserve">competitors, and therefore are not aware of the relevance of developing valuable, rare and inimitable organisational assets.  </w:t>
      </w:r>
    </w:p>
    <w:p w14:paraId="7E6E2FC3" w14:textId="77777777" w:rsidR="005D5B0A" w:rsidRDefault="00A73EE7">
      <w:pPr>
        <w:spacing w:line="480" w:lineRule="auto"/>
        <w:ind w:firstLine="720"/>
        <w:jc w:val="both"/>
      </w:pPr>
      <w:r>
        <w:t xml:space="preserve">LA VRIO analysis identified the endowment of project management assets, which offer potential parity, and temporary and sustainable degrees of competitive advantage. However, contradicting Mathur et al. (2013, 2014) empirical investigations into professional project management practitioners, it was identified that the tangible codified assets (methodologies, templates and PMO) along with intangible assets (shadowing, personal contacts, implicit knowledge and mentoring) all satisfy the conditions of </w:t>
      </w:r>
      <w:proofErr w:type="spellStart"/>
      <w:r>
        <w:t>valueness</w:t>
      </w:r>
      <w:proofErr w:type="spellEnd"/>
      <w:r>
        <w:t xml:space="preserve">, rareness and inimitableness, and thus offer the greatest potential of sustaining competitive advantage.  </w:t>
      </w:r>
    </w:p>
    <w:p w14:paraId="642B454C" w14:textId="77777777" w:rsidR="005D5B0A" w:rsidRDefault="00A73EE7">
      <w:pPr>
        <w:spacing w:line="480" w:lineRule="auto"/>
        <w:ind w:firstLine="720"/>
        <w:jc w:val="both"/>
      </w:pPr>
      <w:r>
        <w:t xml:space="preserve">However, interpretation of the VRIO analysis identified two key outputs, which LA should consider when conceiving strategies for competitive advantage from project management assets and associated processes and practices. First, understanding how each project management asset contributes toward competitive advantage will support strategic decisions when apportioning resources for the deliberate investment in project management assets and associated processes and practices.  Second, the relationships between the factors, which comprise the acquired knowledge assets and the factor, including the facilitating process assets. Simply, in the LA context assets, which impart project management knowledge (V1), develop individual project management knowledge (R2) and, assets which are embedded in an organisation’s routines and relationships (I1) are associated with an individual acquiring project management knowledge. Whereas, assets, which document formal project management knowledge (R1) enable the facilitation of acquiring that project management knowledge.  Appreciation of these outputs and cognisance of the competitive environment will enable LA strategic managers to make informed decisions and allocation of resources when developing deliberate implementation and long-term strategies, which exploit project management assets </w:t>
      </w:r>
      <w:r>
        <w:lastRenderedPageBreak/>
        <w:t xml:space="preserve">and associated processes and practices for sustainable competitive advantage, as the developed conceptual model in Figure 3 below illustrates. </w:t>
      </w:r>
    </w:p>
    <w:p w14:paraId="6B0E5F61" w14:textId="400C7854" w:rsidR="005D5B0A" w:rsidRDefault="005D5B0A">
      <w:pPr>
        <w:spacing w:line="360" w:lineRule="auto"/>
      </w:pPr>
    </w:p>
    <w:p w14:paraId="40601C79" w14:textId="77777777" w:rsidR="008A2CAD" w:rsidRDefault="008A2CAD" w:rsidP="008A2CAD">
      <w:pPr>
        <w:spacing w:line="360" w:lineRule="auto"/>
        <w:jc w:val="center"/>
      </w:pPr>
      <w:r>
        <w:t>--------------------------------</w:t>
      </w:r>
    </w:p>
    <w:p w14:paraId="42311F1B" w14:textId="08C9C14E" w:rsidR="008A2CAD" w:rsidRDefault="008A2CAD" w:rsidP="008A2CAD">
      <w:pPr>
        <w:spacing w:line="360" w:lineRule="auto"/>
        <w:jc w:val="center"/>
      </w:pPr>
      <w:r>
        <w:t>Insert Figure 3 about here</w:t>
      </w:r>
    </w:p>
    <w:p w14:paraId="71831DC8" w14:textId="77777777" w:rsidR="008A2CAD" w:rsidRDefault="008A2CAD" w:rsidP="008A2CAD">
      <w:pPr>
        <w:spacing w:line="360" w:lineRule="auto"/>
        <w:jc w:val="center"/>
      </w:pPr>
      <w:r>
        <w:t>--------------------------------</w:t>
      </w:r>
    </w:p>
    <w:p w14:paraId="39710881" w14:textId="77777777" w:rsidR="008A2CAD" w:rsidRDefault="008A2CAD">
      <w:pPr>
        <w:spacing w:line="360" w:lineRule="auto"/>
      </w:pPr>
    </w:p>
    <w:p w14:paraId="7270C0FA" w14:textId="77777777" w:rsidR="005D5B0A" w:rsidRDefault="00A73EE7">
      <w:pPr>
        <w:spacing w:line="480" w:lineRule="auto"/>
        <w:ind w:firstLine="720"/>
        <w:jc w:val="both"/>
      </w:pPr>
      <w:r>
        <w:t xml:space="preserve">We demonstrate here how LA current accumulation of project management assets may provide ‘parity’, ‘temporary’ and ‘sustainable’ competitive advantage. Of specific relevance are the relationships between </w:t>
      </w:r>
      <w:proofErr w:type="spellStart"/>
      <w:r>
        <w:t>i</w:t>
      </w:r>
      <w:proofErr w:type="spellEnd"/>
      <w:r>
        <w:t xml:space="preserve">) the degree of competitive advantage; ii) the managerial associations for each VRIO factor; and iii) whether the factor assets are used to ‘acquire knowledge’ or ‘facilitating process’. </w:t>
      </w:r>
    </w:p>
    <w:p w14:paraId="6AA81A53" w14:textId="77777777" w:rsidR="005D5B0A" w:rsidRDefault="005D5B0A">
      <w:pPr>
        <w:spacing w:line="480" w:lineRule="auto"/>
      </w:pPr>
    </w:p>
    <w:p w14:paraId="4E06C462" w14:textId="77777777" w:rsidR="005D5B0A" w:rsidRDefault="00A73EE7">
      <w:pPr>
        <w:spacing w:line="480" w:lineRule="auto"/>
        <w:ind w:left="720"/>
        <w:rPr>
          <w:b/>
          <w:i/>
        </w:rPr>
      </w:pPr>
      <w:r>
        <w:rPr>
          <w:b/>
          <w:i/>
        </w:rPr>
        <w:t xml:space="preserve">5.2 RQ2: Which project management assets and organisationally supported processes and practices are more likely to indicate LA performance? </w:t>
      </w:r>
    </w:p>
    <w:p w14:paraId="74A8C275" w14:textId="77777777" w:rsidR="005D5B0A" w:rsidRDefault="00A73EE7">
      <w:pPr>
        <w:spacing w:line="480" w:lineRule="auto"/>
        <w:jc w:val="both"/>
      </w:pPr>
      <w:r>
        <w:t>Although traditional organisational performance is measured from the financial perspective (</w:t>
      </w:r>
      <w:proofErr w:type="spellStart"/>
      <w:r>
        <w:t>Newbert</w:t>
      </w:r>
      <w:proofErr w:type="spellEnd"/>
      <w:r>
        <w:t xml:space="preserve">, 2007), subjective non-financial performance indicators are equally important indicators when the impact is a key dynamic consideration, particular for the not-for-profit type organisations, like the collective LA and the individual parent and partner organisations (Killen et al., 2012; Nishimura &amp; </w:t>
      </w:r>
      <w:proofErr w:type="spellStart"/>
      <w:r>
        <w:t>Okamuro</w:t>
      </w:r>
      <w:proofErr w:type="spellEnd"/>
      <w:r>
        <w:t xml:space="preserve">, 2018; Lee &amp; Chen, 2021; Liu, 2021). Whilst financial and operational sustainability is a foremost objective for LA parent and partner organisations, ultimately LA’s overall objective is to deliver measurable impact from their collective endeavours specifically their projects. Whilst impact is difficult to define and measure LA need to integrate performance (Liu, 2021) from the outset, which aligns levels of performance with the design, development, deployment and exploitation of project management assets and organisationally supported processes and practices. This is particularly key in the early stages of the collaboration (To, 2016; </w:t>
      </w:r>
      <w:proofErr w:type="spellStart"/>
      <w:r>
        <w:t>Kobarg</w:t>
      </w:r>
      <w:proofErr w:type="spellEnd"/>
      <w:r>
        <w:t xml:space="preserve"> et al., 2019; Genovese et al., 2020).</w:t>
      </w:r>
    </w:p>
    <w:p w14:paraId="09390110" w14:textId="77777777" w:rsidR="005D5B0A" w:rsidRDefault="00A73EE7">
      <w:pPr>
        <w:spacing w:line="480" w:lineRule="auto"/>
        <w:ind w:firstLine="720"/>
        <w:jc w:val="both"/>
      </w:pPr>
      <w:r>
        <w:lastRenderedPageBreak/>
        <w:t xml:space="preserve">One way of maximising the opportunities from the acquiesced project management performance knowledge paradigm is the strategic and operational cognitive understanding of which project management assets and associated processes and practice endowments most likely predict project and firm performance (Nishimura &amp; </w:t>
      </w:r>
      <w:proofErr w:type="spellStart"/>
      <w:r>
        <w:t>Okamuro</w:t>
      </w:r>
      <w:proofErr w:type="spellEnd"/>
      <w:r>
        <w:t>, 2018). Thus, it was identified that when moderated by the organisational support factors (integration, alignment and communications), only these three organisational support factors predict project-level performance. Whereas, in addition to the three-organisational support factors, the imitable factor I1 (embedded assets) predict firm-level performance. Interestingly, I1 (embedded assets) predict project performance when not moderated by the organisational support factors.  Of significance is the confirmation that organisational support factors (integration, alignment and communications) are foundations for competitive advantage and further confirmation that I1 embedded assets are key to sustainable competitive advantage (</w:t>
      </w:r>
      <w:proofErr w:type="spellStart"/>
      <w:r>
        <w:t>Alexy</w:t>
      </w:r>
      <w:proofErr w:type="spellEnd"/>
      <w:r>
        <w:t xml:space="preserve"> et al., 2017). Cognisance of the project management performance paradigm and the factors most likely to predict performance should aid LA strategic managers when conceiving initial and long-term competitive strategies that develop, deploy and exploit project management assets and associated processes and practices. Deliberate investment in an effective project management performance knowledge paradigm should be treated similar and in conjunction with the deliberate VRIO investment. </w:t>
      </w:r>
    </w:p>
    <w:p w14:paraId="6AEA6E58" w14:textId="77777777" w:rsidR="005D5B0A" w:rsidRDefault="005D5B0A">
      <w:pPr>
        <w:spacing w:line="480" w:lineRule="auto"/>
      </w:pPr>
    </w:p>
    <w:p w14:paraId="3E981443" w14:textId="77777777" w:rsidR="005D5B0A" w:rsidRDefault="00A73EE7">
      <w:pPr>
        <w:spacing w:line="480" w:lineRule="auto"/>
        <w:ind w:left="720"/>
        <w:rPr>
          <w:b/>
          <w:i/>
        </w:rPr>
      </w:pPr>
      <w:r>
        <w:rPr>
          <w:b/>
          <w:i/>
        </w:rPr>
        <w:t xml:space="preserve">5.2.1- The relationship between a deliberate investment, competitive advantage and performance </w:t>
      </w:r>
    </w:p>
    <w:p w14:paraId="6B4E3690" w14:textId="0F3FE298" w:rsidR="005D5B0A" w:rsidRDefault="00A73EE7">
      <w:pPr>
        <w:spacing w:line="480" w:lineRule="auto"/>
        <w:jc w:val="both"/>
      </w:pPr>
      <w:r>
        <w:t xml:space="preserve">The empirical observations are conceptualised in a simple formula and matrix correlating the degree of competitive advantage and project management performance from LA VRIO and performance knowledge investment. The formula suggests there is a relationship between </w:t>
      </w:r>
      <w:proofErr w:type="spellStart"/>
      <w:r>
        <w:t>i</w:t>
      </w:r>
      <w:proofErr w:type="spellEnd"/>
      <w:r>
        <w:t xml:space="preserve">) the level of deliberate VRIO investment relates to the degree of competitive advantage </w:t>
      </w:r>
      <w:r>
        <w:lastRenderedPageBreak/>
        <w:t xml:space="preserve">leveraged from project management assets and associated processes and practices, as emphasised by Barney (1991) and Barney, Wright (1998) and </w:t>
      </w:r>
      <w:proofErr w:type="spellStart"/>
      <w:r>
        <w:t>Alexy</w:t>
      </w:r>
      <w:proofErr w:type="spellEnd"/>
      <w:r>
        <w:t xml:space="preserve"> et al</w:t>
      </w:r>
      <w:r>
        <w:rPr>
          <w:i/>
        </w:rPr>
        <w:t>.</w:t>
      </w:r>
      <w:r>
        <w:t xml:space="preserve"> (2017); and ii) the degree of project management performance knowledge relates to ‘project’ and ‘firm’ performance. Additionally, it was established that the degree of ‘organisational support’ moderates the </w:t>
      </w:r>
      <w:proofErr w:type="spellStart"/>
      <w:r>
        <w:t>valueness</w:t>
      </w:r>
      <w:proofErr w:type="spellEnd"/>
      <w:r>
        <w:t xml:space="preserve">, rareness and inimitableness of project management assets, as posit by </w:t>
      </w:r>
      <w:proofErr w:type="spellStart"/>
      <w:r>
        <w:t>Jugdev</w:t>
      </w:r>
      <w:proofErr w:type="spellEnd"/>
      <w:r>
        <w:t xml:space="preserve"> et al. (2013), Mathur et al. (2013, 2014) and Perkins et al. (2018), and influences LA project management performance knowledge paradigm, which ultimately moderates the degree of competitive advantage and degree of the project and firm-level performance (Hansen &amp; </w:t>
      </w:r>
      <w:proofErr w:type="spellStart"/>
      <w:r>
        <w:t>Firlie</w:t>
      </w:r>
      <w:proofErr w:type="spellEnd"/>
      <w:r>
        <w:t xml:space="preserve">, 2016; Hossain et al., 2021).  Extrapolating these empirical observations, we postulate, that the degree of competitive advantage and performance is moderated by the degree of deliberate VRIO investment and the degree of project management performance paradigm, which can be expressed as a formula, and visually in a linear graph (Figure 4), </w:t>
      </w:r>
      <w:r>
        <w:rPr>
          <w:i/>
        </w:rPr>
        <w:t>he greater the degree of VRIO investment, and the greater the degree of project management performance knowledge, equal the greater the degree of competitive advantage and project and firm-level performance</w:t>
      </w:r>
      <w:r>
        <w:t>.</w:t>
      </w:r>
    </w:p>
    <w:p w14:paraId="7CD89A72" w14:textId="77777777" w:rsidR="008A2CAD" w:rsidRDefault="008A2CAD" w:rsidP="008A2CAD">
      <w:pPr>
        <w:spacing w:line="360" w:lineRule="auto"/>
        <w:jc w:val="center"/>
      </w:pPr>
      <w:r>
        <w:t>--------------------------------</w:t>
      </w:r>
    </w:p>
    <w:p w14:paraId="1CA9F1F7" w14:textId="4894CD11" w:rsidR="008A2CAD" w:rsidRDefault="008A2CAD" w:rsidP="008A2CAD">
      <w:pPr>
        <w:spacing w:line="360" w:lineRule="auto"/>
        <w:jc w:val="center"/>
      </w:pPr>
      <w:r>
        <w:t>Insert Figure 4 about here</w:t>
      </w:r>
    </w:p>
    <w:p w14:paraId="3EB44F99" w14:textId="77777777" w:rsidR="008A2CAD" w:rsidRDefault="008A2CAD" w:rsidP="008A2CAD">
      <w:pPr>
        <w:spacing w:line="360" w:lineRule="auto"/>
        <w:jc w:val="center"/>
      </w:pPr>
      <w:r>
        <w:t>--------------------------------</w:t>
      </w:r>
    </w:p>
    <w:p w14:paraId="6F3BF8E1" w14:textId="77777777" w:rsidR="005D5B0A" w:rsidRDefault="005D5B0A">
      <w:pPr>
        <w:spacing w:line="360" w:lineRule="auto"/>
      </w:pPr>
    </w:p>
    <w:p w14:paraId="6AC7BE08" w14:textId="77777777" w:rsidR="005D5B0A" w:rsidRDefault="00A73EE7">
      <w:pPr>
        <w:spacing w:line="480" w:lineRule="auto"/>
        <w:ind w:firstLine="360"/>
        <w:jc w:val="both"/>
      </w:pPr>
      <w:r>
        <w:t>The linear correlation assumes a relationship between the deliberate VRIO (&gt;</w:t>
      </w:r>
      <w:proofErr w:type="spellStart"/>
      <w:r>
        <w:t>vrio</w:t>
      </w:r>
      <w:proofErr w:type="spellEnd"/>
      <w:r>
        <w:t>) and project management performance knowledge (&gt;pk) and the degree of competitive advantage and performance (&gt;cap). Applying the graph, first consider the VRIO investment (</w:t>
      </w:r>
      <w:proofErr w:type="spellStart"/>
      <w:r>
        <w:t>vrio</w:t>
      </w:r>
      <w:proofErr w:type="spellEnd"/>
      <w:r>
        <w:t xml:space="preserve">) followed by the performance knowledge (pk) and map the converging points across onto the degree of competitive advantage and potential performance level (cap). For example, a high degree of VRIO investment and a high level of performance knowledge relates to an assumed aggregated high level of competitive advantage and performance. Whereas a high level of </w:t>
      </w:r>
      <w:r>
        <w:lastRenderedPageBreak/>
        <w:t xml:space="preserve">VRIO investment with a low level of performance knowledge relates to an assumed aggregated low level of competitive advantage and performance. </w:t>
      </w:r>
    </w:p>
    <w:p w14:paraId="0BD22123" w14:textId="77777777" w:rsidR="005D5B0A" w:rsidRDefault="005D5B0A">
      <w:pPr>
        <w:spacing w:line="480" w:lineRule="auto"/>
      </w:pPr>
    </w:p>
    <w:p w14:paraId="174DE24E" w14:textId="77777777" w:rsidR="005D5B0A" w:rsidRDefault="00A73EE7">
      <w:pPr>
        <w:numPr>
          <w:ilvl w:val="0"/>
          <w:numId w:val="3"/>
        </w:numPr>
        <w:pBdr>
          <w:top w:val="nil"/>
          <w:left w:val="nil"/>
          <w:bottom w:val="nil"/>
          <w:right w:val="nil"/>
          <w:between w:val="nil"/>
        </w:pBdr>
        <w:spacing w:line="480" w:lineRule="auto"/>
        <w:rPr>
          <w:b/>
          <w:color w:val="000000"/>
        </w:rPr>
      </w:pPr>
      <w:r>
        <w:rPr>
          <w:b/>
          <w:color w:val="000000"/>
        </w:rPr>
        <w:t>Conclusion</w:t>
      </w:r>
    </w:p>
    <w:p w14:paraId="21EF92B8" w14:textId="77777777" w:rsidR="005D5B0A" w:rsidRDefault="00A73EE7">
      <w:pPr>
        <w:spacing w:line="480" w:lineRule="auto"/>
        <w:jc w:val="both"/>
      </w:pPr>
      <w:r>
        <w:t xml:space="preserve">To date, there is limited research investigating project management assets as a source of competitive advantage from an RBV and VRIO perspective in a public-sector arena.  Especially with regard to LA third-sector partnerships charged with becoming financially and operationally sustainable. The investigation has identified which project management assets and associated processes and practices, LA strategic managers should acknowledge, develop, deploy and exploit to leverage degrees of competitive advantage. We believe this research contributes to theory and practice by adding to the established RBV theory and its nascent body of understanding within the public sector, by identifying the endowment of project management assets, which offer LA potential parity, temporary and sustainable degrees of competitive advantage (Barney, 199; </w:t>
      </w:r>
      <w:proofErr w:type="spellStart"/>
      <w:r>
        <w:t>Jugdev</w:t>
      </w:r>
      <w:proofErr w:type="spellEnd"/>
      <w:r>
        <w:t xml:space="preserve"> et al., 2011; Mathur et al., 2014; </w:t>
      </w:r>
      <w:proofErr w:type="spellStart"/>
      <w:r>
        <w:t>Almarri</w:t>
      </w:r>
      <w:proofErr w:type="spellEnd"/>
      <w:r>
        <w:t xml:space="preserve"> and &amp; Gardiner, 2014). Particularly, as operationalising the VRIO framework has not yet become an established academic output of the empirical analysis. </w:t>
      </w:r>
    </w:p>
    <w:p w14:paraId="7EDC6226" w14:textId="77777777" w:rsidR="005D5B0A" w:rsidRDefault="00A73EE7">
      <w:pPr>
        <w:spacing w:line="480" w:lineRule="auto"/>
        <w:ind w:firstLine="720"/>
        <w:jc w:val="both"/>
      </w:pPr>
      <w:r>
        <w:t xml:space="preserve">Additionally, we aimed to contribute to practice and policy by providing an exemplar and encouraging public sector managers to take on the challenge of applying what the findings suggest, especially as we enter into the Covid-19 recovery era, with upcoming financial restrictions and new policy changes. This research hopefully will influence the way LA policies are developed for future public services commissioning and procurement. </w:t>
      </w:r>
    </w:p>
    <w:p w14:paraId="67AE4CAE" w14:textId="77777777" w:rsidR="005D5B0A" w:rsidRDefault="00A73EE7">
      <w:pPr>
        <w:spacing w:line="480" w:lineRule="auto"/>
        <w:ind w:firstLine="720"/>
        <w:jc w:val="both"/>
      </w:pPr>
      <w:r>
        <w:t xml:space="preserve">Moreover, the empirical investigation substantiates </w:t>
      </w:r>
      <w:proofErr w:type="spellStart"/>
      <w:r>
        <w:t>Jugdev</w:t>
      </w:r>
      <w:proofErr w:type="spellEnd"/>
      <w:r>
        <w:t xml:space="preserve"> et al. (2011) and Mathur et al. (2014) findings that the degree of organisational support moderates the degree of competitive advantage and influences project level and firm-level performance.  However, within this non-professional project manager practitioner, the mix of tangible and intangible </w:t>
      </w:r>
      <w:r>
        <w:lastRenderedPageBreak/>
        <w:t xml:space="preserve">project management asset endowments leveraging sustainable competitive advantage is divergent from Mathur et al. (2014) professional project manager practitioners, who predominately cite tangible assets as providing sustainable competitive advantage.  This empirical investigation has identified how: </w:t>
      </w:r>
      <w:proofErr w:type="spellStart"/>
      <w:r>
        <w:t>i</w:t>
      </w:r>
      <w:proofErr w:type="spellEnd"/>
      <w:r>
        <w:t xml:space="preserve">) each project management asset provides a competitive advantage; ii) the relationship between factors which are acquiring knowledge assets and facilitating process assets with sustainable competitive advantage; </w:t>
      </w:r>
      <w:proofErr w:type="gramStart"/>
      <w:r>
        <w:t>and,</w:t>
      </w:r>
      <w:proofErr w:type="gramEnd"/>
      <w:r>
        <w:t xml:space="preserve"> iii) the importance of developing a positive project management performance knowledge when conceiving strategies for competitive advantage and delivering project and firm performance. Thus, we believe the significance for organisations with non-professional project manager practitioners is the combined knowledge of the investigation’s outputs, concepts and frameworks when conceiving strategies and their subsequent operationalisation, which utilise a deliberate investment in project management assets and associated processes and practices.  Williams et al. (2020) did look at the additional complexities of political interest, leadership buying, and a benefit-driven culture, but their focus was more on participants with experience in sponsoring, managing, and reviewing government projects.</w:t>
      </w:r>
    </w:p>
    <w:p w14:paraId="24C0993D" w14:textId="77777777" w:rsidR="005D5B0A" w:rsidRDefault="00A73EE7">
      <w:pPr>
        <w:spacing w:line="480" w:lineRule="auto"/>
        <w:ind w:firstLine="720"/>
        <w:jc w:val="both"/>
      </w:pPr>
      <w:r>
        <w:t>To date, there is limited research in which non-professional project management practitioners in a public-sector context are the primary participants in specific project management themed investigations. This is pertinent for non-professional or for novice practitioners (</w:t>
      </w:r>
      <w:proofErr w:type="spellStart"/>
      <w:r>
        <w:t>Cicmil</w:t>
      </w:r>
      <w:proofErr w:type="spellEnd"/>
      <w:r>
        <w:t xml:space="preserve"> et al., 2006). Though the literature firmly positions the studies tripartite research phenomena and clearly justifies the research questions, the wider research highlights related knowledge gaps beyond the scope of this specific study.  Namely, in response to the static nature criticisms (</w:t>
      </w:r>
      <w:proofErr w:type="spellStart"/>
      <w:r>
        <w:t>Priem</w:t>
      </w:r>
      <w:proofErr w:type="spellEnd"/>
      <w:r>
        <w:t xml:space="preserve"> &amp; Butler, 2001; </w:t>
      </w:r>
      <w:proofErr w:type="spellStart"/>
      <w:r>
        <w:t>Newbert</w:t>
      </w:r>
      <w:proofErr w:type="spellEnd"/>
      <w:r>
        <w:t xml:space="preserve">, 2007; </w:t>
      </w:r>
      <w:proofErr w:type="spellStart"/>
      <w:r>
        <w:t>Ambrosini</w:t>
      </w:r>
      <w:proofErr w:type="spellEnd"/>
      <w:r>
        <w:t xml:space="preserve"> &amp; Bowman, 2009) how can RBV theory and the VRIO framework become progressive and responsive lenses to the uncertainty, complexity and dynamic environmental conditions? Moreover, how do non-professional project management practitioners, particular in a public-sector context, implement </w:t>
      </w:r>
      <w:r>
        <w:lastRenderedPageBreak/>
        <w:t>a strategy based on a positive project management practice and project performance knowledge? These two conundrums represent areas for future research.</w:t>
      </w:r>
    </w:p>
    <w:p w14:paraId="0BC36D77" w14:textId="77777777" w:rsidR="005D5B0A" w:rsidRDefault="00A73EE7">
      <w:pPr>
        <w:spacing w:line="480" w:lineRule="auto"/>
        <w:ind w:firstLine="720"/>
        <w:jc w:val="both"/>
      </w:pPr>
      <w:r>
        <w:t xml:space="preserve">Finally, the research and associated findings is within a single case which we acknowledge as a limitation, even if, case studies offer excellent insights into new areas (Eisenhardt &amp; Santos, 2002; Yin, 2011). We are satisfied with the robustness of data collection and analysis to be confident in the validity and reliability of the research findings. However, to generalise any claims, we would encourage researchers to further test and corroborate this study’s findings. </w:t>
      </w:r>
    </w:p>
    <w:p w14:paraId="634B1976" w14:textId="77777777" w:rsidR="005D5B0A" w:rsidRDefault="005D5B0A">
      <w:pPr>
        <w:spacing w:line="480" w:lineRule="auto"/>
        <w:ind w:firstLine="720"/>
        <w:jc w:val="both"/>
      </w:pPr>
    </w:p>
    <w:p w14:paraId="531CBCA7" w14:textId="1AA19269" w:rsidR="005D5B0A" w:rsidRPr="008A2CAD" w:rsidRDefault="008A2CAD" w:rsidP="008A2CAD">
      <w:pPr>
        <w:jc w:val="center"/>
        <w:rPr>
          <w:b/>
        </w:rPr>
      </w:pPr>
      <w:r w:rsidRPr="008A2CAD">
        <w:rPr>
          <w:b/>
        </w:rPr>
        <w:t>REFERENCES</w:t>
      </w:r>
    </w:p>
    <w:p w14:paraId="107E2504" w14:textId="4DAE0329" w:rsidR="005D5B0A" w:rsidRDefault="00A73EE7">
      <w:pPr>
        <w:ind w:left="284" w:hanging="284"/>
        <w:jc w:val="both"/>
        <w:rPr>
          <w:color w:val="000000"/>
        </w:rPr>
      </w:pPr>
      <w:r>
        <w:rPr>
          <w:color w:val="000000"/>
        </w:rPr>
        <w:t xml:space="preserve">Adamson, D., </w:t>
      </w:r>
      <w:r w:rsidR="00C462CF">
        <w:rPr>
          <w:color w:val="000000"/>
        </w:rPr>
        <w:t>&amp;</w:t>
      </w:r>
      <w:r>
        <w:rPr>
          <w:color w:val="000000"/>
        </w:rPr>
        <w:t xml:space="preserve"> Bromiley, R. </w:t>
      </w:r>
      <w:r w:rsidR="00C462CF">
        <w:rPr>
          <w:color w:val="000000"/>
        </w:rPr>
        <w:t>(</w:t>
      </w:r>
      <w:r>
        <w:rPr>
          <w:color w:val="000000"/>
        </w:rPr>
        <w:t>2013</w:t>
      </w:r>
      <w:r w:rsidR="00C462CF">
        <w:rPr>
          <w:color w:val="000000"/>
        </w:rPr>
        <w:t>)</w:t>
      </w:r>
      <w:r>
        <w:rPr>
          <w:color w:val="000000"/>
        </w:rPr>
        <w:t>, Community empowerment: Learning from practice in community regeneration, </w:t>
      </w:r>
      <w:r>
        <w:rPr>
          <w:i/>
          <w:color w:val="000000"/>
        </w:rPr>
        <w:t>International Journal of Public Sector Management</w:t>
      </w:r>
      <w:r>
        <w:rPr>
          <w:color w:val="000000"/>
        </w:rPr>
        <w:t>, 26 (3)</w:t>
      </w:r>
      <w:r w:rsidR="00C462CF">
        <w:rPr>
          <w:color w:val="000000"/>
        </w:rPr>
        <w:t xml:space="preserve">, </w:t>
      </w:r>
      <w:r>
        <w:rPr>
          <w:color w:val="000000"/>
        </w:rPr>
        <w:t>190-202.</w:t>
      </w:r>
    </w:p>
    <w:p w14:paraId="525ED5D5" w14:textId="4AAEA74B" w:rsidR="005D5B0A" w:rsidRDefault="00A73EE7">
      <w:pPr>
        <w:ind w:left="284" w:hanging="284"/>
        <w:jc w:val="both"/>
        <w:rPr>
          <w:color w:val="000000"/>
        </w:rPr>
      </w:pPr>
      <w:proofErr w:type="spellStart"/>
      <w:r>
        <w:rPr>
          <w:color w:val="000000"/>
        </w:rPr>
        <w:t>Alexy</w:t>
      </w:r>
      <w:proofErr w:type="spellEnd"/>
      <w:r>
        <w:rPr>
          <w:color w:val="000000"/>
        </w:rPr>
        <w:t xml:space="preserve">, O., West, J., </w:t>
      </w:r>
      <w:proofErr w:type="spellStart"/>
      <w:r>
        <w:rPr>
          <w:color w:val="000000"/>
        </w:rPr>
        <w:t>Klapper</w:t>
      </w:r>
      <w:proofErr w:type="spellEnd"/>
      <w:r>
        <w:rPr>
          <w:color w:val="000000"/>
        </w:rPr>
        <w:t xml:space="preserve">, H., </w:t>
      </w:r>
      <w:r w:rsidR="00C462CF">
        <w:rPr>
          <w:color w:val="000000"/>
        </w:rPr>
        <w:t>&amp;</w:t>
      </w:r>
      <w:r>
        <w:rPr>
          <w:color w:val="000000"/>
        </w:rPr>
        <w:t xml:space="preserve"> </w:t>
      </w:r>
      <w:proofErr w:type="spellStart"/>
      <w:r>
        <w:rPr>
          <w:color w:val="000000"/>
        </w:rPr>
        <w:t>Reitzig</w:t>
      </w:r>
      <w:proofErr w:type="spellEnd"/>
      <w:r>
        <w:rPr>
          <w:color w:val="000000"/>
        </w:rPr>
        <w:t xml:space="preserve">, M. </w:t>
      </w:r>
      <w:r w:rsidR="00C462CF">
        <w:rPr>
          <w:color w:val="000000"/>
        </w:rPr>
        <w:t>(</w:t>
      </w:r>
      <w:r>
        <w:rPr>
          <w:color w:val="000000"/>
        </w:rPr>
        <w:t>2017</w:t>
      </w:r>
      <w:r w:rsidR="00C462CF">
        <w:rPr>
          <w:color w:val="000000"/>
        </w:rPr>
        <w:t>)</w:t>
      </w:r>
      <w:r>
        <w:rPr>
          <w:color w:val="000000"/>
        </w:rPr>
        <w:t>, Surrendering control to gain advantage: Reconciling openness and the resource</w:t>
      </w:r>
      <w:r>
        <w:rPr>
          <w:rFonts w:ascii="Cambria Math" w:eastAsia="Cambria Math" w:hAnsi="Cambria Math" w:cs="Cambria Math"/>
          <w:color w:val="000000"/>
        </w:rPr>
        <w:t>‐</w:t>
      </w:r>
      <w:r>
        <w:rPr>
          <w:color w:val="000000"/>
        </w:rPr>
        <w:t xml:space="preserve">based view of the firm, </w:t>
      </w:r>
      <w:r>
        <w:rPr>
          <w:i/>
          <w:color w:val="000000"/>
        </w:rPr>
        <w:t>Strategic Management Journal</w:t>
      </w:r>
      <w:r>
        <w:rPr>
          <w:color w:val="000000"/>
        </w:rPr>
        <w:t>, 39 (6)</w:t>
      </w:r>
      <w:r w:rsidR="00C462CF">
        <w:rPr>
          <w:color w:val="000000"/>
        </w:rPr>
        <w:t xml:space="preserve">, </w:t>
      </w:r>
      <w:r>
        <w:rPr>
          <w:color w:val="000000"/>
        </w:rPr>
        <w:t xml:space="preserve">1704-1727. </w:t>
      </w:r>
      <w:proofErr w:type="spellStart"/>
      <w:r>
        <w:rPr>
          <w:color w:val="000000"/>
        </w:rPr>
        <w:t>doi</w:t>
      </w:r>
      <w:proofErr w:type="spellEnd"/>
      <w:r>
        <w:rPr>
          <w:color w:val="000000"/>
        </w:rPr>
        <w:t>: 10.1002/smj.2706</w:t>
      </w:r>
    </w:p>
    <w:p w14:paraId="1B3E1BE1" w14:textId="393B8335" w:rsidR="005D5B0A" w:rsidRDefault="00A73EE7">
      <w:pPr>
        <w:ind w:left="284" w:hanging="284"/>
        <w:jc w:val="both"/>
        <w:rPr>
          <w:color w:val="000000"/>
        </w:rPr>
      </w:pPr>
      <w:proofErr w:type="spellStart"/>
      <w:r>
        <w:rPr>
          <w:color w:val="000000"/>
        </w:rPr>
        <w:t>Almarri</w:t>
      </w:r>
      <w:proofErr w:type="spellEnd"/>
      <w:r>
        <w:rPr>
          <w:color w:val="000000"/>
        </w:rPr>
        <w:t xml:space="preserve">, K., </w:t>
      </w:r>
      <w:r w:rsidR="00C462CF">
        <w:rPr>
          <w:color w:val="000000"/>
        </w:rPr>
        <w:t>&amp;</w:t>
      </w:r>
      <w:r>
        <w:rPr>
          <w:color w:val="000000"/>
        </w:rPr>
        <w:t xml:space="preserve"> Gardiner, P. </w:t>
      </w:r>
      <w:r w:rsidR="00C462CF">
        <w:rPr>
          <w:color w:val="000000"/>
        </w:rPr>
        <w:t>(</w:t>
      </w:r>
      <w:r>
        <w:rPr>
          <w:color w:val="000000"/>
        </w:rPr>
        <w:t>2014</w:t>
      </w:r>
      <w:r w:rsidR="00C462CF">
        <w:rPr>
          <w:color w:val="000000"/>
        </w:rPr>
        <w:t>)</w:t>
      </w:r>
      <w:r>
        <w:rPr>
          <w:color w:val="000000"/>
        </w:rPr>
        <w:t xml:space="preserve">, Application of resource-based view to project management research: Supporters and opponents, </w:t>
      </w:r>
      <w:r>
        <w:rPr>
          <w:i/>
          <w:color w:val="000000"/>
        </w:rPr>
        <w:t>Procedia - Social and Behavioural Sciences,</w:t>
      </w:r>
      <w:r>
        <w:rPr>
          <w:color w:val="000000"/>
        </w:rPr>
        <w:t xml:space="preserve"> 119</w:t>
      </w:r>
      <w:r w:rsidR="00C462CF">
        <w:rPr>
          <w:color w:val="000000"/>
        </w:rPr>
        <w:t>,</w:t>
      </w:r>
      <w:r>
        <w:rPr>
          <w:color w:val="000000"/>
        </w:rPr>
        <w:t xml:space="preserve"> 437 – 445.</w:t>
      </w:r>
    </w:p>
    <w:p w14:paraId="38C055DD" w14:textId="05D60F9E" w:rsidR="005D5B0A" w:rsidRDefault="00A73EE7" w:rsidP="00C2012B">
      <w:pPr>
        <w:ind w:left="284" w:hanging="284"/>
        <w:jc w:val="both"/>
      </w:pPr>
      <w:r>
        <w:t>Al-</w:t>
      </w:r>
      <w:proofErr w:type="spellStart"/>
      <w:r>
        <w:t>Tabbaa</w:t>
      </w:r>
      <w:proofErr w:type="spellEnd"/>
      <w:r>
        <w:t xml:space="preserve">, O., Leach, D. </w:t>
      </w:r>
      <w:r w:rsidR="00C462CF">
        <w:t>&amp;</w:t>
      </w:r>
      <w:r>
        <w:t xml:space="preserve"> Khan, Z., </w:t>
      </w:r>
      <w:r w:rsidR="00C462CF">
        <w:t>(</w:t>
      </w:r>
      <w:r>
        <w:t>2019</w:t>
      </w:r>
      <w:r w:rsidR="00C462CF">
        <w:t>)</w:t>
      </w:r>
      <w:r>
        <w:t>. Examining alliance management capabilities in cross-sector collaborative partnerships. Journal of Business Research, 101, 268-284.</w:t>
      </w:r>
    </w:p>
    <w:p w14:paraId="45AAD1EE" w14:textId="68F36545" w:rsidR="005D5B0A" w:rsidRDefault="00A73EE7">
      <w:pPr>
        <w:ind w:left="284" w:hanging="284"/>
        <w:jc w:val="both"/>
        <w:rPr>
          <w:color w:val="000000"/>
        </w:rPr>
      </w:pPr>
      <w:proofErr w:type="spellStart"/>
      <w:r>
        <w:rPr>
          <w:color w:val="000000"/>
        </w:rPr>
        <w:t>Ambrosini</w:t>
      </w:r>
      <w:proofErr w:type="spellEnd"/>
      <w:r>
        <w:rPr>
          <w:color w:val="000000"/>
        </w:rPr>
        <w:t xml:space="preserve">, V., </w:t>
      </w:r>
      <w:r w:rsidR="00C462CF">
        <w:rPr>
          <w:color w:val="000000"/>
        </w:rPr>
        <w:t>&amp;</w:t>
      </w:r>
      <w:r>
        <w:rPr>
          <w:color w:val="000000"/>
        </w:rPr>
        <w:t xml:space="preserve"> Bowman, C. </w:t>
      </w:r>
      <w:r w:rsidR="00C462CF">
        <w:rPr>
          <w:color w:val="000000"/>
        </w:rPr>
        <w:t>(</w:t>
      </w:r>
      <w:r>
        <w:rPr>
          <w:color w:val="000000"/>
        </w:rPr>
        <w:t>2009</w:t>
      </w:r>
      <w:r w:rsidR="00C462CF">
        <w:rPr>
          <w:color w:val="000000"/>
        </w:rPr>
        <w:t>)</w:t>
      </w:r>
      <w:r>
        <w:rPr>
          <w:color w:val="000000"/>
        </w:rPr>
        <w:t xml:space="preserve">, What are dynamic capabilities and are they a useful construct in strategic management? </w:t>
      </w:r>
      <w:r>
        <w:rPr>
          <w:i/>
          <w:color w:val="000000"/>
        </w:rPr>
        <w:t>International Journal of Management Reviews</w:t>
      </w:r>
      <w:r>
        <w:rPr>
          <w:color w:val="000000"/>
        </w:rPr>
        <w:t>, 11 (1)</w:t>
      </w:r>
      <w:r w:rsidR="00C462CF">
        <w:rPr>
          <w:color w:val="000000"/>
        </w:rPr>
        <w:t xml:space="preserve">, </w:t>
      </w:r>
      <w:r>
        <w:rPr>
          <w:color w:val="000000"/>
        </w:rPr>
        <w:t>29-49</w:t>
      </w:r>
    </w:p>
    <w:p w14:paraId="45447EB6" w14:textId="5700E8D4" w:rsidR="005D5B0A" w:rsidRDefault="00A73EE7">
      <w:pPr>
        <w:ind w:left="284" w:hanging="284"/>
        <w:jc w:val="both"/>
        <w:rPr>
          <w:color w:val="000000"/>
        </w:rPr>
      </w:pPr>
      <w:r>
        <w:rPr>
          <w:color w:val="000000"/>
        </w:rPr>
        <w:t xml:space="preserve">Amit, R., </w:t>
      </w:r>
      <w:r w:rsidR="00C462CF">
        <w:rPr>
          <w:color w:val="000000"/>
        </w:rPr>
        <w:t>&amp;</w:t>
      </w:r>
      <w:r>
        <w:rPr>
          <w:color w:val="000000"/>
        </w:rPr>
        <w:t xml:space="preserve"> </w:t>
      </w:r>
      <w:proofErr w:type="spellStart"/>
      <w:r>
        <w:rPr>
          <w:color w:val="000000"/>
        </w:rPr>
        <w:t>Schoemaker</w:t>
      </w:r>
      <w:proofErr w:type="spellEnd"/>
      <w:r>
        <w:rPr>
          <w:color w:val="000000"/>
        </w:rPr>
        <w:t xml:space="preserve">, P. J. H. </w:t>
      </w:r>
      <w:r w:rsidR="00C462CF">
        <w:rPr>
          <w:color w:val="000000"/>
        </w:rPr>
        <w:t>(</w:t>
      </w:r>
      <w:r>
        <w:rPr>
          <w:color w:val="000000"/>
        </w:rPr>
        <w:t>1993</w:t>
      </w:r>
      <w:r w:rsidR="00C462CF">
        <w:rPr>
          <w:color w:val="000000"/>
        </w:rPr>
        <w:t>)</w:t>
      </w:r>
      <w:r>
        <w:rPr>
          <w:color w:val="000000"/>
        </w:rPr>
        <w:t xml:space="preserve">, Strategic assets and organizational rent, </w:t>
      </w:r>
      <w:r>
        <w:rPr>
          <w:i/>
          <w:color w:val="000000"/>
        </w:rPr>
        <w:t>Strategic management journal</w:t>
      </w:r>
      <w:r>
        <w:rPr>
          <w:color w:val="000000"/>
        </w:rPr>
        <w:t>, 14 (1)</w:t>
      </w:r>
      <w:r w:rsidR="00C462CF">
        <w:rPr>
          <w:color w:val="000000"/>
        </w:rPr>
        <w:t xml:space="preserve">, </w:t>
      </w:r>
      <w:r>
        <w:rPr>
          <w:color w:val="000000"/>
        </w:rPr>
        <w:t>33-46.</w:t>
      </w:r>
    </w:p>
    <w:p w14:paraId="6FBDF17E" w14:textId="6A07E2D3" w:rsidR="005D5B0A" w:rsidRDefault="00A73EE7">
      <w:pPr>
        <w:ind w:left="284" w:hanging="284"/>
        <w:jc w:val="both"/>
        <w:rPr>
          <w:color w:val="000000"/>
        </w:rPr>
      </w:pPr>
      <w:r>
        <w:rPr>
          <w:color w:val="000000"/>
        </w:rPr>
        <w:t xml:space="preserve">Andrews, R., Beynon, M. J., </w:t>
      </w:r>
      <w:r w:rsidR="00C462CF">
        <w:rPr>
          <w:color w:val="000000"/>
        </w:rPr>
        <w:t xml:space="preserve">&amp; </w:t>
      </w:r>
      <w:r>
        <w:rPr>
          <w:color w:val="000000"/>
        </w:rPr>
        <w:t xml:space="preserve">McDermott, A. M. </w:t>
      </w:r>
      <w:r w:rsidR="00C462CF">
        <w:rPr>
          <w:color w:val="000000"/>
        </w:rPr>
        <w:t>(</w:t>
      </w:r>
      <w:r>
        <w:rPr>
          <w:color w:val="000000"/>
        </w:rPr>
        <w:t>2016</w:t>
      </w:r>
      <w:r w:rsidR="00C462CF">
        <w:rPr>
          <w:color w:val="000000"/>
        </w:rPr>
        <w:t>)</w:t>
      </w:r>
      <w:r>
        <w:rPr>
          <w:color w:val="000000"/>
        </w:rPr>
        <w:t xml:space="preserve">. Organizational Capability in the Public Sector: A Configurational Approach, </w:t>
      </w:r>
      <w:r>
        <w:rPr>
          <w:i/>
          <w:color w:val="000000"/>
        </w:rPr>
        <w:t>Journal of Public Administration Research and Theory</w:t>
      </w:r>
      <w:r>
        <w:rPr>
          <w:color w:val="000000"/>
        </w:rPr>
        <w:t>, 26, (2), 239–258, https://doi.org/10.1093/jopart/muv005</w:t>
      </w:r>
    </w:p>
    <w:p w14:paraId="64E665C2" w14:textId="523C2FF0" w:rsidR="005D5B0A" w:rsidRDefault="00A73EE7">
      <w:pPr>
        <w:ind w:left="284" w:hanging="284"/>
        <w:jc w:val="both"/>
        <w:rPr>
          <w:color w:val="000000"/>
        </w:rPr>
      </w:pPr>
      <w:bookmarkStart w:id="1" w:name="_heading=h.gjdgxs" w:colFirst="0" w:colLast="0"/>
      <w:bookmarkEnd w:id="1"/>
      <w:r>
        <w:rPr>
          <w:color w:val="000000"/>
        </w:rPr>
        <w:t xml:space="preserve">Arundel, A., Bloch, C. </w:t>
      </w:r>
      <w:r w:rsidR="00C462CF">
        <w:rPr>
          <w:color w:val="000000"/>
        </w:rPr>
        <w:t>&amp;</w:t>
      </w:r>
      <w:r>
        <w:rPr>
          <w:color w:val="000000"/>
        </w:rPr>
        <w:t xml:space="preserve"> Ferguson, B. </w:t>
      </w:r>
      <w:r w:rsidR="00C462CF">
        <w:rPr>
          <w:color w:val="000000"/>
        </w:rPr>
        <w:t>(</w:t>
      </w:r>
      <w:r>
        <w:rPr>
          <w:color w:val="000000"/>
        </w:rPr>
        <w:t>2019</w:t>
      </w:r>
      <w:r w:rsidR="00C462CF">
        <w:rPr>
          <w:color w:val="000000"/>
        </w:rPr>
        <w:t>)</w:t>
      </w:r>
      <w:r>
        <w:rPr>
          <w:color w:val="000000"/>
        </w:rPr>
        <w:t xml:space="preserve">, Advancing innovation in the public sector: Aligning innovation measurement with policy goals. </w:t>
      </w:r>
      <w:r>
        <w:rPr>
          <w:i/>
          <w:color w:val="000000"/>
        </w:rPr>
        <w:t xml:space="preserve">Research Policy, </w:t>
      </w:r>
      <w:r>
        <w:rPr>
          <w:color w:val="000000"/>
        </w:rPr>
        <w:t>48(3)</w:t>
      </w:r>
      <w:r w:rsidR="00C462CF">
        <w:rPr>
          <w:color w:val="000000"/>
        </w:rPr>
        <w:t>,</w:t>
      </w:r>
      <w:r>
        <w:rPr>
          <w:color w:val="000000"/>
        </w:rPr>
        <w:t>789-798.</w:t>
      </w:r>
    </w:p>
    <w:p w14:paraId="75DAAE65" w14:textId="462D0C90" w:rsidR="005D5B0A" w:rsidRDefault="00A73EE7">
      <w:pPr>
        <w:ind w:left="284" w:hanging="284"/>
        <w:jc w:val="both"/>
        <w:rPr>
          <w:color w:val="000000"/>
        </w:rPr>
      </w:pPr>
      <w:proofErr w:type="spellStart"/>
      <w:r>
        <w:rPr>
          <w:color w:val="000000"/>
        </w:rPr>
        <w:t>Asgari</w:t>
      </w:r>
      <w:proofErr w:type="spellEnd"/>
      <w:r>
        <w:rPr>
          <w:color w:val="000000"/>
        </w:rPr>
        <w:t xml:space="preserve">, N., Tandon, V., Singh, K., </w:t>
      </w:r>
      <w:r w:rsidR="00C462CF">
        <w:rPr>
          <w:color w:val="000000"/>
        </w:rPr>
        <w:t>&amp;</w:t>
      </w:r>
      <w:r>
        <w:rPr>
          <w:color w:val="000000"/>
        </w:rPr>
        <w:t xml:space="preserve"> Mitchell, W. </w:t>
      </w:r>
      <w:r w:rsidR="00C462CF">
        <w:rPr>
          <w:color w:val="000000"/>
        </w:rPr>
        <w:t>(</w:t>
      </w:r>
      <w:r>
        <w:rPr>
          <w:color w:val="000000"/>
        </w:rPr>
        <w:t>2018</w:t>
      </w:r>
      <w:r w:rsidR="00C462CF">
        <w:rPr>
          <w:color w:val="000000"/>
        </w:rPr>
        <w:t>)</w:t>
      </w:r>
      <w:r>
        <w:rPr>
          <w:color w:val="000000"/>
        </w:rPr>
        <w:t xml:space="preserve">, Creating and taming discord: How firms manage embedded competition in alliance portfolios to limit alliance termination, </w:t>
      </w:r>
      <w:r>
        <w:rPr>
          <w:i/>
          <w:color w:val="000000"/>
        </w:rPr>
        <w:t>Strategic Management Journal</w:t>
      </w:r>
      <w:r>
        <w:rPr>
          <w:color w:val="000000"/>
        </w:rPr>
        <w:t>, 39(12)</w:t>
      </w:r>
      <w:r w:rsidR="00C462CF">
        <w:rPr>
          <w:color w:val="000000"/>
        </w:rPr>
        <w:t xml:space="preserve">, </w:t>
      </w:r>
      <w:r>
        <w:rPr>
          <w:color w:val="000000"/>
        </w:rPr>
        <w:t xml:space="preserve">3273-3299. </w:t>
      </w:r>
      <w:proofErr w:type="spellStart"/>
      <w:r>
        <w:rPr>
          <w:color w:val="000000"/>
        </w:rPr>
        <w:t>doi</w:t>
      </w:r>
      <w:proofErr w:type="spellEnd"/>
      <w:r>
        <w:rPr>
          <w:color w:val="000000"/>
        </w:rPr>
        <w:t>: 10.1002/smj.2784</w:t>
      </w:r>
    </w:p>
    <w:p w14:paraId="335FAE7D" w14:textId="54075C4C" w:rsidR="00C462CF" w:rsidRDefault="00992DB3">
      <w:pPr>
        <w:ind w:left="284" w:hanging="284"/>
        <w:jc w:val="both"/>
        <w:rPr>
          <w:color w:val="000000"/>
        </w:rPr>
      </w:pPr>
      <w:r w:rsidRPr="00992DB3">
        <w:rPr>
          <w:color w:val="000000"/>
        </w:rPr>
        <w:t xml:space="preserve">Azizi, S., </w:t>
      </w:r>
      <w:proofErr w:type="spellStart"/>
      <w:r w:rsidRPr="00992DB3">
        <w:rPr>
          <w:color w:val="000000"/>
        </w:rPr>
        <w:t>Börzel</w:t>
      </w:r>
      <w:proofErr w:type="spellEnd"/>
      <w:r w:rsidRPr="00992DB3">
        <w:rPr>
          <w:color w:val="000000"/>
        </w:rPr>
        <w:t xml:space="preserve">, T. </w:t>
      </w:r>
      <w:r w:rsidR="00C462CF">
        <w:rPr>
          <w:color w:val="000000"/>
        </w:rPr>
        <w:t>&amp;</w:t>
      </w:r>
      <w:r w:rsidRPr="00992DB3">
        <w:rPr>
          <w:color w:val="000000"/>
        </w:rPr>
        <w:t xml:space="preserve"> Hansen, H.K. (2021) Governance and business-society relations in areas of limited statehood: An introduction, Business &amp;amp; Society, 60(7), 1551–1572. Available at: </w:t>
      </w:r>
      <w:hyperlink r:id="rId11" w:history="1">
        <w:r w:rsidR="00C462CF" w:rsidRPr="00B46D87">
          <w:rPr>
            <w:rStyle w:val="Hyperlink"/>
          </w:rPr>
          <w:t>https://doi.org/10.1177/0007650320985084</w:t>
        </w:r>
      </w:hyperlink>
      <w:r w:rsidRPr="00992DB3">
        <w:rPr>
          <w:color w:val="000000"/>
        </w:rPr>
        <w:t>.</w:t>
      </w:r>
    </w:p>
    <w:p w14:paraId="6161609C" w14:textId="21EC199C" w:rsidR="005D5B0A" w:rsidRDefault="00A73EE7">
      <w:pPr>
        <w:ind w:left="284" w:hanging="284"/>
        <w:jc w:val="both"/>
        <w:rPr>
          <w:color w:val="000000"/>
        </w:rPr>
      </w:pPr>
      <w:r>
        <w:rPr>
          <w:color w:val="000000"/>
        </w:rPr>
        <w:t xml:space="preserve">Barney, J. </w:t>
      </w:r>
      <w:r w:rsidR="00C462CF">
        <w:rPr>
          <w:color w:val="000000"/>
        </w:rPr>
        <w:t>(</w:t>
      </w:r>
      <w:r>
        <w:rPr>
          <w:color w:val="000000"/>
        </w:rPr>
        <w:t>1991</w:t>
      </w:r>
      <w:r w:rsidR="00C462CF">
        <w:rPr>
          <w:color w:val="000000"/>
        </w:rPr>
        <w:t>)</w:t>
      </w:r>
      <w:r>
        <w:rPr>
          <w:color w:val="000000"/>
        </w:rPr>
        <w:t xml:space="preserve">, Firm Resources and Sustained Competitive Advantage, </w:t>
      </w:r>
      <w:r>
        <w:rPr>
          <w:i/>
          <w:color w:val="000000"/>
        </w:rPr>
        <w:t>Journal of Management</w:t>
      </w:r>
      <w:r>
        <w:rPr>
          <w:color w:val="000000"/>
        </w:rPr>
        <w:t>. 17 (1)</w:t>
      </w:r>
      <w:r w:rsidR="00C462CF">
        <w:rPr>
          <w:color w:val="000000"/>
        </w:rPr>
        <w:t xml:space="preserve">, </w:t>
      </w:r>
      <w:r>
        <w:rPr>
          <w:color w:val="000000"/>
        </w:rPr>
        <w:t xml:space="preserve">99-120. </w:t>
      </w:r>
    </w:p>
    <w:p w14:paraId="6FC42DB1" w14:textId="5F156A2D" w:rsidR="005D5B0A" w:rsidRDefault="00A73EE7">
      <w:pPr>
        <w:ind w:left="284" w:hanging="284"/>
        <w:jc w:val="both"/>
        <w:rPr>
          <w:color w:val="000000"/>
        </w:rPr>
      </w:pPr>
      <w:r>
        <w:rPr>
          <w:color w:val="000000"/>
        </w:rPr>
        <w:t xml:space="preserve">Barney, J. B. </w:t>
      </w:r>
      <w:r w:rsidR="00C462CF">
        <w:rPr>
          <w:color w:val="000000"/>
        </w:rPr>
        <w:t>(</w:t>
      </w:r>
      <w:r>
        <w:rPr>
          <w:color w:val="000000"/>
        </w:rPr>
        <w:t>1986</w:t>
      </w:r>
      <w:r w:rsidR="00C462CF">
        <w:rPr>
          <w:color w:val="000000"/>
        </w:rPr>
        <w:t>)</w:t>
      </w:r>
      <w:r>
        <w:rPr>
          <w:color w:val="000000"/>
        </w:rPr>
        <w:t xml:space="preserve">, Strategic Factor Markets: Expectations, Luck, and Business Strategy, </w:t>
      </w:r>
      <w:r>
        <w:rPr>
          <w:i/>
          <w:color w:val="000000"/>
        </w:rPr>
        <w:t>Management Science</w:t>
      </w:r>
      <w:r>
        <w:rPr>
          <w:color w:val="000000"/>
        </w:rPr>
        <w:t>, 32(10)</w:t>
      </w:r>
      <w:r w:rsidR="00C462CF">
        <w:rPr>
          <w:color w:val="000000"/>
        </w:rPr>
        <w:t xml:space="preserve">, </w:t>
      </w:r>
      <w:r>
        <w:rPr>
          <w:color w:val="000000"/>
        </w:rPr>
        <w:t>1231-1241.</w:t>
      </w:r>
    </w:p>
    <w:p w14:paraId="5419C427" w14:textId="3FE6E0AA" w:rsidR="005D5B0A" w:rsidRDefault="00A73EE7">
      <w:pPr>
        <w:tabs>
          <w:tab w:val="left" w:pos="284"/>
        </w:tabs>
        <w:ind w:left="284" w:hanging="284"/>
        <w:jc w:val="both"/>
        <w:rPr>
          <w:color w:val="000000"/>
        </w:rPr>
      </w:pPr>
      <w:r>
        <w:rPr>
          <w:color w:val="000000"/>
        </w:rPr>
        <w:lastRenderedPageBreak/>
        <w:t xml:space="preserve">Barney, J. B. </w:t>
      </w:r>
      <w:r w:rsidR="00C462CF">
        <w:rPr>
          <w:color w:val="000000"/>
        </w:rPr>
        <w:t>(</w:t>
      </w:r>
      <w:r>
        <w:rPr>
          <w:color w:val="000000"/>
        </w:rPr>
        <w:t>1995</w:t>
      </w:r>
      <w:r w:rsidR="00C462CF">
        <w:rPr>
          <w:color w:val="000000"/>
        </w:rPr>
        <w:t>)</w:t>
      </w:r>
      <w:r>
        <w:rPr>
          <w:color w:val="000000"/>
        </w:rPr>
        <w:t xml:space="preserve">, Looking inside for Competitive Advantage, </w:t>
      </w:r>
      <w:r>
        <w:rPr>
          <w:i/>
          <w:color w:val="000000"/>
        </w:rPr>
        <w:t>The Academy of Management Executive</w:t>
      </w:r>
      <w:r>
        <w:rPr>
          <w:color w:val="000000"/>
        </w:rPr>
        <w:t>, 9 (4)</w:t>
      </w:r>
      <w:r w:rsidR="00C462CF">
        <w:rPr>
          <w:color w:val="000000"/>
        </w:rPr>
        <w:t xml:space="preserve">, </w:t>
      </w:r>
      <w:r>
        <w:rPr>
          <w:color w:val="000000"/>
        </w:rPr>
        <w:t xml:space="preserve">49-61. </w:t>
      </w:r>
    </w:p>
    <w:p w14:paraId="7B86F8E3" w14:textId="159B7FEA" w:rsidR="005D5B0A" w:rsidRDefault="00A73EE7">
      <w:pPr>
        <w:ind w:left="284" w:hanging="284"/>
        <w:jc w:val="both"/>
        <w:rPr>
          <w:color w:val="000000"/>
        </w:rPr>
      </w:pPr>
      <w:r>
        <w:rPr>
          <w:color w:val="000000"/>
          <w:highlight w:val="white"/>
        </w:rPr>
        <w:t xml:space="preserve">Barney, J. B. </w:t>
      </w:r>
      <w:r w:rsidR="00C462CF">
        <w:rPr>
          <w:color w:val="000000"/>
          <w:highlight w:val="white"/>
        </w:rPr>
        <w:t>(</w:t>
      </w:r>
      <w:r>
        <w:rPr>
          <w:color w:val="000000"/>
          <w:highlight w:val="white"/>
        </w:rPr>
        <w:t>2017</w:t>
      </w:r>
      <w:r w:rsidR="00C462CF">
        <w:rPr>
          <w:color w:val="000000"/>
          <w:highlight w:val="white"/>
        </w:rPr>
        <w:t>)</w:t>
      </w:r>
      <w:r>
        <w:rPr>
          <w:color w:val="000000"/>
          <w:highlight w:val="white"/>
        </w:rPr>
        <w:t>, The Evolutionary Roots of Resource</w:t>
      </w:r>
      <w:r>
        <w:rPr>
          <w:rFonts w:ascii="Cambria Math" w:eastAsia="Cambria Math" w:hAnsi="Cambria Math" w:cs="Cambria Math"/>
          <w:color w:val="000000"/>
          <w:highlight w:val="white"/>
        </w:rPr>
        <w:t>‐</w:t>
      </w:r>
      <w:r>
        <w:rPr>
          <w:color w:val="000000"/>
          <w:highlight w:val="white"/>
        </w:rPr>
        <w:t>based Theory, </w:t>
      </w:r>
      <w:r>
        <w:rPr>
          <w:i/>
          <w:color w:val="000000"/>
          <w:highlight w:val="white"/>
        </w:rPr>
        <w:t>The SMS Blackwell Handbook of Organizational Capabilities</w:t>
      </w:r>
      <w:r>
        <w:rPr>
          <w:color w:val="000000"/>
          <w:highlight w:val="white"/>
        </w:rPr>
        <w:t>, 269-271.</w:t>
      </w:r>
    </w:p>
    <w:p w14:paraId="04070BD0" w14:textId="1954778F" w:rsidR="005D5B0A" w:rsidRDefault="00A73EE7">
      <w:pPr>
        <w:ind w:left="284" w:hanging="284"/>
        <w:jc w:val="both"/>
        <w:rPr>
          <w:color w:val="000000"/>
        </w:rPr>
      </w:pPr>
      <w:r>
        <w:rPr>
          <w:color w:val="000000"/>
        </w:rPr>
        <w:t xml:space="preserve">Barney, J.B., </w:t>
      </w:r>
      <w:r w:rsidR="00C462CF">
        <w:rPr>
          <w:color w:val="000000"/>
        </w:rPr>
        <w:t>&amp;</w:t>
      </w:r>
      <w:r>
        <w:rPr>
          <w:color w:val="000000"/>
        </w:rPr>
        <w:t xml:space="preserve"> Wright, P.M. </w:t>
      </w:r>
      <w:r w:rsidR="00C462CF">
        <w:rPr>
          <w:color w:val="000000"/>
        </w:rPr>
        <w:t>(</w:t>
      </w:r>
      <w:r>
        <w:rPr>
          <w:color w:val="000000"/>
        </w:rPr>
        <w:t>1998</w:t>
      </w:r>
      <w:r w:rsidR="00C462CF">
        <w:rPr>
          <w:color w:val="000000"/>
        </w:rPr>
        <w:t>)</w:t>
      </w:r>
      <w:r>
        <w:rPr>
          <w:color w:val="000000"/>
        </w:rPr>
        <w:t>. On becoming a strategic partner: The role of Human resources in gaining competitive advantage</w:t>
      </w:r>
      <w:r w:rsidR="00C462CF">
        <w:rPr>
          <w:color w:val="000000"/>
        </w:rPr>
        <w:t>.</w:t>
      </w:r>
      <w:r>
        <w:rPr>
          <w:color w:val="000000"/>
        </w:rPr>
        <w:t xml:space="preserve"> </w:t>
      </w:r>
      <w:r>
        <w:rPr>
          <w:i/>
          <w:color w:val="000000"/>
        </w:rPr>
        <w:t>Human Resource Management</w:t>
      </w:r>
      <w:r>
        <w:rPr>
          <w:color w:val="000000"/>
        </w:rPr>
        <w:t>. 37(1)</w:t>
      </w:r>
      <w:r w:rsidR="00C462CF">
        <w:rPr>
          <w:color w:val="000000"/>
        </w:rPr>
        <w:t>,</w:t>
      </w:r>
      <w:r>
        <w:rPr>
          <w:color w:val="000000"/>
        </w:rPr>
        <w:t>31-46.</w:t>
      </w:r>
    </w:p>
    <w:p w14:paraId="1D5CDB0B" w14:textId="055885AE" w:rsidR="005D5B0A" w:rsidRDefault="00A73EE7">
      <w:pPr>
        <w:ind w:left="284" w:hanging="284"/>
        <w:jc w:val="both"/>
      </w:pPr>
      <w:r>
        <w:rPr>
          <w:color w:val="222222"/>
          <w:highlight w:val="white"/>
        </w:rPr>
        <w:t xml:space="preserve">Beamish, P.W. </w:t>
      </w:r>
      <w:r w:rsidR="00C462CF">
        <w:rPr>
          <w:color w:val="222222"/>
          <w:highlight w:val="white"/>
        </w:rPr>
        <w:t>&amp;</w:t>
      </w:r>
      <w:r>
        <w:rPr>
          <w:color w:val="222222"/>
          <w:highlight w:val="white"/>
        </w:rPr>
        <w:t xml:space="preserve"> Chakravarty, D., 2021, Using the resource-based view in multinational enterprise research, </w:t>
      </w:r>
      <w:r>
        <w:rPr>
          <w:i/>
          <w:color w:val="222222"/>
          <w:highlight w:val="white"/>
        </w:rPr>
        <w:t>Journal of Management</w:t>
      </w:r>
      <w:r>
        <w:rPr>
          <w:color w:val="222222"/>
          <w:highlight w:val="white"/>
        </w:rPr>
        <w:t>, 47</w:t>
      </w:r>
      <w:r w:rsidR="00C462CF">
        <w:rPr>
          <w:color w:val="222222"/>
          <w:highlight w:val="white"/>
        </w:rPr>
        <w:t>,</w:t>
      </w:r>
      <w:r>
        <w:rPr>
          <w:color w:val="222222"/>
          <w:highlight w:val="white"/>
        </w:rPr>
        <w:t xml:space="preserve"> 7.</w:t>
      </w:r>
    </w:p>
    <w:p w14:paraId="0E4BFC7B" w14:textId="52A779C5" w:rsidR="005D5B0A" w:rsidRDefault="00A73EE7" w:rsidP="00C2012B">
      <w:pPr>
        <w:ind w:left="284" w:hanging="284"/>
        <w:jc w:val="both"/>
        <w:rPr>
          <w:color w:val="000000"/>
        </w:rPr>
      </w:pPr>
      <w:proofErr w:type="spellStart"/>
      <w:r>
        <w:rPr>
          <w:color w:val="000000"/>
        </w:rPr>
        <w:t>Besner</w:t>
      </w:r>
      <w:proofErr w:type="spellEnd"/>
      <w:r>
        <w:rPr>
          <w:color w:val="000000"/>
        </w:rPr>
        <w:t xml:space="preserve">, C., </w:t>
      </w:r>
      <w:r w:rsidR="00C462CF">
        <w:rPr>
          <w:color w:val="000000"/>
        </w:rPr>
        <w:t>&amp;</w:t>
      </w:r>
      <w:r>
        <w:rPr>
          <w:color w:val="000000"/>
        </w:rPr>
        <w:t xml:space="preserve"> Hobbs, B. </w:t>
      </w:r>
      <w:r w:rsidR="00C462CF">
        <w:rPr>
          <w:color w:val="000000"/>
        </w:rPr>
        <w:t>(</w:t>
      </w:r>
      <w:r>
        <w:rPr>
          <w:color w:val="000000"/>
        </w:rPr>
        <w:t>2012</w:t>
      </w:r>
      <w:r w:rsidR="00C462CF">
        <w:rPr>
          <w:color w:val="000000"/>
        </w:rPr>
        <w:t>)</w:t>
      </w:r>
      <w:r>
        <w:rPr>
          <w:color w:val="000000"/>
        </w:rPr>
        <w:t>, An empirical identification of project management toolsets and a comparison among project types, </w:t>
      </w:r>
      <w:r>
        <w:rPr>
          <w:i/>
          <w:color w:val="000000"/>
        </w:rPr>
        <w:t>Project Management Journal,</w:t>
      </w:r>
      <w:r>
        <w:rPr>
          <w:color w:val="000000"/>
        </w:rPr>
        <w:t> 43 (5)</w:t>
      </w:r>
      <w:r w:rsidR="00C462CF">
        <w:rPr>
          <w:color w:val="000000"/>
        </w:rPr>
        <w:t>,</w:t>
      </w:r>
      <w:r>
        <w:rPr>
          <w:color w:val="000000"/>
        </w:rPr>
        <w:t>24-46.</w:t>
      </w:r>
    </w:p>
    <w:p w14:paraId="1421B91A" w14:textId="638DD7CC" w:rsidR="005D5B0A" w:rsidRDefault="00A73EE7">
      <w:pPr>
        <w:ind w:left="284" w:hanging="284"/>
        <w:jc w:val="both"/>
        <w:rPr>
          <w:color w:val="000000"/>
        </w:rPr>
      </w:pPr>
      <w:proofErr w:type="spellStart"/>
      <w:r>
        <w:rPr>
          <w:color w:val="000000"/>
        </w:rPr>
        <w:t>Blixt</w:t>
      </w:r>
      <w:proofErr w:type="spellEnd"/>
      <w:r>
        <w:rPr>
          <w:color w:val="000000"/>
        </w:rPr>
        <w:t xml:space="preserve">, C., </w:t>
      </w:r>
      <w:r w:rsidR="00C462CF">
        <w:rPr>
          <w:color w:val="000000"/>
        </w:rPr>
        <w:t>&amp;</w:t>
      </w:r>
      <w:r>
        <w:rPr>
          <w:color w:val="000000"/>
        </w:rPr>
        <w:t xml:space="preserve"> </w:t>
      </w:r>
      <w:proofErr w:type="spellStart"/>
      <w:r>
        <w:rPr>
          <w:color w:val="000000"/>
        </w:rPr>
        <w:t>Kirytopoulos</w:t>
      </w:r>
      <w:proofErr w:type="spellEnd"/>
      <w:r>
        <w:rPr>
          <w:color w:val="000000"/>
        </w:rPr>
        <w:t xml:space="preserve">, K. </w:t>
      </w:r>
      <w:r w:rsidR="00C462CF">
        <w:rPr>
          <w:color w:val="000000"/>
        </w:rPr>
        <w:t>(</w:t>
      </w:r>
      <w:r>
        <w:rPr>
          <w:color w:val="000000"/>
        </w:rPr>
        <w:t>2017</w:t>
      </w:r>
      <w:r w:rsidR="00C462CF">
        <w:rPr>
          <w:color w:val="000000"/>
        </w:rPr>
        <w:t>)</w:t>
      </w:r>
      <w:r>
        <w:rPr>
          <w:color w:val="000000"/>
        </w:rPr>
        <w:t>, Challenges and competencies for project management in the Australian public service, </w:t>
      </w:r>
      <w:r>
        <w:rPr>
          <w:i/>
          <w:color w:val="000000"/>
        </w:rPr>
        <w:t>International Journal of Public Sector Management</w:t>
      </w:r>
      <w:r>
        <w:rPr>
          <w:color w:val="000000"/>
        </w:rPr>
        <w:t>, 30 (3)</w:t>
      </w:r>
      <w:r w:rsidR="00C462CF">
        <w:rPr>
          <w:color w:val="000000"/>
        </w:rPr>
        <w:t xml:space="preserve"> </w:t>
      </w:r>
      <w:r>
        <w:rPr>
          <w:color w:val="000000"/>
        </w:rPr>
        <w:t>286-300.</w:t>
      </w:r>
    </w:p>
    <w:p w14:paraId="6CC6D9AF" w14:textId="687A3132" w:rsidR="005D5B0A" w:rsidRDefault="00A73EE7" w:rsidP="00C2012B">
      <w:pPr>
        <w:ind w:left="284" w:hanging="284"/>
        <w:jc w:val="both"/>
      </w:pPr>
      <w:r>
        <w:t xml:space="preserve">Bonomi, S., </w:t>
      </w:r>
      <w:proofErr w:type="spellStart"/>
      <w:r>
        <w:t>Sarti</w:t>
      </w:r>
      <w:proofErr w:type="spellEnd"/>
      <w:r>
        <w:t xml:space="preserve">, D. </w:t>
      </w:r>
      <w:r w:rsidR="00C462CF">
        <w:t>&amp;</w:t>
      </w:r>
      <w:r>
        <w:t xml:space="preserve"> Torre, T., </w:t>
      </w:r>
      <w:r w:rsidR="00C462CF">
        <w:t>(</w:t>
      </w:r>
      <w:r>
        <w:t>2020</w:t>
      </w:r>
      <w:r w:rsidR="00C462CF">
        <w:t>)</w:t>
      </w:r>
      <w:r>
        <w:t>. Creating a collaborative network for welfare services in public sector. A knowledge-based perspective. Journal of Business Research, 112, 440-449.</w:t>
      </w:r>
    </w:p>
    <w:p w14:paraId="2399F41B" w14:textId="48FCB443" w:rsidR="005D5B0A" w:rsidRDefault="00A73EE7">
      <w:pPr>
        <w:ind w:left="284" w:hanging="284"/>
        <w:jc w:val="both"/>
        <w:rPr>
          <w:color w:val="000000"/>
        </w:rPr>
      </w:pPr>
      <w:r>
        <w:rPr>
          <w:color w:val="000000"/>
        </w:rPr>
        <w:t xml:space="preserve">Bowen, H. P., </w:t>
      </w:r>
      <w:r w:rsidR="00C462CF">
        <w:rPr>
          <w:color w:val="000000"/>
        </w:rPr>
        <w:t>&amp;</w:t>
      </w:r>
      <w:r>
        <w:rPr>
          <w:color w:val="000000"/>
        </w:rPr>
        <w:t xml:space="preserve"> Wiersema, M. F. </w:t>
      </w:r>
      <w:r w:rsidR="00C462CF">
        <w:rPr>
          <w:color w:val="000000"/>
        </w:rPr>
        <w:t>(</w:t>
      </w:r>
      <w:r>
        <w:rPr>
          <w:color w:val="000000"/>
        </w:rPr>
        <w:t>1999</w:t>
      </w:r>
      <w:r w:rsidR="00C462CF">
        <w:rPr>
          <w:color w:val="000000"/>
        </w:rPr>
        <w:t>)</w:t>
      </w:r>
      <w:r>
        <w:rPr>
          <w:color w:val="000000"/>
        </w:rPr>
        <w:t xml:space="preserve">. Matching method to paradigm in strategy research: Limitations of cross-sectional analysis and some methodological alternatives. </w:t>
      </w:r>
      <w:r>
        <w:rPr>
          <w:i/>
          <w:color w:val="000000"/>
        </w:rPr>
        <w:t>Strategic Management Journal</w:t>
      </w:r>
      <w:r>
        <w:rPr>
          <w:color w:val="000000"/>
        </w:rPr>
        <w:t>, 20 (7)</w:t>
      </w:r>
      <w:r w:rsidR="00C462CF">
        <w:rPr>
          <w:color w:val="000000"/>
        </w:rPr>
        <w:t xml:space="preserve"> </w:t>
      </w:r>
      <w:r>
        <w:rPr>
          <w:color w:val="000000"/>
        </w:rPr>
        <w:t>625-636.</w:t>
      </w:r>
    </w:p>
    <w:p w14:paraId="64366814" w14:textId="464C301A" w:rsidR="005D5B0A" w:rsidRDefault="00A73EE7">
      <w:pPr>
        <w:ind w:left="284" w:hanging="284"/>
        <w:jc w:val="both"/>
        <w:rPr>
          <w:color w:val="000000"/>
        </w:rPr>
      </w:pPr>
      <w:proofErr w:type="spellStart"/>
      <w:r>
        <w:rPr>
          <w:color w:val="000000"/>
        </w:rPr>
        <w:t>Bresnen</w:t>
      </w:r>
      <w:proofErr w:type="spellEnd"/>
      <w:r>
        <w:rPr>
          <w:color w:val="000000"/>
        </w:rPr>
        <w:t xml:space="preserve">, M., Edelman, L., Newell, S., </w:t>
      </w:r>
      <w:proofErr w:type="spellStart"/>
      <w:r>
        <w:rPr>
          <w:color w:val="000000"/>
        </w:rPr>
        <w:t>Scarbrough</w:t>
      </w:r>
      <w:proofErr w:type="spellEnd"/>
      <w:r>
        <w:rPr>
          <w:color w:val="000000"/>
        </w:rPr>
        <w:t xml:space="preserve">, H., </w:t>
      </w:r>
      <w:r w:rsidR="00C462CF">
        <w:rPr>
          <w:color w:val="000000"/>
        </w:rPr>
        <w:t>&amp;</w:t>
      </w:r>
      <w:r>
        <w:rPr>
          <w:color w:val="000000"/>
        </w:rPr>
        <w:t xml:space="preserve"> Swan, J. </w:t>
      </w:r>
      <w:r w:rsidR="00C462CF">
        <w:rPr>
          <w:color w:val="000000"/>
        </w:rPr>
        <w:t>(</w:t>
      </w:r>
      <w:r>
        <w:rPr>
          <w:color w:val="000000"/>
        </w:rPr>
        <w:t>2003</w:t>
      </w:r>
      <w:r w:rsidR="00C462CF">
        <w:rPr>
          <w:color w:val="000000"/>
        </w:rPr>
        <w:t>)</w:t>
      </w:r>
      <w:r>
        <w:rPr>
          <w:color w:val="000000"/>
        </w:rPr>
        <w:t>, Social practices and the management of knowledge in project environments, </w:t>
      </w:r>
      <w:r>
        <w:rPr>
          <w:i/>
          <w:color w:val="000000"/>
        </w:rPr>
        <w:t>International</w:t>
      </w:r>
      <w:r>
        <w:rPr>
          <w:color w:val="000000"/>
        </w:rPr>
        <w:t xml:space="preserve"> </w:t>
      </w:r>
      <w:r>
        <w:rPr>
          <w:i/>
          <w:color w:val="000000"/>
        </w:rPr>
        <w:t>Journal of Project Management</w:t>
      </w:r>
      <w:r>
        <w:rPr>
          <w:color w:val="000000"/>
        </w:rPr>
        <w:t>, 21 (3)</w:t>
      </w:r>
      <w:r w:rsidR="00C462CF">
        <w:rPr>
          <w:color w:val="000000"/>
        </w:rPr>
        <w:t xml:space="preserve"> </w:t>
      </w:r>
      <w:r>
        <w:rPr>
          <w:color w:val="000000"/>
        </w:rPr>
        <w:t>157-166.</w:t>
      </w:r>
    </w:p>
    <w:p w14:paraId="1643B0EB" w14:textId="597B7395" w:rsidR="005D5B0A" w:rsidRDefault="00A73EE7">
      <w:pPr>
        <w:ind w:left="284" w:hanging="284"/>
        <w:jc w:val="both"/>
        <w:rPr>
          <w:color w:val="000000"/>
        </w:rPr>
      </w:pPr>
      <w:r>
        <w:rPr>
          <w:color w:val="000000"/>
        </w:rPr>
        <w:t xml:space="preserve">Bromiley, P., </w:t>
      </w:r>
      <w:r w:rsidR="00C462CF">
        <w:rPr>
          <w:color w:val="000000"/>
        </w:rPr>
        <w:t>&amp;</w:t>
      </w:r>
      <w:r>
        <w:rPr>
          <w:color w:val="000000"/>
        </w:rPr>
        <w:t xml:space="preserve"> Rau, D. </w:t>
      </w:r>
      <w:r w:rsidR="00C462CF">
        <w:rPr>
          <w:color w:val="000000"/>
        </w:rPr>
        <w:t>(</w:t>
      </w:r>
      <w:r>
        <w:rPr>
          <w:color w:val="000000"/>
        </w:rPr>
        <w:t>2016</w:t>
      </w:r>
      <w:r w:rsidR="00C462CF">
        <w:rPr>
          <w:color w:val="000000"/>
        </w:rPr>
        <w:t>)</w:t>
      </w:r>
      <w:r>
        <w:rPr>
          <w:color w:val="000000"/>
        </w:rPr>
        <w:t xml:space="preserve">. Operations management and the resource-based view: Another view. </w:t>
      </w:r>
      <w:r>
        <w:rPr>
          <w:i/>
          <w:color w:val="000000"/>
        </w:rPr>
        <w:t>Journal of Operations Management</w:t>
      </w:r>
      <w:r>
        <w:rPr>
          <w:color w:val="000000"/>
        </w:rPr>
        <w:t>, 41</w:t>
      </w:r>
      <w:r w:rsidR="00C462CF">
        <w:rPr>
          <w:color w:val="000000"/>
        </w:rPr>
        <w:t xml:space="preserve">, </w:t>
      </w:r>
      <w:r>
        <w:rPr>
          <w:color w:val="000000"/>
        </w:rPr>
        <w:t>95-106.</w:t>
      </w:r>
    </w:p>
    <w:p w14:paraId="3DE6DF31" w14:textId="648207A9" w:rsidR="005D5B0A" w:rsidRDefault="00A73EE7">
      <w:pPr>
        <w:ind w:left="284" w:hanging="284"/>
        <w:jc w:val="both"/>
        <w:rPr>
          <w:color w:val="000000"/>
        </w:rPr>
      </w:pPr>
      <w:proofErr w:type="spellStart"/>
      <w:r>
        <w:rPr>
          <w:color w:val="000000"/>
        </w:rPr>
        <w:t>Bryde</w:t>
      </w:r>
      <w:proofErr w:type="spellEnd"/>
      <w:r>
        <w:rPr>
          <w:color w:val="000000"/>
        </w:rPr>
        <w:t xml:space="preserve">, D. J. </w:t>
      </w:r>
      <w:r w:rsidR="00C462CF">
        <w:rPr>
          <w:color w:val="000000"/>
        </w:rPr>
        <w:t>(</w:t>
      </w:r>
      <w:r>
        <w:rPr>
          <w:color w:val="000000"/>
        </w:rPr>
        <w:t>2003</w:t>
      </w:r>
      <w:r w:rsidR="00C462CF">
        <w:rPr>
          <w:color w:val="000000"/>
        </w:rPr>
        <w:t>)</w:t>
      </w:r>
      <w:r>
        <w:rPr>
          <w:color w:val="000000"/>
        </w:rPr>
        <w:t xml:space="preserve">, Project management concepts, methods and application, </w:t>
      </w:r>
      <w:r>
        <w:rPr>
          <w:i/>
          <w:color w:val="000000"/>
        </w:rPr>
        <w:t>International</w:t>
      </w:r>
      <w:r>
        <w:rPr>
          <w:color w:val="000000"/>
        </w:rPr>
        <w:t xml:space="preserve"> </w:t>
      </w:r>
      <w:r>
        <w:rPr>
          <w:i/>
          <w:color w:val="000000"/>
        </w:rPr>
        <w:t>Journal of Operations and Production Management</w:t>
      </w:r>
      <w:r>
        <w:rPr>
          <w:color w:val="000000"/>
        </w:rPr>
        <w:t>, 23 (7)</w:t>
      </w:r>
      <w:r w:rsidR="00C462CF">
        <w:rPr>
          <w:color w:val="000000"/>
        </w:rPr>
        <w:t xml:space="preserve">, </w:t>
      </w:r>
      <w:r>
        <w:rPr>
          <w:color w:val="000000"/>
        </w:rPr>
        <w:t>775-793.</w:t>
      </w:r>
    </w:p>
    <w:p w14:paraId="5D0D4100" w14:textId="71FE520F" w:rsidR="005D5B0A" w:rsidRDefault="00A73EE7">
      <w:pPr>
        <w:ind w:left="284" w:hanging="284"/>
        <w:jc w:val="both"/>
        <w:rPr>
          <w:color w:val="000000"/>
        </w:rPr>
      </w:pPr>
      <w:proofErr w:type="spellStart"/>
      <w:r>
        <w:rPr>
          <w:color w:val="000000"/>
        </w:rPr>
        <w:t>Bryde</w:t>
      </w:r>
      <w:proofErr w:type="spellEnd"/>
      <w:r>
        <w:rPr>
          <w:color w:val="000000"/>
        </w:rPr>
        <w:t xml:space="preserve">, D. J., </w:t>
      </w:r>
      <w:r w:rsidR="00C462CF">
        <w:rPr>
          <w:color w:val="000000"/>
        </w:rPr>
        <w:t>&amp;</w:t>
      </w:r>
      <w:r>
        <w:rPr>
          <w:color w:val="000000"/>
        </w:rPr>
        <w:t xml:space="preserve"> Wright, G. H. </w:t>
      </w:r>
      <w:r w:rsidR="00C462CF">
        <w:rPr>
          <w:color w:val="000000"/>
        </w:rPr>
        <w:t>(</w:t>
      </w:r>
      <w:r>
        <w:rPr>
          <w:color w:val="000000"/>
        </w:rPr>
        <w:t>2007</w:t>
      </w:r>
      <w:r w:rsidR="00C462CF">
        <w:rPr>
          <w:color w:val="000000"/>
        </w:rPr>
        <w:t>)</w:t>
      </w:r>
      <w:r>
        <w:rPr>
          <w:color w:val="000000"/>
        </w:rPr>
        <w:t>, Project management priorities and the link with performance management systems, </w:t>
      </w:r>
      <w:r>
        <w:rPr>
          <w:i/>
          <w:color w:val="000000"/>
        </w:rPr>
        <w:t>Project Management Journal</w:t>
      </w:r>
      <w:r>
        <w:rPr>
          <w:color w:val="000000"/>
        </w:rPr>
        <w:t>, 38 (4)</w:t>
      </w:r>
      <w:r w:rsidR="00C462CF">
        <w:rPr>
          <w:color w:val="000000"/>
        </w:rPr>
        <w:t xml:space="preserve">, </w:t>
      </w:r>
      <w:r>
        <w:rPr>
          <w:color w:val="000000"/>
        </w:rPr>
        <w:t>5-11.</w:t>
      </w:r>
    </w:p>
    <w:p w14:paraId="608393E9" w14:textId="1F22BCCC" w:rsidR="005D5B0A" w:rsidRDefault="00A73EE7">
      <w:pPr>
        <w:ind w:left="284" w:hanging="284"/>
        <w:jc w:val="both"/>
        <w:rPr>
          <w:color w:val="000000"/>
        </w:rPr>
      </w:pPr>
      <w:r>
        <w:t xml:space="preserve">Cano, J. L., </w:t>
      </w:r>
      <w:r w:rsidR="00C462CF">
        <w:t>&amp;</w:t>
      </w:r>
      <w:r>
        <w:t xml:space="preserve"> M. J. Saenz. </w:t>
      </w:r>
      <w:r w:rsidR="00C462CF">
        <w:t>(</w:t>
      </w:r>
      <w:r>
        <w:t>2003</w:t>
      </w:r>
      <w:r w:rsidR="00C462CF">
        <w:t>)</w:t>
      </w:r>
      <w:r>
        <w:t xml:space="preserve">. Project Management Simulation Laboratory: Experimental Learning and Knowledge Acquisition. </w:t>
      </w:r>
      <w:r>
        <w:rPr>
          <w:i/>
        </w:rPr>
        <w:t>Production Planning &amp; Control</w:t>
      </w:r>
      <w:r>
        <w:t xml:space="preserve"> 14(2)</w:t>
      </w:r>
      <w:r w:rsidR="00C462CF">
        <w:t>,</w:t>
      </w:r>
      <w:r>
        <w:t xml:space="preserve"> 166–173.</w:t>
      </w:r>
    </w:p>
    <w:p w14:paraId="32CE359A" w14:textId="7865CAE2" w:rsidR="005D5B0A" w:rsidRDefault="00A73EE7">
      <w:pPr>
        <w:ind w:left="284" w:hanging="284"/>
        <w:jc w:val="both"/>
        <w:rPr>
          <w:color w:val="000000"/>
        </w:rPr>
      </w:pPr>
      <w:r>
        <w:rPr>
          <w:color w:val="000000"/>
        </w:rPr>
        <w:t xml:space="preserve">Catts, R., </w:t>
      </w:r>
      <w:r w:rsidR="00C462CF">
        <w:rPr>
          <w:color w:val="000000"/>
        </w:rPr>
        <w:t>&amp;</w:t>
      </w:r>
      <w:r>
        <w:rPr>
          <w:color w:val="000000"/>
        </w:rPr>
        <w:t xml:space="preserve"> </w:t>
      </w:r>
      <w:proofErr w:type="spellStart"/>
      <w:r>
        <w:rPr>
          <w:color w:val="000000"/>
        </w:rPr>
        <w:t>Ozga</w:t>
      </w:r>
      <w:proofErr w:type="spellEnd"/>
      <w:r>
        <w:rPr>
          <w:color w:val="000000"/>
        </w:rPr>
        <w:t xml:space="preserve">, J. </w:t>
      </w:r>
      <w:r w:rsidR="00C462CF">
        <w:rPr>
          <w:color w:val="000000"/>
        </w:rPr>
        <w:t>(</w:t>
      </w:r>
      <w:r>
        <w:rPr>
          <w:color w:val="000000"/>
        </w:rPr>
        <w:t>2005</w:t>
      </w:r>
      <w:r w:rsidR="00C462CF">
        <w:rPr>
          <w:color w:val="000000"/>
        </w:rPr>
        <w:t>)</w:t>
      </w:r>
      <w:r>
        <w:rPr>
          <w:color w:val="000000"/>
        </w:rPr>
        <w:t xml:space="preserve">, </w:t>
      </w:r>
      <w:r>
        <w:rPr>
          <w:i/>
          <w:color w:val="000000"/>
        </w:rPr>
        <w:t>What is social capital and how might it be used in Scotland's schools?</w:t>
      </w:r>
      <w:r>
        <w:rPr>
          <w:color w:val="000000"/>
        </w:rPr>
        <w:t> (36), Edinburgh, UK: Centre for Educational Sociology.</w:t>
      </w:r>
    </w:p>
    <w:p w14:paraId="2BEB1443" w14:textId="58742FE8" w:rsidR="005D5B0A" w:rsidRDefault="00A73EE7">
      <w:pPr>
        <w:ind w:left="284" w:hanging="284"/>
        <w:jc w:val="both"/>
        <w:rPr>
          <w:color w:val="000000"/>
        </w:rPr>
      </w:pPr>
      <w:proofErr w:type="spellStart"/>
      <w:r>
        <w:rPr>
          <w:color w:val="000000"/>
        </w:rPr>
        <w:t>Cepiku</w:t>
      </w:r>
      <w:proofErr w:type="spellEnd"/>
      <w:r>
        <w:rPr>
          <w:color w:val="000000"/>
        </w:rPr>
        <w:t xml:space="preserve">, D., Giordano, F. </w:t>
      </w:r>
      <w:r w:rsidR="00C462CF">
        <w:rPr>
          <w:color w:val="000000"/>
        </w:rPr>
        <w:t>&amp;</w:t>
      </w:r>
      <w:r>
        <w:rPr>
          <w:color w:val="000000"/>
        </w:rPr>
        <w:t xml:space="preserve"> </w:t>
      </w:r>
      <w:proofErr w:type="spellStart"/>
      <w:r>
        <w:rPr>
          <w:color w:val="000000"/>
        </w:rPr>
        <w:t>Savignon</w:t>
      </w:r>
      <w:proofErr w:type="spellEnd"/>
      <w:r>
        <w:rPr>
          <w:color w:val="000000"/>
        </w:rPr>
        <w:t xml:space="preserve">, A., </w:t>
      </w:r>
      <w:r w:rsidR="00C462CF">
        <w:rPr>
          <w:color w:val="000000"/>
        </w:rPr>
        <w:t>(</w:t>
      </w:r>
      <w:r>
        <w:rPr>
          <w:color w:val="000000"/>
        </w:rPr>
        <w:t>2018</w:t>
      </w:r>
      <w:r w:rsidR="00C462CF">
        <w:rPr>
          <w:color w:val="000000"/>
        </w:rPr>
        <w:t>)</w:t>
      </w:r>
      <w:r>
        <w:rPr>
          <w:color w:val="000000"/>
        </w:rPr>
        <w:t xml:space="preserve">, Does strategy rhyme with </w:t>
      </w:r>
      <w:proofErr w:type="gramStart"/>
      <w:r>
        <w:rPr>
          <w:color w:val="000000"/>
        </w:rPr>
        <w:t>austerity?.</w:t>
      </w:r>
      <w:proofErr w:type="gramEnd"/>
      <w:r>
        <w:rPr>
          <w:color w:val="000000"/>
        </w:rPr>
        <w:t xml:space="preserve"> </w:t>
      </w:r>
      <w:r>
        <w:rPr>
          <w:i/>
          <w:color w:val="000000"/>
        </w:rPr>
        <w:t>Public Management Review</w:t>
      </w:r>
      <w:r>
        <w:rPr>
          <w:color w:val="000000"/>
        </w:rPr>
        <w:t>, 20(3)</w:t>
      </w:r>
      <w:r w:rsidR="00C462CF">
        <w:rPr>
          <w:color w:val="000000"/>
        </w:rPr>
        <w:t xml:space="preserve">, </w:t>
      </w:r>
      <w:r>
        <w:rPr>
          <w:color w:val="000000"/>
        </w:rPr>
        <w:t>421-443.</w:t>
      </w:r>
    </w:p>
    <w:p w14:paraId="74751478" w14:textId="15E0FAB7" w:rsidR="005D5B0A" w:rsidRDefault="00A73EE7">
      <w:pPr>
        <w:ind w:left="284" w:hanging="284"/>
        <w:jc w:val="both"/>
        <w:rPr>
          <w:color w:val="000000"/>
        </w:rPr>
      </w:pPr>
      <w:proofErr w:type="spellStart"/>
      <w:r>
        <w:rPr>
          <w:color w:val="000000"/>
        </w:rPr>
        <w:t>Cervone</w:t>
      </w:r>
      <w:proofErr w:type="spellEnd"/>
      <w:r>
        <w:rPr>
          <w:color w:val="000000"/>
        </w:rPr>
        <w:t xml:space="preserve">, H. F. </w:t>
      </w:r>
      <w:r w:rsidR="00C462CF">
        <w:rPr>
          <w:color w:val="000000"/>
        </w:rPr>
        <w:t>(</w:t>
      </w:r>
      <w:r>
        <w:rPr>
          <w:color w:val="000000"/>
        </w:rPr>
        <w:t>2011</w:t>
      </w:r>
      <w:r w:rsidR="00C462CF">
        <w:rPr>
          <w:color w:val="000000"/>
        </w:rPr>
        <w:t>)</w:t>
      </w:r>
      <w:r>
        <w:rPr>
          <w:color w:val="000000"/>
        </w:rPr>
        <w:t>, Understanding agile project management methods using scrum.</w:t>
      </w:r>
      <w:r w:rsidR="00C462CF">
        <w:rPr>
          <w:color w:val="000000"/>
        </w:rPr>
        <w:t xml:space="preserve"> </w:t>
      </w:r>
      <w:r>
        <w:rPr>
          <w:i/>
          <w:color w:val="000000"/>
        </w:rPr>
        <w:t>OCLC Systems &amp; Services: International Digital Library Perspectives</w:t>
      </w:r>
      <w:r>
        <w:rPr>
          <w:color w:val="000000"/>
        </w:rPr>
        <w:t>, 27(1)</w:t>
      </w:r>
      <w:r w:rsidR="00C462CF">
        <w:rPr>
          <w:color w:val="000000"/>
        </w:rPr>
        <w:t xml:space="preserve">, </w:t>
      </w:r>
      <w:r>
        <w:rPr>
          <w:color w:val="000000"/>
        </w:rPr>
        <w:t>18-22.</w:t>
      </w:r>
    </w:p>
    <w:p w14:paraId="692EAB7F" w14:textId="50D84324" w:rsidR="006A4BF1" w:rsidRDefault="006A4BF1">
      <w:pPr>
        <w:ind w:left="284" w:hanging="284"/>
        <w:jc w:val="both"/>
        <w:rPr>
          <w:color w:val="000000"/>
        </w:rPr>
      </w:pPr>
      <w:r w:rsidRPr="006A4BF1">
        <w:rPr>
          <w:color w:val="000000"/>
        </w:rPr>
        <w:t xml:space="preserve">Chen, J., Zhang, Q. </w:t>
      </w:r>
      <w:r w:rsidR="00C462CF">
        <w:rPr>
          <w:color w:val="000000"/>
        </w:rPr>
        <w:t>&amp;</w:t>
      </w:r>
      <w:r w:rsidRPr="006A4BF1">
        <w:rPr>
          <w:color w:val="000000"/>
        </w:rPr>
        <w:t xml:space="preserve"> Liu, L. (2020) How to choose the right partners in cross-sector partnership in emerging countries? A political embeddedness perspective, Business &amp;amp; Society, 61(3), 753–787. Available at: https://doi.org/10.1177/0007650320982600.</w:t>
      </w:r>
    </w:p>
    <w:p w14:paraId="4A9F4065" w14:textId="4CDCE209" w:rsidR="005D5B0A" w:rsidRDefault="00A73EE7" w:rsidP="00C2012B">
      <w:pPr>
        <w:ind w:left="284" w:hanging="284"/>
        <w:jc w:val="both"/>
        <w:rPr>
          <w:color w:val="000000"/>
        </w:rPr>
      </w:pPr>
      <w:proofErr w:type="spellStart"/>
      <w:r>
        <w:rPr>
          <w:color w:val="000000"/>
        </w:rPr>
        <w:t>Chitkara</w:t>
      </w:r>
      <w:proofErr w:type="spellEnd"/>
      <w:r>
        <w:rPr>
          <w:color w:val="000000"/>
        </w:rPr>
        <w:t xml:space="preserve">, K. K. </w:t>
      </w:r>
      <w:r w:rsidR="00C462CF">
        <w:rPr>
          <w:color w:val="000000"/>
        </w:rPr>
        <w:t>(</w:t>
      </w:r>
      <w:r>
        <w:rPr>
          <w:color w:val="000000"/>
        </w:rPr>
        <w:t>1998</w:t>
      </w:r>
      <w:r w:rsidR="00C462CF">
        <w:rPr>
          <w:color w:val="000000"/>
        </w:rPr>
        <w:t>)</w:t>
      </w:r>
      <w:r>
        <w:rPr>
          <w:color w:val="000000"/>
        </w:rPr>
        <w:t xml:space="preserve">, </w:t>
      </w:r>
      <w:r>
        <w:rPr>
          <w:i/>
          <w:color w:val="000000"/>
        </w:rPr>
        <w:t>Construction project management,</w:t>
      </w:r>
      <w:r>
        <w:rPr>
          <w:color w:val="000000"/>
        </w:rPr>
        <w:t xml:space="preserve"> Tata McGraw-Hill Education.</w:t>
      </w:r>
    </w:p>
    <w:p w14:paraId="254B8244" w14:textId="7623255E" w:rsidR="00F442D7" w:rsidRDefault="00F442D7" w:rsidP="00C2012B">
      <w:pPr>
        <w:ind w:left="284" w:hanging="284"/>
        <w:jc w:val="both"/>
        <w:rPr>
          <w:color w:val="000000"/>
        </w:rPr>
      </w:pPr>
      <w:r w:rsidRPr="00F442D7">
        <w:rPr>
          <w:color w:val="000000"/>
        </w:rPr>
        <w:t xml:space="preserve">Clarke, A. </w:t>
      </w:r>
      <w:r w:rsidR="00C462CF">
        <w:rPr>
          <w:color w:val="000000"/>
        </w:rPr>
        <w:t>&amp;</w:t>
      </w:r>
      <w:r w:rsidRPr="00F442D7">
        <w:rPr>
          <w:color w:val="000000"/>
        </w:rPr>
        <w:t xml:space="preserve"> MacDonald, A. (2016) Outcomes to partners in multi-stakeholder cross-sector partnerships: A Resource-based view, Business &amp;amp; Society, 58(2), 298–332. Available at: https://doi.org/10.1177/0007650316660534.</w:t>
      </w:r>
    </w:p>
    <w:p w14:paraId="5A7645D2" w14:textId="4600DC08" w:rsidR="005D5B0A" w:rsidRDefault="00A73EE7">
      <w:pPr>
        <w:ind w:left="284" w:hanging="284"/>
        <w:jc w:val="both"/>
        <w:rPr>
          <w:color w:val="000000"/>
        </w:rPr>
      </w:pPr>
      <w:proofErr w:type="spellStart"/>
      <w:r>
        <w:rPr>
          <w:color w:val="000000"/>
        </w:rPr>
        <w:t>Cicmil</w:t>
      </w:r>
      <w:proofErr w:type="spellEnd"/>
      <w:r>
        <w:rPr>
          <w:color w:val="000000"/>
        </w:rPr>
        <w:t xml:space="preserve">, S., Williams, T., Thomas, J., </w:t>
      </w:r>
      <w:r w:rsidR="00C462CF">
        <w:rPr>
          <w:color w:val="000000"/>
        </w:rPr>
        <w:t xml:space="preserve">&amp; </w:t>
      </w:r>
      <w:r>
        <w:rPr>
          <w:color w:val="000000"/>
        </w:rPr>
        <w:t xml:space="preserve">Hodgson, D. </w:t>
      </w:r>
      <w:r w:rsidR="00C462CF">
        <w:rPr>
          <w:color w:val="000000"/>
        </w:rPr>
        <w:t>(</w:t>
      </w:r>
      <w:r>
        <w:rPr>
          <w:color w:val="000000"/>
        </w:rPr>
        <w:t>2006</w:t>
      </w:r>
      <w:r w:rsidR="00C462CF">
        <w:rPr>
          <w:color w:val="000000"/>
        </w:rPr>
        <w:t>)</w:t>
      </w:r>
      <w:r>
        <w:rPr>
          <w:color w:val="000000"/>
        </w:rPr>
        <w:t xml:space="preserve">, Rethinking project management: researching the actuality of projects, </w:t>
      </w:r>
      <w:r>
        <w:rPr>
          <w:i/>
          <w:color w:val="000000"/>
        </w:rPr>
        <w:t>International Journal of Project Management</w:t>
      </w:r>
      <w:r>
        <w:rPr>
          <w:color w:val="000000"/>
        </w:rPr>
        <w:t>, 24 (8)</w:t>
      </w:r>
      <w:r w:rsidR="00C462CF">
        <w:rPr>
          <w:color w:val="000000"/>
        </w:rPr>
        <w:t xml:space="preserve">, </w:t>
      </w:r>
      <w:r>
        <w:rPr>
          <w:color w:val="000000"/>
        </w:rPr>
        <w:t>675-686.</w:t>
      </w:r>
    </w:p>
    <w:p w14:paraId="06616F0C" w14:textId="1472BAB7" w:rsidR="005D5B0A" w:rsidRDefault="00A73EE7">
      <w:pPr>
        <w:ind w:left="284" w:hanging="284"/>
        <w:jc w:val="both"/>
        <w:rPr>
          <w:color w:val="000000"/>
        </w:rPr>
      </w:pPr>
      <w:r>
        <w:rPr>
          <w:color w:val="000000"/>
        </w:rPr>
        <w:t xml:space="preserve">Conner, K. R. </w:t>
      </w:r>
      <w:r w:rsidR="00C462CF">
        <w:rPr>
          <w:color w:val="000000"/>
        </w:rPr>
        <w:t>(</w:t>
      </w:r>
      <w:r>
        <w:rPr>
          <w:color w:val="000000"/>
        </w:rPr>
        <w:t>1991</w:t>
      </w:r>
      <w:r w:rsidR="00C462CF">
        <w:rPr>
          <w:color w:val="000000"/>
        </w:rPr>
        <w:t>)</w:t>
      </w:r>
      <w:r>
        <w:rPr>
          <w:color w:val="000000"/>
        </w:rPr>
        <w:t xml:space="preserve">, A historical comparison of resource-based theory and five schools of thought within industrial organization economics: Do we have a new theory of the firm? </w:t>
      </w:r>
      <w:r>
        <w:rPr>
          <w:i/>
          <w:color w:val="000000"/>
        </w:rPr>
        <w:t>Journal of Management</w:t>
      </w:r>
      <w:r>
        <w:rPr>
          <w:color w:val="000000"/>
        </w:rPr>
        <w:t>, 17 (1)</w:t>
      </w:r>
      <w:r w:rsidR="00C462CF">
        <w:rPr>
          <w:color w:val="000000"/>
        </w:rPr>
        <w:t xml:space="preserve">, </w:t>
      </w:r>
      <w:r>
        <w:rPr>
          <w:color w:val="000000"/>
        </w:rPr>
        <w:t>121-154.</w:t>
      </w:r>
    </w:p>
    <w:p w14:paraId="62EDC618" w14:textId="166240E6" w:rsidR="005D5B0A" w:rsidRDefault="00A73EE7">
      <w:pPr>
        <w:ind w:left="284" w:hanging="284"/>
        <w:jc w:val="both"/>
        <w:rPr>
          <w:color w:val="000000"/>
        </w:rPr>
      </w:pPr>
      <w:r>
        <w:rPr>
          <w:color w:val="000000"/>
        </w:rPr>
        <w:lastRenderedPageBreak/>
        <w:t xml:space="preserve">Conner, K. R., </w:t>
      </w:r>
      <w:r w:rsidR="00C462CF">
        <w:rPr>
          <w:color w:val="000000"/>
        </w:rPr>
        <w:t>&amp;</w:t>
      </w:r>
      <w:r>
        <w:rPr>
          <w:color w:val="000000"/>
        </w:rPr>
        <w:t xml:space="preserve"> Prahalad, C. K. </w:t>
      </w:r>
      <w:r w:rsidR="00C462CF">
        <w:rPr>
          <w:color w:val="000000"/>
        </w:rPr>
        <w:t>(</w:t>
      </w:r>
      <w:r>
        <w:rPr>
          <w:color w:val="000000"/>
        </w:rPr>
        <w:t>1996</w:t>
      </w:r>
      <w:r w:rsidR="00C462CF">
        <w:rPr>
          <w:color w:val="000000"/>
        </w:rPr>
        <w:t>)</w:t>
      </w:r>
      <w:r>
        <w:rPr>
          <w:color w:val="000000"/>
        </w:rPr>
        <w:t xml:space="preserve">, A resource-based theory of the firm: Knowledge versus opportunism. </w:t>
      </w:r>
      <w:r>
        <w:rPr>
          <w:i/>
          <w:color w:val="000000"/>
        </w:rPr>
        <w:t>Organization Science</w:t>
      </w:r>
      <w:r>
        <w:rPr>
          <w:color w:val="000000"/>
        </w:rPr>
        <w:t>, 7(5)</w:t>
      </w:r>
      <w:r w:rsidR="00C462CF">
        <w:rPr>
          <w:color w:val="000000"/>
        </w:rPr>
        <w:t xml:space="preserve">, </w:t>
      </w:r>
      <w:r>
        <w:rPr>
          <w:color w:val="000000"/>
        </w:rPr>
        <w:t>477-501.</w:t>
      </w:r>
    </w:p>
    <w:p w14:paraId="56D58366" w14:textId="6BFA750B" w:rsidR="005D5B0A" w:rsidRDefault="00A73EE7">
      <w:pPr>
        <w:ind w:left="284" w:hanging="284"/>
        <w:jc w:val="both"/>
        <w:rPr>
          <w:color w:val="000000"/>
        </w:rPr>
      </w:pPr>
      <w:r>
        <w:rPr>
          <w:color w:val="000000"/>
        </w:rPr>
        <w:t xml:space="preserve">Crawford, L. H., </w:t>
      </w:r>
      <w:r w:rsidR="00C462CF">
        <w:rPr>
          <w:color w:val="000000"/>
        </w:rPr>
        <w:t>&amp;</w:t>
      </w:r>
      <w:r>
        <w:rPr>
          <w:color w:val="000000"/>
        </w:rPr>
        <w:t xml:space="preserve"> Helm, J. </w:t>
      </w:r>
      <w:r w:rsidR="00C462CF">
        <w:rPr>
          <w:color w:val="000000"/>
        </w:rPr>
        <w:t>(</w:t>
      </w:r>
      <w:r>
        <w:rPr>
          <w:color w:val="000000"/>
        </w:rPr>
        <w:t>2009</w:t>
      </w:r>
      <w:r w:rsidR="00C462CF">
        <w:rPr>
          <w:color w:val="000000"/>
        </w:rPr>
        <w:t>)</w:t>
      </w:r>
      <w:r>
        <w:rPr>
          <w:color w:val="000000"/>
        </w:rPr>
        <w:t>, Government and governance: The value of project management in the public sector, </w:t>
      </w:r>
      <w:r>
        <w:rPr>
          <w:i/>
          <w:color w:val="000000"/>
        </w:rPr>
        <w:t>Project Management Journal,</w:t>
      </w:r>
      <w:r>
        <w:rPr>
          <w:color w:val="000000"/>
        </w:rPr>
        <w:t xml:space="preserve"> 40(1)</w:t>
      </w:r>
      <w:r w:rsidR="00C462CF">
        <w:rPr>
          <w:color w:val="000000"/>
        </w:rPr>
        <w:t xml:space="preserve">, </w:t>
      </w:r>
      <w:r>
        <w:rPr>
          <w:color w:val="000000"/>
        </w:rPr>
        <w:t>73-87.</w:t>
      </w:r>
    </w:p>
    <w:p w14:paraId="581EC37C" w14:textId="269068F1" w:rsidR="005D5B0A" w:rsidRDefault="00A73EE7">
      <w:pPr>
        <w:ind w:left="284" w:hanging="284"/>
        <w:jc w:val="both"/>
        <w:rPr>
          <w:color w:val="000000"/>
        </w:rPr>
      </w:pPr>
      <w:r>
        <w:rPr>
          <w:color w:val="000000"/>
        </w:rPr>
        <w:t xml:space="preserve">Davies, A., Manning, S. </w:t>
      </w:r>
      <w:r w:rsidR="00F970C2">
        <w:rPr>
          <w:color w:val="000000"/>
        </w:rPr>
        <w:t>&amp;</w:t>
      </w:r>
      <w:r>
        <w:rPr>
          <w:color w:val="000000"/>
        </w:rPr>
        <w:t xml:space="preserve"> </w:t>
      </w:r>
      <w:proofErr w:type="spellStart"/>
      <w:r>
        <w:rPr>
          <w:color w:val="000000"/>
        </w:rPr>
        <w:t>Söderlund</w:t>
      </w:r>
      <w:proofErr w:type="spellEnd"/>
      <w:r>
        <w:rPr>
          <w:color w:val="000000"/>
        </w:rPr>
        <w:t xml:space="preserve">, J. </w:t>
      </w:r>
      <w:r w:rsidR="00C462CF">
        <w:rPr>
          <w:color w:val="000000"/>
        </w:rPr>
        <w:t>(</w:t>
      </w:r>
      <w:r>
        <w:rPr>
          <w:color w:val="000000"/>
        </w:rPr>
        <w:t>2018</w:t>
      </w:r>
      <w:r w:rsidR="00C462CF">
        <w:rPr>
          <w:color w:val="000000"/>
        </w:rPr>
        <w:t>)</w:t>
      </w:r>
      <w:r>
        <w:rPr>
          <w:color w:val="000000"/>
        </w:rPr>
        <w:t xml:space="preserve">, When </w:t>
      </w:r>
      <w:proofErr w:type="spellStart"/>
      <w:r>
        <w:rPr>
          <w:color w:val="000000"/>
        </w:rPr>
        <w:t>neighboring</w:t>
      </w:r>
      <w:proofErr w:type="spellEnd"/>
      <w:r>
        <w:rPr>
          <w:color w:val="000000"/>
        </w:rPr>
        <w:t xml:space="preserve"> disciplines fail to learn from each other: The case of innovation and project management research, </w:t>
      </w:r>
      <w:r>
        <w:rPr>
          <w:i/>
          <w:color w:val="000000"/>
        </w:rPr>
        <w:t>Research Policy,</w:t>
      </w:r>
      <w:r>
        <w:rPr>
          <w:color w:val="000000"/>
        </w:rPr>
        <w:t xml:space="preserve"> 47(5)</w:t>
      </w:r>
      <w:r w:rsidR="00F970C2">
        <w:rPr>
          <w:color w:val="000000"/>
        </w:rPr>
        <w:t xml:space="preserve">, </w:t>
      </w:r>
      <w:r>
        <w:rPr>
          <w:color w:val="000000"/>
        </w:rPr>
        <w:t>965-979.</w:t>
      </w:r>
    </w:p>
    <w:p w14:paraId="2F3E4750" w14:textId="1B2F9064" w:rsidR="005D5B0A" w:rsidRDefault="00A73EE7">
      <w:pPr>
        <w:ind w:left="284" w:hanging="284"/>
        <w:jc w:val="both"/>
        <w:rPr>
          <w:color w:val="000000"/>
        </w:rPr>
      </w:pPr>
      <w:r>
        <w:rPr>
          <w:color w:val="000000"/>
        </w:rPr>
        <w:t xml:space="preserve">Davis, K. </w:t>
      </w:r>
      <w:r w:rsidR="00F970C2">
        <w:rPr>
          <w:color w:val="000000"/>
        </w:rPr>
        <w:t>(</w:t>
      </w:r>
      <w:r>
        <w:rPr>
          <w:color w:val="000000"/>
        </w:rPr>
        <w:t>2014</w:t>
      </w:r>
      <w:r w:rsidR="00F970C2">
        <w:rPr>
          <w:color w:val="000000"/>
        </w:rPr>
        <w:t>)</w:t>
      </w:r>
      <w:r>
        <w:rPr>
          <w:color w:val="000000"/>
        </w:rPr>
        <w:t xml:space="preserve">, Different stakeholder groups and their perceptions of project success, </w:t>
      </w:r>
      <w:proofErr w:type="gramStart"/>
      <w:r>
        <w:rPr>
          <w:i/>
          <w:color w:val="000000"/>
        </w:rPr>
        <w:t>International</w:t>
      </w:r>
      <w:proofErr w:type="gramEnd"/>
      <w:r>
        <w:rPr>
          <w:i/>
          <w:color w:val="000000"/>
        </w:rPr>
        <w:t xml:space="preserve"> journal of project management</w:t>
      </w:r>
      <w:r>
        <w:rPr>
          <w:color w:val="000000"/>
        </w:rPr>
        <w:t>, 32 (2)</w:t>
      </w:r>
      <w:r w:rsidR="00F970C2">
        <w:rPr>
          <w:color w:val="000000"/>
        </w:rPr>
        <w:t xml:space="preserve">, </w:t>
      </w:r>
      <w:r>
        <w:rPr>
          <w:color w:val="000000"/>
        </w:rPr>
        <w:t>189-201.</w:t>
      </w:r>
    </w:p>
    <w:p w14:paraId="034284AF" w14:textId="08812A12" w:rsidR="005D5B0A" w:rsidRDefault="00A73EE7">
      <w:pPr>
        <w:ind w:left="284" w:hanging="284"/>
        <w:jc w:val="both"/>
        <w:rPr>
          <w:color w:val="000000"/>
        </w:rPr>
      </w:pPr>
      <w:r>
        <w:rPr>
          <w:color w:val="000000"/>
        </w:rPr>
        <w:t xml:space="preserve">Dierickx, I., </w:t>
      </w:r>
      <w:r w:rsidR="00F970C2">
        <w:rPr>
          <w:color w:val="000000"/>
        </w:rPr>
        <w:t>&amp;</w:t>
      </w:r>
      <w:r>
        <w:rPr>
          <w:color w:val="000000"/>
        </w:rPr>
        <w:t xml:space="preserve"> Cool, K. </w:t>
      </w:r>
      <w:r w:rsidR="00F970C2">
        <w:rPr>
          <w:color w:val="000000"/>
        </w:rPr>
        <w:t>(</w:t>
      </w:r>
      <w:r>
        <w:rPr>
          <w:color w:val="000000"/>
        </w:rPr>
        <w:t>1989</w:t>
      </w:r>
      <w:r w:rsidR="00F970C2">
        <w:rPr>
          <w:color w:val="000000"/>
        </w:rPr>
        <w:t>)</w:t>
      </w:r>
      <w:r>
        <w:rPr>
          <w:color w:val="000000"/>
        </w:rPr>
        <w:t xml:space="preserve">, Asset Stock Accumulation and Sustainability of Competitive Advantage”, </w:t>
      </w:r>
      <w:r>
        <w:rPr>
          <w:i/>
          <w:color w:val="000000"/>
        </w:rPr>
        <w:t>Management Science,</w:t>
      </w:r>
      <w:r>
        <w:rPr>
          <w:color w:val="000000"/>
        </w:rPr>
        <w:t xml:space="preserve"> 35(12)</w:t>
      </w:r>
      <w:r w:rsidR="00F970C2">
        <w:rPr>
          <w:color w:val="000000"/>
        </w:rPr>
        <w:t xml:space="preserve">, </w:t>
      </w:r>
      <w:r>
        <w:rPr>
          <w:color w:val="000000"/>
        </w:rPr>
        <w:t>1504-1511.</w:t>
      </w:r>
    </w:p>
    <w:p w14:paraId="29E8DF07" w14:textId="1CA50B29" w:rsidR="005D5B0A" w:rsidRDefault="00A73EE7">
      <w:pPr>
        <w:ind w:left="284" w:hanging="284"/>
        <w:jc w:val="both"/>
      </w:pPr>
      <w:r>
        <w:rPr>
          <w:color w:val="222222"/>
          <w:highlight w:val="white"/>
        </w:rPr>
        <w:t xml:space="preserve">dos Santos, I.M., de Miranda </w:t>
      </w:r>
      <w:proofErr w:type="spellStart"/>
      <w:r>
        <w:rPr>
          <w:color w:val="222222"/>
          <w:highlight w:val="white"/>
        </w:rPr>
        <w:t>Mota</w:t>
      </w:r>
      <w:proofErr w:type="spellEnd"/>
      <w:r>
        <w:rPr>
          <w:color w:val="222222"/>
          <w:highlight w:val="white"/>
        </w:rPr>
        <w:t xml:space="preserve">, C.M. </w:t>
      </w:r>
      <w:r w:rsidR="00F970C2">
        <w:rPr>
          <w:color w:val="222222"/>
          <w:highlight w:val="white"/>
        </w:rPr>
        <w:t>&amp;</w:t>
      </w:r>
      <w:r>
        <w:rPr>
          <w:color w:val="222222"/>
          <w:highlight w:val="white"/>
        </w:rPr>
        <w:t xml:space="preserve"> </w:t>
      </w:r>
      <w:proofErr w:type="spellStart"/>
      <w:r>
        <w:rPr>
          <w:color w:val="222222"/>
          <w:highlight w:val="white"/>
        </w:rPr>
        <w:t>Alencar</w:t>
      </w:r>
      <w:proofErr w:type="spellEnd"/>
      <w:r>
        <w:rPr>
          <w:color w:val="222222"/>
          <w:highlight w:val="white"/>
        </w:rPr>
        <w:t xml:space="preserve">, L.H., </w:t>
      </w:r>
      <w:r w:rsidR="00F970C2">
        <w:rPr>
          <w:color w:val="222222"/>
          <w:highlight w:val="white"/>
        </w:rPr>
        <w:t>(</w:t>
      </w:r>
      <w:r>
        <w:rPr>
          <w:color w:val="222222"/>
          <w:highlight w:val="white"/>
        </w:rPr>
        <w:t>2021</w:t>
      </w:r>
      <w:r w:rsidR="00F970C2">
        <w:rPr>
          <w:color w:val="222222"/>
          <w:highlight w:val="white"/>
        </w:rPr>
        <w:t>)</w:t>
      </w:r>
      <w:r>
        <w:rPr>
          <w:color w:val="222222"/>
          <w:highlight w:val="white"/>
        </w:rPr>
        <w:t>, The strategic alignment between supply chain process management maturity model and competitive strategy. </w:t>
      </w:r>
      <w:r>
        <w:rPr>
          <w:i/>
          <w:color w:val="222222"/>
          <w:highlight w:val="white"/>
        </w:rPr>
        <w:t>Business Process Management Journal</w:t>
      </w:r>
      <w:r>
        <w:rPr>
          <w:color w:val="222222"/>
          <w:highlight w:val="white"/>
        </w:rPr>
        <w:t>.</w:t>
      </w:r>
    </w:p>
    <w:p w14:paraId="65C0E4E3" w14:textId="4A2AF880" w:rsidR="005D5B0A" w:rsidRDefault="00A73EE7">
      <w:pPr>
        <w:ind w:left="284" w:hanging="284"/>
        <w:jc w:val="both"/>
        <w:rPr>
          <w:color w:val="000000"/>
        </w:rPr>
      </w:pPr>
      <w:r>
        <w:rPr>
          <w:color w:val="000000"/>
        </w:rPr>
        <w:t xml:space="preserve">Eisenhardt, K.M. </w:t>
      </w:r>
      <w:r w:rsidR="00F970C2">
        <w:rPr>
          <w:color w:val="000000"/>
        </w:rPr>
        <w:t>&amp;</w:t>
      </w:r>
      <w:r>
        <w:rPr>
          <w:color w:val="000000"/>
        </w:rPr>
        <w:t xml:space="preserve"> Santos, M. 2002. </w:t>
      </w:r>
      <w:r>
        <w:rPr>
          <w:i/>
          <w:color w:val="000000"/>
        </w:rPr>
        <w:t>Knowledge-Based View</w:t>
      </w:r>
      <w:r>
        <w:rPr>
          <w:color w:val="000000"/>
        </w:rPr>
        <w:t>. In A. M. Pettigrew, H. Thomas, and R. Whittington (Eds.) Handbook of Strategy and Management (139-164). London: Sage.</w:t>
      </w:r>
    </w:p>
    <w:p w14:paraId="3419C509" w14:textId="3482299E" w:rsidR="005D5B0A" w:rsidRDefault="00A73EE7">
      <w:pPr>
        <w:ind w:left="284" w:hanging="284"/>
        <w:jc w:val="both"/>
        <w:rPr>
          <w:color w:val="000000"/>
        </w:rPr>
      </w:pPr>
      <w:r>
        <w:rPr>
          <w:color w:val="000000"/>
        </w:rPr>
        <w:t xml:space="preserve">Genovese A., Morris J., Koh S.C.L. &amp; </w:t>
      </w:r>
      <w:proofErr w:type="spellStart"/>
      <w:r>
        <w:rPr>
          <w:color w:val="000000"/>
        </w:rPr>
        <w:t>Acquaye</w:t>
      </w:r>
      <w:proofErr w:type="spellEnd"/>
      <w:r>
        <w:rPr>
          <w:color w:val="000000"/>
        </w:rPr>
        <w:t xml:space="preserve"> A. </w:t>
      </w:r>
      <w:r w:rsidR="00F970C2">
        <w:rPr>
          <w:color w:val="000000"/>
        </w:rPr>
        <w:t>(</w:t>
      </w:r>
      <w:r>
        <w:rPr>
          <w:color w:val="000000"/>
        </w:rPr>
        <w:t>2020</w:t>
      </w:r>
      <w:r w:rsidR="00F970C2">
        <w:rPr>
          <w:color w:val="000000"/>
        </w:rPr>
        <w:t>)</w:t>
      </w:r>
      <w:r>
        <w:rPr>
          <w:color w:val="000000"/>
        </w:rPr>
        <w:t xml:space="preserve">. An investigation into design and performance of supply chains for public procurement projects, </w:t>
      </w:r>
      <w:r>
        <w:rPr>
          <w:i/>
          <w:color w:val="000000"/>
        </w:rPr>
        <w:t>Production Planning &amp; Control</w:t>
      </w:r>
      <w:r>
        <w:rPr>
          <w:color w:val="000000"/>
        </w:rPr>
        <w:t>.</w:t>
      </w:r>
    </w:p>
    <w:p w14:paraId="5BA8CBAD" w14:textId="55FE87F3" w:rsidR="005D5B0A" w:rsidRDefault="00A73EE7">
      <w:pPr>
        <w:ind w:left="284" w:hanging="284"/>
        <w:jc w:val="both"/>
        <w:rPr>
          <w:color w:val="000000"/>
        </w:rPr>
      </w:pPr>
      <w:proofErr w:type="spellStart"/>
      <w:r>
        <w:rPr>
          <w:color w:val="000000"/>
        </w:rPr>
        <w:t>Ghobadian</w:t>
      </w:r>
      <w:proofErr w:type="spellEnd"/>
      <w:r>
        <w:rPr>
          <w:color w:val="000000"/>
        </w:rPr>
        <w:t xml:space="preserve">, A. </w:t>
      </w:r>
      <w:r w:rsidR="00F970C2">
        <w:rPr>
          <w:color w:val="000000"/>
        </w:rPr>
        <w:t>&amp;</w:t>
      </w:r>
      <w:r>
        <w:rPr>
          <w:color w:val="000000"/>
        </w:rPr>
        <w:t xml:space="preserve"> Ashworth, J. </w:t>
      </w:r>
      <w:r w:rsidR="00F970C2">
        <w:rPr>
          <w:color w:val="000000"/>
        </w:rPr>
        <w:t>(</w:t>
      </w:r>
      <w:r>
        <w:rPr>
          <w:color w:val="000000"/>
        </w:rPr>
        <w:t>1994</w:t>
      </w:r>
      <w:r w:rsidR="00F970C2">
        <w:rPr>
          <w:color w:val="000000"/>
        </w:rPr>
        <w:t>)</w:t>
      </w:r>
      <w:r>
        <w:rPr>
          <w:color w:val="000000"/>
        </w:rPr>
        <w:t xml:space="preserve">, Performance Measurement in Local Government – Concept and Practice, </w:t>
      </w:r>
      <w:r>
        <w:rPr>
          <w:i/>
          <w:color w:val="000000"/>
        </w:rPr>
        <w:t>International Journal of Operations and Production Management</w:t>
      </w:r>
      <w:r>
        <w:rPr>
          <w:color w:val="000000"/>
        </w:rPr>
        <w:t xml:space="preserve">, 14 (5):35-51. </w:t>
      </w:r>
      <w:hyperlink r:id="rId12">
        <w:r>
          <w:rPr>
            <w:color w:val="0000FF"/>
            <w:u w:val="single"/>
          </w:rPr>
          <w:t>https://doi.org/10.1108/01443579410056786</w:t>
        </w:r>
      </w:hyperlink>
    </w:p>
    <w:p w14:paraId="759A8AC7" w14:textId="2E0D2BFD" w:rsidR="005D5B0A" w:rsidRDefault="00A73EE7">
      <w:pPr>
        <w:ind w:left="284" w:hanging="284"/>
        <w:jc w:val="both"/>
        <w:rPr>
          <w:color w:val="000000"/>
        </w:rPr>
      </w:pPr>
      <w:r>
        <w:rPr>
          <w:color w:val="000000"/>
        </w:rPr>
        <w:t xml:space="preserve">Goldstein, A.P. </w:t>
      </w:r>
      <w:r w:rsidR="00F970C2">
        <w:rPr>
          <w:color w:val="000000"/>
        </w:rPr>
        <w:t>&amp;</w:t>
      </w:r>
      <w:r>
        <w:rPr>
          <w:color w:val="000000"/>
        </w:rPr>
        <w:t xml:space="preserve"> Kearney, M. </w:t>
      </w:r>
      <w:r w:rsidR="00F970C2">
        <w:rPr>
          <w:color w:val="000000"/>
        </w:rPr>
        <w:t>(</w:t>
      </w:r>
      <w:r>
        <w:rPr>
          <w:color w:val="000000"/>
        </w:rPr>
        <w:t>2020</w:t>
      </w:r>
      <w:r w:rsidR="00F970C2">
        <w:rPr>
          <w:color w:val="000000"/>
        </w:rPr>
        <w:t>)</w:t>
      </w:r>
      <w:r>
        <w:rPr>
          <w:color w:val="000000"/>
        </w:rPr>
        <w:t>, Know when to fold ‘</w:t>
      </w:r>
      <w:proofErr w:type="spellStart"/>
      <w:r>
        <w:rPr>
          <w:color w:val="000000"/>
        </w:rPr>
        <w:t>em</w:t>
      </w:r>
      <w:proofErr w:type="spellEnd"/>
      <w:r>
        <w:rPr>
          <w:color w:val="000000"/>
        </w:rPr>
        <w:t xml:space="preserve">: An empirical description of risk management in public research funding, </w:t>
      </w:r>
      <w:r>
        <w:rPr>
          <w:i/>
          <w:color w:val="000000"/>
        </w:rPr>
        <w:t xml:space="preserve">Research Policy, </w:t>
      </w:r>
      <w:r>
        <w:rPr>
          <w:color w:val="000000"/>
        </w:rPr>
        <w:t>49(1)</w:t>
      </w:r>
      <w:r w:rsidR="00F970C2">
        <w:rPr>
          <w:color w:val="000000"/>
        </w:rPr>
        <w:t xml:space="preserve">, </w:t>
      </w:r>
      <w:r>
        <w:rPr>
          <w:color w:val="000000"/>
        </w:rPr>
        <w:t>103-873.</w:t>
      </w:r>
    </w:p>
    <w:p w14:paraId="44CAF9D1" w14:textId="53332511" w:rsidR="005D5B0A" w:rsidRDefault="00A73EE7">
      <w:pPr>
        <w:ind w:left="284" w:hanging="284"/>
        <w:jc w:val="both"/>
        <w:rPr>
          <w:color w:val="000000"/>
        </w:rPr>
      </w:pPr>
      <w:r>
        <w:rPr>
          <w:color w:val="000000"/>
        </w:rPr>
        <w:t xml:space="preserve">Gomes, C. F., Yasin, M. M., </w:t>
      </w:r>
      <w:r w:rsidR="00F970C2">
        <w:rPr>
          <w:color w:val="000000"/>
        </w:rPr>
        <w:t>&amp;</w:t>
      </w:r>
      <w:r>
        <w:rPr>
          <w:color w:val="000000"/>
        </w:rPr>
        <w:t xml:space="preserve"> Small, M. H. </w:t>
      </w:r>
      <w:r w:rsidR="00F970C2">
        <w:rPr>
          <w:color w:val="000000"/>
        </w:rPr>
        <w:t>(</w:t>
      </w:r>
      <w:r>
        <w:rPr>
          <w:color w:val="000000"/>
        </w:rPr>
        <w:t>2013</w:t>
      </w:r>
      <w:r w:rsidR="00F970C2">
        <w:rPr>
          <w:color w:val="000000"/>
        </w:rPr>
        <w:t>)</w:t>
      </w:r>
      <w:r>
        <w:rPr>
          <w:color w:val="000000"/>
        </w:rPr>
        <w:t>, Public sector project manager characteristics: Evidence from Portugal, </w:t>
      </w:r>
      <w:r>
        <w:rPr>
          <w:i/>
          <w:color w:val="000000"/>
        </w:rPr>
        <w:t>Competition Forum</w:t>
      </w:r>
      <w:r>
        <w:rPr>
          <w:color w:val="000000"/>
        </w:rPr>
        <w:t>, 11 (2)</w:t>
      </w:r>
      <w:r w:rsidR="00F970C2">
        <w:rPr>
          <w:color w:val="000000"/>
        </w:rPr>
        <w:t xml:space="preserve">, </w:t>
      </w:r>
      <w:r>
        <w:rPr>
          <w:color w:val="000000"/>
        </w:rPr>
        <w:t>283.</w:t>
      </w:r>
    </w:p>
    <w:p w14:paraId="39DE94C7" w14:textId="690C35A8" w:rsidR="005D5B0A" w:rsidRDefault="00A73EE7">
      <w:pPr>
        <w:ind w:left="284" w:hanging="284"/>
        <w:jc w:val="both"/>
        <w:rPr>
          <w:color w:val="000000"/>
        </w:rPr>
      </w:pPr>
      <w:r>
        <w:rPr>
          <w:color w:val="000000"/>
        </w:rPr>
        <w:t xml:space="preserve">Gordon-Murray, J., </w:t>
      </w:r>
      <w:proofErr w:type="spellStart"/>
      <w:r>
        <w:rPr>
          <w:color w:val="000000"/>
        </w:rPr>
        <w:t>Erridge</w:t>
      </w:r>
      <w:proofErr w:type="spellEnd"/>
      <w:r>
        <w:rPr>
          <w:color w:val="000000"/>
        </w:rPr>
        <w:t xml:space="preserve">, A., </w:t>
      </w:r>
      <w:r w:rsidR="00F970C2">
        <w:rPr>
          <w:color w:val="000000"/>
        </w:rPr>
        <w:t>&amp;</w:t>
      </w:r>
      <w:r>
        <w:rPr>
          <w:color w:val="000000"/>
        </w:rPr>
        <w:t xml:space="preserve"> </w:t>
      </w:r>
      <w:proofErr w:type="spellStart"/>
      <w:r>
        <w:rPr>
          <w:color w:val="000000"/>
        </w:rPr>
        <w:t>Rimmer</w:t>
      </w:r>
      <w:proofErr w:type="spellEnd"/>
      <w:r>
        <w:rPr>
          <w:color w:val="000000"/>
        </w:rPr>
        <w:t xml:space="preserve">, N. </w:t>
      </w:r>
      <w:r w:rsidR="00F970C2">
        <w:rPr>
          <w:color w:val="000000"/>
        </w:rPr>
        <w:t>(</w:t>
      </w:r>
      <w:r>
        <w:rPr>
          <w:color w:val="000000"/>
        </w:rPr>
        <w:t>2012</w:t>
      </w:r>
      <w:r w:rsidR="00F970C2">
        <w:rPr>
          <w:color w:val="000000"/>
        </w:rPr>
        <w:t>)</w:t>
      </w:r>
      <w:r>
        <w:rPr>
          <w:color w:val="000000"/>
        </w:rPr>
        <w:t>, International lessons on austerity strategy, </w:t>
      </w:r>
      <w:r>
        <w:rPr>
          <w:i/>
          <w:color w:val="000000"/>
        </w:rPr>
        <w:t>International Journal of Public Sector Management</w:t>
      </w:r>
      <w:r>
        <w:rPr>
          <w:color w:val="000000"/>
        </w:rPr>
        <w:t>, 25 (4)</w:t>
      </w:r>
      <w:r w:rsidR="00F970C2">
        <w:rPr>
          <w:color w:val="000000"/>
        </w:rPr>
        <w:t xml:space="preserve">, </w:t>
      </w:r>
      <w:r>
        <w:rPr>
          <w:color w:val="000000"/>
        </w:rPr>
        <w:t>248-259. </w:t>
      </w:r>
    </w:p>
    <w:p w14:paraId="2AFE6592" w14:textId="1D159217" w:rsidR="005D5B0A" w:rsidRDefault="00A73EE7">
      <w:pPr>
        <w:ind w:left="284" w:hanging="284"/>
        <w:jc w:val="both"/>
        <w:rPr>
          <w:color w:val="000000"/>
        </w:rPr>
      </w:pPr>
      <w:r>
        <w:rPr>
          <w:color w:val="000000"/>
        </w:rPr>
        <w:t>Grant, R. M. (1991), The resource-based theory of competitive advantage: Implications for strategy formulation, </w:t>
      </w:r>
      <w:r>
        <w:rPr>
          <w:i/>
          <w:color w:val="000000"/>
        </w:rPr>
        <w:t>California Management Review</w:t>
      </w:r>
      <w:r>
        <w:rPr>
          <w:color w:val="000000"/>
        </w:rPr>
        <w:t>, 33 (3)</w:t>
      </w:r>
      <w:r w:rsidR="00F970C2">
        <w:rPr>
          <w:color w:val="000000"/>
        </w:rPr>
        <w:t xml:space="preserve">, </w:t>
      </w:r>
      <w:r>
        <w:rPr>
          <w:color w:val="000000"/>
        </w:rPr>
        <w:t>114-135.</w:t>
      </w:r>
    </w:p>
    <w:p w14:paraId="7C8B4C41" w14:textId="3BBBD0DC" w:rsidR="005D5B0A" w:rsidRDefault="00A73EE7">
      <w:pPr>
        <w:ind w:left="284" w:hanging="284"/>
        <w:jc w:val="both"/>
        <w:rPr>
          <w:color w:val="000000"/>
        </w:rPr>
      </w:pPr>
      <w:proofErr w:type="spellStart"/>
      <w:r>
        <w:rPr>
          <w:color w:val="000000"/>
        </w:rPr>
        <w:t>Greatbanks</w:t>
      </w:r>
      <w:proofErr w:type="spellEnd"/>
      <w:r>
        <w:rPr>
          <w:color w:val="000000"/>
        </w:rPr>
        <w:t xml:space="preserve">, R. </w:t>
      </w:r>
      <w:r w:rsidR="00F970C2">
        <w:rPr>
          <w:color w:val="000000"/>
        </w:rPr>
        <w:t>&amp;</w:t>
      </w:r>
      <w:r>
        <w:rPr>
          <w:color w:val="000000"/>
        </w:rPr>
        <w:t xml:space="preserve"> </w:t>
      </w:r>
      <w:proofErr w:type="spellStart"/>
      <w:r>
        <w:rPr>
          <w:color w:val="000000"/>
        </w:rPr>
        <w:t>Tapp</w:t>
      </w:r>
      <w:proofErr w:type="spellEnd"/>
      <w:r>
        <w:rPr>
          <w:color w:val="000000"/>
        </w:rPr>
        <w:t xml:space="preserve">, D. </w:t>
      </w:r>
      <w:r w:rsidR="00F970C2">
        <w:rPr>
          <w:color w:val="000000"/>
        </w:rPr>
        <w:t>(</w:t>
      </w:r>
      <w:r>
        <w:rPr>
          <w:color w:val="000000"/>
        </w:rPr>
        <w:t>2007</w:t>
      </w:r>
      <w:r w:rsidR="00F970C2">
        <w:rPr>
          <w:color w:val="000000"/>
        </w:rPr>
        <w:t>)</w:t>
      </w:r>
      <w:r>
        <w:rPr>
          <w:color w:val="000000"/>
        </w:rPr>
        <w:t xml:space="preserve">, The impact of balanced scorecards in a public sector environment: Empirical evidence from Dunedin City Council, New Zealand, </w:t>
      </w:r>
      <w:r>
        <w:rPr>
          <w:i/>
          <w:color w:val="000000"/>
        </w:rPr>
        <w:t>International Journal of Operations and Production Management,</w:t>
      </w:r>
      <w:r>
        <w:rPr>
          <w:color w:val="000000"/>
        </w:rPr>
        <w:t xml:space="preserve"> 27 (8)</w:t>
      </w:r>
      <w:r w:rsidR="00F970C2">
        <w:rPr>
          <w:color w:val="000000"/>
        </w:rPr>
        <w:t xml:space="preserve">, </w:t>
      </w:r>
      <w:r>
        <w:rPr>
          <w:color w:val="000000"/>
        </w:rPr>
        <w:t>846-873.</w:t>
      </w:r>
    </w:p>
    <w:p w14:paraId="06F95EFD" w14:textId="2111EC32" w:rsidR="005D5B0A" w:rsidRDefault="00A73EE7">
      <w:pPr>
        <w:ind w:left="284" w:hanging="284"/>
        <w:jc w:val="both"/>
      </w:pPr>
      <w:r>
        <w:t xml:space="preserve">Hansen, J., </w:t>
      </w:r>
      <w:r w:rsidR="00F970C2">
        <w:t>&amp;</w:t>
      </w:r>
      <w:r>
        <w:t xml:space="preserve"> Ferlie, E. </w:t>
      </w:r>
      <w:r w:rsidR="00F970C2">
        <w:t>(</w:t>
      </w:r>
      <w:r>
        <w:t>2016</w:t>
      </w:r>
      <w:r w:rsidR="00F970C2">
        <w:t>)</w:t>
      </w:r>
      <w:r>
        <w:t>, Applying strategic management theories in public sector organizations: Developing a typology, </w:t>
      </w:r>
      <w:r>
        <w:rPr>
          <w:i/>
        </w:rPr>
        <w:t xml:space="preserve">Public Management </w:t>
      </w:r>
      <w:proofErr w:type="gramStart"/>
      <w:r>
        <w:rPr>
          <w:i/>
        </w:rPr>
        <w:t>Review</w:t>
      </w:r>
      <w:r>
        <w:t>,  18</w:t>
      </w:r>
      <w:proofErr w:type="gramEnd"/>
      <w:r>
        <w:t xml:space="preserve"> (1)</w:t>
      </w:r>
      <w:r w:rsidR="00F970C2">
        <w:t xml:space="preserve">, </w:t>
      </w:r>
      <w:r>
        <w:t>1-19. </w:t>
      </w:r>
    </w:p>
    <w:p w14:paraId="27BDCFAD" w14:textId="36DEA073" w:rsidR="005D5B0A" w:rsidRDefault="00A73EE7">
      <w:pPr>
        <w:ind w:left="284" w:hanging="284"/>
        <w:jc w:val="both"/>
      </w:pPr>
      <w:r>
        <w:t xml:space="preserve">Hazlett, S., McAdam R. &amp; Walker, T. </w:t>
      </w:r>
      <w:r w:rsidR="00F970C2">
        <w:t>(</w:t>
      </w:r>
      <w:r>
        <w:t>2013</w:t>
      </w:r>
      <w:r w:rsidR="00F970C2">
        <w:t>)</w:t>
      </w:r>
      <w:r>
        <w:t xml:space="preserve">. The role of operations management in public sector policy and practice alignment: a local government analysis, </w:t>
      </w:r>
      <w:r>
        <w:rPr>
          <w:i/>
        </w:rPr>
        <w:t>Production Planning &amp; Control</w:t>
      </w:r>
      <w:r>
        <w:t>, 24:10-11, 988-1001.</w:t>
      </w:r>
    </w:p>
    <w:p w14:paraId="37D4E96E" w14:textId="6F112236" w:rsidR="005D5B0A" w:rsidRDefault="00A73EE7">
      <w:pPr>
        <w:ind w:left="284" w:hanging="284"/>
        <w:jc w:val="both"/>
        <w:rPr>
          <w:color w:val="000000"/>
        </w:rPr>
      </w:pPr>
      <w:r>
        <w:rPr>
          <w:color w:val="000000"/>
        </w:rPr>
        <w:t xml:space="preserve">Hills, J. </w:t>
      </w:r>
      <w:r w:rsidR="00F970C2">
        <w:rPr>
          <w:color w:val="000000"/>
        </w:rPr>
        <w:t>(</w:t>
      </w:r>
      <w:r>
        <w:rPr>
          <w:color w:val="000000"/>
        </w:rPr>
        <w:t>2011</w:t>
      </w:r>
      <w:r w:rsidR="00F970C2">
        <w:rPr>
          <w:color w:val="000000"/>
        </w:rPr>
        <w:t>)</w:t>
      </w:r>
      <w:r>
        <w:rPr>
          <w:color w:val="000000"/>
        </w:rPr>
        <w:t xml:space="preserve">, The changing architecture of the UK welfare state, </w:t>
      </w:r>
      <w:r>
        <w:rPr>
          <w:i/>
          <w:color w:val="000000"/>
        </w:rPr>
        <w:t>Oxford review of economic policy</w:t>
      </w:r>
      <w:r>
        <w:rPr>
          <w:color w:val="000000"/>
        </w:rPr>
        <w:t>, 27 (4)</w:t>
      </w:r>
      <w:r w:rsidR="00F970C2">
        <w:rPr>
          <w:color w:val="000000"/>
        </w:rPr>
        <w:t xml:space="preserve">, </w:t>
      </w:r>
      <w:r>
        <w:rPr>
          <w:color w:val="000000"/>
        </w:rPr>
        <w:t xml:space="preserve">589-607. </w:t>
      </w:r>
    </w:p>
    <w:p w14:paraId="7E0BE2AB" w14:textId="64F636B1" w:rsidR="005D5B0A" w:rsidRDefault="00A73EE7">
      <w:pPr>
        <w:ind w:left="284" w:hanging="284"/>
        <w:jc w:val="both"/>
        <w:rPr>
          <w:color w:val="000000"/>
        </w:rPr>
      </w:pPr>
      <w:proofErr w:type="spellStart"/>
      <w:r>
        <w:rPr>
          <w:color w:val="000000"/>
        </w:rPr>
        <w:t>Hitt</w:t>
      </w:r>
      <w:proofErr w:type="spellEnd"/>
      <w:r>
        <w:rPr>
          <w:color w:val="000000"/>
        </w:rPr>
        <w:t xml:space="preserve">, M. A., Xu, K., </w:t>
      </w:r>
      <w:r w:rsidR="00F970C2">
        <w:rPr>
          <w:color w:val="000000"/>
        </w:rPr>
        <w:t>&amp;</w:t>
      </w:r>
      <w:r>
        <w:rPr>
          <w:color w:val="000000"/>
        </w:rPr>
        <w:t xml:space="preserve"> Carnes, C. M. </w:t>
      </w:r>
      <w:r w:rsidR="00F970C2">
        <w:rPr>
          <w:color w:val="000000"/>
        </w:rPr>
        <w:t>(</w:t>
      </w:r>
      <w:r>
        <w:rPr>
          <w:color w:val="000000"/>
        </w:rPr>
        <w:t>2016</w:t>
      </w:r>
      <w:r w:rsidR="00F970C2">
        <w:rPr>
          <w:color w:val="000000"/>
        </w:rPr>
        <w:t>)</w:t>
      </w:r>
      <w:r>
        <w:rPr>
          <w:color w:val="000000"/>
        </w:rPr>
        <w:t xml:space="preserve">, Resource based theory in operations management research, </w:t>
      </w:r>
      <w:r>
        <w:rPr>
          <w:i/>
          <w:color w:val="000000"/>
        </w:rPr>
        <w:t>Journal of Operations Management</w:t>
      </w:r>
      <w:r>
        <w:rPr>
          <w:color w:val="000000"/>
        </w:rPr>
        <w:t>, 41</w:t>
      </w:r>
      <w:r w:rsidR="00F970C2">
        <w:rPr>
          <w:color w:val="000000"/>
        </w:rPr>
        <w:t>,</w:t>
      </w:r>
      <w:r>
        <w:rPr>
          <w:color w:val="000000"/>
        </w:rPr>
        <w:t xml:space="preserve"> 77-94. </w:t>
      </w:r>
    </w:p>
    <w:p w14:paraId="2903C5CA" w14:textId="2A24BEF3" w:rsidR="005D5B0A" w:rsidRDefault="00A73EE7">
      <w:pPr>
        <w:ind w:left="284" w:hanging="284"/>
        <w:jc w:val="both"/>
        <w:rPr>
          <w:color w:val="000000"/>
        </w:rPr>
      </w:pPr>
      <w:proofErr w:type="spellStart"/>
      <w:r>
        <w:rPr>
          <w:color w:val="000000"/>
        </w:rPr>
        <w:t>Hjelmar</w:t>
      </w:r>
      <w:proofErr w:type="spellEnd"/>
      <w:r>
        <w:rPr>
          <w:color w:val="000000"/>
        </w:rPr>
        <w:t xml:space="preserve">, U., </w:t>
      </w:r>
      <w:r w:rsidR="00F970C2">
        <w:rPr>
          <w:color w:val="000000"/>
        </w:rPr>
        <w:t>(</w:t>
      </w:r>
      <w:r>
        <w:rPr>
          <w:color w:val="000000"/>
        </w:rPr>
        <w:t>2019</w:t>
      </w:r>
      <w:r w:rsidR="00F970C2">
        <w:rPr>
          <w:color w:val="000000"/>
        </w:rPr>
        <w:t>)</w:t>
      </w:r>
      <w:r>
        <w:rPr>
          <w:color w:val="000000"/>
        </w:rPr>
        <w:t xml:space="preserve">, The institutionalization of public sector innovation, </w:t>
      </w:r>
      <w:r>
        <w:rPr>
          <w:i/>
          <w:color w:val="000000"/>
        </w:rPr>
        <w:t>Public Management Review</w:t>
      </w:r>
      <w:r>
        <w:rPr>
          <w:color w:val="000000"/>
        </w:rPr>
        <w:t>, 23(1):53-69.</w:t>
      </w:r>
    </w:p>
    <w:p w14:paraId="10C7A00A" w14:textId="44CC76F8" w:rsidR="005D5B0A" w:rsidRDefault="00A73EE7">
      <w:pPr>
        <w:ind w:left="284" w:hanging="284"/>
        <w:jc w:val="both"/>
        <w:rPr>
          <w:color w:val="000000"/>
        </w:rPr>
      </w:pPr>
      <w:r>
        <w:rPr>
          <w:color w:val="000000"/>
        </w:rPr>
        <w:t xml:space="preserve">HM Treasury </w:t>
      </w:r>
      <w:r w:rsidR="00F970C2">
        <w:rPr>
          <w:color w:val="000000"/>
        </w:rPr>
        <w:t>(</w:t>
      </w:r>
      <w:r>
        <w:rPr>
          <w:color w:val="000000"/>
        </w:rPr>
        <w:t>2010</w:t>
      </w:r>
      <w:r w:rsidR="00F970C2">
        <w:rPr>
          <w:color w:val="000000"/>
        </w:rPr>
        <w:t>)</w:t>
      </w:r>
      <w:r>
        <w:rPr>
          <w:color w:val="000000"/>
        </w:rPr>
        <w:t>, </w:t>
      </w:r>
      <w:r>
        <w:rPr>
          <w:i/>
          <w:color w:val="000000"/>
        </w:rPr>
        <w:t>Public Expenditure Statistical Analyses 2010</w:t>
      </w:r>
      <w:r>
        <w:rPr>
          <w:color w:val="000000"/>
        </w:rPr>
        <w:t xml:space="preserve">, (Cm 7890). Retrieved from </w:t>
      </w:r>
      <w:hyperlink r:id="rId13">
        <w:r>
          <w:rPr>
            <w:color w:val="000000"/>
            <w:u w:val="single"/>
          </w:rPr>
          <w:t>https://www.gov.uk/government/statistics/public-expenditure-statistical-analyses-2010</w:t>
        </w:r>
      </w:hyperlink>
      <w:r>
        <w:rPr>
          <w:color w:val="000000"/>
        </w:rPr>
        <w:t>.</w:t>
      </w:r>
    </w:p>
    <w:p w14:paraId="55536850" w14:textId="6863774A" w:rsidR="005D5B0A" w:rsidRDefault="00A73EE7">
      <w:pPr>
        <w:ind w:left="284" w:hanging="284"/>
        <w:jc w:val="both"/>
        <w:rPr>
          <w:color w:val="000000"/>
        </w:rPr>
      </w:pPr>
      <w:r>
        <w:rPr>
          <w:color w:val="000000"/>
        </w:rPr>
        <w:lastRenderedPageBreak/>
        <w:t xml:space="preserve">HM Treasury </w:t>
      </w:r>
      <w:r w:rsidR="00F970C2">
        <w:rPr>
          <w:color w:val="000000"/>
        </w:rPr>
        <w:t>(</w:t>
      </w:r>
      <w:r>
        <w:rPr>
          <w:color w:val="000000"/>
        </w:rPr>
        <w:t>2017</w:t>
      </w:r>
      <w:r w:rsidR="00F970C2">
        <w:rPr>
          <w:color w:val="000000"/>
        </w:rPr>
        <w:t>)</w:t>
      </w:r>
      <w:r>
        <w:rPr>
          <w:color w:val="000000"/>
        </w:rPr>
        <w:t>, </w:t>
      </w:r>
      <w:r>
        <w:rPr>
          <w:i/>
          <w:color w:val="000000"/>
        </w:rPr>
        <w:t>Public Expenditure Statistical Analyses 2017</w:t>
      </w:r>
      <w:r>
        <w:rPr>
          <w:color w:val="000000"/>
        </w:rPr>
        <w:t xml:space="preserve">, (Cm 9467). Retrieved from </w:t>
      </w:r>
      <w:hyperlink r:id="rId14">
        <w:r>
          <w:rPr>
            <w:color w:val="000000"/>
            <w:u w:val="single"/>
          </w:rPr>
          <w:t>https://www.gov.uk/government/collections/public-expenditure-statistical-analyses-pesa</w:t>
        </w:r>
      </w:hyperlink>
      <w:r>
        <w:rPr>
          <w:color w:val="000000"/>
        </w:rPr>
        <w:t>.</w:t>
      </w:r>
    </w:p>
    <w:p w14:paraId="7BD5A63E" w14:textId="4999DAE7" w:rsidR="005D5B0A" w:rsidRDefault="00A73EE7" w:rsidP="00C2012B">
      <w:pPr>
        <w:ind w:left="284" w:hanging="284"/>
        <w:jc w:val="both"/>
      </w:pPr>
      <w:r>
        <w:t xml:space="preserve">Hossain, M., </w:t>
      </w:r>
      <w:proofErr w:type="spellStart"/>
      <w:r>
        <w:t>Akter</w:t>
      </w:r>
      <w:proofErr w:type="spellEnd"/>
      <w:r>
        <w:t xml:space="preserve">, S. </w:t>
      </w:r>
      <w:r w:rsidR="00F970C2">
        <w:t>&amp;</w:t>
      </w:r>
      <w:r>
        <w:t xml:space="preserve"> </w:t>
      </w:r>
      <w:proofErr w:type="spellStart"/>
      <w:r>
        <w:t>Yanamandram</w:t>
      </w:r>
      <w:proofErr w:type="spellEnd"/>
      <w:r>
        <w:t xml:space="preserve">, V., </w:t>
      </w:r>
      <w:r w:rsidR="00F970C2">
        <w:t>(</w:t>
      </w:r>
      <w:r>
        <w:t>2021</w:t>
      </w:r>
      <w:r w:rsidR="00F970C2">
        <w:t>)</w:t>
      </w:r>
      <w:r>
        <w:t>. Why doesn't our value creation payoff: Unpacking customer analytics-driven value creation capability to sustain competitive advantage. Journal of Business Research, 131, 287-296.</w:t>
      </w:r>
    </w:p>
    <w:p w14:paraId="4E5788EA" w14:textId="3C0FACAF" w:rsidR="005D5B0A" w:rsidRDefault="00A73EE7">
      <w:pPr>
        <w:ind w:left="284" w:hanging="284"/>
        <w:jc w:val="both"/>
        <w:rPr>
          <w:color w:val="000000"/>
        </w:rPr>
      </w:pPr>
      <w:r>
        <w:rPr>
          <w:color w:val="000000"/>
        </w:rPr>
        <w:t xml:space="preserve">Hung, C., </w:t>
      </w:r>
      <w:r w:rsidR="00F970C2">
        <w:rPr>
          <w:color w:val="000000"/>
        </w:rPr>
        <w:t>&amp;</w:t>
      </w:r>
      <w:r>
        <w:rPr>
          <w:color w:val="000000"/>
        </w:rPr>
        <w:t xml:space="preserve"> Chou, J. C. </w:t>
      </w:r>
      <w:r w:rsidR="00F970C2">
        <w:rPr>
          <w:color w:val="000000"/>
        </w:rPr>
        <w:t>(</w:t>
      </w:r>
      <w:r>
        <w:rPr>
          <w:color w:val="000000"/>
        </w:rPr>
        <w:t>2013</w:t>
      </w:r>
      <w:r w:rsidR="00F970C2">
        <w:rPr>
          <w:color w:val="000000"/>
        </w:rPr>
        <w:t>)</w:t>
      </w:r>
      <w:r>
        <w:rPr>
          <w:color w:val="000000"/>
        </w:rPr>
        <w:t>, Resource commitment, organizational diversity, and research performance: A case of the national telecommunication program in Taiwan</w:t>
      </w:r>
      <w:r w:rsidR="00F970C2">
        <w:rPr>
          <w:color w:val="000000"/>
        </w:rPr>
        <w:t>,</w:t>
      </w:r>
      <w:r>
        <w:rPr>
          <w:color w:val="000000"/>
        </w:rPr>
        <w:t xml:space="preserve"> </w:t>
      </w:r>
      <w:r>
        <w:rPr>
          <w:i/>
          <w:color w:val="000000"/>
        </w:rPr>
        <w:t>Project Management Journal</w:t>
      </w:r>
      <w:r>
        <w:rPr>
          <w:color w:val="000000"/>
        </w:rPr>
        <w:t>, 44 (3)</w:t>
      </w:r>
      <w:r w:rsidR="00F970C2">
        <w:rPr>
          <w:color w:val="000000"/>
        </w:rPr>
        <w:t xml:space="preserve">, </w:t>
      </w:r>
      <w:r>
        <w:rPr>
          <w:color w:val="000000"/>
        </w:rPr>
        <w:t>32-47.</w:t>
      </w:r>
    </w:p>
    <w:p w14:paraId="0F2C6489" w14:textId="27B0A9CC" w:rsidR="005D5B0A" w:rsidRDefault="00A73EE7">
      <w:pPr>
        <w:ind w:left="284" w:hanging="284"/>
        <w:jc w:val="both"/>
        <w:rPr>
          <w:color w:val="000000"/>
        </w:rPr>
      </w:pPr>
      <w:proofErr w:type="spellStart"/>
      <w:r>
        <w:rPr>
          <w:color w:val="000000"/>
        </w:rPr>
        <w:t>Ibbs</w:t>
      </w:r>
      <w:proofErr w:type="spellEnd"/>
      <w:r>
        <w:rPr>
          <w:color w:val="000000"/>
        </w:rPr>
        <w:t xml:space="preserve">, C. W., </w:t>
      </w:r>
      <w:r w:rsidR="00F970C2">
        <w:rPr>
          <w:color w:val="000000"/>
        </w:rPr>
        <w:t>&amp;</w:t>
      </w:r>
      <w:r>
        <w:rPr>
          <w:color w:val="000000"/>
        </w:rPr>
        <w:t xml:space="preserve"> Kwak, Y. H. </w:t>
      </w:r>
      <w:r w:rsidR="00F970C2">
        <w:rPr>
          <w:color w:val="000000"/>
        </w:rPr>
        <w:t>(</w:t>
      </w:r>
      <w:r>
        <w:rPr>
          <w:color w:val="000000"/>
        </w:rPr>
        <w:t>2000</w:t>
      </w:r>
      <w:r w:rsidR="00F970C2">
        <w:rPr>
          <w:color w:val="000000"/>
        </w:rPr>
        <w:t>)</w:t>
      </w:r>
      <w:r>
        <w:rPr>
          <w:color w:val="000000"/>
        </w:rPr>
        <w:t xml:space="preserve">. Assessing project management maturity, </w:t>
      </w:r>
      <w:r>
        <w:rPr>
          <w:i/>
          <w:color w:val="000000"/>
        </w:rPr>
        <w:t>Project Management Journal</w:t>
      </w:r>
      <w:r>
        <w:rPr>
          <w:color w:val="000000"/>
        </w:rPr>
        <w:t>, 31(1)</w:t>
      </w:r>
      <w:r w:rsidR="00F970C2">
        <w:rPr>
          <w:color w:val="000000"/>
        </w:rPr>
        <w:t xml:space="preserve">, </w:t>
      </w:r>
      <w:r>
        <w:rPr>
          <w:color w:val="000000"/>
        </w:rPr>
        <w:t>32.</w:t>
      </w:r>
    </w:p>
    <w:p w14:paraId="351981FC" w14:textId="5D603B8B" w:rsidR="005D5B0A" w:rsidRDefault="00A73EE7">
      <w:pPr>
        <w:ind w:left="284" w:hanging="284"/>
        <w:jc w:val="both"/>
        <w:rPr>
          <w:color w:val="000000"/>
        </w:rPr>
      </w:pPr>
      <w:r>
        <w:rPr>
          <w:color w:val="000000"/>
        </w:rPr>
        <w:t xml:space="preserve">Joseph, R., </w:t>
      </w:r>
      <w:r w:rsidR="00F970C2">
        <w:rPr>
          <w:color w:val="000000"/>
        </w:rPr>
        <w:t>&amp;</w:t>
      </w:r>
      <w:r>
        <w:rPr>
          <w:color w:val="000000"/>
        </w:rPr>
        <w:t xml:space="preserve"> </w:t>
      </w:r>
      <w:proofErr w:type="spellStart"/>
      <w:r>
        <w:rPr>
          <w:color w:val="000000"/>
        </w:rPr>
        <w:t>Rowlingson</w:t>
      </w:r>
      <w:proofErr w:type="spellEnd"/>
      <w:r>
        <w:rPr>
          <w:color w:val="000000"/>
        </w:rPr>
        <w:t xml:space="preserve">, K. </w:t>
      </w:r>
      <w:r w:rsidR="00F970C2">
        <w:rPr>
          <w:color w:val="000000"/>
        </w:rPr>
        <w:t>(</w:t>
      </w:r>
      <w:r>
        <w:rPr>
          <w:color w:val="000000"/>
        </w:rPr>
        <w:t>2012</w:t>
      </w:r>
      <w:r w:rsidR="00F970C2">
        <w:rPr>
          <w:color w:val="000000"/>
        </w:rPr>
        <w:t>)</w:t>
      </w:r>
      <w:r>
        <w:rPr>
          <w:color w:val="000000"/>
        </w:rPr>
        <w:t xml:space="preserve">, Introduction: Household Finances under Pressure: What is the Role of Social </w:t>
      </w:r>
      <w:proofErr w:type="gramStart"/>
      <w:r>
        <w:rPr>
          <w:color w:val="000000"/>
        </w:rPr>
        <w:t>Policy?,</w:t>
      </w:r>
      <w:proofErr w:type="gramEnd"/>
      <w:r>
        <w:rPr>
          <w:color w:val="000000"/>
        </w:rPr>
        <w:t xml:space="preserve"> </w:t>
      </w:r>
      <w:r>
        <w:rPr>
          <w:i/>
          <w:color w:val="000000"/>
        </w:rPr>
        <w:t>Social Policy and Society</w:t>
      </w:r>
      <w:r>
        <w:rPr>
          <w:color w:val="000000"/>
        </w:rPr>
        <w:t>, 11 (1)</w:t>
      </w:r>
      <w:r w:rsidR="00F970C2">
        <w:rPr>
          <w:color w:val="000000"/>
        </w:rPr>
        <w:t xml:space="preserve">, </w:t>
      </w:r>
      <w:r>
        <w:rPr>
          <w:color w:val="000000"/>
        </w:rPr>
        <w:t xml:space="preserve">67-68. </w:t>
      </w:r>
    </w:p>
    <w:p w14:paraId="2E9C6C73" w14:textId="52F9DCFD" w:rsidR="005D5B0A" w:rsidRDefault="00A73EE7">
      <w:pPr>
        <w:ind w:left="284" w:hanging="284"/>
        <w:jc w:val="both"/>
        <w:rPr>
          <w:color w:val="000000"/>
        </w:rPr>
      </w:pPr>
      <w:proofErr w:type="spellStart"/>
      <w:r>
        <w:rPr>
          <w:color w:val="000000"/>
        </w:rPr>
        <w:t>Jugdev</w:t>
      </w:r>
      <w:proofErr w:type="spellEnd"/>
      <w:r>
        <w:rPr>
          <w:color w:val="000000"/>
        </w:rPr>
        <w:t xml:space="preserve">, K. </w:t>
      </w:r>
      <w:r w:rsidR="00F970C2">
        <w:rPr>
          <w:color w:val="000000"/>
        </w:rPr>
        <w:t>(</w:t>
      </w:r>
      <w:r>
        <w:rPr>
          <w:color w:val="000000"/>
        </w:rPr>
        <w:t>2004</w:t>
      </w:r>
      <w:r w:rsidR="00F970C2">
        <w:rPr>
          <w:color w:val="000000"/>
        </w:rPr>
        <w:t>)</w:t>
      </w:r>
      <w:r>
        <w:rPr>
          <w:color w:val="000000"/>
        </w:rPr>
        <w:t xml:space="preserve">, Through the looking glass: Examining theory development in project management with the Resource-Based View lens, </w:t>
      </w:r>
      <w:r>
        <w:rPr>
          <w:i/>
          <w:color w:val="000000"/>
        </w:rPr>
        <w:t>Project Management Journal</w:t>
      </w:r>
      <w:r>
        <w:rPr>
          <w:color w:val="000000"/>
        </w:rPr>
        <w:t>, 35 (3)</w:t>
      </w:r>
      <w:r w:rsidR="00F970C2">
        <w:rPr>
          <w:color w:val="000000"/>
        </w:rPr>
        <w:t>,</w:t>
      </w:r>
      <w:r>
        <w:rPr>
          <w:color w:val="000000"/>
        </w:rPr>
        <w:t xml:space="preserve"> 15. </w:t>
      </w:r>
    </w:p>
    <w:p w14:paraId="41F951B1" w14:textId="72D5F68D" w:rsidR="005D5B0A" w:rsidRDefault="00A73EE7">
      <w:pPr>
        <w:ind w:left="284" w:hanging="284"/>
        <w:jc w:val="both"/>
        <w:rPr>
          <w:color w:val="000000"/>
          <w:highlight w:val="white"/>
        </w:rPr>
      </w:pPr>
      <w:proofErr w:type="spellStart"/>
      <w:r>
        <w:rPr>
          <w:color w:val="000000"/>
          <w:highlight w:val="white"/>
        </w:rPr>
        <w:t>Jugdev</w:t>
      </w:r>
      <w:proofErr w:type="spellEnd"/>
      <w:r>
        <w:rPr>
          <w:color w:val="000000"/>
          <w:highlight w:val="white"/>
        </w:rPr>
        <w:t xml:space="preserve">, K. </w:t>
      </w:r>
      <w:r w:rsidR="00F970C2">
        <w:rPr>
          <w:color w:val="000000"/>
          <w:highlight w:val="white"/>
        </w:rPr>
        <w:t>(</w:t>
      </w:r>
      <w:r>
        <w:rPr>
          <w:color w:val="000000"/>
          <w:highlight w:val="white"/>
        </w:rPr>
        <w:t>2006</w:t>
      </w:r>
      <w:r w:rsidR="00F970C2">
        <w:rPr>
          <w:color w:val="000000"/>
          <w:highlight w:val="white"/>
        </w:rPr>
        <w:t>)</w:t>
      </w:r>
      <w:r>
        <w:rPr>
          <w:color w:val="000000"/>
          <w:highlight w:val="white"/>
        </w:rPr>
        <w:t xml:space="preserve">, Project Management: A strategic </w:t>
      </w:r>
      <w:proofErr w:type="gramStart"/>
      <w:r>
        <w:rPr>
          <w:color w:val="000000"/>
          <w:highlight w:val="white"/>
        </w:rPr>
        <w:t>asset?,</w:t>
      </w:r>
      <w:proofErr w:type="gramEnd"/>
      <w:r>
        <w:rPr>
          <w:color w:val="000000"/>
          <w:highlight w:val="white"/>
        </w:rPr>
        <w:t xml:space="preserve"> </w:t>
      </w:r>
      <w:r>
        <w:rPr>
          <w:i/>
          <w:color w:val="000000"/>
          <w:highlight w:val="white"/>
        </w:rPr>
        <w:t>American Management Association</w:t>
      </w:r>
      <w:r>
        <w:rPr>
          <w:color w:val="000000"/>
          <w:highlight w:val="white"/>
        </w:rPr>
        <w:t>, 269-279.</w:t>
      </w:r>
    </w:p>
    <w:p w14:paraId="14BFCBF2" w14:textId="26711F5C" w:rsidR="005D5B0A" w:rsidRDefault="00A73EE7">
      <w:pPr>
        <w:ind w:left="284" w:hanging="284"/>
        <w:jc w:val="both"/>
        <w:rPr>
          <w:color w:val="000000"/>
        </w:rPr>
      </w:pPr>
      <w:proofErr w:type="spellStart"/>
      <w:r>
        <w:rPr>
          <w:color w:val="000000"/>
        </w:rPr>
        <w:t>Jugdev</w:t>
      </w:r>
      <w:proofErr w:type="spellEnd"/>
      <w:r>
        <w:rPr>
          <w:color w:val="000000"/>
        </w:rPr>
        <w:t xml:space="preserve">, K., </w:t>
      </w:r>
      <w:r w:rsidR="00F970C2">
        <w:rPr>
          <w:color w:val="000000"/>
        </w:rPr>
        <w:t>&amp;</w:t>
      </w:r>
      <w:r>
        <w:rPr>
          <w:color w:val="000000"/>
        </w:rPr>
        <w:t xml:space="preserve"> Müller, R. </w:t>
      </w:r>
      <w:r w:rsidR="00F970C2">
        <w:rPr>
          <w:color w:val="000000"/>
        </w:rPr>
        <w:t>(</w:t>
      </w:r>
      <w:r>
        <w:rPr>
          <w:color w:val="000000"/>
        </w:rPr>
        <w:t>2005</w:t>
      </w:r>
      <w:r w:rsidR="00F970C2">
        <w:rPr>
          <w:color w:val="000000"/>
        </w:rPr>
        <w:t>)</w:t>
      </w:r>
      <w:r>
        <w:rPr>
          <w:color w:val="000000"/>
        </w:rPr>
        <w:t xml:space="preserve">, A retrospective look at our evolving understanding of project success, </w:t>
      </w:r>
      <w:r>
        <w:rPr>
          <w:i/>
          <w:color w:val="000000"/>
        </w:rPr>
        <w:t>Project Management Journal,</w:t>
      </w:r>
      <w:r>
        <w:rPr>
          <w:color w:val="000000"/>
        </w:rPr>
        <w:t xml:space="preserve"> 36 (4)</w:t>
      </w:r>
      <w:r w:rsidR="00F970C2">
        <w:rPr>
          <w:color w:val="000000"/>
        </w:rPr>
        <w:t xml:space="preserve">, </w:t>
      </w:r>
      <w:r>
        <w:rPr>
          <w:color w:val="000000"/>
        </w:rPr>
        <w:t>19.</w:t>
      </w:r>
    </w:p>
    <w:p w14:paraId="1CFFB1D2" w14:textId="74B5E0C5" w:rsidR="005D5B0A" w:rsidRDefault="00A73EE7">
      <w:pPr>
        <w:ind w:left="284" w:hanging="284"/>
        <w:jc w:val="both"/>
        <w:rPr>
          <w:color w:val="000000"/>
          <w:highlight w:val="white"/>
        </w:rPr>
      </w:pPr>
      <w:proofErr w:type="spellStart"/>
      <w:r>
        <w:rPr>
          <w:color w:val="000000"/>
          <w:highlight w:val="white"/>
        </w:rPr>
        <w:t>Jugdev</w:t>
      </w:r>
      <w:proofErr w:type="spellEnd"/>
      <w:r>
        <w:rPr>
          <w:color w:val="000000"/>
          <w:highlight w:val="white"/>
        </w:rPr>
        <w:t xml:space="preserve">, K., Mathur, G., </w:t>
      </w:r>
      <w:r w:rsidR="00F970C2">
        <w:rPr>
          <w:color w:val="000000"/>
          <w:highlight w:val="white"/>
        </w:rPr>
        <w:t>&amp;</w:t>
      </w:r>
      <w:r>
        <w:rPr>
          <w:color w:val="000000"/>
          <w:highlight w:val="white"/>
        </w:rPr>
        <w:t xml:space="preserve"> Fung, T. </w:t>
      </w:r>
      <w:r w:rsidR="00F970C2">
        <w:rPr>
          <w:color w:val="000000"/>
          <w:highlight w:val="white"/>
        </w:rPr>
        <w:t>(</w:t>
      </w:r>
      <w:r>
        <w:rPr>
          <w:color w:val="000000"/>
          <w:highlight w:val="white"/>
        </w:rPr>
        <w:t>2011</w:t>
      </w:r>
      <w:r w:rsidR="00F970C2">
        <w:rPr>
          <w:color w:val="000000"/>
          <w:highlight w:val="white"/>
        </w:rPr>
        <w:t>)</w:t>
      </w:r>
      <w:r>
        <w:rPr>
          <w:color w:val="000000"/>
          <w:highlight w:val="white"/>
        </w:rPr>
        <w:t>, Project management assets and project management performance: Preliminary findings, In </w:t>
      </w:r>
      <w:r>
        <w:rPr>
          <w:i/>
          <w:color w:val="000000"/>
          <w:highlight w:val="white"/>
        </w:rPr>
        <w:t>PICMET Portland, Oregon, USA</w:t>
      </w:r>
      <w:r>
        <w:rPr>
          <w:color w:val="000000"/>
          <w:highlight w:val="white"/>
        </w:rPr>
        <w:t xml:space="preserve">, Retrieved from </w:t>
      </w:r>
      <w:hyperlink r:id="rId15">
        <w:r>
          <w:rPr>
            <w:color w:val="000000"/>
            <w:highlight w:val="white"/>
            <w:u w:val="single"/>
          </w:rPr>
          <w:t>https://hud.summon.serialssolutions.com</w:t>
        </w:r>
      </w:hyperlink>
      <w:r>
        <w:rPr>
          <w:color w:val="000000"/>
          <w:highlight w:val="white"/>
        </w:rPr>
        <w:t>.</w:t>
      </w:r>
    </w:p>
    <w:p w14:paraId="185593E4" w14:textId="56ABDEAB" w:rsidR="005D5B0A" w:rsidRDefault="00A73EE7">
      <w:pPr>
        <w:ind w:left="284" w:hanging="284"/>
        <w:jc w:val="both"/>
        <w:rPr>
          <w:color w:val="000000"/>
        </w:rPr>
      </w:pPr>
      <w:proofErr w:type="spellStart"/>
      <w:r>
        <w:rPr>
          <w:color w:val="000000"/>
        </w:rPr>
        <w:t>Jugdev</w:t>
      </w:r>
      <w:proofErr w:type="spellEnd"/>
      <w:r>
        <w:rPr>
          <w:color w:val="000000"/>
        </w:rPr>
        <w:t xml:space="preserve">, K., Perkins, D., Fortune, J., White, D., </w:t>
      </w:r>
      <w:r w:rsidR="00F970C2">
        <w:rPr>
          <w:color w:val="000000"/>
        </w:rPr>
        <w:t>&amp;</w:t>
      </w:r>
      <w:r>
        <w:rPr>
          <w:color w:val="000000"/>
        </w:rPr>
        <w:t xml:space="preserve"> Walker, D. </w:t>
      </w:r>
      <w:r w:rsidR="00F970C2">
        <w:rPr>
          <w:color w:val="000000"/>
        </w:rPr>
        <w:t>(</w:t>
      </w:r>
      <w:r>
        <w:rPr>
          <w:color w:val="000000"/>
        </w:rPr>
        <w:t>2013</w:t>
      </w:r>
      <w:r w:rsidR="00F970C2">
        <w:rPr>
          <w:color w:val="000000"/>
        </w:rPr>
        <w:t>)</w:t>
      </w:r>
      <w:r>
        <w:rPr>
          <w:color w:val="000000"/>
        </w:rPr>
        <w:t>, An exploratory study of project success with tools, software and methods, </w:t>
      </w:r>
      <w:r>
        <w:rPr>
          <w:i/>
          <w:color w:val="000000"/>
        </w:rPr>
        <w:t xml:space="preserve">International Journal of Managing Projects in </w:t>
      </w:r>
      <w:proofErr w:type="gramStart"/>
      <w:r>
        <w:rPr>
          <w:i/>
          <w:color w:val="000000"/>
        </w:rPr>
        <w:t>Business,</w:t>
      </w:r>
      <w:r>
        <w:rPr>
          <w:color w:val="000000"/>
        </w:rPr>
        <w:t>  6</w:t>
      </w:r>
      <w:proofErr w:type="gramEnd"/>
      <w:r>
        <w:rPr>
          <w:color w:val="000000"/>
        </w:rPr>
        <w:t xml:space="preserve"> (3)</w:t>
      </w:r>
      <w:r w:rsidR="00F970C2">
        <w:rPr>
          <w:color w:val="000000"/>
        </w:rPr>
        <w:t xml:space="preserve">, </w:t>
      </w:r>
      <w:r>
        <w:rPr>
          <w:color w:val="000000"/>
        </w:rPr>
        <w:t>534-551.</w:t>
      </w:r>
    </w:p>
    <w:p w14:paraId="26175A10" w14:textId="10666E23" w:rsidR="005D5B0A" w:rsidRDefault="00A73EE7">
      <w:pPr>
        <w:ind w:left="284" w:hanging="284"/>
        <w:jc w:val="both"/>
        <w:rPr>
          <w:color w:val="000000"/>
        </w:rPr>
      </w:pPr>
      <w:r>
        <w:rPr>
          <w:color w:val="000000"/>
        </w:rPr>
        <w:t xml:space="preserve">Killen, C. P., </w:t>
      </w:r>
      <w:proofErr w:type="spellStart"/>
      <w:r>
        <w:rPr>
          <w:color w:val="000000"/>
        </w:rPr>
        <w:t>Jugdev</w:t>
      </w:r>
      <w:proofErr w:type="spellEnd"/>
      <w:r>
        <w:rPr>
          <w:color w:val="000000"/>
        </w:rPr>
        <w:t xml:space="preserve">, K., Drouin, N., </w:t>
      </w:r>
      <w:r w:rsidR="00F970C2">
        <w:rPr>
          <w:color w:val="000000"/>
        </w:rPr>
        <w:t>&amp;</w:t>
      </w:r>
      <w:r>
        <w:rPr>
          <w:color w:val="000000"/>
        </w:rPr>
        <w:t xml:space="preserve"> Petit, Y. </w:t>
      </w:r>
      <w:r w:rsidR="00F970C2">
        <w:rPr>
          <w:color w:val="000000"/>
        </w:rPr>
        <w:t>(</w:t>
      </w:r>
      <w:r>
        <w:rPr>
          <w:color w:val="000000"/>
        </w:rPr>
        <w:t>2012</w:t>
      </w:r>
      <w:r w:rsidR="00F970C2">
        <w:rPr>
          <w:color w:val="000000"/>
        </w:rPr>
        <w:t>)</w:t>
      </w:r>
      <w:r>
        <w:rPr>
          <w:color w:val="000000"/>
        </w:rPr>
        <w:t xml:space="preserve">, Advancing project and portfolio management research: Applying strategic management theories, </w:t>
      </w:r>
      <w:r>
        <w:rPr>
          <w:i/>
          <w:color w:val="000000"/>
        </w:rPr>
        <w:t>International Journal of Project Management</w:t>
      </w:r>
      <w:r>
        <w:rPr>
          <w:color w:val="000000"/>
        </w:rPr>
        <w:t>, 30 (5)</w:t>
      </w:r>
      <w:r w:rsidR="00F970C2">
        <w:rPr>
          <w:color w:val="000000"/>
        </w:rPr>
        <w:t xml:space="preserve">, </w:t>
      </w:r>
      <w:r>
        <w:rPr>
          <w:color w:val="000000"/>
        </w:rPr>
        <w:t>525-538.</w:t>
      </w:r>
    </w:p>
    <w:p w14:paraId="68E6CF2F" w14:textId="676B665B" w:rsidR="005D5B0A" w:rsidRDefault="00A73EE7">
      <w:pPr>
        <w:ind w:left="284" w:hanging="284"/>
        <w:jc w:val="both"/>
        <w:rPr>
          <w:color w:val="000000"/>
        </w:rPr>
      </w:pPr>
      <w:proofErr w:type="spellStart"/>
      <w:r>
        <w:rPr>
          <w:color w:val="000000"/>
        </w:rPr>
        <w:t>Kobarg</w:t>
      </w:r>
      <w:proofErr w:type="spellEnd"/>
      <w:r>
        <w:rPr>
          <w:color w:val="000000"/>
        </w:rPr>
        <w:t>, S., Stumpf-</w:t>
      </w:r>
      <w:proofErr w:type="spellStart"/>
      <w:r>
        <w:rPr>
          <w:color w:val="000000"/>
        </w:rPr>
        <w:t>Wollersheim</w:t>
      </w:r>
      <w:proofErr w:type="spellEnd"/>
      <w:r>
        <w:rPr>
          <w:color w:val="000000"/>
        </w:rPr>
        <w:t xml:space="preserve">, J. </w:t>
      </w:r>
      <w:r w:rsidR="00F970C2">
        <w:rPr>
          <w:color w:val="000000"/>
        </w:rPr>
        <w:t xml:space="preserve">&amp; </w:t>
      </w:r>
      <w:proofErr w:type="spellStart"/>
      <w:r>
        <w:rPr>
          <w:color w:val="000000"/>
        </w:rPr>
        <w:t>Welpe</w:t>
      </w:r>
      <w:proofErr w:type="spellEnd"/>
      <w:r>
        <w:rPr>
          <w:color w:val="000000"/>
        </w:rPr>
        <w:t xml:space="preserve">, I.M. </w:t>
      </w:r>
      <w:r w:rsidR="00F970C2">
        <w:rPr>
          <w:color w:val="000000"/>
        </w:rPr>
        <w:t>(</w:t>
      </w:r>
      <w:r>
        <w:rPr>
          <w:color w:val="000000"/>
        </w:rPr>
        <w:t>2019</w:t>
      </w:r>
      <w:r w:rsidR="00F970C2">
        <w:rPr>
          <w:color w:val="000000"/>
        </w:rPr>
        <w:t>)</w:t>
      </w:r>
      <w:r>
        <w:rPr>
          <w:color w:val="000000"/>
        </w:rPr>
        <w:t xml:space="preserve">, More is not always better: Effects of collaboration breadth and depth on radical and incremental innovation performance at the project level, </w:t>
      </w:r>
      <w:r>
        <w:rPr>
          <w:i/>
          <w:color w:val="000000"/>
        </w:rPr>
        <w:t xml:space="preserve">Research Policy, </w:t>
      </w:r>
      <w:r>
        <w:rPr>
          <w:color w:val="000000"/>
        </w:rPr>
        <w:t>48(1)</w:t>
      </w:r>
      <w:r w:rsidR="00F970C2">
        <w:rPr>
          <w:color w:val="000000"/>
        </w:rPr>
        <w:t xml:space="preserve">, </w:t>
      </w:r>
      <w:r>
        <w:rPr>
          <w:color w:val="000000"/>
        </w:rPr>
        <w:t xml:space="preserve">1-10. </w:t>
      </w:r>
    </w:p>
    <w:p w14:paraId="79A720D4" w14:textId="5C5C3CFD" w:rsidR="005D5B0A" w:rsidRDefault="00A73EE7">
      <w:pPr>
        <w:jc w:val="both"/>
        <w:rPr>
          <w:color w:val="000000"/>
        </w:rPr>
      </w:pPr>
      <w:proofErr w:type="spellStart"/>
      <w:r>
        <w:rPr>
          <w:color w:val="000000"/>
        </w:rPr>
        <w:t>Kor</w:t>
      </w:r>
      <w:proofErr w:type="spellEnd"/>
      <w:r>
        <w:rPr>
          <w:color w:val="000000"/>
        </w:rPr>
        <w:t xml:space="preserve">, R., </w:t>
      </w:r>
      <w:r w:rsidR="00F970C2">
        <w:rPr>
          <w:color w:val="000000"/>
        </w:rPr>
        <w:t>&amp;</w:t>
      </w:r>
      <w:r>
        <w:rPr>
          <w:color w:val="000000"/>
        </w:rPr>
        <w:t xml:space="preserve"> </w:t>
      </w:r>
      <w:proofErr w:type="spellStart"/>
      <w:r>
        <w:rPr>
          <w:color w:val="000000"/>
        </w:rPr>
        <w:t>Wijnen</w:t>
      </w:r>
      <w:proofErr w:type="spellEnd"/>
      <w:r>
        <w:rPr>
          <w:color w:val="000000"/>
        </w:rPr>
        <w:t xml:space="preserve">, G. </w:t>
      </w:r>
      <w:r w:rsidR="00F970C2">
        <w:rPr>
          <w:color w:val="000000"/>
        </w:rPr>
        <w:t>(</w:t>
      </w:r>
      <w:r>
        <w:rPr>
          <w:color w:val="000000"/>
        </w:rPr>
        <w:t>2017</w:t>
      </w:r>
      <w:r w:rsidR="00F970C2">
        <w:rPr>
          <w:color w:val="000000"/>
        </w:rPr>
        <w:t>)</w:t>
      </w:r>
      <w:r>
        <w:rPr>
          <w:color w:val="000000"/>
        </w:rPr>
        <w:t>, </w:t>
      </w:r>
      <w:r>
        <w:rPr>
          <w:i/>
          <w:color w:val="000000"/>
        </w:rPr>
        <w:t>59 checklists for project and programme managers</w:t>
      </w:r>
      <w:r>
        <w:rPr>
          <w:color w:val="000000"/>
        </w:rPr>
        <w:t>, Routledge.</w:t>
      </w:r>
    </w:p>
    <w:p w14:paraId="1BA34E4B" w14:textId="0A4AC23B" w:rsidR="005D5B0A" w:rsidRDefault="00A73EE7">
      <w:pPr>
        <w:ind w:left="284" w:hanging="284"/>
        <w:jc w:val="both"/>
        <w:rPr>
          <w:color w:val="000000"/>
          <w:highlight w:val="white"/>
        </w:rPr>
      </w:pPr>
      <w:proofErr w:type="spellStart"/>
      <w:r>
        <w:rPr>
          <w:color w:val="000000"/>
          <w:highlight w:val="white"/>
        </w:rPr>
        <w:t>Kraaijenbrink</w:t>
      </w:r>
      <w:proofErr w:type="spellEnd"/>
      <w:r>
        <w:rPr>
          <w:color w:val="000000"/>
          <w:highlight w:val="white"/>
        </w:rPr>
        <w:t xml:space="preserve">, J., Spender, J. C., </w:t>
      </w:r>
      <w:r w:rsidR="00F970C2">
        <w:rPr>
          <w:color w:val="000000"/>
          <w:highlight w:val="white"/>
        </w:rPr>
        <w:t>&amp;</w:t>
      </w:r>
      <w:r>
        <w:rPr>
          <w:color w:val="000000"/>
          <w:highlight w:val="white"/>
        </w:rPr>
        <w:t xml:space="preserve"> Groen, A. J. </w:t>
      </w:r>
      <w:r w:rsidR="00F970C2">
        <w:rPr>
          <w:color w:val="000000"/>
          <w:highlight w:val="white"/>
        </w:rPr>
        <w:t>(</w:t>
      </w:r>
      <w:r>
        <w:rPr>
          <w:color w:val="000000"/>
          <w:highlight w:val="white"/>
        </w:rPr>
        <w:t>2010</w:t>
      </w:r>
      <w:r w:rsidR="00F970C2">
        <w:rPr>
          <w:color w:val="000000"/>
          <w:highlight w:val="white"/>
        </w:rPr>
        <w:t>)</w:t>
      </w:r>
      <w:r>
        <w:rPr>
          <w:color w:val="000000"/>
          <w:highlight w:val="white"/>
        </w:rPr>
        <w:t>, “The resource-based view: A review and assessment of its critiques”, </w:t>
      </w:r>
      <w:r>
        <w:rPr>
          <w:i/>
          <w:color w:val="000000"/>
          <w:highlight w:val="white"/>
        </w:rPr>
        <w:t>Journal of management</w:t>
      </w:r>
      <w:r>
        <w:rPr>
          <w:color w:val="000000"/>
          <w:highlight w:val="white"/>
        </w:rPr>
        <w:t>, 36 (1)</w:t>
      </w:r>
      <w:r w:rsidR="00F970C2">
        <w:rPr>
          <w:color w:val="000000"/>
          <w:highlight w:val="white"/>
        </w:rPr>
        <w:t xml:space="preserve">, </w:t>
      </w:r>
      <w:r>
        <w:rPr>
          <w:color w:val="000000"/>
          <w:highlight w:val="white"/>
        </w:rPr>
        <w:t>349-372.</w:t>
      </w:r>
    </w:p>
    <w:p w14:paraId="62FF4EAA" w14:textId="22F9639A" w:rsidR="005D5B0A" w:rsidRDefault="00A73EE7">
      <w:pPr>
        <w:ind w:left="284" w:hanging="284"/>
        <w:jc w:val="both"/>
        <w:rPr>
          <w:color w:val="000000"/>
        </w:rPr>
      </w:pPr>
      <w:r>
        <w:rPr>
          <w:color w:val="000000"/>
        </w:rPr>
        <w:t xml:space="preserve">Kwak, Y. H., </w:t>
      </w:r>
      <w:r w:rsidR="00F970C2">
        <w:rPr>
          <w:color w:val="000000"/>
        </w:rPr>
        <w:t>&amp;</w:t>
      </w:r>
      <w:r>
        <w:rPr>
          <w:color w:val="000000"/>
        </w:rPr>
        <w:t xml:space="preserve"> </w:t>
      </w:r>
      <w:proofErr w:type="spellStart"/>
      <w:r>
        <w:rPr>
          <w:color w:val="000000"/>
        </w:rPr>
        <w:t>Ibbs</w:t>
      </w:r>
      <w:proofErr w:type="spellEnd"/>
      <w:r>
        <w:rPr>
          <w:color w:val="000000"/>
        </w:rPr>
        <w:t xml:space="preserve">, C. W. </w:t>
      </w:r>
      <w:r w:rsidR="00F970C2">
        <w:rPr>
          <w:color w:val="000000"/>
        </w:rPr>
        <w:t>(</w:t>
      </w:r>
      <w:r>
        <w:rPr>
          <w:color w:val="000000"/>
        </w:rPr>
        <w:t>2000</w:t>
      </w:r>
      <w:r w:rsidR="00F970C2">
        <w:rPr>
          <w:color w:val="000000"/>
        </w:rPr>
        <w:t>)</w:t>
      </w:r>
      <w:r>
        <w:rPr>
          <w:color w:val="000000"/>
        </w:rPr>
        <w:t xml:space="preserve">. “Calculating project management's return on investment”, </w:t>
      </w:r>
      <w:r>
        <w:rPr>
          <w:i/>
          <w:color w:val="000000"/>
        </w:rPr>
        <w:t>Project Management Journal</w:t>
      </w:r>
      <w:r>
        <w:rPr>
          <w:color w:val="000000"/>
        </w:rPr>
        <w:t>, 31(2)</w:t>
      </w:r>
      <w:r w:rsidR="00F970C2">
        <w:rPr>
          <w:color w:val="000000"/>
        </w:rPr>
        <w:t xml:space="preserve">, </w:t>
      </w:r>
      <w:r>
        <w:rPr>
          <w:color w:val="000000"/>
        </w:rPr>
        <w:t>38.</w:t>
      </w:r>
    </w:p>
    <w:p w14:paraId="7779AB2B" w14:textId="2AE7A593" w:rsidR="005D5B0A" w:rsidRDefault="00A73EE7">
      <w:pPr>
        <w:ind w:left="284" w:hanging="284"/>
        <w:jc w:val="both"/>
        <w:rPr>
          <w:color w:val="000000"/>
        </w:rPr>
      </w:pPr>
      <w:r>
        <w:rPr>
          <w:color w:val="000000"/>
        </w:rPr>
        <w:t xml:space="preserve">Lee, D., Hung, C. </w:t>
      </w:r>
      <w:r w:rsidR="00F970C2">
        <w:rPr>
          <w:color w:val="000000"/>
        </w:rPr>
        <w:t>(</w:t>
      </w:r>
      <w:r>
        <w:rPr>
          <w:color w:val="000000"/>
        </w:rPr>
        <w:t>2021</w:t>
      </w:r>
      <w:r w:rsidR="00F970C2">
        <w:rPr>
          <w:color w:val="000000"/>
        </w:rPr>
        <w:t>)</w:t>
      </w:r>
      <w:r>
        <w:rPr>
          <w:color w:val="000000"/>
        </w:rPr>
        <w:t>. Meta-Analysis of Collaboration and Performance: Moderating Tests of Sectoral Differences in Collaborative Performance, Journal of Public Administration Research and Theory, https://doi.org/10.1093/jopart/muab038</w:t>
      </w:r>
    </w:p>
    <w:p w14:paraId="11A8818B" w14:textId="7A7082F9" w:rsidR="005D5B0A" w:rsidRDefault="00A73EE7">
      <w:pPr>
        <w:ind w:left="284" w:hanging="284"/>
        <w:jc w:val="both"/>
        <w:rPr>
          <w:color w:val="000000"/>
        </w:rPr>
      </w:pPr>
      <w:r>
        <w:rPr>
          <w:color w:val="000000"/>
        </w:rPr>
        <w:t xml:space="preserve">Lee, S. </w:t>
      </w:r>
      <w:r w:rsidR="00F970C2">
        <w:rPr>
          <w:color w:val="000000"/>
        </w:rPr>
        <w:t>&amp;</w:t>
      </w:r>
      <w:r>
        <w:rPr>
          <w:color w:val="000000"/>
        </w:rPr>
        <w:t xml:space="preserve"> Chen, G., </w:t>
      </w:r>
      <w:r w:rsidR="00F970C2">
        <w:rPr>
          <w:color w:val="000000"/>
        </w:rPr>
        <w:t>(</w:t>
      </w:r>
      <w:r>
        <w:rPr>
          <w:color w:val="000000"/>
        </w:rPr>
        <w:t>2021</w:t>
      </w:r>
      <w:r w:rsidR="00F970C2">
        <w:rPr>
          <w:color w:val="000000"/>
        </w:rPr>
        <w:t>)</w:t>
      </w:r>
      <w:r>
        <w:rPr>
          <w:color w:val="000000"/>
        </w:rPr>
        <w:t xml:space="preserve">, Understanding financial resilience from a resource-based view: Evidence from US state governments, </w:t>
      </w:r>
      <w:r>
        <w:rPr>
          <w:i/>
          <w:color w:val="000000"/>
        </w:rPr>
        <w:t>Public Management Review</w:t>
      </w:r>
      <w:r>
        <w:rPr>
          <w:color w:val="000000"/>
        </w:rPr>
        <w:t>, 1-24.</w:t>
      </w:r>
    </w:p>
    <w:p w14:paraId="087E5AC9" w14:textId="6E0423F2" w:rsidR="005D5B0A" w:rsidRDefault="00A73EE7">
      <w:pPr>
        <w:ind w:left="284" w:hanging="284"/>
        <w:jc w:val="both"/>
        <w:rPr>
          <w:color w:val="000000"/>
        </w:rPr>
      </w:pPr>
      <w:r>
        <w:rPr>
          <w:color w:val="000000"/>
        </w:rPr>
        <w:t xml:space="preserve">Lee, S. </w:t>
      </w:r>
      <w:r w:rsidR="00F970C2">
        <w:rPr>
          <w:color w:val="000000"/>
        </w:rPr>
        <w:t>&amp;</w:t>
      </w:r>
      <w:r>
        <w:rPr>
          <w:color w:val="000000"/>
        </w:rPr>
        <w:t xml:space="preserve"> Whitford, A., </w:t>
      </w:r>
      <w:r w:rsidR="00F970C2">
        <w:rPr>
          <w:color w:val="000000"/>
        </w:rPr>
        <w:t>(</w:t>
      </w:r>
      <w:r>
        <w:rPr>
          <w:color w:val="000000"/>
        </w:rPr>
        <w:t>2012</w:t>
      </w:r>
      <w:r w:rsidR="00F970C2">
        <w:rPr>
          <w:color w:val="000000"/>
        </w:rPr>
        <w:t>)</w:t>
      </w:r>
      <w:r>
        <w:rPr>
          <w:color w:val="000000"/>
        </w:rPr>
        <w:t>. Assessing the Effects of Organizational Resources on Public Agency Performance: Evidence from the US Federal Government. Journal of Public Administration Research and Theory, 23(3), 687-712.</w:t>
      </w:r>
    </w:p>
    <w:p w14:paraId="726D87B7" w14:textId="63BF2D66" w:rsidR="005D5B0A" w:rsidRDefault="00A73EE7">
      <w:pPr>
        <w:ind w:left="284" w:hanging="284"/>
        <w:jc w:val="both"/>
        <w:rPr>
          <w:color w:val="000000"/>
        </w:rPr>
      </w:pPr>
      <w:r>
        <w:rPr>
          <w:color w:val="000000"/>
        </w:rPr>
        <w:t xml:space="preserve">Lippman, S. A., </w:t>
      </w:r>
      <w:r w:rsidR="00F970C2">
        <w:rPr>
          <w:color w:val="000000"/>
        </w:rPr>
        <w:t>&amp;</w:t>
      </w:r>
      <w:r>
        <w:rPr>
          <w:color w:val="000000"/>
        </w:rPr>
        <w:t xml:space="preserve"> </w:t>
      </w:r>
      <w:proofErr w:type="spellStart"/>
      <w:r>
        <w:rPr>
          <w:color w:val="000000"/>
        </w:rPr>
        <w:t>Rumelt</w:t>
      </w:r>
      <w:proofErr w:type="spellEnd"/>
      <w:r>
        <w:rPr>
          <w:color w:val="000000"/>
        </w:rPr>
        <w:t xml:space="preserve">, R. P. </w:t>
      </w:r>
      <w:r w:rsidR="00F970C2">
        <w:rPr>
          <w:color w:val="000000"/>
        </w:rPr>
        <w:t>(</w:t>
      </w:r>
      <w:r>
        <w:rPr>
          <w:color w:val="000000"/>
        </w:rPr>
        <w:t>1982</w:t>
      </w:r>
      <w:r w:rsidR="00F970C2">
        <w:rPr>
          <w:color w:val="000000"/>
        </w:rPr>
        <w:t>)</w:t>
      </w:r>
      <w:r>
        <w:rPr>
          <w:color w:val="000000"/>
        </w:rPr>
        <w:t xml:space="preserve">, Uncertain imitability: An analysis of interfirm differences in efficiency under competition, </w:t>
      </w:r>
      <w:r>
        <w:rPr>
          <w:i/>
          <w:color w:val="000000"/>
        </w:rPr>
        <w:t>The Bell Journal of Economics</w:t>
      </w:r>
      <w:r>
        <w:rPr>
          <w:color w:val="000000"/>
        </w:rPr>
        <w:t>, 13 (2)</w:t>
      </w:r>
      <w:r w:rsidR="00F970C2">
        <w:rPr>
          <w:color w:val="000000"/>
        </w:rPr>
        <w:t xml:space="preserve">, </w:t>
      </w:r>
      <w:r>
        <w:rPr>
          <w:color w:val="000000"/>
        </w:rPr>
        <w:t>418-438.</w:t>
      </w:r>
    </w:p>
    <w:p w14:paraId="6EFC683F" w14:textId="3BE994CE" w:rsidR="005D5B0A" w:rsidRDefault="00A73EE7">
      <w:pPr>
        <w:ind w:left="284" w:hanging="284"/>
        <w:jc w:val="both"/>
        <w:rPr>
          <w:color w:val="000000"/>
        </w:rPr>
      </w:pPr>
      <w:r>
        <w:rPr>
          <w:color w:val="000000"/>
        </w:rPr>
        <w:t xml:space="preserve">Liu, L. C. </w:t>
      </w:r>
      <w:r w:rsidR="00F970C2">
        <w:rPr>
          <w:color w:val="000000"/>
        </w:rPr>
        <w:t>(</w:t>
      </w:r>
      <w:r>
        <w:rPr>
          <w:color w:val="000000"/>
        </w:rPr>
        <w:t>2021</w:t>
      </w:r>
      <w:r w:rsidR="00F970C2">
        <w:rPr>
          <w:color w:val="000000"/>
        </w:rPr>
        <w:t>)</w:t>
      </w:r>
      <w:r>
        <w:rPr>
          <w:color w:val="000000"/>
        </w:rPr>
        <w:t xml:space="preserve">, Policy innovation and public organizational performance: a moderated mediation analysis of Taiwan’s </w:t>
      </w:r>
      <w:proofErr w:type="spellStart"/>
      <w:r>
        <w:rPr>
          <w:color w:val="000000"/>
        </w:rPr>
        <w:t>Bookstart</w:t>
      </w:r>
      <w:proofErr w:type="spellEnd"/>
      <w:r>
        <w:rPr>
          <w:color w:val="000000"/>
        </w:rPr>
        <w:t xml:space="preserve"> program, </w:t>
      </w:r>
      <w:r>
        <w:rPr>
          <w:i/>
          <w:color w:val="000000"/>
        </w:rPr>
        <w:t>Public Management Review</w:t>
      </w:r>
      <w:r>
        <w:rPr>
          <w:color w:val="000000"/>
        </w:rPr>
        <w:t>, 1-22.</w:t>
      </w:r>
    </w:p>
    <w:p w14:paraId="643820F6" w14:textId="61C7F616" w:rsidR="005D5B0A" w:rsidRDefault="00A73EE7">
      <w:pPr>
        <w:ind w:left="284" w:hanging="284"/>
        <w:jc w:val="both"/>
        <w:rPr>
          <w:color w:val="000000"/>
        </w:rPr>
      </w:pPr>
      <w:r>
        <w:rPr>
          <w:color w:val="000000"/>
        </w:rPr>
        <w:lastRenderedPageBreak/>
        <w:t xml:space="preserve">Local Government Association </w:t>
      </w:r>
      <w:r w:rsidR="00F970C2">
        <w:rPr>
          <w:color w:val="000000"/>
        </w:rPr>
        <w:t>(</w:t>
      </w:r>
      <w:r>
        <w:rPr>
          <w:color w:val="000000"/>
        </w:rPr>
        <w:t>2012</w:t>
      </w:r>
      <w:r w:rsidR="00F970C2">
        <w:rPr>
          <w:color w:val="000000"/>
        </w:rPr>
        <w:t>)</w:t>
      </w:r>
      <w:r>
        <w:rPr>
          <w:color w:val="000000"/>
        </w:rPr>
        <w:t xml:space="preserve">, </w:t>
      </w:r>
      <w:r>
        <w:rPr>
          <w:i/>
          <w:color w:val="000000"/>
        </w:rPr>
        <w:t>The LGA quick guide to local government</w:t>
      </w:r>
      <w:r>
        <w:rPr>
          <w:color w:val="000000"/>
        </w:rPr>
        <w:t>, London: Local Government Association</w:t>
      </w:r>
      <w:r>
        <w:rPr>
          <w:rFonts w:ascii="Arial" w:eastAsia="Arial" w:hAnsi="Arial" w:cs="Arial"/>
          <w:color w:val="000000"/>
          <w:sz w:val="20"/>
          <w:szCs w:val="20"/>
          <w:highlight w:val="white"/>
        </w:rPr>
        <w:t>.</w:t>
      </w:r>
    </w:p>
    <w:p w14:paraId="585562BE" w14:textId="463D5304" w:rsidR="005D5B0A" w:rsidRDefault="00A73EE7">
      <w:pPr>
        <w:ind w:left="284" w:hanging="284"/>
        <w:jc w:val="both"/>
        <w:rPr>
          <w:color w:val="000000"/>
        </w:rPr>
      </w:pPr>
      <w:r>
        <w:rPr>
          <w:color w:val="000000"/>
        </w:rPr>
        <w:t xml:space="preserve">Local Government Association </w:t>
      </w:r>
      <w:r w:rsidR="00F970C2">
        <w:rPr>
          <w:color w:val="000000"/>
        </w:rPr>
        <w:t>(</w:t>
      </w:r>
      <w:r>
        <w:rPr>
          <w:color w:val="000000"/>
        </w:rPr>
        <w:t>2018</w:t>
      </w:r>
      <w:r w:rsidR="00F970C2">
        <w:rPr>
          <w:color w:val="000000"/>
        </w:rPr>
        <w:t>)</w:t>
      </w:r>
      <w:r>
        <w:rPr>
          <w:color w:val="000000"/>
        </w:rPr>
        <w:t xml:space="preserve">, </w:t>
      </w:r>
      <w:r>
        <w:rPr>
          <w:i/>
          <w:color w:val="000000"/>
        </w:rPr>
        <w:t>Funding outlook for councils to 2019/20: Preliminary modelling</w:t>
      </w:r>
      <w:r>
        <w:rPr>
          <w:color w:val="000000"/>
        </w:rPr>
        <w:t>, London: Local Government Association</w:t>
      </w:r>
      <w:r>
        <w:rPr>
          <w:rFonts w:ascii="Arial" w:eastAsia="Arial" w:hAnsi="Arial" w:cs="Arial"/>
          <w:color w:val="000000"/>
          <w:sz w:val="20"/>
          <w:szCs w:val="20"/>
          <w:highlight w:val="white"/>
        </w:rPr>
        <w:t>.</w:t>
      </w:r>
    </w:p>
    <w:p w14:paraId="5EBA0A02" w14:textId="7959BA35" w:rsidR="005D5B0A" w:rsidRDefault="00A73EE7">
      <w:pPr>
        <w:ind w:left="284" w:hanging="284"/>
        <w:jc w:val="both"/>
        <w:rPr>
          <w:color w:val="000000"/>
        </w:rPr>
      </w:pPr>
      <w:proofErr w:type="spellStart"/>
      <w:r>
        <w:rPr>
          <w:color w:val="000000"/>
        </w:rPr>
        <w:t>Lytras</w:t>
      </w:r>
      <w:proofErr w:type="spellEnd"/>
      <w:r>
        <w:rPr>
          <w:color w:val="000000"/>
        </w:rPr>
        <w:t xml:space="preserve">, M. D., </w:t>
      </w:r>
      <w:r w:rsidR="00F970C2">
        <w:rPr>
          <w:color w:val="000000"/>
        </w:rPr>
        <w:t>&amp;</w:t>
      </w:r>
      <w:r>
        <w:rPr>
          <w:color w:val="000000"/>
        </w:rPr>
        <w:t xml:space="preserve"> </w:t>
      </w:r>
      <w:proofErr w:type="spellStart"/>
      <w:r>
        <w:rPr>
          <w:color w:val="000000"/>
        </w:rPr>
        <w:t>Pouloudi</w:t>
      </w:r>
      <w:proofErr w:type="spellEnd"/>
      <w:r>
        <w:rPr>
          <w:color w:val="000000"/>
        </w:rPr>
        <w:t xml:space="preserve">, A. </w:t>
      </w:r>
      <w:r w:rsidR="00F970C2">
        <w:rPr>
          <w:color w:val="000000"/>
        </w:rPr>
        <w:t>(</w:t>
      </w:r>
      <w:r>
        <w:rPr>
          <w:color w:val="000000"/>
        </w:rPr>
        <w:t>2003</w:t>
      </w:r>
      <w:r w:rsidR="00F970C2">
        <w:rPr>
          <w:color w:val="000000"/>
        </w:rPr>
        <w:t>)</w:t>
      </w:r>
      <w:r>
        <w:rPr>
          <w:color w:val="000000"/>
        </w:rPr>
        <w:t xml:space="preserve">. Project management as a knowledge management primer: The learning infrastructure in knowledge-intensive organizations: Projects as knowledge transformations and beyond, </w:t>
      </w:r>
      <w:r>
        <w:rPr>
          <w:i/>
          <w:color w:val="000000"/>
        </w:rPr>
        <w:t>The Learning Organization</w:t>
      </w:r>
      <w:r>
        <w:rPr>
          <w:color w:val="000000"/>
        </w:rPr>
        <w:t>, 10(4)</w:t>
      </w:r>
      <w:r w:rsidR="00F970C2">
        <w:rPr>
          <w:color w:val="000000"/>
        </w:rPr>
        <w:t xml:space="preserve">, </w:t>
      </w:r>
      <w:r>
        <w:rPr>
          <w:color w:val="000000"/>
        </w:rPr>
        <w:t>237-250.</w:t>
      </w:r>
    </w:p>
    <w:p w14:paraId="221ED9A7" w14:textId="4B7FE5CB" w:rsidR="005D5B0A" w:rsidRDefault="00A73EE7">
      <w:pPr>
        <w:ind w:left="284" w:hanging="284"/>
        <w:jc w:val="both"/>
        <w:rPr>
          <w:color w:val="000000"/>
        </w:rPr>
      </w:pPr>
      <w:r>
        <w:rPr>
          <w:color w:val="000000"/>
        </w:rPr>
        <w:t xml:space="preserve">Madsen, T., </w:t>
      </w:r>
      <w:r w:rsidR="00F970C2">
        <w:rPr>
          <w:color w:val="000000"/>
        </w:rPr>
        <w:t>&amp;</w:t>
      </w:r>
      <w:r>
        <w:rPr>
          <w:color w:val="000000"/>
        </w:rPr>
        <w:t xml:space="preserve"> Walker, G. </w:t>
      </w:r>
      <w:r w:rsidR="00F970C2">
        <w:rPr>
          <w:color w:val="000000"/>
        </w:rPr>
        <w:t>(</w:t>
      </w:r>
      <w:r>
        <w:rPr>
          <w:color w:val="000000"/>
        </w:rPr>
        <w:t>2016</w:t>
      </w:r>
      <w:r w:rsidR="00F970C2">
        <w:rPr>
          <w:color w:val="000000"/>
        </w:rPr>
        <w:t>)</w:t>
      </w:r>
      <w:r>
        <w:rPr>
          <w:color w:val="000000"/>
        </w:rPr>
        <w:t xml:space="preserve">, Competitive heterogeneity, cohorts, and persistent advantage”, </w:t>
      </w:r>
      <w:r>
        <w:rPr>
          <w:i/>
          <w:color w:val="000000"/>
        </w:rPr>
        <w:t>Strategic Management Journal</w:t>
      </w:r>
      <w:r>
        <w:rPr>
          <w:color w:val="000000"/>
        </w:rPr>
        <w:t>, 38 (2)</w:t>
      </w:r>
      <w:r w:rsidR="00F970C2">
        <w:rPr>
          <w:color w:val="000000"/>
        </w:rPr>
        <w:t xml:space="preserve">, </w:t>
      </w:r>
      <w:r>
        <w:rPr>
          <w:color w:val="000000"/>
        </w:rPr>
        <w:t xml:space="preserve">184-202. </w:t>
      </w:r>
      <w:proofErr w:type="spellStart"/>
      <w:r>
        <w:rPr>
          <w:color w:val="000000"/>
        </w:rPr>
        <w:t>doi</w:t>
      </w:r>
      <w:proofErr w:type="spellEnd"/>
      <w:r>
        <w:rPr>
          <w:color w:val="000000"/>
        </w:rPr>
        <w:t>: 10.1002/smj.2483</w:t>
      </w:r>
    </w:p>
    <w:p w14:paraId="149096DD" w14:textId="51425FD0" w:rsidR="005D5B0A" w:rsidRDefault="00A73EE7" w:rsidP="00C2012B">
      <w:pPr>
        <w:ind w:left="284" w:hanging="284"/>
        <w:jc w:val="both"/>
      </w:pPr>
      <w:r>
        <w:t xml:space="preserve">Mahdi, O., Nassar, I. </w:t>
      </w:r>
      <w:r w:rsidR="00F970C2">
        <w:t>&amp;</w:t>
      </w:r>
      <w:r>
        <w:t xml:space="preserve"> </w:t>
      </w:r>
      <w:proofErr w:type="spellStart"/>
      <w:r>
        <w:t>Almsafir</w:t>
      </w:r>
      <w:proofErr w:type="spellEnd"/>
      <w:r>
        <w:t xml:space="preserve">, M., </w:t>
      </w:r>
      <w:r w:rsidR="00F970C2">
        <w:t>(</w:t>
      </w:r>
      <w:r>
        <w:t>2019</w:t>
      </w:r>
      <w:r w:rsidR="00F970C2">
        <w:t>)</w:t>
      </w:r>
      <w:r>
        <w:t>. Knowledge management processes and sustainable competitive advantage: An empirical examination in private universities. Journal of Business Research, 94, pp.320-334.</w:t>
      </w:r>
    </w:p>
    <w:p w14:paraId="09F862CC" w14:textId="2CF2B3AB" w:rsidR="005D5B0A" w:rsidRDefault="00A73EE7">
      <w:pPr>
        <w:ind w:left="284" w:hanging="284"/>
        <w:jc w:val="both"/>
        <w:rPr>
          <w:color w:val="000000"/>
        </w:rPr>
      </w:pPr>
      <w:r>
        <w:rPr>
          <w:color w:val="000000"/>
        </w:rPr>
        <w:t xml:space="preserve">Mahoney, J. T., </w:t>
      </w:r>
      <w:r w:rsidR="00F970C2">
        <w:rPr>
          <w:color w:val="000000"/>
        </w:rPr>
        <w:t>&amp;</w:t>
      </w:r>
      <w:r>
        <w:rPr>
          <w:color w:val="000000"/>
        </w:rPr>
        <w:t xml:space="preserve"> Pandian, J. R. </w:t>
      </w:r>
      <w:r w:rsidR="00F970C2">
        <w:rPr>
          <w:color w:val="000000"/>
        </w:rPr>
        <w:t>(</w:t>
      </w:r>
      <w:r>
        <w:rPr>
          <w:color w:val="000000"/>
        </w:rPr>
        <w:t>1992</w:t>
      </w:r>
      <w:r w:rsidR="00F970C2">
        <w:rPr>
          <w:color w:val="000000"/>
        </w:rPr>
        <w:t>)</w:t>
      </w:r>
      <w:r>
        <w:rPr>
          <w:color w:val="000000"/>
        </w:rPr>
        <w:t>, The resource-based view within the conversation of strategic management, </w:t>
      </w:r>
      <w:r>
        <w:rPr>
          <w:i/>
          <w:color w:val="000000"/>
        </w:rPr>
        <w:t>Strategic Management Journal,</w:t>
      </w:r>
      <w:r>
        <w:rPr>
          <w:color w:val="000000"/>
        </w:rPr>
        <w:t xml:space="preserve"> 13 (5)</w:t>
      </w:r>
      <w:r w:rsidR="00F970C2">
        <w:rPr>
          <w:color w:val="000000"/>
        </w:rPr>
        <w:t xml:space="preserve">, </w:t>
      </w:r>
      <w:r>
        <w:rPr>
          <w:color w:val="000000"/>
        </w:rPr>
        <w:t>363-380. </w:t>
      </w:r>
    </w:p>
    <w:p w14:paraId="18F2DCAA" w14:textId="5F00B109" w:rsidR="005D5B0A" w:rsidRDefault="00A73EE7">
      <w:pPr>
        <w:ind w:left="284" w:hanging="284"/>
        <w:jc w:val="both"/>
        <w:rPr>
          <w:color w:val="000000"/>
          <w:highlight w:val="white"/>
        </w:rPr>
      </w:pPr>
      <w:r>
        <w:rPr>
          <w:color w:val="000000"/>
          <w:highlight w:val="white"/>
        </w:rPr>
        <w:t xml:space="preserve">Mata, F. J., </w:t>
      </w:r>
      <w:proofErr w:type="spellStart"/>
      <w:r>
        <w:rPr>
          <w:color w:val="000000"/>
          <w:highlight w:val="white"/>
        </w:rPr>
        <w:t>Fuerst</w:t>
      </w:r>
      <w:proofErr w:type="spellEnd"/>
      <w:r>
        <w:rPr>
          <w:color w:val="000000"/>
          <w:highlight w:val="white"/>
        </w:rPr>
        <w:t xml:space="preserve">, W. L., </w:t>
      </w:r>
      <w:r w:rsidR="00F970C2">
        <w:rPr>
          <w:color w:val="000000"/>
          <w:highlight w:val="white"/>
        </w:rPr>
        <w:t>&amp;</w:t>
      </w:r>
      <w:r>
        <w:rPr>
          <w:color w:val="000000"/>
          <w:highlight w:val="white"/>
        </w:rPr>
        <w:t xml:space="preserve"> Barney, J. B. </w:t>
      </w:r>
      <w:r w:rsidR="00F970C2">
        <w:rPr>
          <w:color w:val="000000"/>
          <w:highlight w:val="white"/>
        </w:rPr>
        <w:t>(</w:t>
      </w:r>
      <w:r>
        <w:rPr>
          <w:color w:val="000000"/>
          <w:highlight w:val="white"/>
        </w:rPr>
        <w:t>1995</w:t>
      </w:r>
      <w:r w:rsidR="00F970C2">
        <w:rPr>
          <w:color w:val="000000"/>
          <w:highlight w:val="white"/>
        </w:rPr>
        <w:t>)</w:t>
      </w:r>
      <w:r>
        <w:rPr>
          <w:color w:val="000000"/>
          <w:highlight w:val="white"/>
        </w:rPr>
        <w:t xml:space="preserve">. Information technology and sustained competitive advantage: A resource-based analysis. </w:t>
      </w:r>
      <w:r>
        <w:rPr>
          <w:i/>
          <w:color w:val="000000"/>
          <w:highlight w:val="white"/>
        </w:rPr>
        <w:t>MIS quarterly</w:t>
      </w:r>
      <w:r>
        <w:rPr>
          <w:color w:val="000000"/>
          <w:highlight w:val="white"/>
        </w:rPr>
        <w:t>, 487-505.</w:t>
      </w:r>
    </w:p>
    <w:p w14:paraId="38083435" w14:textId="623D6C9B" w:rsidR="005D5B0A" w:rsidRDefault="00A73EE7">
      <w:pPr>
        <w:ind w:left="284" w:hanging="284"/>
        <w:jc w:val="both"/>
        <w:rPr>
          <w:color w:val="000000"/>
        </w:rPr>
      </w:pPr>
      <w:r>
        <w:rPr>
          <w:color w:val="000000"/>
        </w:rPr>
        <w:t xml:space="preserve">Mathur, G., </w:t>
      </w:r>
      <w:proofErr w:type="spellStart"/>
      <w:r>
        <w:rPr>
          <w:color w:val="000000"/>
        </w:rPr>
        <w:t>Jugdev</w:t>
      </w:r>
      <w:proofErr w:type="spellEnd"/>
      <w:r>
        <w:rPr>
          <w:color w:val="000000"/>
        </w:rPr>
        <w:t xml:space="preserve">, K., </w:t>
      </w:r>
      <w:r w:rsidR="00F970C2">
        <w:rPr>
          <w:color w:val="000000"/>
        </w:rPr>
        <w:t>&amp;</w:t>
      </w:r>
      <w:r>
        <w:rPr>
          <w:color w:val="000000"/>
        </w:rPr>
        <w:t xml:space="preserve"> Fung, T. S. </w:t>
      </w:r>
      <w:r w:rsidR="00F970C2">
        <w:rPr>
          <w:color w:val="000000"/>
        </w:rPr>
        <w:t>(</w:t>
      </w:r>
      <w:r>
        <w:rPr>
          <w:color w:val="000000"/>
        </w:rPr>
        <w:t>2014</w:t>
      </w:r>
      <w:r w:rsidR="00F970C2">
        <w:rPr>
          <w:color w:val="000000"/>
        </w:rPr>
        <w:t>)</w:t>
      </w:r>
      <w:r>
        <w:rPr>
          <w:color w:val="000000"/>
        </w:rPr>
        <w:t xml:space="preserve">, The relationship between project management process characteristics and performance outcomes, </w:t>
      </w:r>
      <w:r>
        <w:rPr>
          <w:i/>
          <w:color w:val="000000"/>
        </w:rPr>
        <w:t>Management Research Review</w:t>
      </w:r>
      <w:r>
        <w:rPr>
          <w:color w:val="000000"/>
        </w:rPr>
        <w:t>, 37 (11)</w:t>
      </w:r>
      <w:r w:rsidR="00F970C2">
        <w:rPr>
          <w:color w:val="000000"/>
        </w:rPr>
        <w:t xml:space="preserve">, </w:t>
      </w:r>
      <w:r>
        <w:rPr>
          <w:color w:val="000000"/>
        </w:rPr>
        <w:t>990.</w:t>
      </w:r>
    </w:p>
    <w:p w14:paraId="2DC7B5EA" w14:textId="2351461A" w:rsidR="005D5B0A" w:rsidRDefault="00A73EE7">
      <w:pPr>
        <w:ind w:left="284" w:hanging="284"/>
        <w:jc w:val="both"/>
        <w:rPr>
          <w:color w:val="000000"/>
        </w:rPr>
      </w:pPr>
      <w:r>
        <w:rPr>
          <w:color w:val="000000"/>
        </w:rPr>
        <w:t xml:space="preserve">Mathur, G., </w:t>
      </w:r>
      <w:proofErr w:type="spellStart"/>
      <w:r>
        <w:rPr>
          <w:color w:val="000000"/>
        </w:rPr>
        <w:t>Jugdev</w:t>
      </w:r>
      <w:proofErr w:type="spellEnd"/>
      <w:r>
        <w:rPr>
          <w:color w:val="000000"/>
        </w:rPr>
        <w:t xml:space="preserve">, K., </w:t>
      </w:r>
      <w:r w:rsidR="00F970C2">
        <w:rPr>
          <w:color w:val="000000"/>
        </w:rPr>
        <w:t xml:space="preserve">&amp; </w:t>
      </w:r>
      <w:r>
        <w:rPr>
          <w:color w:val="000000"/>
        </w:rPr>
        <w:t xml:space="preserve">Shing Fung, T. </w:t>
      </w:r>
      <w:r w:rsidR="00F970C2">
        <w:rPr>
          <w:color w:val="000000"/>
        </w:rPr>
        <w:t>(</w:t>
      </w:r>
      <w:r>
        <w:rPr>
          <w:color w:val="000000"/>
        </w:rPr>
        <w:t>2013</w:t>
      </w:r>
      <w:r w:rsidR="00F970C2">
        <w:rPr>
          <w:color w:val="000000"/>
        </w:rPr>
        <w:t>)</w:t>
      </w:r>
      <w:r>
        <w:rPr>
          <w:color w:val="000000"/>
        </w:rPr>
        <w:t xml:space="preserve">, Project management assets and project management performance outcomes: Exploratory factor analysis, </w:t>
      </w:r>
      <w:r>
        <w:rPr>
          <w:i/>
          <w:color w:val="000000"/>
        </w:rPr>
        <w:t>Management Research Review</w:t>
      </w:r>
      <w:r>
        <w:rPr>
          <w:color w:val="000000"/>
        </w:rPr>
        <w:t>, 36 (2)</w:t>
      </w:r>
      <w:r w:rsidR="00F970C2">
        <w:rPr>
          <w:color w:val="000000"/>
        </w:rPr>
        <w:t xml:space="preserve">, </w:t>
      </w:r>
      <w:r>
        <w:rPr>
          <w:color w:val="000000"/>
        </w:rPr>
        <w:t>112-135.</w:t>
      </w:r>
    </w:p>
    <w:p w14:paraId="619A919F" w14:textId="40FBF785" w:rsidR="005D5B0A" w:rsidRDefault="00A73EE7">
      <w:pPr>
        <w:ind w:left="284" w:hanging="284"/>
        <w:rPr>
          <w:color w:val="000000"/>
        </w:rPr>
      </w:pPr>
      <w:r>
        <w:rPr>
          <w:color w:val="000000"/>
        </w:rPr>
        <w:t xml:space="preserve"> Matthews, J. </w:t>
      </w:r>
      <w:r w:rsidR="00F970C2">
        <w:rPr>
          <w:color w:val="000000"/>
        </w:rPr>
        <w:t>&amp;</w:t>
      </w:r>
      <w:r>
        <w:rPr>
          <w:color w:val="000000"/>
        </w:rPr>
        <w:t xml:space="preserve"> Shulman, A., </w:t>
      </w:r>
      <w:r w:rsidR="00F970C2">
        <w:rPr>
          <w:color w:val="000000"/>
        </w:rPr>
        <w:t>(</w:t>
      </w:r>
      <w:r>
        <w:rPr>
          <w:color w:val="000000"/>
        </w:rPr>
        <w:t>2005</w:t>
      </w:r>
      <w:r w:rsidR="00F970C2">
        <w:rPr>
          <w:color w:val="000000"/>
        </w:rPr>
        <w:t>)</w:t>
      </w:r>
      <w:r>
        <w:rPr>
          <w:color w:val="000000"/>
        </w:rPr>
        <w:t>. Competitive advantage in public-sector organizations: explaining the public good/sustainable competitive advantage paradox. Journal of Business Research, 58(2),.232-240.</w:t>
      </w:r>
    </w:p>
    <w:p w14:paraId="01D162C6" w14:textId="5CC6E7B1" w:rsidR="005D5B0A" w:rsidRDefault="00A73EE7">
      <w:pPr>
        <w:ind w:left="284" w:hanging="284"/>
        <w:jc w:val="both"/>
        <w:rPr>
          <w:color w:val="000000"/>
        </w:rPr>
      </w:pPr>
      <w:r>
        <w:rPr>
          <w:color w:val="000000"/>
        </w:rPr>
        <w:t xml:space="preserve">McCrea, A. M., Zhu, L., Johansen, M. S. </w:t>
      </w:r>
      <w:r w:rsidR="00F970C2">
        <w:rPr>
          <w:color w:val="000000"/>
        </w:rPr>
        <w:t>(</w:t>
      </w:r>
      <w:r>
        <w:rPr>
          <w:color w:val="000000"/>
        </w:rPr>
        <w:t>2021</w:t>
      </w:r>
      <w:r w:rsidR="00F970C2">
        <w:rPr>
          <w:color w:val="000000"/>
        </w:rPr>
        <w:t>)</w:t>
      </w:r>
      <w:r>
        <w:rPr>
          <w:color w:val="000000"/>
        </w:rPr>
        <w:t xml:space="preserve">. Managing Diversity Differently: The External Environment and Cross-Sector Differences in Diversity Management, Journal of Public Administration Research and </w:t>
      </w:r>
      <w:proofErr w:type="gramStart"/>
      <w:r>
        <w:rPr>
          <w:color w:val="000000"/>
        </w:rPr>
        <w:t>Theory,  https://doi.org/10.1093/jopart/muab027</w:t>
      </w:r>
      <w:proofErr w:type="gramEnd"/>
    </w:p>
    <w:p w14:paraId="58C6E985" w14:textId="09520C64" w:rsidR="005D5B0A" w:rsidRDefault="00A73EE7">
      <w:pPr>
        <w:ind w:left="284" w:hanging="284"/>
        <w:jc w:val="both"/>
        <w:rPr>
          <w:color w:val="000000"/>
          <w:highlight w:val="white"/>
        </w:rPr>
      </w:pPr>
      <w:r>
        <w:rPr>
          <w:color w:val="000000"/>
          <w:highlight w:val="white"/>
        </w:rPr>
        <w:t xml:space="preserve">McHugh, O., </w:t>
      </w:r>
      <w:r w:rsidR="00F970C2">
        <w:rPr>
          <w:color w:val="000000"/>
          <w:highlight w:val="white"/>
        </w:rPr>
        <w:t>&amp;</w:t>
      </w:r>
      <w:r>
        <w:rPr>
          <w:color w:val="000000"/>
          <w:highlight w:val="white"/>
        </w:rPr>
        <w:t xml:space="preserve"> Hogan, M. </w:t>
      </w:r>
      <w:r w:rsidR="00F970C2">
        <w:rPr>
          <w:color w:val="000000"/>
          <w:highlight w:val="white"/>
        </w:rPr>
        <w:t>(</w:t>
      </w:r>
      <w:r>
        <w:rPr>
          <w:color w:val="000000"/>
          <w:highlight w:val="white"/>
        </w:rPr>
        <w:t>2011</w:t>
      </w:r>
      <w:r w:rsidR="00F970C2">
        <w:rPr>
          <w:color w:val="000000"/>
          <w:highlight w:val="white"/>
        </w:rPr>
        <w:t>)</w:t>
      </w:r>
      <w:r>
        <w:rPr>
          <w:color w:val="000000"/>
          <w:highlight w:val="white"/>
        </w:rPr>
        <w:t>, Investigating the rationale for adopting an internationally-recognised project management methodology in Ireland: The view of the project manager, </w:t>
      </w:r>
      <w:r>
        <w:rPr>
          <w:i/>
          <w:color w:val="000000"/>
          <w:highlight w:val="white"/>
        </w:rPr>
        <w:t xml:space="preserve">International Journal of Project </w:t>
      </w:r>
      <w:proofErr w:type="gramStart"/>
      <w:r>
        <w:rPr>
          <w:i/>
          <w:color w:val="000000"/>
          <w:highlight w:val="white"/>
        </w:rPr>
        <w:t>Management</w:t>
      </w:r>
      <w:r>
        <w:rPr>
          <w:color w:val="000000"/>
          <w:highlight w:val="white"/>
        </w:rPr>
        <w:t>,  29</w:t>
      </w:r>
      <w:proofErr w:type="gramEnd"/>
      <w:r>
        <w:rPr>
          <w:color w:val="000000"/>
          <w:highlight w:val="white"/>
        </w:rPr>
        <w:t xml:space="preserve"> (5)</w:t>
      </w:r>
      <w:r w:rsidR="00F970C2">
        <w:rPr>
          <w:color w:val="000000"/>
          <w:highlight w:val="white"/>
        </w:rPr>
        <w:t xml:space="preserve">, </w:t>
      </w:r>
      <w:r>
        <w:rPr>
          <w:color w:val="000000"/>
          <w:highlight w:val="white"/>
        </w:rPr>
        <w:t>637-646.</w:t>
      </w:r>
    </w:p>
    <w:p w14:paraId="61F977DF" w14:textId="66AD5FBF" w:rsidR="005D5B0A" w:rsidRDefault="00A73EE7">
      <w:pPr>
        <w:ind w:left="284" w:hanging="284"/>
        <w:jc w:val="both"/>
        <w:rPr>
          <w:color w:val="000000"/>
        </w:rPr>
      </w:pPr>
      <w:r>
        <w:rPr>
          <w:color w:val="000000"/>
        </w:rPr>
        <w:t xml:space="preserve">McLeod, L., Doolin, B., </w:t>
      </w:r>
      <w:r w:rsidR="00F970C2">
        <w:rPr>
          <w:color w:val="000000"/>
        </w:rPr>
        <w:t>&amp;</w:t>
      </w:r>
      <w:r>
        <w:rPr>
          <w:color w:val="000000"/>
        </w:rPr>
        <w:t xml:space="preserve"> </w:t>
      </w:r>
      <w:proofErr w:type="spellStart"/>
      <w:r>
        <w:rPr>
          <w:color w:val="000000"/>
        </w:rPr>
        <w:t>MacDonell</w:t>
      </w:r>
      <w:proofErr w:type="spellEnd"/>
      <w:r>
        <w:rPr>
          <w:color w:val="000000"/>
        </w:rPr>
        <w:t xml:space="preserve">, S. G. </w:t>
      </w:r>
      <w:r w:rsidR="00F970C2">
        <w:rPr>
          <w:color w:val="000000"/>
        </w:rPr>
        <w:t>(</w:t>
      </w:r>
      <w:r>
        <w:rPr>
          <w:color w:val="000000"/>
        </w:rPr>
        <w:t>2012</w:t>
      </w:r>
      <w:r w:rsidR="00F970C2">
        <w:rPr>
          <w:color w:val="000000"/>
        </w:rPr>
        <w:t>)</w:t>
      </w:r>
      <w:r>
        <w:rPr>
          <w:color w:val="000000"/>
        </w:rPr>
        <w:t>, A perspective</w:t>
      </w:r>
      <w:r>
        <w:rPr>
          <w:rFonts w:ascii="Cambria Math" w:eastAsia="Cambria Math" w:hAnsi="Cambria Math" w:cs="Cambria Math"/>
          <w:color w:val="000000"/>
        </w:rPr>
        <w:t>‐</w:t>
      </w:r>
      <w:r>
        <w:rPr>
          <w:color w:val="000000"/>
        </w:rPr>
        <w:t>based understanding of project success, </w:t>
      </w:r>
      <w:r>
        <w:rPr>
          <w:i/>
          <w:color w:val="000000"/>
        </w:rPr>
        <w:t xml:space="preserve">Project Management </w:t>
      </w:r>
      <w:proofErr w:type="gramStart"/>
      <w:r>
        <w:rPr>
          <w:i/>
          <w:color w:val="000000"/>
        </w:rPr>
        <w:t>Journal</w:t>
      </w:r>
      <w:r>
        <w:rPr>
          <w:color w:val="000000"/>
        </w:rPr>
        <w:t>,  43</w:t>
      </w:r>
      <w:proofErr w:type="gramEnd"/>
      <w:r>
        <w:rPr>
          <w:color w:val="000000"/>
        </w:rPr>
        <w:t xml:space="preserve"> (5)</w:t>
      </w:r>
      <w:r w:rsidR="00F970C2">
        <w:rPr>
          <w:color w:val="000000"/>
        </w:rPr>
        <w:t xml:space="preserve">, </w:t>
      </w:r>
      <w:r>
        <w:rPr>
          <w:color w:val="000000"/>
        </w:rPr>
        <w:t>68-86.</w:t>
      </w:r>
    </w:p>
    <w:p w14:paraId="3A788DB7" w14:textId="3476AB9B" w:rsidR="005D5B0A" w:rsidRDefault="00A73EE7">
      <w:pPr>
        <w:ind w:left="284" w:hanging="284"/>
        <w:jc w:val="both"/>
        <w:rPr>
          <w:color w:val="000000"/>
        </w:rPr>
      </w:pPr>
      <w:proofErr w:type="spellStart"/>
      <w:r>
        <w:rPr>
          <w:color w:val="000000"/>
        </w:rPr>
        <w:t>Milbourne</w:t>
      </w:r>
      <w:proofErr w:type="spellEnd"/>
      <w:r>
        <w:rPr>
          <w:color w:val="000000"/>
        </w:rPr>
        <w:t xml:space="preserve">, L., </w:t>
      </w:r>
      <w:r w:rsidR="00F970C2">
        <w:rPr>
          <w:color w:val="000000"/>
        </w:rPr>
        <w:t>&amp;</w:t>
      </w:r>
      <w:r>
        <w:rPr>
          <w:color w:val="000000"/>
        </w:rPr>
        <w:t xml:space="preserve"> Cushman, M. </w:t>
      </w:r>
      <w:r w:rsidR="00F970C2">
        <w:rPr>
          <w:color w:val="000000"/>
        </w:rPr>
        <w:t>(</w:t>
      </w:r>
      <w:r>
        <w:rPr>
          <w:color w:val="000000"/>
        </w:rPr>
        <w:t>2013</w:t>
      </w:r>
      <w:r w:rsidR="00F970C2">
        <w:rPr>
          <w:color w:val="000000"/>
        </w:rPr>
        <w:t>)</w:t>
      </w:r>
      <w:r>
        <w:rPr>
          <w:color w:val="000000"/>
        </w:rPr>
        <w:t>, From the Third Sector to the Big Society: How Changing UK Government Policies Have Eroded Third Sector Trust</w:t>
      </w:r>
      <w:r>
        <w:rPr>
          <w:i/>
          <w:color w:val="000000"/>
        </w:rPr>
        <w:t xml:space="preserve">, International Journal of Voluntary and </w:t>
      </w:r>
      <w:proofErr w:type="spellStart"/>
      <w:r>
        <w:rPr>
          <w:i/>
          <w:color w:val="000000"/>
        </w:rPr>
        <w:t>Nonprofit</w:t>
      </w:r>
      <w:proofErr w:type="spellEnd"/>
      <w:r>
        <w:rPr>
          <w:i/>
          <w:color w:val="000000"/>
        </w:rPr>
        <w:t xml:space="preserve"> Organizations</w:t>
      </w:r>
      <w:r>
        <w:rPr>
          <w:color w:val="000000"/>
        </w:rPr>
        <w:t>, 24 (2)</w:t>
      </w:r>
      <w:r w:rsidR="00F970C2">
        <w:rPr>
          <w:color w:val="000000"/>
        </w:rPr>
        <w:t xml:space="preserve"> </w:t>
      </w:r>
      <w:r>
        <w:rPr>
          <w:color w:val="000000"/>
        </w:rPr>
        <w:t>485-508.</w:t>
      </w:r>
    </w:p>
    <w:p w14:paraId="3DE167F1" w14:textId="17AF7F87" w:rsidR="005D5B0A" w:rsidRDefault="00A73EE7">
      <w:pPr>
        <w:ind w:left="284" w:hanging="284"/>
        <w:jc w:val="both"/>
        <w:rPr>
          <w:color w:val="000000"/>
        </w:rPr>
      </w:pPr>
      <w:r>
        <w:rPr>
          <w:color w:val="000000"/>
        </w:rPr>
        <w:t xml:space="preserve">Mintzberg, H., Ahlstrand, B. W., </w:t>
      </w:r>
      <w:r w:rsidR="00F970C2">
        <w:rPr>
          <w:color w:val="000000"/>
        </w:rPr>
        <w:t>&amp;</w:t>
      </w:r>
      <w:r>
        <w:rPr>
          <w:color w:val="000000"/>
        </w:rPr>
        <w:t xml:space="preserve"> </w:t>
      </w:r>
      <w:proofErr w:type="spellStart"/>
      <w:r>
        <w:rPr>
          <w:color w:val="000000"/>
        </w:rPr>
        <w:t>Lampel</w:t>
      </w:r>
      <w:proofErr w:type="spellEnd"/>
      <w:r>
        <w:rPr>
          <w:color w:val="000000"/>
        </w:rPr>
        <w:t xml:space="preserve">, J. </w:t>
      </w:r>
      <w:r w:rsidR="00F970C2">
        <w:rPr>
          <w:color w:val="000000"/>
        </w:rPr>
        <w:t>(</w:t>
      </w:r>
      <w:r>
        <w:rPr>
          <w:color w:val="000000"/>
        </w:rPr>
        <w:t>2009</w:t>
      </w:r>
      <w:r w:rsidR="00F970C2">
        <w:rPr>
          <w:color w:val="000000"/>
        </w:rPr>
        <w:t>)</w:t>
      </w:r>
      <w:r>
        <w:rPr>
          <w:color w:val="000000"/>
        </w:rPr>
        <w:t xml:space="preserve">, </w:t>
      </w:r>
      <w:r>
        <w:rPr>
          <w:i/>
          <w:color w:val="000000"/>
        </w:rPr>
        <w:t>Strategy safari: The complete guide through the wilds of strategic management </w:t>
      </w:r>
      <w:r>
        <w:rPr>
          <w:color w:val="000000"/>
        </w:rPr>
        <w:t>(2nd ed.), Harlow: Financial Times Prentice Hall.</w:t>
      </w:r>
    </w:p>
    <w:p w14:paraId="0B5D66D0" w14:textId="7F65105E" w:rsidR="005D5B0A" w:rsidRDefault="00A73EE7">
      <w:pPr>
        <w:ind w:left="284" w:hanging="284"/>
        <w:jc w:val="both"/>
        <w:rPr>
          <w:color w:val="000000"/>
        </w:rPr>
      </w:pPr>
      <w:r>
        <w:rPr>
          <w:color w:val="000000"/>
        </w:rPr>
        <w:t xml:space="preserve">Moxham, C. </w:t>
      </w:r>
      <w:r w:rsidR="00F970C2">
        <w:rPr>
          <w:color w:val="000000"/>
        </w:rPr>
        <w:t>(</w:t>
      </w:r>
      <w:r>
        <w:rPr>
          <w:color w:val="000000"/>
        </w:rPr>
        <w:t>2009</w:t>
      </w:r>
      <w:r w:rsidR="00F970C2">
        <w:rPr>
          <w:color w:val="000000"/>
        </w:rPr>
        <w:t>)</w:t>
      </w:r>
      <w:r>
        <w:rPr>
          <w:color w:val="000000"/>
        </w:rPr>
        <w:t xml:space="preserve">, Performance measurement: Examining the applicability of the existing body of knowledge to </w:t>
      </w:r>
      <w:proofErr w:type="spellStart"/>
      <w:r>
        <w:rPr>
          <w:color w:val="000000"/>
        </w:rPr>
        <w:t>nonprofit</w:t>
      </w:r>
      <w:proofErr w:type="spellEnd"/>
      <w:r>
        <w:rPr>
          <w:color w:val="000000"/>
        </w:rPr>
        <w:t xml:space="preserve"> organisations, </w:t>
      </w:r>
      <w:r>
        <w:rPr>
          <w:i/>
          <w:color w:val="000000"/>
        </w:rPr>
        <w:t xml:space="preserve">International Journal of Operations and Production </w:t>
      </w:r>
      <w:proofErr w:type="gramStart"/>
      <w:r>
        <w:rPr>
          <w:i/>
          <w:color w:val="000000"/>
        </w:rPr>
        <w:t>Management</w:t>
      </w:r>
      <w:r>
        <w:rPr>
          <w:color w:val="000000"/>
        </w:rPr>
        <w:t>,  29</w:t>
      </w:r>
      <w:proofErr w:type="gramEnd"/>
      <w:r>
        <w:rPr>
          <w:color w:val="000000"/>
        </w:rPr>
        <w:t xml:space="preserve"> (7)</w:t>
      </w:r>
      <w:r w:rsidR="00F970C2">
        <w:rPr>
          <w:color w:val="000000"/>
        </w:rPr>
        <w:t xml:space="preserve">, </w:t>
      </w:r>
      <w:r>
        <w:rPr>
          <w:color w:val="000000"/>
        </w:rPr>
        <w:t>740-763.</w:t>
      </w:r>
    </w:p>
    <w:p w14:paraId="193E005F" w14:textId="39748278" w:rsidR="005D5B0A" w:rsidRDefault="00A73EE7">
      <w:pPr>
        <w:ind w:left="284" w:hanging="284"/>
        <w:jc w:val="both"/>
        <w:rPr>
          <w:color w:val="000000"/>
        </w:rPr>
      </w:pPr>
      <w:r>
        <w:rPr>
          <w:color w:val="000000"/>
        </w:rPr>
        <w:t xml:space="preserve">Moxham, C. </w:t>
      </w:r>
      <w:r w:rsidR="00F970C2">
        <w:rPr>
          <w:color w:val="000000"/>
        </w:rPr>
        <w:t>&amp;</w:t>
      </w:r>
      <w:r>
        <w:rPr>
          <w:color w:val="000000"/>
        </w:rPr>
        <w:t xml:space="preserve"> </w:t>
      </w:r>
      <w:proofErr w:type="spellStart"/>
      <w:r>
        <w:rPr>
          <w:color w:val="000000"/>
        </w:rPr>
        <w:t>Boaden</w:t>
      </w:r>
      <w:proofErr w:type="spellEnd"/>
      <w:r>
        <w:rPr>
          <w:color w:val="000000"/>
        </w:rPr>
        <w:t xml:space="preserve">, R. </w:t>
      </w:r>
      <w:r w:rsidR="00F970C2">
        <w:rPr>
          <w:color w:val="000000"/>
        </w:rPr>
        <w:t>(</w:t>
      </w:r>
      <w:r>
        <w:rPr>
          <w:color w:val="000000"/>
        </w:rPr>
        <w:t>2007</w:t>
      </w:r>
      <w:r w:rsidR="00F970C2">
        <w:rPr>
          <w:color w:val="000000"/>
        </w:rPr>
        <w:t>)</w:t>
      </w:r>
      <w:r>
        <w:rPr>
          <w:color w:val="000000"/>
        </w:rPr>
        <w:t xml:space="preserve">, The impact of performance measurement in the voluntary sector: Identification of contextual and processual factors, </w:t>
      </w:r>
      <w:r>
        <w:rPr>
          <w:i/>
          <w:color w:val="000000"/>
        </w:rPr>
        <w:t>International Journal of Operations and Production Management</w:t>
      </w:r>
      <w:r>
        <w:rPr>
          <w:color w:val="000000"/>
        </w:rPr>
        <w:t xml:space="preserve">, 27 (8):826-845. </w:t>
      </w:r>
    </w:p>
    <w:p w14:paraId="7AA108EF" w14:textId="2107A370" w:rsidR="005D5B0A" w:rsidRDefault="00A73EE7">
      <w:pPr>
        <w:ind w:left="284" w:hanging="284"/>
        <w:jc w:val="both"/>
        <w:rPr>
          <w:color w:val="000000"/>
        </w:rPr>
      </w:pPr>
      <w:proofErr w:type="spellStart"/>
      <w:r>
        <w:rPr>
          <w:color w:val="000000"/>
        </w:rPr>
        <w:t>Nahapiet</w:t>
      </w:r>
      <w:proofErr w:type="spellEnd"/>
      <w:r>
        <w:rPr>
          <w:color w:val="000000"/>
        </w:rPr>
        <w:t xml:space="preserve">, J., </w:t>
      </w:r>
      <w:r w:rsidR="00F970C2">
        <w:rPr>
          <w:color w:val="000000"/>
        </w:rPr>
        <w:t>&amp;</w:t>
      </w:r>
      <w:r>
        <w:rPr>
          <w:color w:val="000000"/>
        </w:rPr>
        <w:t xml:space="preserve"> Ghoshal, S. </w:t>
      </w:r>
      <w:r w:rsidR="00F970C2">
        <w:rPr>
          <w:color w:val="000000"/>
        </w:rPr>
        <w:t>(</w:t>
      </w:r>
      <w:r>
        <w:rPr>
          <w:color w:val="000000"/>
        </w:rPr>
        <w:t>2000</w:t>
      </w:r>
      <w:r w:rsidR="00F970C2">
        <w:rPr>
          <w:color w:val="000000"/>
        </w:rPr>
        <w:t>)</w:t>
      </w:r>
      <w:r>
        <w:rPr>
          <w:color w:val="000000"/>
        </w:rPr>
        <w:t xml:space="preserve">, Social capital, intellectual capital, and the organizational advantage, </w:t>
      </w:r>
      <w:r>
        <w:rPr>
          <w:i/>
          <w:color w:val="000000"/>
        </w:rPr>
        <w:t>Knowledge and social capital</w:t>
      </w:r>
      <w:r>
        <w:rPr>
          <w:color w:val="000000"/>
        </w:rPr>
        <w:t>, 119-157.</w:t>
      </w:r>
    </w:p>
    <w:p w14:paraId="0EE0C385" w14:textId="094CCCF8" w:rsidR="005D5B0A" w:rsidRDefault="00A73EE7">
      <w:pPr>
        <w:ind w:left="284" w:hanging="284"/>
        <w:jc w:val="both"/>
        <w:rPr>
          <w:color w:val="000000"/>
          <w:u w:val="single"/>
        </w:rPr>
      </w:pPr>
      <w:r>
        <w:rPr>
          <w:color w:val="000000"/>
        </w:rPr>
        <w:t xml:space="preserve">National Audit Office </w:t>
      </w:r>
      <w:r w:rsidR="00F970C2">
        <w:rPr>
          <w:color w:val="000000"/>
        </w:rPr>
        <w:t>(</w:t>
      </w:r>
      <w:r>
        <w:rPr>
          <w:color w:val="000000"/>
        </w:rPr>
        <w:t>2021</w:t>
      </w:r>
      <w:r w:rsidR="00F970C2">
        <w:rPr>
          <w:color w:val="000000"/>
        </w:rPr>
        <w:t>)</w:t>
      </w:r>
      <w:r>
        <w:rPr>
          <w:color w:val="000000"/>
        </w:rPr>
        <w:t xml:space="preserve">, Delivering major projects in government: a briefing for the Committee of Public Accounts.  </w:t>
      </w:r>
      <w:proofErr w:type="gramStart"/>
      <w:r>
        <w:rPr>
          <w:color w:val="000000"/>
        </w:rPr>
        <w:t>https://www.nao.org.uk/knowledge/major-project-delivery/  Accessed</w:t>
      </w:r>
      <w:proofErr w:type="gramEnd"/>
      <w:r>
        <w:rPr>
          <w:color w:val="000000"/>
        </w:rPr>
        <w:t xml:space="preserve"> 2021</w:t>
      </w:r>
    </w:p>
    <w:p w14:paraId="5FB9812F" w14:textId="26C8A8FE" w:rsidR="005D5B0A" w:rsidRDefault="00A73EE7" w:rsidP="00C2012B">
      <w:pPr>
        <w:ind w:left="284" w:hanging="284"/>
        <w:jc w:val="both"/>
      </w:pPr>
      <w:r>
        <w:lastRenderedPageBreak/>
        <w:t xml:space="preserve">Nayak, B., Bhattacharyya, S. </w:t>
      </w:r>
      <w:r w:rsidR="00F970C2">
        <w:t>&amp;</w:t>
      </w:r>
      <w:r>
        <w:t xml:space="preserve"> Krishnamoorthy, B., </w:t>
      </w:r>
      <w:r w:rsidR="00F970C2">
        <w:t>(</w:t>
      </w:r>
      <w:r>
        <w:t>2022</w:t>
      </w:r>
      <w:r w:rsidR="00F970C2">
        <w:t>)</w:t>
      </w:r>
      <w:r>
        <w:t>. Exploring the black box of competitive advantage – An integrated bibliometric and chronological literature review approach. Journal of Business Research, 139,.964-982.</w:t>
      </w:r>
    </w:p>
    <w:p w14:paraId="6A9DC6EE" w14:textId="19822C08" w:rsidR="005D5B0A" w:rsidRDefault="00A73EE7">
      <w:pPr>
        <w:ind w:left="284" w:hanging="284"/>
        <w:jc w:val="both"/>
        <w:rPr>
          <w:color w:val="000000"/>
        </w:rPr>
      </w:pPr>
      <w:proofErr w:type="spellStart"/>
      <w:r>
        <w:rPr>
          <w:color w:val="000000"/>
        </w:rPr>
        <w:t>Newbert</w:t>
      </w:r>
      <w:proofErr w:type="spellEnd"/>
      <w:r>
        <w:rPr>
          <w:color w:val="000000"/>
        </w:rPr>
        <w:t xml:space="preserve">, S. L. </w:t>
      </w:r>
      <w:r w:rsidR="00F970C2">
        <w:rPr>
          <w:color w:val="000000"/>
        </w:rPr>
        <w:t>(</w:t>
      </w:r>
      <w:r>
        <w:rPr>
          <w:color w:val="000000"/>
        </w:rPr>
        <w:t>2007</w:t>
      </w:r>
      <w:r w:rsidR="00F970C2">
        <w:rPr>
          <w:color w:val="000000"/>
        </w:rPr>
        <w:t>)</w:t>
      </w:r>
      <w:r>
        <w:rPr>
          <w:color w:val="000000"/>
        </w:rPr>
        <w:t xml:space="preserve">, Empirical research on the resource-based view of the firm: An assessment and suggestions for future research, </w:t>
      </w:r>
      <w:r>
        <w:rPr>
          <w:i/>
          <w:color w:val="000000"/>
        </w:rPr>
        <w:t>Strategic Management Journal</w:t>
      </w:r>
      <w:r>
        <w:rPr>
          <w:color w:val="000000"/>
        </w:rPr>
        <w:t>, 28, (2)</w:t>
      </w:r>
      <w:r w:rsidR="00F970C2">
        <w:rPr>
          <w:color w:val="000000"/>
        </w:rPr>
        <w:t xml:space="preserve">, </w:t>
      </w:r>
      <w:r>
        <w:rPr>
          <w:color w:val="000000"/>
        </w:rPr>
        <w:t>121-146.</w:t>
      </w:r>
    </w:p>
    <w:p w14:paraId="41E59704" w14:textId="18CA9E55" w:rsidR="005D5B0A" w:rsidRDefault="00A73EE7">
      <w:pPr>
        <w:ind w:left="284" w:hanging="284"/>
        <w:jc w:val="both"/>
        <w:rPr>
          <w:color w:val="000000"/>
        </w:rPr>
      </w:pPr>
      <w:r>
        <w:rPr>
          <w:color w:val="000000"/>
        </w:rPr>
        <w:t xml:space="preserve">Nishimura, J., </w:t>
      </w:r>
      <w:proofErr w:type="spellStart"/>
      <w:r>
        <w:rPr>
          <w:color w:val="000000"/>
        </w:rPr>
        <w:t>Okamuro</w:t>
      </w:r>
      <w:proofErr w:type="spellEnd"/>
      <w:r>
        <w:rPr>
          <w:color w:val="000000"/>
        </w:rPr>
        <w:t xml:space="preserve">, H. </w:t>
      </w:r>
      <w:r w:rsidR="00F970C2">
        <w:rPr>
          <w:color w:val="000000"/>
        </w:rPr>
        <w:t>(</w:t>
      </w:r>
      <w:r>
        <w:rPr>
          <w:color w:val="000000"/>
        </w:rPr>
        <w:t>2018</w:t>
      </w:r>
      <w:r w:rsidR="00F970C2">
        <w:rPr>
          <w:color w:val="000000"/>
        </w:rPr>
        <w:t>)</w:t>
      </w:r>
      <w:r>
        <w:rPr>
          <w:color w:val="000000"/>
        </w:rPr>
        <w:t xml:space="preserve">, Internal and external discipline: The effect of project leadership and government monitoring on the performance of publicly funded R&amp;D consortia, </w:t>
      </w:r>
      <w:r>
        <w:rPr>
          <w:i/>
          <w:color w:val="000000"/>
        </w:rPr>
        <w:t>Research Policy</w:t>
      </w:r>
      <w:r>
        <w:rPr>
          <w:color w:val="000000"/>
        </w:rPr>
        <w:t>, 47(5)</w:t>
      </w:r>
      <w:r w:rsidR="00F970C2">
        <w:rPr>
          <w:color w:val="000000"/>
        </w:rPr>
        <w:t xml:space="preserve">, </w:t>
      </w:r>
      <w:r>
        <w:rPr>
          <w:color w:val="000000"/>
        </w:rPr>
        <w:t>840-853.</w:t>
      </w:r>
    </w:p>
    <w:p w14:paraId="1FDF4647" w14:textId="293B782A" w:rsidR="005D5B0A" w:rsidRDefault="00A73EE7">
      <w:pPr>
        <w:ind w:left="284" w:hanging="284"/>
        <w:jc w:val="both"/>
        <w:rPr>
          <w:color w:val="000000"/>
        </w:rPr>
      </w:pPr>
      <w:r>
        <w:rPr>
          <w:color w:val="000000"/>
        </w:rPr>
        <w:t xml:space="preserve">Office of Government Commerce. </w:t>
      </w:r>
      <w:r w:rsidR="00F970C2">
        <w:rPr>
          <w:color w:val="000000"/>
        </w:rPr>
        <w:t>(</w:t>
      </w:r>
      <w:r>
        <w:rPr>
          <w:color w:val="000000"/>
        </w:rPr>
        <w:t>2010</w:t>
      </w:r>
      <w:r w:rsidR="00F970C2">
        <w:rPr>
          <w:color w:val="000000"/>
        </w:rPr>
        <w:t>)</w:t>
      </w:r>
      <w:r>
        <w:rPr>
          <w:color w:val="000000"/>
        </w:rPr>
        <w:t xml:space="preserve">. Programmes and Projects. Retrieved from </w:t>
      </w:r>
      <w:hyperlink r:id="rId16">
        <w:r>
          <w:rPr>
            <w:color w:val="0000FF"/>
            <w:u w:val="single"/>
          </w:rPr>
          <w:t>http://webarchive.nationalarchives.gov.uk/20110822131348/http://www.ogc.gov.uk/programmes_and_projects.asp</w:t>
        </w:r>
      </w:hyperlink>
      <w:r>
        <w:rPr>
          <w:color w:val="000000"/>
        </w:rPr>
        <w:t>.</w:t>
      </w:r>
    </w:p>
    <w:p w14:paraId="5397D2C1" w14:textId="4C6E7B24" w:rsidR="005D5B0A" w:rsidRDefault="00A73EE7">
      <w:pPr>
        <w:ind w:left="284" w:hanging="284"/>
        <w:jc w:val="both"/>
      </w:pPr>
      <w:proofErr w:type="spellStart"/>
      <w:r>
        <w:t>Ojiako</w:t>
      </w:r>
      <w:proofErr w:type="spellEnd"/>
      <w:r>
        <w:t xml:space="preserve">, U., M., </w:t>
      </w:r>
      <w:proofErr w:type="spellStart"/>
      <w:r>
        <w:t>Chipulu</w:t>
      </w:r>
      <w:proofErr w:type="spellEnd"/>
      <w:r>
        <w:t xml:space="preserve">, A. Marshall, M. Ashleigh, S. Maguire, T. Williams, </w:t>
      </w:r>
      <w:r w:rsidR="00F970C2">
        <w:t>&amp;</w:t>
      </w:r>
      <w:r>
        <w:t xml:space="preserve"> L. </w:t>
      </w:r>
      <w:proofErr w:type="spellStart"/>
      <w:r>
        <w:t>Obokoh</w:t>
      </w:r>
      <w:proofErr w:type="spellEnd"/>
      <w:r>
        <w:t xml:space="preserve">. </w:t>
      </w:r>
      <w:r w:rsidR="00F970C2">
        <w:t>(</w:t>
      </w:r>
      <w:r>
        <w:t>2015</w:t>
      </w:r>
      <w:r w:rsidR="00F970C2">
        <w:t>)</w:t>
      </w:r>
      <w:r>
        <w:t xml:space="preserve">. “Heterogeneity and Perception Congruence of Project Outcomes.” </w:t>
      </w:r>
      <w:r>
        <w:rPr>
          <w:i/>
        </w:rPr>
        <w:t>Production Planning &amp; Control</w:t>
      </w:r>
      <w:r>
        <w:t>, 26(11)</w:t>
      </w:r>
      <w:r w:rsidR="00F970C2">
        <w:t>,</w:t>
      </w:r>
      <w:r>
        <w:t xml:space="preserve"> 858–873.</w:t>
      </w:r>
    </w:p>
    <w:p w14:paraId="027D2277" w14:textId="78C48E9A" w:rsidR="005D5B0A" w:rsidRDefault="00A73EE7">
      <w:pPr>
        <w:ind w:left="284" w:hanging="284"/>
        <w:jc w:val="both"/>
        <w:rPr>
          <w:color w:val="000000"/>
        </w:rPr>
      </w:pPr>
      <w:proofErr w:type="spellStart"/>
      <w:r>
        <w:t>Ollus</w:t>
      </w:r>
      <w:proofErr w:type="spellEnd"/>
      <w:r>
        <w:t xml:space="preserve">, M., K. Jansson, I. Karvonen, M. </w:t>
      </w:r>
      <w:proofErr w:type="spellStart"/>
      <w:r>
        <w:t>Uoti</w:t>
      </w:r>
      <w:proofErr w:type="spellEnd"/>
      <w:r>
        <w:t xml:space="preserve">, </w:t>
      </w:r>
      <w:r w:rsidR="00F970C2">
        <w:t>&amp;</w:t>
      </w:r>
      <w:r>
        <w:t xml:space="preserve"> H. </w:t>
      </w:r>
      <w:proofErr w:type="spellStart"/>
      <w:r>
        <w:t>Riikonen</w:t>
      </w:r>
      <w:proofErr w:type="spellEnd"/>
      <w:r>
        <w:t xml:space="preserve">. </w:t>
      </w:r>
      <w:r w:rsidR="00F970C2">
        <w:t>(</w:t>
      </w:r>
      <w:r>
        <w:t>2011</w:t>
      </w:r>
      <w:r w:rsidR="00F970C2">
        <w:t>)</w:t>
      </w:r>
      <w:r>
        <w:t xml:space="preserve">. Supporting Collaborative Project Management. </w:t>
      </w:r>
      <w:r>
        <w:rPr>
          <w:i/>
        </w:rPr>
        <w:t>Production Planning &amp; Control</w:t>
      </w:r>
      <w:r>
        <w:t>, 22(5–6)</w:t>
      </w:r>
      <w:r w:rsidR="00F970C2">
        <w:t>,</w:t>
      </w:r>
      <w:r>
        <w:t xml:space="preserve"> 538–553.</w:t>
      </w:r>
    </w:p>
    <w:p w14:paraId="159FD55F" w14:textId="325250EF" w:rsidR="005D5B0A" w:rsidRDefault="00A73EE7">
      <w:pPr>
        <w:ind w:left="284" w:hanging="284"/>
        <w:jc w:val="both"/>
        <w:rPr>
          <w:color w:val="000000"/>
        </w:rPr>
      </w:pPr>
      <w:proofErr w:type="spellStart"/>
      <w:r>
        <w:rPr>
          <w:color w:val="000000"/>
        </w:rPr>
        <w:t>Pallant</w:t>
      </w:r>
      <w:proofErr w:type="spellEnd"/>
      <w:r>
        <w:rPr>
          <w:color w:val="000000"/>
        </w:rPr>
        <w:t xml:space="preserve">, J. </w:t>
      </w:r>
      <w:r w:rsidR="00F970C2">
        <w:rPr>
          <w:color w:val="000000"/>
        </w:rPr>
        <w:t>(</w:t>
      </w:r>
      <w:r>
        <w:rPr>
          <w:color w:val="000000"/>
        </w:rPr>
        <w:t>2013</w:t>
      </w:r>
      <w:r w:rsidR="00F970C2">
        <w:rPr>
          <w:color w:val="000000"/>
        </w:rPr>
        <w:t>)</w:t>
      </w:r>
      <w:r>
        <w:rPr>
          <w:color w:val="000000"/>
        </w:rPr>
        <w:t xml:space="preserve">. </w:t>
      </w:r>
      <w:r>
        <w:rPr>
          <w:i/>
          <w:color w:val="000000"/>
        </w:rPr>
        <w:t>SPSS survival manual</w:t>
      </w:r>
      <w:r>
        <w:rPr>
          <w:color w:val="000000"/>
        </w:rPr>
        <w:t>. McGraw-Hill Education (UK).</w:t>
      </w:r>
    </w:p>
    <w:p w14:paraId="2FC96273" w14:textId="363C2B72" w:rsidR="005D5B0A" w:rsidRDefault="00A73EE7">
      <w:pPr>
        <w:ind w:left="284" w:hanging="284"/>
        <w:jc w:val="both"/>
        <w:rPr>
          <w:color w:val="000000"/>
        </w:rPr>
      </w:pPr>
      <w:proofErr w:type="spellStart"/>
      <w:r>
        <w:rPr>
          <w:color w:val="000000"/>
        </w:rPr>
        <w:t>Parhalad</w:t>
      </w:r>
      <w:proofErr w:type="spellEnd"/>
      <w:r>
        <w:rPr>
          <w:color w:val="000000"/>
        </w:rPr>
        <w:t xml:space="preserve">, C.K., </w:t>
      </w:r>
      <w:r w:rsidR="00F970C2">
        <w:rPr>
          <w:color w:val="000000"/>
        </w:rPr>
        <w:t>&amp;</w:t>
      </w:r>
      <w:r>
        <w:rPr>
          <w:color w:val="000000"/>
        </w:rPr>
        <w:t xml:space="preserve"> G, Hamel. </w:t>
      </w:r>
      <w:r w:rsidR="00F970C2">
        <w:rPr>
          <w:color w:val="000000"/>
        </w:rPr>
        <w:t>(</w:t>
      </w:r>
      <w:r>
        <w:rPr>
          <w:color w:val="000000"/>
        </w:rPr>
        <w:t>1990</w:t>
      </w:r>
      <w:r w:rsidR="00F970C2">
        <w:rPr>
          <w:color w:val="000000"/>
        </w:rPr>
        <w:t>)</w:t>
      </w:r>
      <w:r>
        <w:rPr>
          <w:color w:val="000000"/>
        </w:rPr>
        <w:t xml:space="preserve">, The core competence of the corporation, </w:t>
      </w:r>
      <w:r>
        <w:rPr>
          <w:i/>
          <w:color w:val="000000"/>
        </w:rPr>
        <w:t>Harvard Business Review</w:t>
      </w:r>
      <w:r>
        <w:rPr>
          <w:color w:val="000000"/>
        </w:rPr>
        <w:t>, 79-91.</w:t>
      </w:r>
    </w:p>
    <w:p w14:paraId="5BD2A473" w14:textId="4B00AA3E" w:rsidR="005D5B0A" w:rsidRDefault="00A73EE7">
      <w:pPr>
        <w:ind w:left="284" w:hanging="284"/>
        <w:jc w:val="both"/>
        <w:rPr>
          <w:color w:val="000000"/>
        </w:rPr>
      </w:pPr>
      <w:proofErr w:type="spellStart"/>
      <w:r>
        <w:rPr>
          <w:color w:val="000000"/>
        </w:rPr>
        <w:t>Patanakul</w:t>
      </w:r>
      <w:proofErr w:type="spellEnd"/>
      <w:r>
        <w:rPr>
          <w:color w:val="000000"/>
        </w:rPr>
        <w:t xml:space="preserve">, P., </w:t>
      </w:r>
      <w:proofErr w:type="spellStart"/>
      <w:r>
        <w:rPr>
          <w:color w:val="000000"/>
        </w:rPr>
        <w:t>Iewwongcharoen</w:t>
      </w:r>
      <w:proofErr w:type="spellEnd"/>
      <w:r>
        <w:rPr>
          <w:color w:val="000000"/>
        </w:rPr>
        <w:t xml:space="preserve">, B., </w:t>
      </w:r>
      <w:r w:rsidR="00F970C2">
        <w:rPr>
          <w:color w:val="000000"/>
        </w:rPr>
        <w:t>&amp;</w:t>
      </w:r>
      <w:r>
        <w:rPr>
          <w:color w:val="000000"/>
        </w:rPr>
        <w:t xml:space="preserve"> Milosevic, D. </w:t>
      </w:r>
      <w:r w:rsidR="00F970C2">
        <w:rPr>
          <w:color w:val="000000"/>
        </w:rPr>
        <w:t>(</w:t>
      </w:r>
      <w:r>
        <w:rPr>
          <w:color w:val="000000"/>
        </w:rPr>
        <w:t>2010</w:t>
      </w:r>
      <w:r w:rsidR="00F970C2">
        <w:rPr>
          <w:color w:val="000000"/>
        </w:rPr>
        <w:t>)</w:t>
      </w:r>
      <w:r>
        <w:rPr>
          <w:color w:val="000000"/>
        </w:rPr>
        <w:t xml:space="preserve">, An empirical study on the use of project management tools and techniques across project life-cycle and their impact on project success, </w:t>
      </w:r>
      <w:r>
        <w:rPr>
          <w:i/>
          <w:color w:val="000000"/>
        </w:rPr>
        <w:t xml:space="preserve">Journal of General </w:t>
      </w:r>
      <w:proofErr w:type="gramStart"/>
      <w:r>
        <w:rPr>
          <w:i/>
          <w:color w:val="000000"/>
        </w:rPr>
        <w:t>Management,</w:t>
      </w:r>
      <w:r>
        <w:rPr>
          <w:color w:val="000000"/>
        </w:rPr>
        <w:t>  35</w:t>
      </w:r>
      <w:proofErr w:type="gramEnd"/>
      <w:r>
        <w:rPr>
          <w:color w:val="000000"/>
        </w:rPr>
        <w:t xml:space="preserve"> (3)</w:t>
      </w:r>
      <w:r w:rsidR="00F970C2">
        <w:rPr>
          <w:color w:val="000000"/>
        </w:rPr>
        <w:t xml:space="preserve">, </w:t>
      </w:r>
      <w:r>
        <w:rPr>
          <w:color w:val="000000"/>
        </w:rPr>
        <w:t>41-66.</w:t>
      </w:r>
    </w:p>
    <w:p w14:paraId="3AFBC557" w14:textId="77777777" w:rsidR="005D5B0A" w:rsidRDefault="00A73EE7">
      <w:pPr>
        <w:jc w:val="both"/>
        <w:rPr>
          <w:color w:val="000000"/>
        </w:rPr>
      </w:pPr>
      <w:r>
        <w:rPr>
          <w:color w:val="000000"/>
        </w:rPr>
        <w:t xml:space="preserve">Penrose, E. T. (1995), </w:t>
      </w:r>
      <w:r>
        <w:rPr>
          <w:i/>
          <w:color w:val="000000"/>
        </w:rPr>
        <w:t>The Theory of the Growth of the Firm</w:t>
      </w:r>
      <w:r>
        <w:rPr>
          <w:color w:val="000000"/>
        </w:rPr>
        <w:t>, Oxford University Press, USA.</w:t>
      </w:r>
    </w:p>
    <w:p w14:paraId="67CE7438" w14:textId="747F38B1" w:rsidR="005D5B0A" w:rsidRDefault="00A73EE7">
      <w:pPr>
        <w:ind w:left="284" w:hanging="284"/>
        <w:jc w:val="both"/>
        <w:rPr>
          <w:color w:val="000000"/>
          <w:highlight w:val="white"/>
        </w:rPr>
      </w:pPr>
      <w:r>
        <w:rPr>
          <w:color w:val="000000"/>
          <w:highlight w:val="white"/>
        </w:rPr>
        <w:t xml:space="preserve">Perkins, D., </w:t>
      </w:r>
      <w:proofErr w:type="spellStart"/>
      <w:r>
        <w:rPr>
          <w:color w:val="000000"/>
          <w:highlight w:val="white"/>
        </w:rPr>
        <w:t>Jugdev</w:t>
      </w:r>
      <w:proofErr w:type="spellEnd"/>
      <w:r>
        <w:rPr>
          <w:color w:val="000000"/>
          <w:highlight w:val="white"/>
        </w:rPr>
        <w:t>, K., and Mathur, G. (2018), Characteristics of Project Management Assets and Project Management Process Outcomes: An Exploratory Factor Analysis, </w:t>
      </w:r>
      <w:r>
        <w:rPr>
          <w:i/>
          <w:color w:val="000000"/>
          <w:highlight w:val="white"/>
        </w:rPr>
        <w:t xml:space="preserve">International Journal of Information Technology Project </w:t>
      </w:r>
      <w:proofErr w:type="gramStart"/>
      <w:r>
        <w:rPr>
          <w:i/>
          <w:color w:val="000000"/>
          <w:highlight w:val="white"/>
        </w:rPr>
        <w:t>Management</w:t>
      </w:r>
      <w:r>
        <w:rPr>
          <w:color w:val="000000"/>
          <w:highlight w:val="white"/>
        </w:rPr>
        <w:t>,  9</w:t>
      </w:r>
      <w:proofErr w:type="gramEnd"/>
      <w:r>
        <w:rPr>
          <w:color w:val="000000"/>
          <w:highlight w:val="white"/>
        </w:rPr>
        <w:t xml:space="preserve"> (1):59-77.</w:t>
      </w:r>
    </w:p>
    <w:p w14:paraId="764D6B79" w14:textId="592F4874" w:rsidR="005D5B0A" w:rsidRDefault="00A73EE7">
      <w:pPr>
        <w:ind w:left="284" w:hanging="284"/>
        <w:jc w:val="both"/>
        <w:rPr>
          <w:color w:val="000000"/>
        </w:rPr>
      </w:pPr>
      <w:proofErr w:type="spellStart"/>
      <w:r>
        <w:rPr>
          <w:color w:val="000000"/>
        </w:rPr>
        <w:t>Peteraf</w:t>
      </w:r>
      <w:proofErr w:type="spellEnd"/>
      <w:r>
        <w:rPr>
          <w:color w:val="000000"/>
        </w:rPr>
        <w:t xml:space="preserve">, M. A. </w:t>
      </w:r>
      <w:r w:rsidR="00F970C2">
        <w:rPr>
          <w:color w:val="000000"/>
        </w:rPr>
        <w:t>(</w:t>
      </w:r>
      <w:r>
        <w:rPr>
          <w:color w:val="000000"/>
        </w:rPr>
        <w:t>1993</w:t>
      </w:r>
      <w:r w:rsidR="00F970C2">
        <w:rPr>
          <w:color w:val="000000"/>
        </w:rPr>
        <w:t>)</w:t>
      </w:r>
      <w:r>
        <w:rPr>
          <w:color w:val="000000"/>
        </w:rPr>
        <w:t xml:space="preserve">, The Cornerstones of Competitive Advantage: A Resource-Based View”, </w:t>
      </w:r>
      <w:r>
        <w:rPr>
          <w:i/>
          <w:color w:val="000000"/>
        </w:rPr>
        <w:t>Strategic Management Journal</w:t>
      </w:r>
      <w:r>
        <w:rPr>
          <w:color w:val="000000"/>
        </w:rPr>
        <w:t>, 14 (3)</w:t>
      </w:r>
      <w:r w:rsidR="00F970C2">
        <w:rPr>
          <w:color w:val="000000"/>
        </w:rPr>
        <w:t>,</w:t>
      </w:r>
      <w:r>
        <w:rPr>
          <w:color w:val="000000"/>
        </w:rPr>
        <w:t>179-191.</w:t>
      </w:r>
    </w:p>
    <w:p w14:paraId="1320E6B6" w14:textId="2F0A32C8" w:rsidR="005D5B0A" w:rsidRDefault="00A73EE7">
      <w:pPr>
        <w:ind w:left="284" w:hanging="284"/>
        <w:jc w:val="both"/>
        <w:rPr>
          <w:color w:val="000000"/>
          <w:highlight w:val="white"/>
        </w:rPr>
      </w:pPr>
      <w:r>
        <w:rPr>
          <w:color w:val="000000"/>
          <w:highlight w:val="white"/>
        </w:rPr>
        <w:t xml:space="preserve">Piercy, N., Phillips W. </w:t>
      </w:r>
      <w:r w:rsidR="00F970C2">
        <w:rPr>
          <w:color w:val="000000"/>
          <w:highlight w:val="white"/>
        </w:rPr>
        <w:t>&amp;</w:t>
      </w:r>
      <w:r>
        <w:rPr>
          <w:color w:val="000000"/>
          <w:highlight w:val="white"/>
        </w:rPr>
        <w:t xml:space="preserve"> Lewis M. </w:t>
      </w:r>
      <w:r w:rsidR="00F970C2">
        <w:rPr>
          <w:color w:val="000000"/>
          <w:highlight w:val="white"/>
        </w:rPr>
        <w:t>(</w:t>
      </w:r>
      <w:r>
        <w:rPr>
          <w:color w:val="000000"/>
          <w:highlight w:val="white"/>
        </w:rPr>
        <w:t>2013</w:t>
      </w:r>
      <w:r w:rsidR="00F970C2">
        <w:rPr>
          <w:color w:val="000000"/>
          <w:highlight w:val="white"/>
        </w:rPr>
        <w:t>)</w:t>
      </w:r>
      <w:r>
        <w:rPr>
          <w:color w:val="000000"/>
          <w:highlight w:val="white"/>
        </w:rPr>
        <w:t xml:space="preserve">. Change management in the public sector: the use of cross-functional teams, </w:t>
      </w:r>
      <w:r>
        <w:rPr>
          <w:i/>
          <w:color w:val="000000"/>
          <w:highlight w:val="white"/>
        </w:rPr>
        <w:t>Production Planning &amp; Control</w:t>
      </w:r>
      <w:r>
        <w:rPr>
          <w:color w:val="000000"/>
          <w:highlight w:val="white"/>
        </w:rPr>
        <w:t>, 24</w:t>
      </w:r>
      <w:r w:rsidR="007C3B91">
        <w:rPr>
          <w:color w:val="000000"/>
          <w:highlight w:val="white"/>
        </w:rPr>
        <w:t xml:space="preserve">, </w:t>
      </w:r>
      <w:r>
        <w:rPr>
          <w:color w:val="000000"/>
          <w:highlight w:val="white"/>
        </w:rPr>
        <w:t>10-11, 976-987.</w:t>
      </w:r>
    </w:p>
    <w:p w14:paraId="703FA15E" w14:textId="76F9B7E7" w:rsidR="005D5B0A" w:rsidRDefault="00A73EE7">
      <w:pPr>
        <w:ind w:left="284" w:hanging="284"/>
        <w:jc w:val="both"/>
        <w:rPr>
          <w:color w:val="000000"/>
        </w:rPr>
      </w:pPr>
      <w:r>
        <w:rPr>
          <w:color w:val="000000"/>
        </w:rPr>
        <w:t xml:space="preserve">Polanyi, M. </w:t>
      </w:r>
      <w:r w:rsidR="007C3B91">
        <w:rPr>
          <w:color w:val="000000"/>
        </w:rPr>
        <w:t>(</w:t>
      </w:r>
      <w:r>
        <w:rPr>
          <w:color w:val="000000"/>
        </w:rPr>
        <w:t>1962</w:t>
      </w:r>
      <w:r w:rsidR="007C3B91">
        <w:rPr>
          <w:color w:val="000000"/>
        </w:rPr>
        <w:t>)</w:t>
      </w:r>
      <w:r>
        <w:rPr>
          <w:color w:val="000000"/>
        </w:rPr>
        <w:t xml:space="preserve">. Tacit knowing: Its bearing on some problems of philosophy”. </w:t>
      </w:r>
      <w:r>
        <w:rPr>
          <w:i/>
          <w:color w:val="000000"/>
        </w:rPr>
        <w:t>Reviews of modern physics</w:t>
      </w:r>
      <w:r>
        <w:rPr>
          <w:color w:val="000000"/>
        </w:rPr>
        <w:t>, 34(4)</w:t>
      </w:r>
      <w:r w:rsidR="007C3B91">
        <w:rPr>
          <w:color w:val="000000"/>
        </w:rPr>
        <w:t xml:space="preserve">, </w:t>
      </w:r>
      <w:r>
        <w:rPr>
          <w:color w:val="000000"/>
        </w:rPr>
        <w:t>601.</w:t>
      </w:r>
    </w:p>
    <w:p w14:paraId="541E7767" w14:textId="5B0EF6AB" w:rsidR="005D5B0A" w:rsidRDefault="00A73EE7">
      <w:pPr>
        <w:ind w:left="284" w:hanging="284"/>
        <w:jc w:val="both"/>
        <w:rPr>
          <w:color w:val="000000"/>
        </w:rPr>
      </w:pPr>
      <w:r>
        <w:rPr>
          <w:color w:val="000000"/>
        </w:rPr>
        <w:t xml:space="preserve">Porter, M. E. </w:t>
      </w:r>
      <w:r w:rsidR="007C3B91">
        <w:rPr>
          <w:color w:val="000000"/>
        </w:rPr>
        <w:t>(</w:t>
      </w:r>
      <w:r>
        <w:rPr>
          <w:color w:val="000000"/>
        </w:rPr>
        <w:t>1979</w:t>
      </w:r>
      <w:r w:rsidR="007C3B91">
        <w:rPr>
          <w:color w:val="000000"/>
        </w:rPr>
        <w:t>)</w:t>
      </w:r>
      <w:r>
        <w:rPr>
          <w:color w:val="000000"/>
        </w:rPr>
        <w:t xml:space="preserve">. </w:t>
      </w:r>
      <w:r>
        <w:rPr>
          <w:i/>
          <w:color w:val="000000"/>
        </w:rPr>
        <w:t>How competitive forces shape strategy</w:t>
      </w:r>
      <w:r>
        <w:rPr>
          <w:color w:val="000000"/>
        </w:rPr>
        <w:t>. Boston: Harvard Business Review, (March-April), 137-145.</w:t>
      </w:r>
    </w:p>
    <w:p w14:paraId="2FD785C2" w14:textId="799F7660" w:rsidR="005D5B0A" w:rsidRDefault="00A73EE7">
      <w:pPr>
        <w:ind w:left="284" w:hanging="284"/>
        <w:jc w:val="both"/>
        <w:rPr>
          <w:color w:val="000000"/>
        </w:rPr>
      </w:pPr>
      <w:r>
        <w:rPr>
          <w:color w:val="000000"/>
        </w:rPr>
        <w:t xml:space="preserve">Porter, M. E. </w:t>
      </w:r>
      <w:r w:rsidR="007C3B91">
        <w:rPr>
          <w:color w:val="000000"/>
        </w:rPr>
        <w:t>(</w:t>
      </w:r>
      <w:r>
        <w:rPr>
          <w:color w:val="000000"/>
        </w:rPr>
        <w:t>1996</w:t>
      </w:r>
      <w:r w:rsidR="007C3B91">
        <w:rPr>
          <w:color w:val="000000"/>
        </w:rPr>
        <w:t>)</w:t>
      </w:r>
      <w:r>
        <w:rPr>
          <w:color w:val="000000"/>
        </w:rPr>
        <w:t xml:space="preserve">, What is strategy’, </w:t>
      </w:r>
      <w:r>
        <w:rPr>
          <w:i/>
          <w:color w:val="000000"/>
        </w:rPr>
        <w:t>Harvard Business Review</w:t>
      </w:r>
      <w:r>
        <w:rPr>
          <w:color w:val="000000"/>
        </w:rPr>
        <w:t>, (November-December), 61-78</w:t>
      </w:r>
    </w:p>
    <w:p w14:paraId="7A33270F" w14:textId="1BCDDAC8" w:rsidR="005D5B0A" w:rsidRDefault="00A73EE7">
      <w:pPr>
        <w:ind w:left="284" w:hanging="284"/>
        <w:jc w:val="both"/>
        <w:rPr>
          <w:color w:val="000000"/>
        </w:rPr>
      </w:pPr>
      <w:proofErr w:type="spellStart"/>
      <w:r>
        <w:rPr>
          <w:color w:val="000000"/>
        </w:rPr>
        <w:t>Priem</w:t>
      </w:r>
      <w:proofErr w:type="spellEnd"/>
      <w:r>
        <w:rPr>
          <w:color w:val="000000"/>
        </w:rPr>
        <w:t xml:space="preserve">, R. L., </w:t>
      </w:r>
      <w:r w:rsidR="007C3B91">
        <w:rPr>
          <w:color w:val="000000"/>
        </w:rPr>
        <w:t>&amp;</w:t>
      </w:r>
      <w:r>
        <w:rPr>
          <w:color w:val="000000"/>
        </w:rPr>
        <w:t xml:space="preserve"> Butler, J. E. </w:t>
      </w:r>
      <w:r w:rsidR="007C3B91">
        <w:rPr>
          <w:color w:val="000000"/>
        </w:rPr>
        <w:t>(</w:t>
      </w:r>
      <w:r>
        <w:rPr>
          <w:color w:val="000000"/>
        </w:rPr>
        <w:t>2001</w:t>
      </w:r>
      <w:r w:rsidR="007C3B91">
        <w:rPr>
          <w:color w:val="000000"/>
        </w:rPr>
        <w:t>)</w:t>
      </w:r>
      <w:r>
        <w:rPr>
          <w:color w:val="000000"/>
        </w:rPr>
        <w:t xml:space="preserve">, Is the resource-based "view" a useful perspective for strategic management research? </w:t>
      </w:r>
      <w:r>
        <w:rPr>
          <w:i/>
          <w:color w:val="000000"/>
        </w:rPr>
        <w:t>The Academy of Management Review</w:t>
      </w:r>
      <w:r>
        <w:rPr>
          <w:color w:val="000000"/>
        </w:rPr>
        <w:t>, 26(1)</w:t>
      </w:r>
      <w:r w:rsidR="007C3B91">
        <w:rPr>
          <w:color w:val="000000"/>
        </w:rPr>
        <w:t xml:space="preserve">, </w:t>
      </w:r>
      <w:r>
        <w:rPr>
          <w:color w:val="000000"/>
        </w:rPr>
        <w:t>22-40.</w:t>
      </w:r>
    </w:p>
    <w:p w14:paraId="176E6483" w14:textId="5C69E0C3" w:rsidR="005D5B0A" w:rsidRDefault="00A73EE7">
      <w:pPr>
        <w:ind w:left="284" w:hanging="284"/>
        <w:jc w:val="both"/>
        <w:rPr>
          <w:color w:val="000000"/>
        </w:rPr>
      </w:pPr>
      <w:proofErr w:type="spellStart"/>
      <w:r>
        <w:rPr>
          <w:color w:val="000000"/>
        </w:rPr>
        <w:t>Putten</w:t>
      </w:r>
      <w:proofErr w:type="spellEnd"/>
      <w:r>
        <w:rPr>
          <w:color w:val="000000"/>
        </w:rPr>
        <w:t xml:space="preserve">, P., </w:t>
      </w:r>
      <w:r w:rsidR="007C3B91">
        <w:rPr>
          <w:color w:val="000000"/>
        </w:rPr>
        <w:t>&amp;</w:t>
      </w:r>
      <w:r>
        <w:rPr>
          <w:color w:val="000000"/>
        </w:rPr>
        <w:t xml:space="preserve"> Green, R. </w:t>
      </w:r>
      <w:r w:rsidR="007C3B91">
        <w:rPr>
          <w:color w:val="000000"/>
        </w:rPr>
        <w:t>(</w:t>
      </w:r>
      <w:r>
        <w:rPr>
          <w:color w:val="000000"/>
        </w:rPr>
        <w:t>2011</w:t>
      </w:r>
      <w:r w:rsidR="007C3B91">
        <w:rPr>
          <w:color w:val="000000"/>
        </w:rPr>
        <w:t>)</w:t>
      </w:r>
      <w:r>
        <w:rPr>
          <w:color w:val="000000"/>
        </w:rPr>
        <w:t xml:space="preserve">, Does it take an economic recession to advance social </w:t>
      </w:r>
      <w:proofErr w:type="gramStart"/>
      <w:r>
        <w:rPr>
          <w:color w:val="000000"/>
        </w:rPr>
        <w:t>entrepreneurship?,</w:t>
      </w:r>
      <w:proofErr w:type="gramEnd"/>
      <w:r>
        <w:rPr>
          <w:color w:val="000000"/>
        </w:rPr>
        <w:t xml:space="preserve"> </w:t>
      </w:r>
      <w:r>
        <w:rPr>
          <w:i/>
          <w:color w:val="000000"/>
        </w:rPr>
        <w:t>Research in Business and Economics Journal</w:t>
      </w:r>
      <w:r>
        <w:rPr>
          <w:color w:val="000000"/>
        </w:rPr>
        <w:t xml:space="preserve">, 3, C1. </w:t>
      </w:r>
    </w:p>
    <w:p w14:paraId="0112A506" w14:textId="1636D9DD" w:rsidR="005D5B0A" w:rsidRDefault="00A73EE7">
      <w:pPr>
        <w:ind w:left="284" w:hanging="284"/>
        <w:jc w:val="both"/>
        <w:rPr>
          <w:color w:val="000000"/>
        </w:rPr>
      </w:pPr>
      <w:r>
        <w:rPr>
          <w:color w:val="000000"/>
        </w:rPr>
        <w:t xml:space="preserve">Radnor Z. J. &amp; </w:t>
      </w:r>
      <w:proofErr w:type="spellStart"/>
      <w:r>
        <w:rPr>
          <w:color w:val="000000"/>
        </w:rPr>
        <w:t>Noke</w:t>
      </w:r>
      <w:proofErr w:type="spellEnd"/>
      <w:r>
        <w:rPr>
          <w:color w:val="000000"/>
        </w:rPr>
        <w:t xml:space="preserve"> H. </w:t>
      </w:r>
      <w:r w:rsidR="007C3B91">
        <w:rPr>
          <w:color w:val="000000"/>
        </w:rPr>
        <w:t>(</w:t>
      </w:r>
      <w:r>
        <w:rPr>
          <w:color w:val="000000"/>
        </w:rPr>
        <w:t>2013</w:t>
      </w:r>
      <w:r w:rsidR="007C3B91">
        <w:rPr>
          <w:color w:val="000000"/>
        </w:rPr>
        <w:t>)</w:t>
      </w:r>
      <w:r>
        <w:rPr>
          <w:color w:val="000000"/>
        </w:rPr>
        <w:t xml:space="preserve">. Conceptualising and contextualising public sector operations management, </w:t>
      </w:r>
      <w:r>
        <w:rPr>
          <w:i/>
          <w:color w:val="000000"/>
        </w:rPr>
        <w:t>Production Planning &amp; Control</w:t>
      </w:r>
      <w:r>
        <w:rPr>
          <w:color w:val="000000"/>
        </w:rPr>
        <w:t>, 24:10-11, 867-876.</w:t>
      </w:r>
    </w:p>
    <w:p w14:paraId="11B73864" w14:textId="29690FBC" w:rsidR="00F03EAA" w:rsidRDefault="00F03EAA">
      <w:pPr>
        <w:ind w:left="284" w:hanging="284"/>
        <w:jc w:val="both"/>
        <w:rPr>
          <w:color w:val="000000"/>
        </w:rPr>
      </w:pPr>
      <w:r w:rsidRPr="00F03EAA">
        <w:rPr>
          <w:color w:val="000000"/>
        </w:rPr>
        <w:t>Rey-Garcia, M., Mato-</w:t>
      </w:r>
      <w:proofErr w:type="spellStart"/>
      <w:r w:rsidRPr="00F03EAA">
        <w:rPr>
          <w:color w:val="000000"/>
        </w:rPr>
        <w:t>Santiso</w:t>
      </w:r>
      <w:proofErr w:type="spellEnd"/>
      <w:r w:rsidRPr="00F03EAA">
        <w:rPr>
          <w:color w:val="000000"/>
        </w:rPr>
        <w:t xml:space="preserve">, V. </w:t>
      </w:r>
      <w:r w:rsidR="007C3B91">
        <w:rPr>
          <w:color w:val="000000"/>
        </w:rPr>
        <w:t>&amp;</w:t>
      </w:r>
      <w:r w:rsidRPr="00F03EAA">
        <w:rPr>
          <w:color w:val="000000"/>
        </w:rPr>
        <w:t xml:space="preserve"> </w:t>
      </w:r>
      <w:proofErr w:type="spellStart"/>
      <w:r w:rsidRPr="00F03EAA">
        <w:rPr>
          <w:color w:val="000000"/>
        </w:rPr>
        <w:t>Felgueiras</w:t>
      </w:r>
      <w:proofErr w:type="spellEnd"/>
      <w:r w:rsidRPr="00F03EAA">
        <w:rPr>
          <w:color w:val="000000"/>
        </w:rPr>
        <w:t>, A. (2020) Transitioning collaborative cross-sector business models for Sustainability Innovation: Multilevel Tension Management as a dynamic capability, Business &amp;amp; Society, 60(5), pp. 1132–1173. Available at: https://doi.org/10.1177/0007650320949822.</w:t>
      </w:r>
    </w:p>
    <w:p w14:paraId="435189D5" w14:textId="011A2C95" w:rsidR="005D5B0A" w:rsidRDefault="00A73EE7">
      <w:pPr>
        <w:ind w:left="284" w:hanging="284"/>
        <w:jc w:val="both"/>
        <w:rPr>
          <w:color w:val="000000"/>
        </w:rPr>
      </w:pPr>
      <w:proofErr w:type="spellStart"/>
      <w:r>
        <w:rPr>
          <w:color w:val="000000"/>
        </w:rPr>
        <w:t>Rumelt</w:t>
      </w:r>
      <w:proofErr w:type="spellEnd"/>
      <w:r>
        <w:rPr>
          <w:color w:val="000000"/>
        </w:rPr>
        <w:t xml:space="preserve">, R. P., Schendel, D. E., </w:t>
      </w:r>
      <w:r w:rsidR="007C3B91">
        <w:rPr>
          <w:color w:val="000000"/>
        </w:rPr>
        <w:t>&amp;</w:t>
      </w:r>
      <w:r>
        <w:rPr>
          <w:color w:val="000000"/>
        </w:rPr>
        <w:t xml:space="preserve"> Teece, D. J. </w:t>
      </w:r>
      <w:r w:rsidR="007C3B91">
        <w:rPr>
          <w:color w:val="000000"/>
        </w:rPr>
        <w:t>(</w:t>
      </w:r>
      <w:r>
        <w:rPr>
          <w:color w:val="000000"/>
        </w:rPr>
        <w:t>1994</w:t>
      </w:r>
      <w:r w:rsidR="007C3B91">
        <w:rPr>
          <w:color w:val="000000"/>
        </w:rPr>
        <w:t>)</w:t>
      </w:r>
      <w:r>
        <w:rPr>
          <w:color w:val="000000"/>
        </w:rPr>
        <w:t xml:space="preserve">, Fundamental Issues in Strategy: A Research Agenda, </w:t>
      </w:r>
      <w:r>
        <w:rPr>
          <w:i/>
          <w:color w:val="000000"/>
        </w:rPr>
        <w:t>Harvard Business School Press</w:t>
      </w:r>
      <w:r>
        <w:rPr>
          <w:color w:val="000000"/>
        </w:rPr>
        <w:t>. Boston, MA.</w:t>
      </w:r>
    </w:p>
    <w:p w14:paraId="2A218221" w14:textId="45E791DA" w:rsidR="005D5B0A" w:rsidRDefault="00A73EE7">
      <w:pPr>
        <w:ind w:left="284" w:hanging="284"/>
        <w:jc w:val="both"/>
        <w:rPr>
          <w:color w:val="000000"/>
        </w:rPr>
      </w:pPr>
      <w:proofErr w:type="spellStart"/>
      <w:r>
        <w:rPr>
          <w:color w:val="000000"/>
        </w:rPr>
        <w:lastRenderedPageBreak/>
        <w:t>Salwan</w:t>
      </w:r>
      <w:proofErr w:type="spellEnd"/>
      <w:r>
        <w:rPr>
          <w:color w:val="000000"/>
        </w:rPr>
        <w:t xml:space="preserve">, P., </w:t>
      </w:r>
      <w:r w:rsidR="007C3B91">
        <w:rPr>
          <w:color w:val="000000"/>
        </w:rPr>
        <w:t>&amp;</w:t>
      </w:r>
      <w:r>
        <w:rPr>
          <w:color w:val="000000"/>
        </w:rPr>
        <w:t xml:space="preserve"> </w:t>
      </w:r>
      <w:proofErr w:type="spellStart"/>
      <w:r>
        <w:rPr>
          <w:color w:val="000000"/>
        </w:rPr>
        <w:t>Satarkar</w:t>
      </w:r>
      <w:proofErr w:type="spellEnd"/>
      <w:r>
        <w:rPr>
          <w:color w:val="000000"/>
        </w:rPr>
        <w:t xml:space="preserve">, S. </w:t>
      </w:r>
      <w:r w:rsidR="007C3B91">
        <w:rPr>
          <w:color w:val="000000"/>
        </w:rPr>
        <w:t>(</w:t>
      </w:r>
      <w:r>
        <w:rPr>
          <w:color w:val="000000"/>
        </w:rPr>
        <w:t>2011</w:t>
      </w:r>
      <w:r w:rsidR="007C3B91">
        <w:rPr>
          <w:color w:val="000000"/>
        </w:rPr>
        <w:t>)</w:t>
      </w:r>
      <w:r>
        <w:rPr>
          <w:color w:val="000000"/>
        </w:rPr>
        <w:t>, Growth in adverse external circumstances: A study of Indian public-sector telecommunication company, </w:t>
      </w:r>
      <w:r>
        <w:rPr>
          <w:i/>
          <w:color w:val="000000"/>
        </w:rPr>
        <w:t xml:space="preserve">Indian Journal of Industrial </w:t>
      </w:r>
      <w:proofErr w:type="gramStart"/>
      <w:r>
        <w:rPr>
          <w:i/>
          <w:color w:val="000000"/>
        </w:rPr>
        <w:t>Relations</w:t>
      </w:r>
      <w:r>
        <w:rPr>
          <w:color w:val="000000"/>
        </w:rPr>
        <w:t>,  47</w:t>
      </w:r>
      <w:proofErr w:type="gramEnd"/>
      <w:r>
        <w:rPr>
          <w:color w:val="000000"/>
        </w:rPr>
        <w:t xml:space="preserve"> (2)</w:t>
      </w:r>
      <w:r w:rsidR="007C3B91">
        <w:rPr>
          <w:color w:val="000000"/>
        </w:rPr>
        <w:t xml:space="preserve">, </w:t>
      </w:r>
      <w:r>
        <w:rPr>
          <w:color w:val="000000"/>
        </w:rPr>
        <w:t>235-252.</w:t>
      </w:r>
    </w:p>
    <w:p w14:paraId="6289F172" w14:textId="77777777" w:rsidR="005D5B0A" w:rsidRDefault="00A73EE7">
      <w:pPr>
        <w:ind w:left="284" w:hanging="284"/>
        <w:jc w:val="both"/>
        <w:rPr>
          <w:sz w:val="28"/>
          <w:szCs w:val="28"/>
        </w:rPr>
      </w:pPr>
      <w:bookmarkStart w:id="2" w:name="_heading=h.30j0zll" w:colFirst="0" w:colLast="0"/>
      <w:bookmarkEnd w:id="2"/>
      <w:proofErr w:type="spellStart"/>
      <w:r>
        <w:rPr>
          <w:color w:val="000000"/>
        </w:rPr>
        <w:t>Saranga</w:t>
      </w:r>
      <w:proofErr w:type="spellEnd"/>
      <w:r>
        <w:rPr>
          <w:color w:val="000000"/>
        </w:rPr>
        <w:t xml:space="preserve">, H., George, R., </w:t>
      </w:r>
      <w:proofErr w:type="spellStart"/>
      <w:r>
        <w:rPr>
          <w:color w:val="000000"/>
        </w:rPr>
        <w:t>Beine</w:t>
      </w:r>
      <w:proofErr w:type="spellEnd"/>
      <w:r>
        <w:rPr>
          <w:color w:val="000000"/>
        </w:rPr>
        <w:t>, J., &amp; Arnold, U. (2018). Resource configurations, product development capability, and competitive advantage: An empirical analysis of their evolution. Journal of Business Research, 85, 32-50.</w:t>
      </w:r>
    </w:p>
    <w:p w14:paraId="61008ADD" w14:textId="5DE44E89" w:rsidR="005D5B0A" w:rsidRDefault="00A73EE7">
      <w:pPr>
        <w:ind w:left="284" w:hanging="284"/>
        <w:jc w:val="both"/>
        <w:rPr>
          <w:color w:val="000000"/>
        </w:rPr>
      </w:pPr>
      <w:r>
        <w:rPr>
          <w:color w:val="000000"/>
        </w:rPr>
        <w:t xml:space="preserve">Scott, T. A. </w:t>
      </w:r>
      <w:r w:rsidR="007C3B91">
        <w:rPr>
          <w:color w:val="000000"/>
        </w:rPr>
        <w:t>(</w:t>
      </w:r>
      <w:r>
        <w:rPr>
          <w:color w:val="000000"/>
        </w:rPr>
        <w:t>2016</w:t>
      </w:r>
      <w:r w:rsidR="007C3B91">
        <w:rPr>
          <w:color w:val="000000"/>
        </w:rPr>
        <w:t>)</w:t>
      </w:r>
      <w:r>
        <w:rPr>
          <w:color w:val="000000"/>
        </w:rPr>
        <w:t xml:space="preserve">. Is Collaboration a Good Investment? </w:t>
      </w:r>
      <w:proofErr w:type="spellStart"/>
      <w:r>
        <w:rPr>
          <w:color w:val="000000"/>
        </w:rPr>
        <w:t>Modeling</w:t>
      </w:r>
      <w:proofErr w:type="spellEnd"/>
      <w:r>
        <w:rPr>
          <w:color w:val="000000"/>
        </w:rPr>
        <w:t xml:space="preserve"> the Link Between Funds Given to Collaborative Watershed Councils and Water Quality, Journal of Public Administration Research and Theory, 26(4), 769–786, https://doi.org/10.1093/jopart/muw033</w:t>
      </w:r>
    </w:p>
    <w:p w14:paraId="6CDC2210" w14:textId="27A9A93C" w:rsidR="005D5B0A" w:rsidRDefault="00A73EE7">
      <w:pPr>
        <w:ind w:left="284" w:hanging="284"/>
        <w:jc w:val="both"/>
        <w:rPr>
          <w:color w:val="000000"/>
          <w:highlight w:val="white"/>
        </w:rPr>
      </w:pPr>
      <w:r>
        <w:t xml:space="preserve">Sowden, R., </w:t>
      </w:r>
      <w:proofErr w:type="spellStart"/>
      <w:r>
        <w:t>Hinley</w:t>
      </w:r>
      <w:proofErr w:type="spellEnd"/>
      <w:r>
        <w:t xml:space="preserve">, D. </w:t>
      </w:r>
      <w:r w:rsidR="007C3B91">
        <w:t>&amp;</w:t>
      </w:r>
      <w:r>
        <w:t xml:space="preserve"> Clarke, S. </w:t>
      </w:r>
      <w:r w:rsidR="007C3B91">
        <w:t>(</w:t>
      </w:r>
      <w:r>
        <w:t>2008</w:t>
      </w:r>
      <w:r w:rsidR="007C3B91">
        <w:t>)</w:t>
      </w:r>
      <w:r>
        <w:t xml:space="preserve"> Portfolio, Programme &amp; Project Management Maturity Model (P3M3), </w:t>
      </w:r>
      <w:r>
        <w:rPr>
          <w:i/>
        </w:rPr>
        <w:t>Office of Government Commerce Journal</w:t>
      </w:r>
      <w:r>
        <w:t>, 1-4.</w:t>
      </w:r>
    </w:p>
    <w:p w14:paraId="5413C196" w14:textId="5C3E4DEC" w:rsidR="005D5B0A" w:rsidRDefault="00A73EE7">
      <w:pPr>
        <w:ind w:left="284" w:hanging="284"/>
        <w:jc w:val="both"/>
        <w:rPr>
          <w:color w:val="000000"/>
        </w:rPr>
      </w:pPr>
      <w:r>
        <w:rPr>
          <w:color w:val="000000"/>
        </w:rPr>
        <w:t xml:space="preserve">Spender, J. </w:t>
      </w:r>
      <w:r w:rsidR="007C3B91">
        <w:rPr>
          <w:color w:val="000000"/>
        </w:rPr>
        <w:t>(</w:t>
      </w:r>
      <w:r>
        <w:rPr>
          <w:color w:val="000000"/>
        </w:rPr>
        <w:t>1996</w:t>
      </w:r>
      <w:r w:rsidR="007C3B91">
        <w:rPr>
          <w:color w:val="000000"/>
        </w:rPr>
        <w:t>)</w:t>
      </w:r>
      <w:r>
        <w:rPr>
          <w:color w:val="000000"/>
        </w:rPr>
        <w:t>, Making knowledge the basis of a dynamic theory of the firm, </w:t>
      </w:r>
      <w:r>
        <w:rPr>
          <w:i/>
          <w:color w:val="000000"/>
        </w:rPr>
        <w:t xml:space="preserve">Strategic Management </w:t>
      </w:r>
      <w:proofErr w:type="gramStart"/>
      <w:r>
        <w:rPr>
          <w:i/>
          <w:color w:val="000000"/>
        </w:rPr>
        <w:t>Journal</w:t>
      </w:r>
      <w:r>
        <w:rPr>
          <w:color w:val="000000"/>
        </w:rPr>
        <w:t>,  17</w:t>
      </w:r>
      <w:proofErr w:type="gramEnd"/>
      <w:r>
        <w:rPr>
          <w:color w:val="000000"/>
        </w:rPr>
        <w:t xml:space="preserve"> (S2)</w:t>
      </w:r>
      <w:r w:rsidR="007C3B91">
        <w:rPr>
          <w:color w:val="000000"/>
        </w:rPr>
        <w:t xml:space="preserve">, </w:t>
      </w:r>
      <w:r>
        <w:rPr>
          <w:color w:val="000000"/>
        </w:rPr>
        <w:t>45-62.</w:t>
      </w:r>
    </w:p>
    <w:p w14:paraId="14F68869" w14:textId="20B3D93A" w:rsidR="005D5B0A" w:rsidRDefault="00A73EE7">
      <w:pPr>
        <w:ind w:left="284" w:hanging="284"/>
        <w:jc w:val="both"/>
        <w:rPr>
          <w:color w:val="000000"/>
        </w:rPr>
      </w:pPr>
      <w:r>
        <w:rPr>
          <w:color w:val="000000"/>
        </w:rPr>
        <w:t xml:space="preserve">Spending Review </w:t>
      </w:r>
      <w:r w:rsidR="007C3B91">
        <w:rPr>
          <w:color w:val="000000"/>
        </w:rPr>
        <w:t>(</w:t>
      </w:r>
      <w:r>
        <w:rPr>
          <w:color w:val="000000"/>
        </w:rPr>
        <w:t>2015</w:t>
      </w:r>
      <w:r w:rsidR="007C3B91">
        <w:rPr>
          <w:color w:val="000000"/>
        </w:rPr>
        <w:t>)</w:t>
      </w:r>
      <w:r>
        <w:rPr>
          <w:color w:val="000000"/>
        </w:rPr>
        <w:t xml:space="preserve">, Retrieved from: </w:t>
      </w:r>
      <w:r>
        <w:rPr>
          <w:color w:val="000000"/>
        </w:rPr>
        <w:br/>
      </w:r>
      <w:r>
        <w:t xml:space="preserve"> </w:t>
      </w:r>
      <w:hyperlink r:id="rId17">
        <w:r>
          <w:rPr>
            <w:color w:val="0000FF"/>
            <w:u w:val="single"/>
          </w:rPr>
          <w:t>https://www.nao.org.uk/wp-content/uploads/2016/07/Spending-Review-2015.pdf</w:t>
        </w:r>
      </w:hyperlink>
      <w:r>
        <w:rPr>
          <w:color w:val="000000"/>
        </w:rPr>
        <w:t xml:space="preserve"> </w:t>
      </w:r>
    </w:p>
    <w:p w14:paraId="50DBF3B8" w14:textId="4813955F" w:rsidR="005D5B0A" w:rsidRDefault="00A73EE7">
      <w:pPr>
        <w:ind w:left="284" w:hanging="284"/>
        <w:jc w:val="both"/>
        <w:rPr>
          <w:color w:val="000000"/>
        </w:rPr>
      </w:pPr>
      <w:r>
        <w:rPr>
          <w:color w:val="000000"/>
          <w:highlight w:val="white"/>
        </w:rPr>
        <w:t xml:space="preserve">Teece, D. J. </w:t>
      </w:r>
      <w:r w:rsidR="007C3B91">
        <w:rPr>
          <w:color w:val="000000"/>
          <w:highlight w:val="white"/>
        </w:rPr>
        <w:t>(</w:t>
      </w:r>
      <w:r>
        <w:rPr>
          <w:color w:val="000000"/>
          <w:highlight w:val="white"/>
        </w:rPr>
        <w:t>1980</w:t>
      </w:r>
      <w:r w:rsidR="007C3B91">
        <w:rPr>
          <w:color w:val="000000"/>
          <w:highlight w:val="white"/>
        </w:rPr>
        <w:t>)</w:t>
      </w:r>
      <w:r>
        <w:rPr>
          <w:color w:val="000000"/>
          <w:highlight w:val="white"/>
        </w:rPr>
        <w:t xml:space="preserve">, Economies of scope and the scope of the enterprise, </w:t>
      </w:r>
      <w:r>
        <w:rPr>
          <w:i/>
          <w:color w:val="000000"/>
          <w:highlight w:val="white"/>
        </w:rPr>
        <w:t xml:space="preserve">Journal of Economic </w:t>
      </w:r>
      <w:proofErr w:type="spellStart"/>
      <w:r>
        <w:rPr>
          <w:i/>
          <w:color w:val="000000"/>
          <w:highlight w:val="white"/>
        </w:rPr>
        <w:t>Behavior</w:t>
      </w:r>
      <w:proofErr w:type="spellEnd"/>
      <w:r>
        <w:rPr>
          <w:i/>
          <w:color w:val="000000"/>
          <w:highlight w:val="white"/>
        </w:rPr>
        <w:t xml:space="preserve"> and Organization</w:t>
      </w:r>
      <w:r>
        <w:rPr>
          <w:color w:val="000000"/>
          <w:highlight w:val="white"/>
        </w:rPr>
        <w:t>, 1 (3)</w:t>
      </w:r>
      <w:r w:rsidR="007C3B91">
        <w:rPr>
          <w:color w:val="000000"/>
          <w:highlight w:val="white"/>
        </w:rPr>
        <w:t>,</w:t>
      </w:r>
      <w:r>
        <w:rPr>
          <w:color w:val="000000"/>
          <w:highlight w:val="white"/>
        </w:rPr>
        <w:t xml:space="preserve"> 223-247.</w:t>
      </w:r>
    </w:p>
    <w:p w14:paraId="2121AFF0" w14:textId="74DCA1EF" w:rsidR="005D5B0A" w:rsidRDefault="00A73EE7">
      <w:pPr>
        <w:ind w:left="284" w:hanging="284"/>
        <w:jc w:val="both"/>
        <w:rPr>
          <w:color w:val="000000"/>
        </w:rPr>
      </w:pPr>
      <w:r>
        <w:rPr>
          <w:color w:val="000000"/>
          <w:highlight w:val="white"/>
        </w:rPr>
        <w:t xml:space="preserve">Teece, D. J. </w:t>
      </w:r>
      <w:r w:rsidR="007C3B91">
        <w:rPr>
          <w:color w:val="000000"/>
          <w:highlight w:val="white"/>
        </w:rPr>
        <w:t>(</w:t>
      </w:r>
      <w:r>
        <w:rPr>
          <w:color w:val="000000"/>
          <w:highlight w:val="white"/>
        </w:rPr>
        <w:t>1982</w:t>
      </w:r>
      <w:r w:rsidR="007C3B91">
        <w:rPr>
          <w:color w:val="000000"/>
          <w:highlight w:val="white"/>
        </w:rPr>
        <w:t>)</w:t>
      </w:r>
      <w:r>
        <w:rPr>
          <w:color w:val="000000"/>
          <w:highlight w:val="white"/>
        </w:rPr>
        <w:t>, Towards an economic theory of the multiproduct firm, </w:t>
      </w:r>
      <w:r>
        <w:rPr>
          <w:i/>
          <w:color w:val="000000"/>
          <w:highlight w:val="white"/>
        </w:rPr>
        <w:t xml:space="preserve">Journal of Economic </w:t>
      </w:r>
      <w:proofErr w:type="spellStart"/>
      <w:r>
        <w:rPr>
          <w:i/>
          <w:color w:val="000000"/>
          <w:highlight w:val="white"/>
        </w:rPr>
        <w:t>Behavior</w:t>
      </w:r>
      <w:proofErr w:type="spellEnd"/>
      <w:r>
        <w:rPr>
          <w:i/>
          <w:color w:val="000000"/>
          <w:highlight w:val="white"/>
        </w:rPr>
        <w:t xml:space="preserve"> and Organization</w:t>
      </w:r>
      <w:r>
        <w:rPr>
          <w:color w:val="000000"/>
          <w:highlight w:val="white"/>
        </w:rPr>
        <w:t>, 3 (1)</w:t>
      </w:r>
      <w:r w:rsidR="007C3B91">
        <w:rPr>
          <w:color w:val="000000"/>
          <w:highlight w:val="white"/>
        </w:rPr>
        <w:t>,</w:t>
      </w:r>
      <w:r>
        <w:rPr>
          <w:color w:val="000000"/>
          <w:highlight w:val="white"/>
        </w:rPr>
        <w:t xml:space="preserve"> 39-63.</w:t>
      </w:r>
    </w:p>
    <w:p w14:paraId="246758B7" w14:textId="74C76BDD" w:rsidR="005D5B0A" w:rsidRDefault="00A73EE7">
      <w:pPr>
        <w:ind w:left="284" w:hanging="284"/>
        <w:jc w:val="both"/>
        <w:rPr>
          <w:color w:val="000000"/>
        </w:rPr>
      </w:pPr>
      <w:r>
        <w:rPr>
          <w:color w:val="000000"/>
        </w:rPr>
        <w:t xml:space="preserve">Teece, D. J., Pisano, G., </w:t>
      </w:r>
      <w:r w:rsidR="007C3B91">
        <w:rPr>
          <w:color w:val="000000"/>
        </w:rPr>
        <w:t>&amp;</w:t>
      </w:r>
      <w:r>
        <w:rPr>
          <w:color w:val="000000"/>
        </w:rPr>
        <w:t xml:space="preserve"> </w:t>
      </w:r>
      <w:proofErr w:type="spellStart"/>
      <w:r>
        <w:rPr>
          <w:color w:val="000000"/>
        </w:rPr>
        <w:t>Shuen</w:t>
      </w:r>
      <w:proofErr w:type="spellEnd"/>
      <w:r>
        <w:rPr>
          <w:color w:val="000000"/>
        </w:rPr>
        <w:t xml:space="preserve">, A. </w:t>
      </w:r>
      <w:r w:rsidR="007C3B91">
        <w:rPr>
          <w:color w:val="000000"/>
        </w:rPr>
        <w:t>(</w:t>
      </w:r>
      <w:r>
        <w:rPr>
          <w:color w:val="000000"/>
        </w:rPr>
        <w:t>1997</w:t>
      </w:r>
      <w:r w:rsidR="007C3B91">
        <w:rPr>
          <w:color w:val="000000"/>
        </w:rPr>
        <w:t>)</w:t>
      </w:r>
      <w:r>
        <w:rPr>
          <w:color w:val="000000"/>
        </w:rPr>
        <w:t xml:space="preserve">, Dynamic capabilities and strategic management, </w:t>
      </w:r>
      <w:r>
        <w:rPr>
          <w:i/>
          <w:color w:val="000000"/>
        </w:rPr>
        <w:t>Strategic Management Journal</w:t>
      </w:r>
      <w:r>
        <w:rPr>
          <w:color w:val="000000"/>
        </w:rPr>
        <w:t>, 18 (7)</w:t>
      </w:r>
      <w:r w:rsidR="007C3B91">
        <w:rPr>
          <w:color w:val="000000"/>
        </w:rPr>
        <w:t>,</w:t>
      </w:r>
      <w:r>
        <w:rPr>
          <w:color w:val="000000"/>
        </w:rPr>
        <w:t xml:space="preserve"> 509-533.</w:t>
      </w:r>
    </w:p>
    <w:p w14:paraId="2BC325BF" w14:textId="3C900CC2" w:rsidR="005D5B0A" w:rsidRDefault="00A73EE7">
      <w:pPr>
        <w:ind w:left="284" w:hanging="284"/>
        <w:jc w:val="both"/>
        <w:rPr>
          <w:color w:val="000000"/>
        </w:rPr>
      </w:pPr>
      <w:r>
        <w:rPr>
          <w:color w:val="000000"/>
        </w:rPr>
        <w:t xml:space="preserve">Thompson, J. L., </w:t>
      </w:r>
      <w:r w:rsidR="007C3B91">
        <w:rPr>
          <w:color w:val="000000"/>
        </w:rPr>
        <w:t>&amp;</w:t>
      </w:r>
      <w:r>
        <w:rPr>
          <w:color w:val="000000"/>
        </w:rPr>
        <w:t xml:space="preserve"> Martin, F. </w:t>
      </w:r>
      <w:r w:rsidR="007C3B91">
        <w:rPr>
          <w:color w:val="000000"/>
        </w:rPr>
        <w:t>(</w:t>
      </w:r>
      <w:r>
        <w:rPr>
          <w:color w:val="000000"/>
        </w:rPr>
        <w:t>2005</w:t>
      </w:r>
      <w:r w:rsidR="007C3B91">
        <w:rPr>
          <w:color w:val="000000"/>
        </w:rPr>
        <w:t>)</w:t>
      </w:r>
      <w:r>
        <w:rPr>
          <w:color w:val="000000"/>
        </w:rPr>
        <w:t xml:space="preserve">. </w:t>
      </w:r>
      <w:r>
        <w:rPr>
          <w:i/>
          <w:color w:val="000000"/>
        </w:rPr>
        <w:t>Strategic management: awareness and change</w:t>
      </w:r>
      <w:r>
        <w:rPr>
          <w:color w:val="000000"/>
        </w:rPr>
        <w:t>. London: Cengage Learning EMEA.</w:t>
      </w:r>
    </w:p>
    <w:p w14:paraId="788BCBE0" w14:textId="5402E3E0" w:rsidR="005D5B0A" w:rsidRDefault="00A73EE7" w:rsidP="00C2012B">
      <w:pPr>
        <w:ind w:left="284" w:hanging="284"/>
        <w:jc w:val="both"/>
      </w:pPr>
      <w:r>
        <w:t xml:space="preserve">To, C., </w:t>
      </w:r>
      <w:r w:rsidR="007C3B91">
        <w:t>(</w:t>
      </w:r>
      <w:r>
        <w:t>2016</w:t>
      </w:r>
      <w:r w:rsidR="007C3B91">
        <w:t>)</w:t>
      </w:r>
      <w:r>
        <w:t>. Collaboration modes, preconditions, and contingencies in organizational alliance: A comparative assessment. Journal of Business Research, 69(11), 4737-4743.</w:t>
      </w:r>
    </w:p>
    <w:p w14:paraId="2619591F" w14:textId="6EF6B1D6" w:rsidR="005D5B0A" w:rsidRDefault="00A73EE7">
      <w:pPr>
        <w:ind w:left="284" w:hanging="284"/>
        <w:jc w:val="both"/>
        <w:rPr>
          <w:color w:val="000000"/>
        </w:rPr>
      </w:pPr>
      <w:r>
        <w:rPr>
          <w:color w:val="000000"/>
        </w:rPr>
        <w:t xml:space="preserve">Toor, S., </w:t>
      </w:r>
      <w:r w:rsidR="007C3B91">
        <w:rPr>
          <w:color w:val="000000"/>
        </w:rPr>
        <w:t>&amp;</w:t>
      </w:r>
      <w:r>
        <w:rPr>
          <w:color w:val="000000"/>
        </w:rPr>
        <w:t xml:space="preserve"> </w:t>
      </w:r>
      <w:proofErr w:type="spellStart"/>
      <w:r>
        <w:rPr>
          <w:color w:val="000000"/>
        </w:rPr>
        <w:t>Ogunlana</w:t>
      </w:r>
      <w:proofErr w:type="spellEnd"/>
      <w:r>
        <w:rPr>
          <w:color w:val="000000"/>
        </w:rPr>
        <w:t xml:space="preserve">, S. O. </w:t>
      </w:r>
      <w:r w:rsidR="007C3B91">
        <w:rPr>
          <w:color w:val="000000"/>
        </w:rPr>
        <w:t>(</w:t>
      </w:r>
      <w:r>
        <w:rPr>
          <w:color w:val="000000"/>
        </w:rPr>
        <w:t>2010</w:t>
      </w:r>
      <w:r w:rsidR="007C3B91">
        <w:rPr>
          <w:color w:val="000000"/>
        </w:rPr>
        <w:t>)</w:t>
      </w:r>
      <w:r>
        <w:rPr>
          <w:color w:val="000000"/>
        </w:rPr>
        <w:t xml:space="preserve">, Beyond the ‘iron triangle’: Stakeholder perception of key performance indicators (KPIs) for large-scale public-sector development projects, </w:t>
      </w:r>
      <w:r>
        <w:rPr>
          <w:i/>
          <w:color w:val="000000"/>
        </w:rPr>
        <w:t>International Journal of Project Management,</w:t>
      </w:r>
      <w:r>
        <w:rPr>
          <w:color w:val="000000"/>
        </w:rPr>
        <w:t> 28 (3)</w:t>
      </w:r>
      <w:r w:rsidR="007C3B91">
        <w:rPr>
          <w:color w:val="000000"/>
        </w:rPr>
        <w:t>,</w:t>
      </w:r>
      <w:r>
        <w:rPr>
          <w:color w:val="000000"/>
        </w:rPr>
        <w:t xml:space="preserve"> 228-236.</w:t>
      </w:r>
    </w:p>
    <w:p w14:paraId="357CC0C5" w14:textId="2E8733C6" w:rsidR="005D5B0A" w:rsidRDefault="00A73EE7">
      <w:pPr>
        <w:ind w:left="284" w:hanging="284"/>
        <w:jc w:val="both"/>
        <w:rPr>
          <w:color w:val="000000"/>
        </w:rPr>
      </w:pPr>
      <w:r>
        <w:rPr>
          <w:color w:val="000000"/>
        </w:rPr>
        <w:t xml:space="preserve">Unger, B. N., </w:t>
      </w:r>
      <w:proofErr w:type="spellStart"/>
      <w:r>
        <w:rPr>
          <w:color w:val="000000"/>
        </w:rPr>
        <w:t>Gemünden</w:t>
      </w:r>
      <w:proofErr w:type="spellEnd"/>
      <w:r>
        <w:rPr>
          <w:color w:val="000000"/>
        </w:rPr>
        <w:t xml:space="preserve">, H. G., </w:t>
      </w:r>
      <w:r w:rsidR="007C3B91">
        <w:rPr>
          <w:color w:val="000000"/>
        </w:rPr>
        <w:t>&amp;</w:t>
      </w:r>
      <w:r>
        <w:rPr>
          <w:color w:val="000000"/>
        </w:rPr>
        <w:t xml:space="preserve"> </w:t>
      </w:r>
      <w:proofErr w:type="spellStart"/>
      <w:r>
        <w:rPr>
          <w:color w:val="000000"/>
        </w:rPr>
        <w:t>Aubry</w:t>
      </w:r>
      <w:proofErr w:type="spellEnd"/>
      <w:r>
        <w:rPr>
          <w:color w:val="000000"/>
        </w:rPr>
        <w:t xml:space="preserve">, M. </w:t>
      </w:r>
      <w:r w:rsidR="007C3B91">
        <w:rPr>
          <w:color w:val="000000"/>
        </w:rPr>
        <w:t>(</w:t>
      </w:r>
      <w:r>
        <w:rPr>
          <w:color w:val="000000"/>
        </w:rPr>
        <w:t>2012</w:t>
      </w:r>
      <w:r w:rsidR="007C3B91">
        <w:rPr>
          <w:color w:val="000000"/>
        </w:rPr>
        <w:t>)</w:t>
      </w:r>
      <w:r>
        <w:rPr>
          <w:color w:val="000000"/>
        </w:rPr>
        <w:t xml:space="preserve">, The three roles of a project portfolio management office: Their impact on portfolio management execution and success, </w:t>
      </w:r>
      <w:r>
        <w:rPr>
          <w:i/>
          <w:color w:val="000000"/>
        </w:rPr>
        <w:t>International Journal of Project Management,</w:t>
      </w:r>
      <w:r>
        <w:rPr>
          <w:color w:val="000000"/>
        </w:rPr>
        <w:t> 30 (5)</w:t>
      </w:r>
      <w:r w:rsidR="007C3B91">
        <w:rPr>
          <w:color w:val="000000"/>
        </w:rPr>
        <w:t>,</w:t>
      </w:r>
      <w:r>
        <w:rPr>
          <w:color w:val="000000"/>
        </w:rPr>
        <w:t xml:space="preserve"> 608-620. </w:t>
      </w:r>
    </w:p>
    <w:p w14:paraId="0DFC1C7D" w14:textId="614AE4CB" w:rsidR="005D5B0A" w:rsidRDefault="00A73EE7">
      <w:pPr>
        <w:ind w:left="284" w:hanging="284"/>
        <w:jc w:val="both"/>
        <w:rPr>
          <w:color w:val="000000"/>
        </w:rPr>
      </w:pPr>
      <w:r>
        <w:rPr>
          <w:color w:val="000000"/>
        </w:rPr>
        <w:t>Wagner, S. M. Thakur-</w:t>
      </w:r>
      <w:proofErr w:type="spellStart"/>
      <w:r>
        <w:rPr>
          <w:color w:val="000000"/>
        </w:rPr>
        <w:t>Weigold</w:t>
      </w:r>
      <w:proofErr w:type="spellEnd"/>
      <w:r>
        <w:rPr>
          <w:color w:val="000000"/>
        </w:rPr>
        <w:t xml:space="preserve">, B. </w:t>
      </w:r>
      <w:proofErr w:type="spellStart"/>
      <w:r>
        <w:rPr>
          <w:color w:val="000000"/>
        </w:rPr>
        <w:t>Gatti</w:t>
      </w:r>
      <w:proofErr w:type="spellEnd"/>
      <w:r>
        <w:rPr>
          <w:color w:val="000000"/>
        </w:rPr>
        <w:t xml:space="preserve"> F. </w:t>
      </w:r>
      <w:r w:rsidR="007C3B91">
        <w:rPr>
          <w:color w:val="000000"/>
        </w:rPr>
        <w:t>&amp;</w:t>
      </w:r>
      <w:r>
        <w:rPr>
          <w:color w:val="000000"/>
        </w:rPr>
        <w:t xml:space="preserve"> Stumpf J. </w:t>
      </w:r>
      <w:r w:rsidR="007C3B91">
        <w:rPr>
          <w:color w:val="000000"/>
        </w:rPr>
        <w:t>(</w:t>
      </w:r>
      <w:r>
        <w:rPr>
          <w:color w:val="000000"/>
        </w:rPr>
        <w:t>2021</w:t>
      </w:r>
      <w:r w:rsidR="007C3B91">
        <w:rPr>
          <w:color w:val="000000"/>
        </w:rPr>
        <w:t>)</w:t>
      </w:r>
      <w:r>
        <w:rPr>
          <w:color w:val="000000"/>
        </w:rPr>
        <w:t xml:space="preserve">. Measuring and improving the impact of humanitarian logistics consulting, </w:t>
      </w:r>
      <w:r>
        <w:rPr>
          <w:i/>
          <w:color w:val="000000"/>
        </w:rPr>
        <w:t>Production Planning &amp; Control</w:t>
      </w:r>
      <w:r>
        <w:rPr>
          <w:color w:val="000000"/>
        </w:rPr>
        <w:t>, 32</w:t>
      </w:r>
      <w:r w:rsidR="007C3B91">
        <w:rPr>
          <w:color w:val="000000"/>
        </w:rPr>
        <w:t>,</w:t>
      </w:r>
      <w:r>
        <w:rPr>
          <w:color w:val="000000"/>
        </w:rPr>
        <w:t>2, 83-103.</w:t>
      </w:r>
    </w:p>
    <w:p w14:paraId="1BDD8F80" w14:textId="3E3BE420" w:rsidR="005D5B0A" w:rsidRDefault="00A73EE7">
      <w:pPr>
        <w:ind w:left="284" w:hanging="284"/>
        <w:jc w:val="both"/>
        <w:rPr>
          <w:color w:val="000000"/>
        </w:rPr>
      </w:pPr>
      <w:r>
        <w:rPr>
          <w:color w:val="000000"/>
        </w:rPr>
        <w:t xml:space="preserve">Walker, R. M. </w:t>
      </w:r>
      <w:r w:rsidR="007C3B91">
        <w:rPr>
          <w:color w:val="000000"/>
        </w:rPr>
        <w:t>&amp;</w:t>
      </w:r>
      <w:r>
        <w:rPr>
          <w:color w:val="000000"/>
        </w:rPr>
        <w:t xml:space="preserve"> Andrews, R. </w:t>
      </w:r>
      <w:r w:rsidR="007C3B91">
        <w:rPr>
          <w:color w:val="000000"/>
        </w:rPr>
        <w:t>(</w:t>
      </w:r>
      <w:r>
        <w:rPr>
          <w:color w:val="000000"/>
        </w:rPr>
        <w:t>2015</w:t>
      </w:r>
      <w:r w:rsidR="007C3B91">
        <w:rPr>
          <w:color w:val="000000"/>
        </w:rPr>
        <w:t>)</w:t>
      </w:r>
      <w:r>
        <w:rPr>
          <w:color w:val="000000"/>
        </w:rPr>
        <w:t>. Local Government Management and Performance: A Review of Evidence, Journal of Public Administration Research and Theory, 25(1) pp. 101–133, https://doi.org/10.1093/jopart/mut038</w:t>
      </w:r>
    </w:p>
    <w:p w14:paraId="1DD6DBCC" w14:textId="4B282C24" w:rsidR="005D5B0A" w:rsidRDefault="00A73EE7">
      <w:pPr>
        <w:ind w:left="284" w:hanging="284"/>
        <w:jc w:val="both"/>
        <w:rPr>
          <w:color w:val="000000"/>
        </w:rPr>
      </w:pPr>
      <w:r>
        <w:rPr>
          <w:color w:val="000000"/>
        </w:rPr>
        <w:t xml:space="preserve">Wang, C., Wood, L. C., Abdul-Rahman, H., </w:t>
      </w:r>
      <w:r w:rsidR="007C3B91">
        <w:rPr>
          <w:color w:val="000000"/>
        </w:rPr>
        <w:t>&amp;</w:t>
      </w:r>
      <w:r>
        <w:rPr>
          <w:color w:val="000000"/>
        </w:rPr>
        <w:t xml:space="preserve"> Lee, Y. T. </w:t>
      </w:r>
      <w:r w:rsidR="007C3B91">
        <w:rPr>
          <w:color w:val="000000"/>
        </w:rPr>
        <w:t>(</w:t>
      </w:r>
      <w:r>
        <w:rPr>
          <w:color w:val="000000"/>
        </w:rPr>
        <w:t>2016</w:t>
      </w:r>
      <w:r w:rsidR="007C3B91">
        <w:rPr>
          <w:color w:val="000000"/>
        </w:rPr>
        <w:t>)</w:t>
      </w:r>
      <w:r>
        <w:rPr>
          <w:color w:val="000000"/>
        </w:rPr>
        <w:t>, When traditional information technology project managers encounter the cloud: Opportunities and dilemmas in the transition to cloud services, </w:t>
      </w:r>
      <w:r>
        <w:rPr>
          <w:i/>
          <w:color w:val="000000"/>
        </w:rPr>
        <w:t>International Journal of Project Management</w:t>
      </w:r>
      <w:r>
        <w:rPr>
          <w:color w:val="000000"/>
        </w:rPr>
        <w:t>, 34 (3)</w:t>
      </w:r>
      <w:r w:rsidR="007C3B91">
        <w:rPr>
          <w:color w:val="000000"/>
        </w:rPr>
        <w:t xml:space="preserve">, </w:t>
      </w:r>
      <w:r>
        <w:rPr>
          <w:color w:val="000000"/>
        </w:rPr>
        <w:t>371-388.</w:t>
      </w:r>
    </w:p>
    <w:p w14:paraId="56BAE0B9" w14:textId="26C00763" w:rsidR="005D5B0A" w:rsidRDefault="00A73EE7">
      <w:pPr>
        <w:ind w:left="284" w:hanging="284"/>
        <w:jc w:val="both"/>
        <w:rPr>
          <w:color w:val="000000"/>
        </w:rPr>
      </w:pPr>
      <w:proofErr w:type="spellStart"/>
      <w:r>
        <w:rPr>
          <w:color w:val="000000"/>
        </w:rPr>
        <w:t>Wernerfelt</w:t>
      </w:r>
      <w:proofErr w:type="spellEnd"/>
      <w:r>
        <w:rPr>
          <w:color w:val="000000"/>
        </w:rPr>
        <w:t xml:space="preserve">, B. </w:t>
      </w:r>
      <w:r w:rsidR="007C3B91">
        <w:rPr>
          <w:color w:val="000000"/>
        </w:rPr>
        <w:t>(</w:t>
      </w:r>
      <w:r>
        <w:rPr>
          <w:color w:val="000000"/>
        </w:rPr>
        <w:t>1984</w:t>
      </w:r>
      <w:r w:rsidR="007C3B91">
        <w:rPr>
          <w:color w:val="000000"/>
        </w:rPr>
        <w:t>)</w:t>
      </w:r>
      <w:r>
        <w:rPr>
          <w:color w:val="000000"/>
        </w:rPr>
        <w:t xml:space="preserve">. </w:t>
      </w:r>
      <w:r>
        <w:rPr>
          <w:i/>
          <w:color w:val="000000"/>
        </w:rPr>
        <w:t>A Resource-Based View of the Firm</w:t>
      </w:r>
      <w:r>
        <w:rPr>
          <w:color w:val="000000"/>
        </w:rPr>
        <w:t>. Strategic Management Journal, 5(2):171-180.</w:t>
      </w:r>
    </w:p>
    <w:p w14:paraId="5A4BFB36" w14:textId="1592CE6C" w:rsidR="005D5B0A" w:rsidRDefault="00A73EE7">
      <w:pPr>
        <w:ind w:left="284" w:hanging="284"/>
        <w:jc w:val="both"/>
        <w:rPr>
          <w:color w:val="000000"/>
        </w:rPr>
      </w:pPr>
      <w:proofErr w:type="spellStart"/>
      <w:r>
        <w:rPr>
          <w:color w:val="000000"/>
        </w:rPr>
        <w:t>Wernerfelt</w:t>
      </w:r>
      <w:proofErr w:type="spellEnd"/>
      <w:r>
        <w:rPr>
          <w:color w:val="000000"/>
        </w:rPr>
        <w:t xml:space="preserve">, B. </w:t>
      </w:r>
      <w:r w:rsidR="007C3B91">
        <w:rPr>
          <w:color w:val="000000"/>
        </w:rPr>
        <w:t>(</w:t>
      </w:r>
      <w:r>
        <w:rPr>
          <w:color w:val="000000"/>
        </w:rPr>
        <w:t>1989</w:t>
      </w:r>
      <w:r w:rsidR="007C3B91">
        <w:rPr>
          <w:color w:val="000000"/>
        </w:rPr>
        <w:t>)</w:t>
      </w:r>
      <w:r>
        <w:rPr>
          <w:color w:val="000000"/>
        </w:rPr>
        <w:t xml:space="preserve">, From critical resources to corporate strategy, </w:t>
      </w:r>
      <w:r>
        <w:rPr>
          <w:i/>
          <w:color w:val="000000"/>
        </w:rPr>
        <w:t>Journal of general management</w:t>
      </w:r>
      <w:r>
        <w:rPr>
          <w:color w:val="000000"/>
        </w:rPr>
        <w:t>, 14 (3): 4-12.</w:t>
      </w:r>
    </w:p>
    <w:p w14:paraId="2FF136F0" w14:textId="197FDBB1" w:rsidR="005D5B0A" w:rsidRDefault="00A73EE7">
      <w:pPr>
        <w:ind w:left="284" w:hanging="284"/>
        <w:jc w:val="both"/>
        <w:rPr>
          <w:color w:val="000000"/>
        </w:rPr>
      </w:pPr>
      <w:r>
        <w:rPr>
          <w:color w:val="000000"/>
        </w:rPr>
        <w:t xml:space="preserve">Williams, T. Vo, H. </w:t>
      </w:r>
      <w:proofErr w:type="spellStart"/>
      <w:r>
        <w:rPr>
          <w:color w:val="000000"/>
        </w:rPr>
        <w:t>Bourne</w:t>
      </w:r>
      <w:proofErr w:type="spellEnd"/>
      <w:r>
        <w:rPr>
          <w:color w:val="000000"/>
        </w:rPr>
        <w:t xml:space="preserve">, M. </w:t>
      </w:r>
      <w:proofErr w:type="spellStart"/>
      <w:r>
        <w:rPr>
          <w:color w:val="000000"/>
        </w:rPr>
        <w:t>Bourne</w:t>
      </w:r>
      <w:proofErr w:type="spellEnd"/>
      <w:r>
        <w:rPr>
          <w:color w:val="000000"/>
        </w:rPr>
        <w:t xml:space="preserve">, P. Cooke-Davies, T. Kirkham, R. Masterton, G. </w:t>
      </w:r>
      <w:proofErr w:type="spellStart"/>
      <w:r>
        <w:rPr>
          <w:color w:val="000000"/>
        </w:rPr>
        <w:t>Quattrone</w:t>
      </w:r>
      <w:proofErr w:type="spellEnd"/>
      <w:r>
        <w:rPr>
          <w:color w:val="000000"/>
        </w:rPr>
        <w:t xml:space="preserve"> P. &amp; Valette J. (2020) A cross-national comparison of public project benefits management practices – the effectiveness of benefits management frameworks in application, </w:t>
      </w:r>
      <w:r>
        <w:rPr>
          <w:i/>
          <w:color w:val="000000"/>
        </w:rPr>
        <w:t>Production Planning &amp; Control</w:t>
      </w:r>
      <w:r>
        <w:rPr>
          <w:color w:val="000000"/>
        </w:rPr>
        <w:t>, 31</w:t>
      </w:r>
      <w:r w:rsidR="007C3B91">
        <w:rPr>
          <w:color w:val="000000"/>
        </w:rPr>
        <w:t xml:space="preserve">, </w:t>
      </w:r>
      <w:r>
        <w:rPr>
          <w:color w:val="000000"/>
        </w:rPr>
        <w:t>8, 644-659.</w:t>
      </w:r>
    </w:p>
    <w:p w14:paraId="53D55361" w14:textId="7E83E9D0" w:rsidR="005D5B0A" w:rsidRDefault="00A73EE7">
      <w:pPr>
        <w:ind w:left="284" w:hanging="284"/>
        <w:jc w:val="both"/>
        <w:rPr>
          <w:color w:val="000000"/>
        </w:rPr>
      </w:pPr>
      <w:r>
        <w:rPr>
          <w:color w:val="000000"/>
        </w:rPr>
        <w:lastRenderedPageBreak/>
        <w:t xml:space="preserve">Winter, M., Smith, C., Morris, P., </w:t>
      </w:r>
      <w:r w:rsidR="007C3B91">
        <w:rPr>
          <w:color w:val="000000"/>
        </w:rPr>
        <w:t>&amp;</w:t>
      </w:r>
      <w:r>
        <w:rPr>
          <w:color w:val="000000"/>
        </w:rPr>
        <w:t xml:space="preserve"> </w:t>
      </w:r>
      <w:proofErr w:type="spellStart"/>
      <w:r>
        <w:rPr>
          <w:color w:val="000000"/>
        </w:rPr>
        <w:t>Cicmil</w:t>
      </w:r>
      <w:proofErr w:type="spellEnd"/>
      <w:r>
        <w:rPr>
          <w:color w:val="000000"/>
        </w:rPr>
        <w:t xml:space="preserve">, S. </w:t>
      </w:r>
      <w:r w:rsidR="007C3B91">
        <w:rPr>
          <w:color w:val="000000"/>
        </w:rPr>
        <w:t>(</w:t>
      </w:r>
      <w:r>
        <w:rPr>
          <w:color w:val="000000"/>
        </w:rPr>
        <w:t>2006</w:t>
      </w:r>
      <w:r w:rsidR="007C3B91">
        <w:rPr>
          <w:color w:val="000000"/>
        </w:rPr>
        <w:t>)</w:t>
      </w:r>
      <w:r>
        <w:rPr>
          <w:color w:val="000000"/>
        </w:rPr>
        <w:t>, Directions for future research in project management: The main findings of a UK government-funded research network, </w:t>
      </w:r>
      <w:r>
        <w:rPr>
          <w:i/>
          <w:color w:val="000000"/>
        </w:rPr>
        <w:t>International</w:t>
      </w:r>
      <w:r>
        <w:rPr>
          <w:color w:val="000000"/>
        </w:rPr>
        <w:t xml:space="preserve"> </w:t>
      </w:r>
      <w:r>
        <w:rPr>
          <w:i/>
          <w:color w:val="000000"/>
        </w:rPr>
        <w:t xml:space="preserve">Journal of Project </w:t>
      </w:r>
      <w:proofErr w:type="gramStart"/>
      <w:r>
        <w:rPr>
          <w:i/>
          <w:color w:val="000000"/>
        </w:rPr>
        <w:t>Management,</w:t>
      </w:r>
      <w:r>
        <w:rPr>
          <w:color w:val="000000"/>
        </w:rPr>
        <w:t>  24</w:t>
      </w:r>
      <w:proofErr w:type="gramEnd"/>
      <w:r>
        <w:rPr>
          <w:color w:val="000000"/>
        </w:rPr>
        <w:t xml:space="preserve"> (8)</w:t>
      </w:r>
      <w:r w:rsidR="007C3B91">
        <w:rPr>
          <w:color w:val="000000"/>
        </w:rPr>
        <w:t>,</w:t>
      </w:r>
      <w:r>
        <w:rPr>
          <w:color w:val="000000"/>
        </w:rPr>
        <w:t xml:space="preserve"> 638-649.</w:t>
      </w:r>
    </w:p>
    <w:p w14:paraId="39EC80F0" w14:textId="16E14FF4" w:rsidR="005D5B0A" w:rsidRDefault="00A73EE7">
      <w:pPr>
        <w:ind w:left="284" w:hanging="284"/>
        <w:jc w:val="both"/>
        <w:rPr>
          <w:color w:val="000000"/>
        </w:rPr>
      </w:pPr>
      <w:proofErr w:type="spellStart"/>
      <w:r>
        <w:rPr>
          <w:color w:val="000000"/>
        </w:rPr>
        <w:t>Wirick</w:t>
      </w:r>
      <w:proofErr w:type="spellEnd"/>
      <w:r>
        <w:rPr>
          <w:color w:val="000000"/>
        </w:rPr>
        <w:t xml:space="preserve">, D. </w:t>
      </w:r>
      <w:r w:rsidR="007C3B91">
        <w:rPr>
          <w:color w:val="000000"/>
        </w:rPr>
        <w:t>(</w:t>
      </w:r>
      <w:r>
        <w:rPr>
          <w:color w:val="000000"/>
        </w:rPr>
        <w:t>2009</w:t>
      </w:r>
      <w:r w:rsidR="007C3B91">
        <w:rPr>
          <w:color w:val="000000"/>
        </w:rPr>
        <w:t>)</w:t>
      </w:r>
      <w:r>
        <w:rPr>
          <w:color w:val="000000"/>
        </w:rPr>
        <w:t>, </w:t>
      </w:r>
      <w:r>
        <w:rPr>
          <w:i/>
          <w:color w:val="000000"/>
        </w:rPr>
        <w:t xml:space="preserve">Public-sector project management: meeting the challenges and achieving results, </w:t>
      </w:r>
      <w:r>
        <w:rPr>
          <w:color w:val="000000"/>
        </w:rPr>
        <w:t>John Wiley and Sons.</w:t>
      </w:r>
    </w:p>
    <w:p w14:paraId="411B42B7" w14:textId="52992E8F" w:rsidR="005D5B0A" w:rsidRDefault="00A73EE7">
      <w:pPr>
        <w:ind w:left="284" w:hanging="284"/>
        <w:jc w:val="both"/>
      </w:pPr>
      <w:r>
        <w:rPr>
          <w:color w:val="000000"/>
        </w:rPr>
        <w:t xml:space="preserve">Wirtz, B. W., </w:t>
      </w:r>
      <w:proofErr w:type="spellStart"/>
      <w:r>
        <w:rPr>
          <w:color w:val="000000"/>
        </w:rPr>
        <w:t>Kubin</w:t>
      </w:r>
      <w:proofErr w:type="spellEnd"/>
      <w:r>
        <w:rPr>
          <w:color w:val="000000"/>
        </w:rPr>
        <w:t xml:space="preserve">, P. R., </w:t>
      </w:r>
      <w:r w:rsidR="007C3B91">
        <w:rPr>
          <w:color w:val="000000"/>
        </w:rPr>
        <w:t>&amp;</w:t>
      </w:r>
      <w:r>
        <w:rPr>
          <w:color w:val="000000"/>
        </w:rPr>
        <w:t xml:space="preserve"> </w:t>
      </w:r>
      <w:proofErr w:type="spellStart"/>
      <w:r>
        <w:rPr>
          <w:color w:val="000000"/>
        </w:rPr>
        <w:t>Weyerer</w:t>
      </w:r>
      <w:proofErr w:type="spellEnd"/>
      <w:r>
        <w:rPr>
          <w:color w:val="000000"/>
        </w:rPr>
        <w:t xml:space="preserve">, J. C. </w:t>
      </w:r>
      <w:r w:rsidR="007C3B91">
        <w:rPr>
          <w:color w:val="000000"/>
        </w:rPr>
        <w:t>(</w:t>
      </w:r>
      <w:r>
        <w:rPr>
          <w:color w:val="000000"/>
        </w:rPr>
        <w:t>2021</w:t>
      </w:r>
      <w:r w:rsidR="007C3B91">
        <w:rPr>
          <w:color w:val="000000"/>
        </w:rPr>
        <w:t>)</w:t>
      </w:r>
      <w:r>
        <w:rPr>
          <w:color w:val="000000"/>
        </w:rPr>
        <w:t xml:space="preserve">, Business model innovation in the public sector: an integrative framework, </w:t>
      </w:r>
      <w:r>
        <w:rPr>
          <w:i/>
          <w:color w:val="000000"/>
        </w:rPr>
        <w:t>Public Management Review</w:t>
      </w:r>
      <w:r>
        <w:rPr>
          <w:color w:val="000000"/>
        </w:rPr>
        <w:t>, 1-36</w:t>
      </w:r>
    </w:p>
    <w:p w14:paraId="4DDB43EA" w14:textId="57A4D73F" w:rsidR="005D5B0A" w:rsidRDefault="00A73EE7">
      <w:pPr>
        <w:ind w:left="284" w:hanging="284"/>
        <w:jc w:val="both"/>
      </w:pPr>
      <w:r>
        <w:t xml:space="preserve">Wontner, K.L., Walker, H., Harris, I. </w:t>
      </w:r>
      <w:r w:rsidR="007C3B91">
        <w:t>&amp;</w:t>
      </w:r>
      <w:r>
        <w:t xml:space="preserve"> Lynch, J. </w:t>
      </w:r>
      <w:r w:rsidR="007C3B91">
        <w:t>(</w:t>
      </w:r>
      <w:r>
        <w:t>2020</w:t>
      </w:r>
      <w:r w:rsidR="007C3B91">
        <w:t>)</w:t>
      </w:r>
      <w:r>
        <w:t xml:space="preserve">, Maximising “Community Benefits” in public procurement: tensions and trade-offs, </w:t>
      </w:r>
      <w:r>
        <w:rPr>
          <w:i/>
        </w:rPr>
        <w:t>International Journal of Operations and Production Management</w:t>
      </w:r>
      <w:r>
        <w:t>, 40 (12)</w:t>
      </w:r>
      <w:r w:rsidR="007C3B91">
        <w:t>,</w:t>
      </w:r>
      <w:r>
        <w:t xml:space="preserve"> 1909-1939. </w:t>
      </w:r>
      <w:hyperlink r:id="rId18">
        <w:r>
          <w:rPr>
            <w:color w:val="0000FF"/>
            <w:u w:val="single"/>
          </w:rPr>
          <w:t>https://doi.org/10.1108/IJOPM-05-2019-0395</w:t>
        </w:r>
      </w:hyperlink>
    </w:p>
    <w:p w14:paraId="6FC95540" w14:textId="2DA49F66" w:rsidR="005D5B0A" w:rsidRDefault="00A73EE7">
      <w:pPr>
        <w:ind w:left="284" w:hanging="284"/>
        <w:jc w:val="both"/>
        <w:rPr>
          <w:color w:val="000000"/>
        </w:rPr>
      </w:pPr>
      <w:r>
        <w:rPr>
          <w:color w:val="000000"/>
          <w:highlight w:val="white"/>
        </w:rPr>
        <w:t xml:space="preserve">Yin, R. K. </w:t>
      </w:r>
      <w:r w:rsidR="007C3B91">
        <w:rPr>
          <w:color w:val="000000"/>
          <w:highlight w:val="white"/>
        </w:rPr>
        <w:t>(</w:t>
      </w:r>
      <w:r>
        <w:rPr>
          <w:color w:val="000000"/>
          <w:highlight w:val="white"/>
        </w:rPr>
        <w:t>2011</w:t>
      </w:r>
      <w:r w:rsidR="007C3B91">
        <w:rPr>
          <w:color w:val="000000"/>
          <w:highlight w:val="white"/>
        </w:rPr>
        <w:t>)</w:t>
      </w:r>
      <w:r>
        <w:rPr>
          <w:color w:val="000000"/>
          <w:highlight w:val="white"/>
        </w:rPr>
        <w:t xml:space="preserve">. </w:t>
      </w:r>
      <w:r>
        <w:rPr>
          <w:i/>
          <w:color w:val="000000"/>
          <w:highlight w:val="white"/>
        </w:rPr>
        <w:t xml:space="preserve">Applications of case study research, </w:t>
      </w:r>
      <w:r>
        <w:rPr>
          <w:color w:val="000000"/>
          <w:highlight w:val="white"/>
        </w:rPr>
        <w:t>Thousand Oaks, London: Sage Publications.</w:t>
      </w:r>
    </w:p>
    <w:p w14:paraId="19D87203" w14:textId="77777777" w:rsidR="005D5B0A" w:rsidRDefault="00A73EE7">
      <w:pPr>
        <w:rPr>
          <w:color w:val="000000"/>
          <w:highlight w:val="white"/>
        </w:rPr>
      </w:pPr>
      <w:r>
        <w:br w:type="page"/>
      </w:r>
    </w:p>
    <w:p w14:paraId="1F9A9703" w14:textId="77777777" w:rsidR="005D5B0A" w:rsidRDefault="00A73EE7">
      <w:pPr>
        <w:spacing w:line="360" w:lineRule="auto"/>
        <w:ind w:left="284" w:hanging="284"/>
        <w:rPr>
          <w:color w:val="000000"/>
        </w:rPr>
      </w:pPr>
      <w:r>
        <w:rPr>
          <w:b/>
          <w:color w:val="000000"/>
        </w:rPr>
        <w:lastRenderedPageBreak/>
        <w:t>Appendix 1</w:t>
      </w:r>
      <w:r>
        <w:rPr>
          <w:color w:val="000000"/>
        </w:rPr>
        <w:t>-</w:t>
      </w:r>
      <w:r>
        <w:t xml:space="preserve"> </w:t>
      </w:r>
      <w:r>
        <w:rPr>
          <w:color w:val="000000"/>
        </w:rPr>
        <w:t>Summarised Collaborating Organisation Details</w:t>
      </w:r>
    </w:p>
    <w:tbl>
      <w:tblPr>
        <w:tblStyle w:val="aa"/>
        <w:tblW w:w="9242" w:type="dxa"/>
        <w:tblInd w:w="-108" w:type="dxa"/>
        <w:tblBorders>
          <w:top w:val="single" w:sz="8" w:space="0" w:color="000000"/>
          <w:left w:val="single" w:sz="4" w:space="0" w:color="666666"/>
          <w:bottom w:val="single" w:sz="8" w:space="0" w:color="000000"/>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1283"/>
        <w:gridCol w:w="7266"/>
        <w:gridCol w:w="693"/>
      </w:tblGrid>
      <w:tr w:rsidR="005D5B0A" w14:paraId="4A5705F6" w14:textId="77777777">
        <w:tc>
          <w:tcPr>
            <w:tcW w:w="1283" w:type="dxa"/>
            <w:vMerge w:val="restart"/>
          </w:tcPr>
          <w:p w14:paraId="08A0113B" w14:textId="77777777" w:rsidR="005D5B0A" w:rsidRDefault="00A73EE7">
            <w:pPr>
              <w:spacing w:line="360" w:lineRule="auto"/>
              <w:rPr>
                <w:sz w:val="20"/>
                <w:szCs w:val="20"/>
              </w:rPr>
            </w:pPr>
            <w:r>
              <w:rPr>
                <w:sz w:val="20"/>
                <w:szCs w:val="20"/>
              </w:rPr>
              <w:t>Type of Organisation</w:t>
            </w:r>
          </w:p>
        </w:tc>
        <w:tc>
          <w:tcPr>
            <w:tcW w:w="7266" w:type="dxa"/>
          </w:tcPr>
          <w:p w14:paraId="7FC1AE51" w14:textId="77777777" w:rsidR="005D5B0A" w:rsidRDefault="00A73EE7">
            <w:pPr>
              <w:spacing w:line="360" w:lineRule="auto"/>
              <w:rPr>
                <w:sz w:val="20"/>
                <w:szCs w:val="20"/>
              </w:rPr>
            </w:pPr>
            <w:r>
              <w:rPr>
                <w:sz w:val="20"/>
                <w:szCs w:val="20"/>
              </w:rPr>
              <w:t>Community Group</w:t>
            </w:r>
          </w:p>
        </w:tc>
        <w:tc>
          <w:tcPr>
            <w:tcW w:w="693" w:type="dxa"/>
          </w:tcPr>
          <w:p w14:paraId="444947DF" w14:textId="77777777" w:rsidR="005D5B0A" w:rsidRDefault="00A73EE7">
            <w:pPr>
              <w:spacing w:line="360" w:lineRule="auto"/>
              <w:rPr>
                <w:sz w:val="20"/>
                <w:szCs w:val="20"/>
              </w:rPr>
            </w:pPr>
            <w:r>
              <w:rPr>
                <w:sz w:val="20"/>
                <w:szCs w:val="20"/>
              </w:rPr>
              <w:t>13</w:t>
            </w:r>
          </w:p>
        </w:tc>
      </w:tr>
      <w:tr w:rsidR="005D5B0A" w14:paraId="4619E8F8" w14:textId="77777777">
        <w:tc>
          <w:tcPr>
            <w:tcW w:w="1283" w:type="dxa"/>
            <w:vMerge/>
          </w:tcPr>
          <w:p w14:paraId="078C80F1"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343B5779" w14:textId="77777777" w:rsidR="005D5B0A" w:rsidRDefault="00A73EE7">
            <w:pPr>
              <w:spacing w:line="360" w:lineRule="auto"/>
              <w:rPr>
                <w:sz w:val="20"/>
                <w:szCs w:val="20"/>
              </w:rPr>
            </w:pPr>
            <w:r>
              <w:rPr>
                <w:sz w:val="20"/>
                <w:szCs w:val="20"/>
              </w:rPr>
              <w:t>Social Enterprise with trading arm</w:t>
            </w:r>
          </w:p>
        </w:tc>
        <w:tc>
          <w:tcPr>
            <w:tcW w:w="693" w:type="dxa"/>
          </w:tcPr>
          <w:p w14:paraId="63978017" w14:textId="77777777" w:rsidR="005D5B0A" w:rsidRDefault="00A73EE7">
            <w:pPr>
              <w:spacing w:line="360" w:lineRule="auto"/>
              <w:rPr>
                <w:sz w:val="20"/>
                <w:szCs w:val="20"/>
              </w:rPr>
            </w:pPr>
            <w:r>
              <w:rPr>
                <w:sz w:val="20"/>
                <w:szCs w:val="20"/>
              </w:rPr>
              <w:t>4</w:t>
            </w:r>
          </w:p>
        </w:tc>
      </w:tr>
      <w:tr w:rsidR="005D5B0A" w14:paraId="7D120F14" w14:textId="77777777">
        <w:tc>
          <w:tcPr>
            <w:tcW w:w="1283" w:type="dxa"/>
            <w:vMerge/>
          </w:tcPr>
          <w:p w14:paraId="6B0B3A2C"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28C3A026" w14:textId="77777777" w:rsidR="005D5B0A" w:rsidRDefault="00A73EE7">
            <w:pPr>
              <w:spacing w:line="360" w:lineRule="auto"/>
              <w:rPr>
                <w:sz w:val="20"/>
                <w:szCs w:val="20"/>
              </w:rPr>
            </w:pPr>
            <w:r>
              <w:rPr>
                <w:sz w:val="20"/>
                <w:szCs w:val="20"/>
              </w:rPr>
              <w:t>Social Enterprise with charitable objective</w:t>
            </w:r>
          </w:p>
        </w:tc>
        <w:tc>
          <w:tcPr>
            <w:tcW w:w="693" w:type="dxa"/>
          </w:tcPr>
          <w:p w14:paraId="73E39683" w14:textId="77777777" w:rsidR="005D5B0A" w:rsidRDefault="00A73EE7">
            <w:pPr>
              <w:spacing w:line="360" w:lineRule="auto"/>
              <w:rPr>
                <w:sz w:val="20"/>
                <w:szCs w:val="20"/>
              </w:rPr>
            </w:pPr>
            <w:r>
              <w:rPr>
                <w:sz w:val="20"/>
                <w:szCs w:val="20"/>
              </w:rPr>
              <w:t>4</w:t>
            </w:r>
          </w:p>
        </w:tc>
      </w:tr>
      <w:tr w:rsidR="005D5B0A" w14:paraId="15F5BF09" w14:textId="77777777">
        <w:tc>
          <w:tcPr>
            <w:tcW w:w="1283" w:type="dxa"/>
            <w:vMerge/>
          </w:tcPr>
          <w:p w14:paraId="38D97D42"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0AA724B9" w14:textId="77777777" w:rsidR="005D5B0A" w:rsidRDefault="00A73EE7">
            <w:pPr>
              <w:spacing w:line="360" w:lineRule="auto"/>
              <w:rPr>
                <w:sz w:val="20"/>
                <w:szCs w:val="20"/>
              </w:rPr>
            </w:pPr>
            <w:r>
              <w:rPr>
                <w:sz w:val="20"/>
                <w:szCs w:val="20"/>
              </w:rPr>
              <w:t>Sports/leisure</w:t>
            </w:r>
          </w:p>
        </w:tc>
        <w:tc>
          <w:tcPr>
            <w:tcW w:w="693" w:type="dxa"/>
          </w:tcPr>
          <w:p w14:paraId="49387538" w14:textId="77777777" w:rsidR="005D5B0A" w:rsidRDefault="00A73EE7">
            <w:pPr>
              <w:spacing w:line="360" w:lineRule="auto"/>
              <w:rPr>
                <w:sz w:val="20"/>
                <w:szCs w:val="20"/>
              </w:rPr>
            </w:pPr>
            <w:r>
              <w:rPr>
                <w:sz w:val="20"/>
                <w:szCs w:val="20"/>
              </w:rPr>
              <w:t>3</w:t>
            </w:r>
          </w:p>
        </w:tc>
      </w:tr>
      <w:tr w:rsidR="005D5B0A" w14:paraId="45FF9E55" w14:textId="77777777">
        <w:tc>
          <w:tcPr>
            <w:tcW w:w="1283" w:type="dxa"/>
            <w:vMerge/>
          </w:tcPr>
          <w:p w14:paraId="0FAE8002"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Borders>
              <w:bottom w:val="single" w:sz="18" w:space="0" w:color="000000"/>
            </w:tcBorders>
          </w:tcPr>
          <w:p w14:paraId="347187FF" w14:textId="77777777" w:rsidR="005D5B0A" w:rsidRDefault="00A73EE7">
            <w:pPr>
              <w:spacing w:line="360" w:lineRule="auto"/>
              <w:rPr>
                <w:sz w:val="20"/>
                <w:szCs w:val="20"/>
              </w:rPr>
            </w:pPr>
            <w:r>
              <w:rPr>
                <w:sz w:val="20"/>
                <w:szCs w:val="20"/>
              </w:rPr>
              <w:t>VSO</w:t>
            </w:r>
          </w:p>
        </w:tc>
        <w:tc>
          <w:tcPr>
            <w:tcW w:w="693" w:type="dxa"/>
            <w:tcBorders>
              <w:bottom w:val="single" w:sz="18" w:space="0" w:color="000000"/>
            </w:tcBorders>
          </w:tcPr>
          <w:p w14:paraId="027B0F1E" w14:textId="77777777" w:rsidR="005D5B0A" w:rsidRDefault="00A73EE7">
            <w:pPr>
              <w:spacing w:line="360" w:lineRule="auto"/>
              <w:rPr>
                <w:sz w:val="20"/>
                <w:szCs w:val="20"/>
              </w:rPr>
            </w:pPr>
            <w:r>
              <w:rPr>
                <w:sz w:val="20"/>
                <w:szCs w:val="20"/>
              </w:rPr>
              <w:t>3</w:t>
            </w:r>
          </w:p>
        </w:tc>
      </w:tr>
      <w:tr w:rsidR="005D5B0A" w14:paraId="4CFB9990" w14:textId="77777777">
        <w:tc>
          <w:tcPr>
            <w:tcW w:w="1283" w:type="dxa"/>
            <w:vMerge w:val="restart"/>
            <w:tcBorders>
              <w:top w:val="single" w:sz="18" w:space="0" w:color="000000"/>
            </w:tcBorders>
          </w:tcPr>
          <w:p w14:paraId="7A69F1B4" w14:textId="77777777" w:rsidR="005D5B0A" w:rsidRDefault="00A73EE7">
            <w:pPr>
              <w:spacing w:line="360" w:lineRule="auto"/>
              <w:rPr>
                <w:sz w:val="20"/>
                <w:szCs w:val="20"/>
              </w:rPr>
            </w:pPr>
            <w:r>
              <w:rPr>
                <w:sz w:val="20"/>
                <w:szCs w:val="20"/>
              </w:rPr>
              <w:t xml:space="preserve">Main reason for organisations existence </w:t>
            </w:r>
          </w:p>
        </w:tc>
        <w:tc>
          <w:tcPr>
            <w:tcW w:w="7266" w:type="dxa"/>
            <w:tcBorders>
              <w:top w:val="single" w:sz="18" w:space="0" w:color="000000"/>
            </w:tcBorders>
          </w:tcPr>
          <w:p w14:paraId="4D6A7A87" w14:textId="77777777" w:rsidR="005D5B0A" w:rsidRDefault="00A73EE7">
            <w:pPr>
              <w:spacing w:line="360" w:lineRule="auto"/>
              <w:rPr>
                <w:sz w:val="20"/>
                <w:szCs w:val="20"/>
              </w:rPr>
            </w:pPr>
            <w:r>
              <w:rPr>
                <w:sz w:val="20"/>
                <w:szCs w:val="20"/>
              </w:rPr>
              <w:t>Adult care</w:t>
            </w:r>
          </w:p>
        </w:tc>
        <w:tc>
          <w:tcPr>
            <w:tcW w:w="693" w:type="dxa"/>
            <w:tcBorders>
              <w:top w:val="single" w:sz="18" w:space="0" w:color="000000"/>
            </w:tcBorders>
          </w:tcPr>
          <w:p w14:paraId="08EB7BDE" w14:textId="77777777" w:rsidR="005D5B0A" w:rsidRDefault="00A73EE7">
            <w:pPr>
              <w:spacing w:line="360" w:lineRule="auto"/>
              <w:rPr>
                <w:sz w:val="20"/>
                <w:szCs w:val="20"/>
              </w:rPr>
            </w:pPr>
            <w:r>
              <w:rPr>
                <w:sz w:val="20"/>
                <w:szCs w:val="20"/>
              </w:rPr>
              <w:t>3</w:t>
            </w:r>
          </w:p>
        </w:tc>
      </w:tr>
      <w:tr w:rsidR="005D5B0A" w14:paraId="7E4D5A1B" w14:textId="77777777">
        <w:tc>
          <w:tcPr>
            <w:tcW w:w="1283" w:type="dxa"/>
            <w:vMerge/>
            <w:tcBorders>
              <w:top w:val="single" w:sz="18" w:space="0" w:color="000000"/>
            </w:tcBorders>
          </w:tcPr>
          <w:p w14:paraId="6B3EFFB4"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6AE486C9" w14:textId="77777777" w:rsidR="005D5B0A" w:rsidRDefault="00A73EE7">
            <w:pPr>
              <w:spacing w:line="360" w:lineRule="auto"/>
              <w:rPr>
                <w:sz w:val="20"/>
                <w:szCs w:val="20"/>
              </w:rPr>
            </w:pPr>
            <w:r>
              <w:rPr>
                <w:sz w:val="20"/>
                <w:szCs w:val="20"/>
              </w:rPr>
              <w:t>Capacity builder</w:t>
            </w:r>
          </w:p>
        </w:tc>
        <w:tc>
          <w:tcPr>
            <w:tcW w:w="693" w:type="dxa"/>
          </w:tcPr>
          <w:p w14:paraId="5C13CA86" w14:textId="77777777" w:rsidR="005D5B0A" w:rsidRDefault="00A73EE7">
            <w:pPr>
              <w:spacing w:line="360" w:lineRule="auto"/>
              <w:rPr>
                <w:sz w:val="20"/>
                <w:szCs w:val="20"/>
              </w:rPr>
            </w:pPr>
            <w:r>
              <w:rPr>
                <w:sz w:val="20"/>
                <w:szCs w:val="20"/>
              </w:rPr>
              <w:t>6</w:t>
            </w:r>
          </w:p>
        </w:tc>
      </w:tr>
      <w:tr w:rsidR="005D5B0A" w14:paraId="50F3F12A" w14:textId="77777777">
        <w:tc>
          <w:tcPr>
            <w:tcW w:w="1283" w:type="dxa"/>
            <w:vMerge/>
            <w:tcBorders>
              <w:top w:val="single" w:sz="18" w:space="0" w:color="000000"/>
            </w:tcBorders>
          </w:tcPr>
          <w:p w14:paraId="7886BF6E"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646AE874" w14:textId="77777777" w:rsidR="005D5B0A" w:rsidRDefault="00A73EE7">
            <w:pPr>
              <w:spacing w:line="360" w:lineRule="auto"/>
              <w:rPr>
                <w:sz w:val="20"/>
                <w:szCs w:val="20"/>
              </w:rPr>
            </w:pPr>
            <w:r>
              <w:rPr>
                <w:sz w:val="20"/>
                <w:szCs w:val="20"/>
              </w:rPr>
              <w:t>Encourage local creative talent</w:t>
            </w:r>
          </w:p>
        </w:tc>
        <w:tc>
          <w:tcPr>
            <w:tcW w:w="693" w:type="dxa"/>
          </w:tcPr>
          <w:p w14:paraId="74648FF7" w14:textId="77777777" w:rsidR="005D5B0A" w:rsidRDefault="00A73EE7">
            <w:pPr>
              <w:spacing w:line="360" w:lineRule="auto"/>
              <w:rPr>
                <w:sz w:val="20"/>
                <w:szCs w:val="20"/>
              </w:rPr>
            </w:pPr>
            <w:r>
              <w:rPr>
                <w:sz w:val="20"/>
                <w:szCs w:val="20"/>
              </w:rPr>
              <w:t>2</w:t>
            </w:r>
          </w:p>
        </w:tc>
      </w:tr>
      <w:tr w:rsidR="005D5B0A" w14:paraId="2572E9D0" w14:textId="77777777">
        <w:tc>
          <w:tcPr>
            <w:tcW w:w="1283" w:type="dxa"/>
            <w:vMerge/>
            <w:tcBorders>
              <w:top w:val="single" w:sz="18" w:space="0" w:color="000000"/>
            </w:tcBorders>
          </w:tcPr>
          <w:p w14:paraId="3977AA9B"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3ED8C7B0" w14:textId="77777777" w:rsidR="005D5B0A" w:rsidRDefault="00A73EE7">
            <w:pPr>
              <w:spacing w:line="360" w:lineRule="auto"/>
              <w:rPr>
                <w:sz w:val="20"/>
                <w:szCs w:val="20"/>
              </w:rPr>
            </w:pPr>
            <w:r>
              <w:rPr>
                <w:sz w:val="20"/>
                <w:szCs w:val="20"/>
              </w:rPr>
              <w:t>Improve well-being of community through increased physical activity</w:t>
            </w:r>
          </w:p>
        </w:tc>
        <w:tc>
          <w:tcPr>
            <w:tcW w:w="693" w:type="dxa"/>
          </w:tcPr>
          <w:p w14:paraId="1D717A70" w14:textId="77777777" w:rsidR="005D5B0A" w:rsidRDefault="00A73EE7">
            <w:pPr>
              <w:spacing w:line="360" w:lineRule="auto"/>
              <w:rPr>
                <w:sz w:val="20"/>
                <w:szCs w:val="20"/>
              </w:rPr>
            </w:pPr>
            <w:r>
              <w:rPr>
                <w:sz w:val="20"/>
                <w:szCs w:val="20"/>
              </w:rPr>
              <w:t>7</w:t>
            </w:r>
          </w:p>
        </w:tc>
      </w:tr>
      <w:tr w:rsidR="005D5B0A" w14:paraId="3C17F426" w14:textId="77777777">
        <w:tc>
          <w:tcPr>
            <w:tcW w:w="1283" w:type="dxa"/>
            <w:vMerge/>
            <w:tcBorders>
              <w:top w:val="single" w:sz="18" w:space="0" w:color="000000"/>
            </w:tcBorders>
          </w:tcPr>
          <w:p w14:paraId="4480A335"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Borders>
              <w:bottom w:val="single" w:sz="18" w:space="0" w:color="000000"/>
            </w:tcBorders>
          </w:tcPr>
          <w:p w14:paraId="16020F82" w14:textId="77777777" w:rsidR="005D5B0A" w:rsidRDefault="00A73EE7">
            <w:pPr>
              <w:spacing w:line="360" w:lineRule="auto"/>
              <w:rPr>
                <w:sz w:val="20"/>
                <w:szCs w:val="20"/>
              </w:rPr>
            </w:pPr>
            <w:r>
              <w:rPr>
                <w:sz w:val="20"/>
                <w:szCs w:val="20"/>
              </w:rPr>
              <w:t>Supporting individuals and families to cope with multiple difficulties</w:t>
            </w:r>
          </w:p>
        </w:tc>
        <w:tc>
          <w:tcPr>
            <w:tcW w:w="693" w:type="dxa"/>
            <w:tcBorders>
              <w:bottom w:val="single" w:sz="18" w:space="0" w:color="000000"/>
            </w:tcBorders>
          </w:tcPr>
          <w:p w14:paraId="6819AD3D" w14:textId="77777777" w:rsidR="005D5B0A" w:rsidRDefault="00A73EE7">
            <w:pPr>
              <w:spacing w:line="360" w:lineRule="auto"/>
              <w:rPr>
                <w:sz w:val="20"/>
                <w:szCs w:val="20"/>
              </w:rPr>
            </w:pPr>
            <w:r>
              <w:rPr>
                <w:sz w:val="20"/>
                <w:szCs w:val="20"/>
              </w:rPr>
              <w:t>9</w:t>
            </w:r>
          </w:p>
        </w:tc>
      </w:tr>
      <w:tr w:rsidR="005D5B0A" w14:paraId="39B8D7FB" w14:textId="77777777">
        <w:tc>
          <w:tcPr>
            <w:tcW w:w="1283" w:type="dxa"/>
            <w:vMerge w:val="restart"/>
            <w:tcBorders>
              <w:top w:val="single" w:sz="18" w:space="0" w:color="000000"/>
            </w:tcBorders>
          </w:tcPr>
          <w:p w14:paraId="7DFE1A5C" w14:textId="77777777" w:rsidR="005D5B0A" w:rsidRDefault="00A73EE7">
            <w:pPr>
              <w:spacing w:line="360" w:lineRule="auto"/>
              <w:rPr>
                <w:sz w:val="20"/>
                <w:szCs w:val="20"/>
              </w:rPr>
            </w:pPr>
            <w:r>
              <w:rPr>
                <w:sz w:val="20"/>
                <w:szCs w:val="20"/>
              </w:rPr>
              <w:t>Number of paid staff</w:t>
            </w:r>
          </w:p>
        </w:tc>
        <w:tc>
          <w:tcPr>
            <w:tcW w:w="7266" w:type="dxa"/>
            <w:tcBorders>
              <w:top w:val="single" w:sz="18" w:space="0" w:color="000000"/>
            </w:tcBorders>
          </w:tcPr>
          <w:p w14:paraId="18464358" w14:textId="77777777" w:rsidR="005D5B0A" w:rsidRDefault="00A73EE7">
            <w:pPr>
              <w:spacing w:line="360" w:lineRule="auto"/>
              <w:rPr>
                <w:sz w:val="20"/>
                <w:szCs w:val="20"/>
              </w:rPr>
            </w:pPr>
            <w:r>
              <w:rPr>
                <w:sz w:val="20"/>
                <w:szCs w:val="20"/>
              </w:rPr>
              <w:t>&lt;10</w:t>
            </w:r>
          </w:p>
        </w:tc>
        <w:tc>
          <w:tcPr>
            <w:tcW w:w="693" w:type="dxa"/>
            <w:tcBorders>
              <w:top w:val="single" w:sz="18" w:space="0" w:color="000000"/>
            </w:tcBorders>
          </w:tcPr>
          <w:p w14:paraId="5A924DA0" w14:textId="77777777" w:rsidR="005D5B0A" w:rsidRDefault="00A73EE7">
            <w:pPr>
              <w:spacing w:line="360" w:lineRule="auto"/>
              <w:rPr>
                <w:sz w:val="20"/>
                <w:szCs w:val="20"/>
              </w:rPr>
            </w:pPr>
            <w:r>
              <w:rPr>
                <w:sz w:val="20"/>
                <w:szCs w:val="20"/>
              </w:rPr>
              <w:t>19</w:t>
            </w:r>
          </w:p>
        </w:tc>
      </w:tr>
      <w:tr w:rsidR="005D5B0A" w14:paraId="2B66C799" w14:textId="77777777">
        <w:tc>
          <w:tcPr>
            <w:tcW w:w="1283" w:type="dxa"/>
            <w:vMerge/>
            <w:tcBorders>
              <w:top w:val="single" w:sz="18" w:space="0" w:color="000000"/>
            </w:tcBorders>
          </w:tcPr>
          <w:p w14:paraId="03427E65"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28F7A3BD" w14:textId="77777777" w:rsidR="005D5B0A" w:rsidRDefault="00A73EE7">
            <w:pPr>
              <w:spacing w:line="360" w:lineRule="auto"/>
              <w:rPr>
                <w:sz w:val="20"/>
                <w:szCs w:val="20"/>
              </w:rPr>
            </w:pPr>
            <w:r>
              <w:rPr>
                <w:sz w:val="20"/>
                <w:szCs w:val="20"/>
              </w:rPr>
              <w:t>&gt;10 &lt;20</w:t>
            </w:r>
          </w:p>
        </w:tc>
        <w:tc>
          <w:tcPr>
            <w:tcW w:w="693" w:type="dxa"/>
          </w:tcPr>
          <w:p w14:paraId="3F51423C" w14:textId="77777777" w:rsidR="005D5B0A" w:rsidRDefault="00A73EE7">
            <w:pPr>
              <w:spacing w:line="360" w:lineRule="auto"/>
              <w:rPr>
                <w:sz w:val="20"/>
                <w:szCs w:val="20"/>
              </w:rPr>
            </w:pPr>
            <w:r>
              <w:rPr>
                <w:sz w:val="20"/>
                <w:szCs w:val="20"/>
              </w:rPr>
              <w:t>1</w:t>
            </w:r>
          </w:p>
        </w:tc>
      </w:tr>
      <w:tr w:rsidR="005D5B0A" w14:paraId="434D4E54" w14:textId="77777777">
        <w:tc>
          <w:tcPr>
            <w:tcW w:w="1283" w:type="dxa"/>
            <w:vMerge/>
            <w:tcBorders>
              <w:top w:val="single" w:sz="18" w:space="0" w:color="000000"/>
            </w:tcBorders>
          </w:tcPr>
          <w:p w14:paraId="2103FD38"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Borders>
              <w:bottom w:val="single" w:sz="18" w:space="0" w:color="000000"/>
            </w:tcBorders>
          </w:tcPr>
          <w:p w14:paraId="31160F82" w14:textId="77777777" w:rsidR="005D5B0A" w:rsidRDefault="00A73EE7">
            <w:pPr>
              <w:spacing w:line="360" w:lineRule="auto"/>
              <w:rPr>
                <w:sz w:val="20"/>
                <w:szCs w:val="20"/>
              </w:rPr>
            </w:pPr>
            <w:r>
              <w:rPr>
                <w:sz w:val="20"/>
                <w:szCs w:val="20"/>
              </w:rPr>
              <w:t>Nil</w:t>
            </w:r>
          </w:p>
        </w:tc>
        <w:tc>
          <w:tcPr>
            <w:tcW w:w="693" w:type="dxa"/>
            <w:tcBorders>
              <w:bottom w:val="single" w:sz="18" w:space="0" w:color="000000"/>
            </w:tcBorders>
          </w:tcPr>
          <w:p w14:paraId="365DB09D" w14:textId="77777777" w:rsidR="005D5B0A" w:rsidRDefault="00A73EE7">
            <w:pPr>
              <w:spacing w:line="360" w:lineRule="auto"/>
              <w:rPr>
                <w:sz w:val="20"/>
                <w:szCs w:val="20"/>
              </w:rPr>
            </w:pPr>
            <w:r>
              <w:rPr>
                <w:sz w:val="20"/>
                <w:szCs w:val="20"/>
              </w:rPr>
              <w:t>7</w:t>
            </w:r>
          </w:p>
        </w:tc>
      </w:tr>
      <w:tr w:rsidR="005D5B0A" w14:paraId="58A0DB07" w14:textId="77777777">
        <w:tc>
          <w:tcPr>
            <w:tcW w:w="1283" w:type="dxa"/>
            <w:vMerge w:val="restart"/>
            <w:tcBorders>
              <w:top w:val="single" w:sz="18" w:space="0" w:color="000000"/>
            </w:tcBorders>
          </w:tcPr>
          <w:p w14:paraId="07C2B773" w14:textId="77777777" w:rsidR="005D5B0A" w:rsidRDefault="00A73EE7">
            <w:pPr>
              <w:spacing w:line="360" w:lineRule="auto"/>
              <w:rPr>
                <w:sz w:val="20"/>
                <w:szCs w:val="20"/>
              </w:rPr>
            </w:pPr>
            <w:r>
              <w:rPr>
                <w:sz w:val="20"/>
                <w:szCs w:val="20"/>
              </w:rPr>
              <w:t>Number of Volunteers</w:t>
            </w:r>
          </w:p>
        </w:tc>
        <w:tc>
          <w:tcPr>
            <w:tcW w:w="7266" w:type="dxa"/>
            <w:tcBorders>
              <w:top w:val="single" w:sz="18" w:space="0" w:color="000000"/>
            </w:tcBorders>
          </w:tcPr>
          <w:p w14:paraId="54045C77" w14:textId="77777777" w:rsidR="005D5B0A" w:rsidRDefault="00A73EE7">
            <w:pPr>
              <w:spacing w:line="360" w:lineRule="auto"/>
              <w:rPr>
                <w:sz w:val="20"/>
                <w:szCs w:val="20"/>
              </w:rPr>
            </w:pPr>
            <w:r>
              <w:rPr>
                <w:sz w:val="20"/>
                <w:szCs w:val="20"/>
              </w:rPr>
              <w:t>&lt;10</w:t>
            </w:r>
          </w:p>
        </w:tc>
        <w:tc>
          <w:tcPr>
            <w:tcW w:w="693" w:type="dxa"/>
            <w:tcBorders>
              <w:top w:val="single" w:sz="18" w:space="0" w:color="000000"/>
            </w:tcBorders>
          </w:tcPr>
          <w:p w14:paraId="465C2915" w14:textId="77777777" w:rsidR="005D5B0A" w:rsidRDefault="00A73EE7">
            <w:pPr>
              <w:spacing w:line="360" w:lineRule="auto"/>
              <w:rPr>
                <w:sz w:val="20"/>
                <w:szCs w:val="20"/>
              </w:rPr>
            </w:pPr>
            <w:r>
              <w:rPr>
                <w:sz w:val="20"/>
                <w:szCs w:val="20"/>
              </w:rPr>
              <w:t>12</w:t>
            </w:r>
          </w:p>
        </w:tc>
      </w:tr>
      <w:tr w:rsidR="005D5B0A" w14:paraId="7F711C2B" w14:textId="77777777">
        <w:tc>
          <w:tcPr>
            <w:tcW w:w="1283" w:type="dxa"/>
            <w:vMerge/>
            <w:tcBorders>
              <w:top w:val="single" w:sz="18" w:space="0" w:color="000000"/>
            </w:tcBorders>
          </w:tcPr>
          <w:p w14:paraId="2DFF7190"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3BB468DF" w14:textId="77777777" w:rsidR="005D5B0A" w:rsidRDefault="00A73EE7">
            <w:pPr>
              <w:spacing w:line="360" w:lineRule="auto"/>
              <w:rPr>
                <w:sz w:val="20"/>
                <w:szCs w:val="20"/>
              </w:rPr>
            </w:pPr>
            <w:r>
              <w:rPr>
                <w:sz w:val="20"/>
                <w:szCs w:val="20"/>
              </w:rPr>
              <w:t>10-49</w:t>
            </w:r>
          </w:p>
        </w:tc>
        <w:tc>
          <w:tcPr>
            <w:tcW w:w="693" w:type="dxa"/>
          </w:tcPr>
          <w:p w14:paraId="1327F866" w14:textId="77777777" w:rsidR="005D5B0A" w:rsidRDefault="00A73EE7">
            <w:pPr>
              <w:spacing w:line="360" w:lineRule="auto"/>
              <w:rPr>
                <w:sz w:val="20"/>
                <w:szCs w:val="20"/>
              </w:rPr>
            </w:pPr>
            <w:r>
              <w:rPr>
                <w:sz w:val="20"/>
                <w:szCs w:val="20"/>
              </w:rPr>
              <w:t>6</w:t>
            </w:r>
          </w:p>
        </w:tc>
      </w:tr>
      <w:tr w:rsidR="005D5B0A" w14:paraId="63FE995D" w14:textId="77777777">
        <w:tc>
          <w:tcPr>
            <w:tcW w:w="1283" w:type="dxa"/>
            <w:vMerge/>
            <w:tcBorders>
              <w:top w:val="single" w:sz="18" w:space="0" w:color="000000"/>
            </w:tcBorders>
          </w:tcPr>
          <w:p w14:paraId="3152A9E3"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4B4C4481" w14:textId="77777777" w:rsidR="005D5B0A" w:rsidRDefault="00A73EE7">
            <w:pPr>
              <w:spacing w:line="360" w:lineRule="auto"/>
              <w:rPr>
                <w:sz w:val="20"/>
                <w:szCs w:val="20"/>
              </w:rPr>
            </w:pPr>
            <w:r>
              <w:rPr>
                <w:sz w:val="20"/>
                <w:szCs w:val="20"/>
              </w:rPr>
              <w:t>50-249</w:t>
            </w:r>
          </w:p>
        </w:tc>
        <w:tc>
          <w:tcPr>
            <w:tcW w:w="693" w:type="dxa"/>
          </w:tcPr>
          <w:p w14:paraId="47ECD6F0" w14:textId="77777777" w:rsidR="005D5B0A" w:rsidRDefault="00A73EE7">
            <w:pPr>
              <w:spacing w:line="360" w:lineRule="auto"/>
              <w:rPr>
                <w:sz w:val="20"/>
                <w:szCs w:val="20"/>
              </w:rPr>
            </w:pPr>
            <w:r>
              <w:rPr>
                <w:sz w:val="20"/>
                <w:szCs w:val="20"/>
              </w:rPr>
              <w:t>5</w:t>
            </w:r>
          </w:p>
        </w:tc>
      </w:tr>
      <w:tr w:rsidR="005D5B0A" w14:paraId="4DC6FD55" w14:textId="77777777">
        <w:tc>
          <w:tcPr>
            <w:tcW w:w="1283" w:type="dxa"/>
            <w:vMerge/>
            <w:tcBorders>
              <w:top w:val="single" w:sz="18" w:space="0" w:color="000000"/>
            </w:tcBorders>
          </w:tcPr>
          <w:p w14:paraId="394E7F5E"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Borders>
              <w:bottom w:val="single" w:sz="18" w:space="0" w:color="000000"/>
            </w:tcBorders>
          </w:tcPr>
          <w:p w14:paraId="13791949" w14:textId="77777777" w:rsidR="005D5B0A" w:rsidRDefault="00A73EE7">
            <w:pPr>
              <w:spacing w:line="360" w:lineRule="auto"/>
              <w:rPr>
                <w:sz w:val="20"/>
                <w:szCs w:val="20"/>
              </w:rPr>
            </w:pPr>
            <w:r>
              <w:rPr>
                <w:sz w:val="20"/>
                <w:szCs w:val="20"/>
              </w:rPr>
              <w:t>&gt;249</w:t>
            </w:r>
          </w:p>
        </w:tc>
        <w:tc>
          <w:tcPr>
            <w:tcW w:w="693" w:type="dxa"/>
            <w:tcBorders>
              <w:bottom w:val="single" w:sz="18" w:space="0" w:color="000000"/>
            </w:tcBorders>
          </w:tcPr>
          <w:p w14:paraId="27CBBAB8" w14:textId="77777777" w:rsidR="005D5B0A" w:rsidRDefault="00A73EE7">
            <w:pPr>
              <w:spacing w:line="360" w:lineRule="auto"/>
              <w:rPr>
                <w:sz w:val="20"/>
                <w:szCs w:val="20"/>
              </w:rPr>
            </w:pPr>
            <w:r>
              <w:rPr>
                <w:sz w:val="20"/>
                <w:szCs w:val="20"/>
              </w:rPr>
              <w:t>4</w:t>
            </w:r>
          </w:p>
        </w:tc>
      </w:tr>
      <w:tr w:rsidR="005D5B0A" w14:paraId="4E538014" w14:textId="77777777">
        <w:tc>
          <w:tcPr>
            <w:tcW w:w="1283" w:type="dxa"/>
            <w:vMerge w:val="restart"/>
            <w:tcBorders>
              <w:top w:val="single" w:sz="18" w:space="0" w:color="000000"/>
            </w:tcBorders>
          </w:tcPr>
          <w:p w14:paraId="65F19392" w14:textId="77777777" w:rsidR="005D5B0A" w:rsidRDefault="00A73EE7">
            <w:pPr>
              <w:spacing w:line="360" w:lineRule="auto"/>
              <w:rPr>
                <w:sz w:val="20"/>
                <w:szCs w:val="20"/>
              </w:rPr>
            </w:pPr>
            <w:r>
              <w:rPr>
                <w:sz w:val="20"/>
                <w:szCs w:val="20"/>
              </w:rPr>
              <w:t>Project Management Paradigm</w:t>
            </w:r>
          </w:p>
        </w:tc>
        <w:tc>
          <w:tcPr>
            <w:tcW w:w="7266" w:type="dxa"/>
            <w:tcBorders>
              <w:top w:val="single" w:sz="18" w:space="0" w:color="000000"/>
            </w:tcBorders>
          </w:tcPr>
          <w:p w14:paraId="7FB7453E" w14:textId="77777777" w:rsidR="005D5B0A" w:rsidRDefault="00A73EE7">
            <w:pPr>
              <w:spacing w:line="360" w:lineRule="auto"/>
              <w:rPr>
                <w:sz w:val="20"/>
                <w:szCs w:val="20"/>
              </w:rPr>
            </w:pPr>
            <w:r>
              <w:rPr>
                <w:sz w:val="20"/>
                <w:szCs w:val="20"/>
              </w:rPr>
              <w:t>Deliberate investment and development of project management practice, including acquisition of project management assets and staff project management training and some formal qualifications.</w:t>
            </w:r>
          </w:p>
        </w:tc>
        <w:tc>
          <w:tcPr>
            <w:tcW w:w="693" w:type="dxa"/>
            <w:tcBorders>
              <w:top w:val="single" w:sz="18" w:space="0" w:color="000000"/>
            </w:tcBorders>
          </w:tcPr>
          <w:p w14:paraId="34E8495F" w14:textId="77777777" w:rsidR="005D5B0A" w:rsidRDefault="00A73EE7">
            <w:pPr>
              <w:spacing w:line="360" w:lineRule="auto"/>
              <w:rPr>
                <w:sz w:val="20"/>
                <w:szCs w:val="20"/>
              </w:rPr>
            </w:pPr>
            <w:r>
              <w:rPr>
                <w:sz w:val="20"/>
                <w:szCs w:val="20"/>
              </w:rPr>
              <w:t>1</w:t>
            </w:r>
          </w:p>
        </w:tc>
      </w:tr>
      <w:tr w:rsidR="005D5B0A" w14:paraId="51A7FECE" w14:textId="77777777">
        <w:tc>
          <w:tcPr>
            <w:tcW w:w="1283" w:type="dxa"/>
            <w:vMerge/>
            <w:tcBorders>
              <w:top w:val="single" w:sz="18" w:space="0" w:color="000000"/>
            </w:tcBorders>
          </w:tcPr>
          <w:p w14:paraId="74654C70"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Pr>
          <w:p w14:paraId="6D326856" w14:textId="77777777" w:rsidR="005D5B0A" w:rsidRDefault="00A73EE7">
            <w:pPr>
              <w:spacing w:line="360" w:lineRule="auto"/>
              <w:rPr>
                <w:sz w:val="20"/>
                <w:szCs w:val="20"/>
              </w:rPr>
            </w:pPr>
            <w:r>
              <w:rPr>
                <w:sz w:val="20"/>
                <w:szCs w:val="20"/>
              </w:rPr>
              <w:t>Limited project management awareness and practice.</w:t>
            </w:r>
          </w:p>
        </w:tc>
        <w:tc>
          <w:tcPr>
            <w:tcW w:w="693" w:type="dxa"/>
          </w:tcPr>
          <w:p w14:paraId="41D98AA0" w14:textId="77777777" w:rsidR="005D5B0A" w:rsidRDefault="00A73EE7">
            <w:pPr>
              <w:spacing w:line="360" w:lineRule="auto"/>
              <w:rPr>
                <w:sz w:val="20"/>
                <w:szCs w:val="20"/>
              </w:rPr>
            </w:pPr>
            <w:r>
              <w:rPr>
                <w:sz w:val="20"/>
                <w:szCs w:val="20"/>
              </w:rPr>
              <w:t>12</w:t>
            </w:r>
          </w:p>
        </w:tc>
      </w:tr>
      <w:tr w:rsidR="005D5B0A" w14:paraId="4EEDC3E4" w14:textId="77777777">
        <w:tc>
          <w:tcPr>
            <w:tcW w:w="1283" w:type="dxa"/>
            <w:vMerge/>
            <w:tcBorders>
              <w:top w:val="single" w:sz="18" w:space="0" w:color="000000"/>
            </w:tcBorders>
          </w:tcPr>
          <w:p w14:paraId="34E70725" w14:textId="77777777" w:rsidR="005D5B0A" w:rsidRDefault="005D5B0A">
            <w:pPr>
              <w:widowControl w:val="0"/>
              <w:pBdr>
                <w:top w:val="nil"/>
                <w:left w:val="nil"/>
                <w:bottom w:val="nil"/>
                <w:right w:val="nil"/>
                <w:between w:val="nil"/>
              </w:pBdr>
              <w:spacing w:line="276" w:lineRule="auto"/>
              <w:rPr>
                <w:sz w:val="20"/>
                <w:szCs w:val="20"/>
              </w:rPr>
            </w:pPr>
          </w:p>
        </w:tc>
        <w:tc>
          <w:tcPr>
            <w:tcW w:w="7266" w:type="dxa"/>
            <w:tcBorders>
              <w:bottom w:val="single" w:sz="4" w:space="0" w:color="000000"/>
            </w:tcBorders>
          </w:tcPr>
          <w:p w14:paraId="1E09D5E8" w14:textId="77777777" w:rsidR="005D5B0A" w:rsidRDefault="00A73EE7">
            <w:pPr>
              <w:spacing w:line="360" w:lineRule="auto"/>
              <w:rPr>
                <w:sz w:val="20"/>
                <w:szCs w:val="20"/>
              </w:rPr>
            </w:pPr>
            <w:r>
              <w:rPr>
                <w:sz w:val="20"/>
                <w:szCs w:val="20"/>
              </w:rPr>
              <w:t>No project management awareness and practice.</w:t>
            </w:r>
          </w:p>
        </w:tc>
        <w:tc>
          <w:tcPr>
            <w:tcW w:w="693" w:type="dxa"/>
            <w:tcBorders>
              <w:bottom w:val="single" w:sz="4" w:space="0" w:color="000000"/>
            </w:tcBorders>
          </w:tcPr>
          <w:p w14:paraId="7A5FF959" w14:textId="77777777" w:rsidR="005D5B0A" w:rsidRDefault="00A73EE7">
            <w:pPr>
              <w:spacing w:line="360" w:lineRule="auto"/>
              <w:rPr>
                <w:sz w:val="20"/>
                <w:szCs w:val="20"/>
              </w:rPr>
            </w:pPr>
            <w:r>
              <w:rPr>
                <w:sz w:val="20"/>
                <w:szCs w:val="20"/>
              </w:rPr>
              <w:t>14</w:t>
            </w:r>
          </w:p>
        </w:tc>
      </w:tr>
    </w:tbl>
    <w:p w14:paraId="1280E5B6" w14:textId="77777777" w:rsidR="005D5B0A" w:rsidRDefault="005D5B0A">
      <w:pPr>
        <w:spacing w:line="360" w:lineRule="auto"/>
        <w:rPr>
          <w:color w:val="000000"/>
        </w:rPr>
      </w:pPr>
    </w:p>
    <w:p w14:paraId="75F92F76" w14:textId="144E37E0" w:rsidR="008A2CAD" w:rsidRDefault="008A2CAD">
      <w:pPr>
        <w:rPr>
          <w:b/>
          <w:color w:val="000000"/>
        </w:rPr>
      </w:pPr>
      <w:r>
        <w:rPr>
          <w:b/>
          <w:color w:val="000000"/>
        </w:rPr>
        <w:br w:type="page"/>
      </w:r>
    </w:p>
    <w:p w14:paraId="17C2397D" w14:textId="39E511AE" w:rsidR="005D5B0A" w:rsidRDefault="008A2CAD" w:rsidP="008A2CAD">
      <w:pPr>
        <w:ind w:left="284" w:hanging="284"/>
        <w:jc w:val="center"/>
        <w:rPr>
          <w:b/>
          <w:color w:val="000000"/>
        </w:rPr>
      </w:pPr>
      <w:r>
        <w:rPr>
          <w:b/>
          <w:color w:val="000000"/>
        </w:rPr>
        <w:lastRenderedPageBreak/>
        <w:t>TABLE 1</w:t>
      </w:r>
    </w:p>
    <w:p w14:paraId="6B12C086" w14:textId="77777777" w:rsidR="00F80DB4" w:rsidRDefault="00F80DB4" w:rsidP="008A2CAD">
      <w:pPr>
        <w:spacing w:line="360" w:lineRule="auto"/>
        <w:rPr>
          <w:i/>
        </w:rPr>
      </w:pPr>
    </w:p>
    <w:p w14:paraId="137A6B14" w14:textId="7FD6B60B" w:rsidR="008A2CAD" w:rsidRDefault="008A2CAD" w:rsidP="008A2CAD">
      <w:pPr>
        <w:spacing w:line="360" w:lineRule="auto"/>
        <w:rPr>
          <w:i/>
        </w:rPr>
      </w:pPr>
      <w:r>
        <w:rPr>
          <w:i/>
        </w:rPr>
        <w:t>Table 1:  Respondents frequency counts</w:t>
      </w:r>
    </w:p>
    <w:tbl>
      <w:tblPr>
        <w:tblStyle w:val="a7"/>
        <w:tblW w:w="9351" w:type="dxa"/>
        <w:tblInd w:w="-103" w:type="dxa"/>
        <w:tblBorders>
          <w:top w:val="single" w:sz="8" w:space="0" w:color="000000"/>
          <w:left w:val="single" w:sz="4" w:space="0" w:color="666666"/>
          <w:bottom w:val="single" w:sz="8" w:space="0" w:color="000000"/>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704"/>
        <w:gridCol w:w="992"/>
        <w:gridCol w:w="567"/>
        <w:gridCol w:w="709"/>
        <w:gridCol w:w="992"/>
        <w:gridCol w:w="851"/>
        <w:gridCol w:w="850"/>
        <w:gridCol w:w="567"/>
        <w:gridCol w:w="567"/>
        <w:gridCol w:w="709"/>
        <w:gridCol w:w="425"/>
        <w:gridCol w:w="709"/>
        <w:gridCol w:w="709"/>
      </w:tblGrid>
      <w:tr w:rsidR="008A2CAD" w14:paraId="0FEDAACB" w14:textId="77777777" w:rsidTr="00CE01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right w:val="single" w:sz="4" w:space="0" w:color="000000"/>
            </w:tcBorders>
            <w:vAlign w:val="center"/>
          </w:tcPr>
          <w:p w14:paraId="5A6A88D3" w14:textId="77777777" w:rsidR="008A2CAD" w:rsidRDefault="008A2CAD" w:rsidP="00CE0184">
            <w:pPr>
              <w:spacing w:line="360" w:lineRule="auto"/>
              <w:rPr>
                <w:sz w:val="14"/>
                <w:szCs w:val="14"/>
              </w:rPr>
            </w:pPr>
          </w:p>
        </w:tc>
        <w:tc>
          <w:tcPr>
            <w:tcW w:w="992" w:type="dxa"/>
            <w:tcBorders>
              <w:left w:val="single" w:sz="4" w:space="0" w:color="000000"/>
              <w:right w:val="single" w:sz="4" w:space="0" w:color="000000"/>
            </w:tcBorders>
            <w:vAlign w:val="center"/>
          </w:tcPr>
          <w:p w14:paraId="440FE716"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Respondents</w:t>
            </w:r>
          </w:p>
        </w:tc>
        <w:tc>
          <w:tcPr>
            <w:tcW w:w="1276" w:type="dxa"/>
            <w:gridSpan w:val="2"/>
            <w:tcBorders>
              <w:left w:val="single" w:sz="4" w:space="0" w:color="000000"/>
              <w:right w:val="single" w:sz="4" w:space="0" w:color="000000"/>
            </w:tcBorders>
            <w:vAlign w:val="center"/>
          </w:tcPr>
          <w:p w14:paraId="31210811"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Gender</w:t>
            </w:r>
          </w:p>
        </w:tc>
        <w:tc>
          <w:tcPr>
            <w:tcW w:w="2693" w:type="dxa"/>
            <w:gridSpan w:val="3"/>
            <w:tcBorders>
              <w:left w:val="single" w:sz="4" w:space="0" w:color="000000"/>
              <w:right w:val="single" w:sz="4" w:space="0" w:color="000000"/>
            </w:tcBorders>
            <w:vAlign w:val="center"/>
          </w:tcPr>
          <w:p w14:paraId="5B3F3C2E"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Project Management Experience</w:t>
            </w:r>
          </w:p>
        </w:tc>
        <w:tc>
          <w:tcPr>
            <w:tcW w:w="1134" w:type="dxa"/>
            <w:gridSpan w:val="2"/>
            <w:tcBorders>
              <w:left w:val="single" w:sz="4" w:space="0" w:color="000000"/>
              <w:right w:val="single" w:sz="4" w:space="0" w:color="000000"/>
            </w:tcBorders>
            <w:vAlign w:val="center"/>
          </w:tcPr>
          <w:p w14:paraId="23F49FE8"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Formal Project Management Qualifications</w:t>
            </w:r>
          </w:p>
        </w:tc>
        <w:tc>
          <w:tcPr>
            <w:tcW w:w="1134" w:type="dxa"/>
            <w:gridSpan w:val="2"/>
            <w:tcBorders>
              <w:left w:val="single" w:sz="4" w:space="0" w:color="000000"/>
              <w:right w:val="single" w:sz="4" w:space="0" w:color="000000"/>
            </w:tcBorders>
            <w:vAlign w:val="center"/>
          </w:tcPr>
          <w:p w14:paraId="7AA75009"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Informal Project Management Training</w:t>
            </w:r>
          </w:p>
        </w:tc>
        <w:tc>
          <w:tcPr>
            <w:tcW w:w="1418" w:type="dxa"/>
            <w:gridSpan w:val="2"/>
            <w:tcBorders>
              <w:left w:val="single" w:sz="4" w:space="0" w:color="000000"/>
            </w:tcBorders>
            <w:vAlign w:val="center"/>
          </w:tcPr>
          <w:p w14:paraId="7FB6516B"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Educational</w:t>
            </w:r>
          </w:p>
          <w:p w14:paraId="105E624C"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Level</w:t>
            </w:r>
          </w:p>
        </w:tc>
      </w:tr>
      <w:tr w:rsidR="008A2CAD" w14:paraId="652969FA"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right w:val="single" w:sz="4" w:space="0" w:color="000000"/>
            </w:tcBorders>
            <w:vAlign w:val="center"/>
          </w:tcPr>
          <w:p w14:paraId="2BBDF587" w14:textId="77777777" w:rsidR="008A2CAD" w:rsidRDefault="008A2CAD" w:rsidP="00CE0184">
            <w:pPr>
              <w:spacing w:line="360" w:lineRule="auto"/>
              <w:rPr>
                <w:sz w:val="14"/>
                <w:szCs w:val="14"/>
              </w:rPr>
            </w:pPr>
          </w:p>
        </w:tc>
        <w:tc>
          <w:tcPr>
            <w:tcW w:w="992" w:type="dxa"/>
            <w:tcBorders>
              <w:left w:val="single" w:sz="4" w:space="0" w:color="000000"/>
              <w:right w:val="single" w:sz="4" w:space="0" w:color="000000"/>
            </w:tcBorders>
            <w:vAlign w:val="center"/>
          </w:tcPr>
          <w:p w14:paraId="31811655"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p>
        </w:tc>
        <w:tc>
          <w:tcPr>
            <w:tcW w:w="567" w:type="dxa"/>
            <w:tcBorders>
              <w:left w:val="single" w:sz="4" w:space="0" w:color="000000"/>
            </w:tcBorders>
            <w:vAlign w:val="center"/>
          </w:tcPr>
          <w:p w14:paraId="40428FFF"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Male</w:t>
            </w:r>
          </w:p>
        </w:tc>
        <w:tc>
          <w:tcPr>
            <w:tcW w:w="709" w:type="dxa"/>
            <w:tcBorders>
              <w:right w:val="single" w:sz="4" w:space="0" w:color="000000"/>
            </w:tcBorders>
            <w:vAlign w:val="center"/>
          </w:tcPr>
          <w:p w14:paraId="549B10A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Female</w:t>
            </w:r>
          </w:p>
        </w:tc>
        <w:tc>
          <w:tcPr>
            <w:tcW w:w="992" w:type="dxa"/>
            <w:tcBorders>
              <w:left w:val="single" w:sz="4" w:space="0" w:color="000000"/>
            </w:tcBorders>
            <w:vAlign w:val="center"/>
          </w:tcPr>
          <w:p w14:paraId="5BDB1A3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Senior Project Executive</w:t>
            </w:r>
          </w:p>
        </w:tc>
        <w:tc>
          <w:tcPr>
            <w:tcW w:w="851" w:type="dxa"/>
            <w:vAlign w:val="center"/>
          </w:tcPr>
          <w:p w14:paraId="7F8A266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Project Manager</w:t>
            </w:r>
          </w:p>
        </w:tc>
        <w:tc>
          <w:tcPr>
            <w:tcW w:w="850" w:type="dxa"/>
            <w:tcBorders>
              <w:right w:val="single" w:sz="4" w:space="0" w:color="000000"/>
            </w:tcBorders>
            <w:vAlign w:val="center"/>
          </w:tcPr>
          <w:p w14:paraId="71F0C0A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Team member</w:t>
            </w:r>
          </w:p>
        </w:tc>
        <w:tc>
          <w:tcPr>
            <w:tcW w:w="567" w:type="dxa"/>
            <w:tcBorders>
              <w:left w:val="single" w:sz="4" w:space="0" w:color="000000"/>
            </w:tcBorders>
            <w:vAlign w:val="center"/>
          </w:tcPr>
          <w:p w14:paraId="3C1C4C3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Yes</w:t>
            </w:r>
          </w:p>
        </w:tc>
        <w:tc>
          <w:tcPr>
            <w:tcW w:w="567" w:type="dxa"/>
            <w:tcBorders>
              <w:right w:val="single" w:sz="4" w:space="0" w:color="000000"/>
            </w:tcBorders>
            <w:vAlign w:val="center"/>
          </w:tcPr>
          <w:p w14:paraId="24A5C48F"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No</w:t>
            </w:r>
          </w:p>
        </w:tc>
        <w:tc>
          <w:tcPr>
            <w:tcW w:w="709" w:type="dxa"/>
            <w:tcBorders>
              <w:left w:val="single" w:sz="4" w:space="0" w:color="000000"/>
            </w:tcBorders>
            <w:vAlign w:val="center"/>
          </w:tcPr>
          <w:p w14:paraId="06727A38"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Yes</w:t>
            </w:r>
          </w:p>
        </w:tc>
        <w:tc>
          <w:tcPr>
            <w:tcW w:w="425" w:type="dxa"/>
            <w:tcBorders>
              <w:right w:val="single" w:sz="4" w:space="0" w:color="000000"/>
            </w:tcBorders>
            <w:vAlign w:val="center"/>
          </w:tcPr>
          <w:p w14:paraId="70C768C5"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No</w:t>
            </w:r>
          </w:p>
        </w:tc>
        <w:tc>
          <w:tcPr>
            <w:tcW w:w="709" w:type="dxa"/>
            <w:tcBorders>
              <w:left w:val="single" w:sz="4" w:space="0" w:color="000000"/>
            </w:tcBorders>
            <w:vAlign w:val="center"/>
          </w:tcPr>
          <w:p w14:paraId="2D0B30C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Pre-</w:t>
            </w:r>
          </w:p>
          <w:p w14:paraId="215AE24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Degree</w:t>
            </w:r>
          </w:p>
        </w:tc>
        <w:tc>
          <w:tcPr>
            <w:tcW w:w="709" w:type="dxa"/>
            <w:vAlign w:val="center"/>
          </w:tcPr>
          <w:p w14:paraId="36A7F9DD"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Degree</w:t>
            </w:r>
          </w:p>
        </w:tc>
      </w:tr>
      <w:tr w:rsidR="008A2CAD" w14:paraId="72817973" w14:textId="77777777" w:rsidTr="00CE0184">
        <w:tc>
          <w:tcPr>
            <w:cnfStyle w:val="001000000000" w:firstRow="0" w:lastRow="0" w:firstColumn="1" w:lastColumn="0" w:oddVBand="0" w:evenVBand="0" w:oddHBand="0" w:evenHBand="0" w:firstRowFirstColumn="0" w:firstRowLastColumn="0" w:lastRowFirstColumn="0" w:lastRowLastColumn="0"/>
            <w:tcW w:w="704" w:type="dxa"/>
            <w:tcBorders>
              <w:right w:val="single" w:sz="4" w:space="0" w:color="000000"/>
            </w:tcBorders>
          </w:tcPr>
          <w:p w14:paraId="00D37BBC" w14:textId="77777777" w:rsidR="008A2CAD" w:rsidRDefault="008A2CAD" w:rsidP="00CE0184">
            <w:pPr>
              <w:spacing w:line="360" w:lineRule="auto"/>
              <w:rPr>
                <w:i/>
                <w:sz w:val="14"/>
                <w:szCs w:val="14"/>
              </w:rPr>
            </w:pPr>
            <w:r>
              <w:rPr>
                <w:i/>
                <w:sz w:val="14"/>
                <w:szCs w:val="14"/>
              </w:rPr>
              <w:t>Parent</w:t>
            </w:r>
          </w:p>
        </w:tc>
        <w:tc>
          <w:tcPr>
            <w:tcW w:w="992" w:type="dxa"/>
            <w:tcBorders>
              <w:left w:val="single" w:sz="4" w:space="0" w:color="000000"/>
              <w:right w:val="single" w:sz="4" w:space="0" w:color="000000"/>
            </w:tcBorders>
          </w:tcPr>
          <w:p w14:paraId="4C3E7B97"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26</w:t>
            </w:r>
          </w:p>
        </w:tc>
        <w:tc>
          <w:tcPr>
            <w:tcW w:w="567" w:type="dxa"/>
            <w:tcBorders>
              <w:left w:val="single" w:sz="4" w:space="0" w:color="000000"/>
            </w:tcBorders>
          </w:tcPr>
          <w:p w14:paraId="141834B7"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9</w:t>
            </w:r>
          </w:p>
        </w:tc>
        <w:tc>
          <w:tcPr>
            <w:tcW w:w="709" w:type="dxa"/>
            <w:tcBorders>
              <w:right w:val="single" w:sz="4" w:space="0" w:color="000000"/>
            </w:tcBorders>
          </w:tcPr>
          <w:p w14:paraId="7FAAFBC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17</w:t>
            </w:r>
          </w:p>
        </w:tc>
        <w:tc>
          <w:tcPr>
            <w:tcW w:w="992" w:type="dxa"/>
            <w:tcBorders>
              <w:left w:val="single" w:sz="4" w:space="0" w:color="000000"/>
            </w:tcBorders>
          </w:tcPr>
          <w:p w14:paraId="5D8A4DC5"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10</w:t>
            </w:r>
          </w:p>
        </w:tc>
        <w:tc>
          <w:tcPr>
            <w:tcW w:w="851" w:type="dxa"/>
          </w:tcPr>
          <w:p w14:paraId="1DD6733B"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9</w:t>
            </w:r>
          </w:p>
        </w:tc>
        <w:tc>
          <w:tcPr>
            <w:tcW w:w="850" w:type="dxa"/>
            <w:tcBorders>
              <w:right w:val="single" w:sz="4" w:space="0" w:color="000000"/>
            </w:tcBorders>
          </w:tcPr>
          <w:p w14:paraId="470F7128"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7</w:t>
            </w:r>
          </w:p>
        </w:tc>
        <w:tc>
          <w:tcPr>
            <w:tcW w:w="567" w:type="dxa"/>
            <w:tcBorders>
              <w:left w:val="single" w:sz="4" w:space="0" w:color="000000"/>
            </w:tcBorders>
          </w:tcPr>
          <w:p w14:paraId="3674D363"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9</w:t>
            </w:r>
          </w:p>
        </w:tc>
        <w:tc>
          <w:tcPr>
            <w:tcW w:w="567" w:type="dxa"/>
            <w:tcBorders>
              <w:right w:val="single" w:sz="4" w:space="0" w:color="000000"/>
            </w:tcBorders>
          </w:tcPr>
          <w:p w14:paraId="3ADE5E3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17</w:t>
            </w:r>
          </w:p>
        </w:tc>
        <w:tc>
          <w:tcPr>
            <w:tcW w:w="709" w:type="dxa"/>
            <w:tcBorders>
              <w:left w:val="single" w:sz="4" w:space="0" w:color="000000"/>
            </w:tcBorders>
          </w:tcPr>
          <w:p w14:paraId="7FD181B3"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18</w:t>
            </w:r>
          </w:p>
        </w:tc>
        <w:tc>
          <w:tcPr>
            <w:tcW w:w="425" w:type="dxa"/>
            <w:tcBorders>
              <w:right w:val="single" w:sz="4" w:space="0" w:color="000000"/>
            </w:tcBorders>
          </w:tcPr>
          <w:p w14:paraId="2369BDCB"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8</w:t>
            </w:r>
          </w:p>
        </w:tc>
        <w:tc>
          <w:tcPr>
            <w:tcW w:w="709" w:type="dxa"/>
            <w:tcBorders>
              <w:left w:val="single" w:sz="4" w:space="0" w:color="000000"/>
            </w:tcBorders>
          </w:tcPr>
          <w:p w14:paraId="2AA2E1B3"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6</w:t>
            </w:r>
          </w:p>
        </w:tc>
        <w:tc>
          <w:tcPr>
            <w:tcW w:w="709" w:type="dxa"/>
          </w:tcPr>
          <w:p w14:paraId="45B95868"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22</w:t>
            </w:r>
          </w:p>
        </w:tc>
      </w:tr>
      <w:tr w:rsidR="008A2CAD" w14:paraId="1459FB75"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right w:val="single" w:sz="4" w:space="0" w:color="000000"/>
            </w:tcBorders>
          </w:tcPr>
          <w:p w14:paraId="6C1D31A7" w14:textId="77777777" w:rsidR="008A2CAD" w:rsidRDefault="008A2CAD" w:rsidP="00CE0184">
            <w:pPr>
              <w:spacing w:line="360" w:lineRule="auto"/>
              <w:rPr>
                <w:i/>
                <w:sz w:val="14"/>
                <w:szCs w:val="14"/>
              </w:rPr>
            </w:pPr>
            <w:r>
              <w:rPr>
                <w:i/>
                <w:sz w:val="14"/>
                <w:szCs w:val="14"/>
              </w:rPr>
              <w:t>Partner</w:t>
            </w:r>
          </w:p>
        </w:tc>
        <w:tc>
          <w:tcPr>
            <w:tcW w:w="992" w:type="dxa"/>
            <w:tcBorders>
              <w:left w:val="single" w:sz="4" w:space="0" w:color="000000"/>
              <w:right w:val="single" w:sz="4" w:space="0" w:color="000000"/>
            </w:tcBorders>
          </w:tcPr>
          <w:p w14:paraId="3706BDB1"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44</w:t>
            </w:r>
          </w:p>
        </w:tc>
        <w:tc>
          <w:tcPr>
            <w:tcW w:w="567" w:type="dxa"/>
            <w:tcBorders>
              <w:left w:val="single" w:sz="4" w:space="0" w:color="000000"/>
            </w:tcBorders>
          </w:tcPr>
          <w:p w14:paraId="18A80A0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23</w:t>
            </w:r>
          </w:p>
        </w:tc>
        <w:tc>
          <w:tcPr>
            <w:tcW w:w="709" w:type="dxa"/>
            <w:tcBorders>
              <w:right w:val="single" w:sz="4" w:space="0" w:color="000000"/>
            </w:tcBorders>
          </w:tcPr>
          <w:p w14:paraId="0195FA34"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21</w:t>
            </w:r>
          </w:p>
        </w:tc>
        <w:tc>
          <w:tcPr>
            <w:tcW w:w="992" w:type="dxa"/>
            <w:tcBorders>
              <w:left w:val="single" w:sz="4" w:space="0" w:color="000000"/>
            </w:tcBorders>
          </w:tcPr>
          <w:p w14:paraId="71AC44D3"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16</w:t>
            </w:r>
          </w:p>
        </w:tc>
        <w:tc>
          <w:tcPr>
            <w:tcW w:w="851" w:type="dxa"/>
          </w:tcPr>
          <w:p w14:paraId="78D94BBC"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16</w:t>
            </w:r>
          </w:p>
        </w:tc>
        <w:tc>
          <w:tcPr>
            <w:tcW w:w="850" w:type="dxa"/>
            <w:tcBorders>
              <w:right w:val="single" w:sz="4" w:space="0" w:color="000000"/>
            </w:tcBorders>
          </w:tcPr>
          <w:p w14:paraId="433B650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12</w:t>
            </w:r>
          </w:p>
        </w:tc>
        <w:tc>
          <w:tcPr>
            <w:tcW w:w="567" w:type="dxa"/>
            <w:tcBorders>
              <w:left w:val="single" w:sz="4" w:space="0" w:color="000000"/>
            </w:tcBorders>
          </w:tcPr>
          <w:p w14:paraId="58A0AA5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5</w:t>
            </w:r>
          </w:p>
        </w:tc>
        <w:tc>
          <w:tcPr>
            <w:tcW w:w="567" w:type="dxa"/>
            <w:tcBorders>
              <w:right w:val="single" w:sz="4" w:space="0" w:color="000000"/>
            </w:tcBorders>
          </w:tcPr>
          <w:p w14:paraId="26B4C1A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39</w:t>
            </w:r>
          </w:p>
        </w:tc>
        <w:tc>
          <w:tcPr>
            <w:tcW w:w="709" w:type="dxa"/>
            <w:tcBorders>
              <w:left w:val="single" w:sz="4" w:space="0" w:color="000000"/>
            </w:tcBorders>
          </w:tcPr>
          <w:p w14:paraId="7F75CD8D"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14</w:t>
            </w:r>
          </w:p>
        </w:tc>
        <w:tc>
          <w:tcPr>
            <w:tcW w:w="425" w:type="dxa"/>
            <w:tcBorders>
              <w:right w:val="single" w:sz="4" w:space="0" w:color="000000"/>
            </w:tcBorders>
          </w:tcPr>
          <w:p w14:paraId="655B88A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30</w:t>
            </w:r>
          </w:p>
        </w:tc>
        <w:tc>
          <w:tcPr>
            <w:tcW w:w="709" w:type="dxa"/>
            <w:tcBorders>
              <w:left w:val="single" w:sz="4" w:space="0" w:color="000000"/>
            </w:tcBorders>
          </w:tcPr>
          <w:p w14:paraId="0396D813"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20</w:t>
            </w:r>
          </w:p>
        </w:tc>
        <w:tc>
          <w:tcPr>
            <w:tcW w:w="709" w:type="dxa"/>
          </w:tcPr>
          <w:p w14:paraId="4CEBFD1C"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i/>
                <w:sz w:val="14"/>
                <w:szCs w:val="14"/>
              </w:rPr>
            </w:pPr>
            <w:r>
              <w:rPr>
                <w:i/>
                <w:sz w:val="14"/>
                <w:szCs w:val="14"/>
              </w:rPr>
              <w:t>22</w:t>
            </w:r>
          </w:p>
        </w:tc>
      </w:tr>
      <w:tr w:rsidR="008A2CAD" w14:paraId="2C1DF9B8" w14:textId="77777777" w:rsidTr="00CE0184">
        <w:tc>
          <w:tcPr>
            <w:cnfStyle w:val="001000000000" w:firstRow="0" w:lastRow="0" w:firstColumn="1" w:lastColumn="0" w:oddVBand="0" w:evenVBand="0" w:oddHBand="0" w:evenHBand="0" w:firstRowFirstColumn="0" w:firstRowLastColumn="0" w:lastRowFirstColumn="0" w:lastRowLastColumn="0"/>
            <w:tcW w:w="704" w:type="dxa"/>
            <w:tcBorders>
              <w:right w:val="single" w:sz="4" w:space="0" w:color="000000"/>
            </w:tcBorders>
          </w:tcPr>
          <w:p w14:paraId="5B107AA3" w14:textId="77777777" w:rsidR="008A2CAD" w:rsidRDefault="008A2CAD" w:rsidP="00CE0184">
            <w:pPr>
              <w:spacing w:line="360" w:lineRule="auto"/>
              <w:rPr>
                <w:sz w:val="14"/>
                <w:szCs w:val="14"/>
              </w:rPr>
            </w:pPr>
            <w:r>
              <w:rPr>
                <w:sz w:val="14"/>
                <w:szCs w:val="14"/>
              </w:rPr>
              <w:t>LA</w:t>
            </w:r>
          </w:p>
        </w:tc>
        <w:tc>
          <w:tcPr>
            <w:tcW w:w="992" w:type="dxa"/>
            <w:tcBorders>
              <w:left w:val="single" w:sz="4" w:space="0" w:color="000000"/>
              <w:right w:val="single" w:sz="4" w:space="0" w:color="000000"/>
            </w:tcBorders>
          </w:tcPr>
          <w:p w14:paraId="223DB5D4"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70</w:t>
            </w:r>
          </w:p>
        </w:tc>
        <w:tc>
          <w:tcPr>
            <w:tcW w:w="567" w:type="dxa"/>
            <w:tcBorders>
              <w:left w:val="single" w:sz="4" w:space="0" w:color="000000"/>
            </w:tcBorders>
          </w:tcPr>
          <w:p w14:paraId="34754E1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32</w:t>
            </w:r>
          </w:p>
        </w:tc>
        <w:tc>
          <w:tcPr>
            <w:tcW w:w="709" w:type="dxa"/>
            <w:tcBorders>
              <w:right w:val="single" w:sz="4" w:space="0" w:color="000000"/>
            </w:tcBorders>
          </w:tcPr>
          <w:p w14:paraId="1341E4E2"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38</w:t>
            </w:r>
          </w:p>
        </w:tc>
        <w:tc>
          <w:tcPr>
            <w:tcW w:w="992" w:type="dxa"/>
            <w:tcBorders>
              <w:left w:val="single" w:sz="4" w:space="0" w:color="000000"/>
            </w:tcBorders>
          </w:tcPr>
          <w:p w14:paraId="61F676BC"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26</w:t>
            </w:r>
          </w:p>
        </w:tc>
        <w:tc>
          <w:tcPr>
            <w:tcW w:w="851" w:type="dxa"/>
          </w:tcPr>
          <w:p w14:paraId="4735F2D2"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25</w:t>
            </w:r>
          </w:p>
        </w:tc>
        <w:tc>
          <w:tcPr>
            <w:tcW w:w="850" w:type="dxa"/>
            <w:tcBorders>
              <w:right w:val="single" w:sz="4" w:space="0" w:color="000000"/>
            </w:tcBorders>
          </w:tcPr>
          <w:p w14:paraId="7BB14B0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19</w:t>
            </w:r>
          </w:p>
        </w:tc>
        <w:tc>
          <w:tcPr>
            <w:tcW w:w="567" w:type="dxa"/>
            <w:tcBorders>
              <w:left w:val="single" w:sz="4" w:space="0" w:color="000000"/>
            </w:tcBorders>
          </w:tcPr>
          <w:p w14:paraId="5B9895EC"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14</w:t>
            </w:r>
          </w:p>
        </w:tc>
        <w:tc>
          <w:tcPr>
            <w:tcW w:w="567" w:type="dxa"/>
            <w:tcBorders>
              <w:right w:val="single" w:sz="4" w:space="0" w:color="000000"/>
            </w:tcBorders>
          </w:tcPr>
          <w:p w14:paraId="07BC701B"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56</w:t>
            </w:r>
          </w:p>
        </w:tc>
        <w:tc>
          <w:tcPr>
            <w:tcW w:w="709" w:type="dxa"/>
            <w:tcBorders>
              <w:left w:val="single" w:sz="4" w:space="0" w:color="000000"/>
            </w:tcBorders>
          </w:tcPr>
          <w:p w14:paraId="63256877"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32</w:t>
            </w:r>
          </w:p>
        </w:tc>
        <w:tc>
          <w:tcPr>
            <w:tcW w:w="425" w:type="dxa"/>
            <w:tcBorders>
              <w:right w:val="single" w:sz="4" w:space="0" w:color="000000"/>
            </w:tcBorders>
          </w:tcPr>
          <w:p w14:paraId="2D2580F6"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38</w:t>
            </w:r>
          </w:p>
        </w:tc>
        <w:tc>
          <w:tcPr>
            <w:tcW w:w="709" w:type="dxa"/>
            <w:tcBorders>
              <w:left w:val="single" w:sz="4" w:space="0" w:color="000000"/>
            </w:tcBorders>
          </w:tcPr>
          <w:p w14:paraId="12D12E25"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26</w:t>
            </w:r>
          </w:p>
        </w:tc>
        <w:tc>
          <w:tcPr>
            <w:tcW w:w="709" w:type="dxa"/>
          </w:tcPr>
          <w:p w14:paraId="7DE3ED92"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i/>
                <w:sz w:val="14"/>
                <w:szCs w:val="14"/>
              </w:rPr>
            </w:pPr>
            <w:r>
              <w:rPr>
                <w:i/>
                <w:sz w:val="14"/>
                <w:szCs w:val="14"/>
              </w:rPr>
              <w:t>44</w:t>
            </w:r>
          </w:p>
        </w:tc>
      </w:tr>
      <w:tr w:rsidR="008A2CAD" w14:paraId="407278E7"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right w:val="single" w:sz="4" w:space="0" w:color="000000"/>
            </w:tcBorders>
          </w:tcPr>
          <w:p w14:paraId="1501CF1A" w14:textId="77777777" w:rsidR="008A2CAD" w:rsidRDefault="008A2CAD" w:rsidP="00CE0184">
            <w:pPr>
              <w:spacing w:line="360" w:lineRule="auto"/>
              <w:rPr>
                <w:sz w:val="14"/>
                <w:szCs w:val="14"/>
              </w:rPr>
            </w:pPr>
            <w:r>
              <w:rPr>
                <w:sz w:val="14"/>
                <w:szCs w:val="14"/>
              </w:rPr>
              <w:t>Total</w:t>
            </w:r>
          </w:p>
        </w:tc>
        <w:tc>
          <w:tcPr>
            <w:tcW w:w="992" w:type="dxa"/>
            <w:tcBorders>
              <w:left w:val="single" w:sz="4" w:space="0" w:color="000000"/>
              <w:bottom w:val="single" w:sz="8" w:space="0" w:color="000000"/>
              <w:right w:val="single" w:sz="4" w:space="0" w:color="000000"/>
            </w:tcBorders>
          </w:tcPr>
          <w:p w14:paraId="0172E853"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i/>
                <w:sz w:val="14"/>
                <w:szCs w:val="14"/>
              </w:rPr>
            </w:pPr>
            <w:r>
              <w:rPr>
                <w:b/>
                <w:i/>
                <w:sz w:val="14"/>
                <w:szCs w:val="14"/>
              </w:rPr>
              <w:t>70</w:t>
            </w:r>
          </w:p>
        </w:tc>
        <w:tc>
          <w:tcPr>
            <w:tcW w:w="1276" w:type="dxa"/>
            <w:gridSpan w:val="2"/>
            <w:tcBorders>
              <w:left w:val="single" w:sz="4" w:space="0" w:color="000000"/>
              <w:bottom w:val="single" w:sz="8" w:space="0" w:color="000000"/>
              <w:right w:val="single" w:sz="4" w:space="0" w:color="000000"/>
            </w:tcBorders>
          </w:tcPr>
          <w:p w14:paraId="30475D65"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i/>
                <w:sz w:val="14"/>
                <w:szCs w:val="14"/>
              </w:rPr>
            </w:pPr>
            <w:r>
              <w:rPr>
                <w:b/>
                <w:i/>
                <w:sz w:val="14"/>
                <w:szCs w:val="14"/>
              </w:rPr>
              <w:t>70</w:t>
            </w:r>
          </w:p>
        </w:tc>
        <w:tc>
          <w:tcPr>
            <w:tcW w:w="2693" w:type="dxa"/>
            <w:gridSpan w:val="3"/>
            <w:tcBorders>
              <w:left w:val="single" w:sz="4" w:space="0" w:color="000000"/>
              <w:right w:val="single" w:sz="4" w:space="0" w:color="000000"/>
            </w:tcBorders>
          </w:tcPr>
          <w:p w14:paraId="3CD6A9BC"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i/>
                <w:sz w:val="14"/>
                <w:szCs w:val="14"/>
              </w:rPr>
            </w:pPr>
            <w:r>
              <w:rPr>
                <w:b/>
                <w:i/>
                <w:sz w:val="14"/>
                <w:szCs w:val="14"/>
              </w:rPr>
              <w:t>70</w:t>
            </w:r>
          </w:p>
        </w:tc>
        <w:tc>
          <w:tcPr>
            <w:tcW w:w="1134" w:type="dxa"/>
            <w:gridSpan w:val="2"/>
            <w:tcBorders>
              <w:left w:val="single" w:sz="4" w:space="0" w:color="000000"/>
              <w:bottom w:val="single" w:sz="8" w:space="0" w:color="000000"/>
              <w:right w:val="single" w:sz="4" w:space="0" w:color="000000"/>
            </w:tcBorders>
          </w:tcPr>
          <w:p w14:paraId="123A5F90"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i/>
                <w:sz w:val="14"/>
                <w:szCs w:val="14"/>
              </w:rPr>
            </w:pPr>
            <w:r>
              <w:rPr>
                <w:b/>
                <w:i/>
                <w:sz w:val="14"/>
                <w:szCs w:val="14"/>
              </w:rPr>
              <w:t>70</w:t>
            </w:r>
          </w:p>
        </w:tc>
        <w:tc>
          <w:tcPr>
            <w:tcW w:w="1134" w:type="dxa"/>
            <w:gridSpan w:val="2"/>
            <w:tcBorders>
              <w:left w:val="single" w:sz="4" w:space="0" w:color="000000"/>
              <w:right w:val="single" w:sz="4" w:space="0" w:color="000000"/>
            </w:tcBorders>
          </w:tcPr>
          <w:p w14:paraId="6470D367"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i/>
                <w:sz w:val="14"/>
                <w:szCs w:val="14"/>
              </w:rPr>
            </w:pPr>
            <w:r>
              <w:rPr>
                <w:b/>
                <w:i/>
                <w:sz w:val="14"/>
                <w:szCs w:val="14"/>
              </w:rPr>
              <w:t>70</w:t>
            </w:r>
          </w:p>
        </w:tc>
        <w:tc>
          <w:tcPr>
            <w:tcW w:w="1418" w:type="dxa"/>
            <w:gridSpan w:val="2"/>
            <w:tcBorders>
              <w:left w:val="single" w:sz="4" w:space="0" w:color="000000"/>
              <w:bottom w:val="single" w:sz="8" w:space="0" w:color="000000"/>
            </w:tcBorders>
          </w:tcPr>
          <w:p w14:paraId="576B0A2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i/>
                <w:sz w:val="14"/>
                <w:szCs w:val="14"/>
              </w:rPr>
            </w:pPr>
            <w:r>
              <w:rPr>
                <w:b/>
                <w:i/>
                <w:sz w:val="14"/>
                <w:szCs w:val="14"/>
              </w:rPr>
              <w:t>70</w:t>
            </w:r>
          </w:p>
        </w:tc>
      </w:tr>
    </w:tbl>
    <w:p w14:paraId="029508DE" w14:textId="120445B9" w:rsidR="008A2CAD" w:rsidRDefault="008A2CAD" w:rsidP="008A2CAD">
      <w:pPr>
        <w:spacing w:line="360" w:lineRule="auto"/>
        <w:jc w:val="both"/>
        <w:rPr>
          <w:i/>
        </w:rPr>
      </w:pPr>
    </w:p>
    <w:p w14:paraId="48F386F9" w14:textId="77777777" w:rsidR="008A2CAD" w:rsidRDefault="008A2CAD" w:rsidP="008A2CAD">
      <w:pPr>
        <w:spacing w:line="360" w:lineRule="auto"/>
        <w:jc w:val="both"/>
        <w:rPr>
          <w:i/>
        </w:rPr>
      </w:pPr>
    </w:p>
    <w:p w14:paraId="62C825F2" w14:textId="46FDE956" w:rsidR="008A2CAD" w:rsidRDefault="008A2CAD" w:rsidP="008A2CAD">
      <w:pPr>
        <w:ind w:left="284" w:hanging="284"/>
        <w:jc w:val="center"/>
        <w:rPr>
          <w:b/>
          <w:color w:val="000000"/>
        </w:rPr>
      </w:pPr>
      <w:r>
        <w:rPr>
          <w:b/>
          <w:color w:val="000000"/>
        </w:rPr>
        <w:t>TABLE 2</w:t>
      </w:r>
    </w:p>
    <w:p w14:paraId="37D8C4D7" w14:textId="77777777" w:rsidR="008A2CAD" w:rsidRDefault="008A2CAD" w:rsidP="008A2CAD">
      <w:pPr>
        <w:spacing w:line="360" w:lineRule="auto"/>
        <w:rPr>
          <w:i/>
        </w:rPr>
      </w:pPr>
    </w:p>
    <w:p w14:paraId="78A9B4DC" w14:textId="3364A9F4" w:rsidR="008A2CAD" w:rsidRDefault="008A2CAD" w:rsidP="008A2CAD">
      <w:pPr>
        <w:spacing w:line="360" w:lineRule="auto"/>
        <w:rPr>
          <w:i/>
        </w:rPr>
      </w:pPr>
      <w:r>
        <w:rPr>
          <w:i/>
        </w:rPr>
        <w:t>Table 2:  Means, standard deviations and correlations between the study variables (N = 70)</w:t>
      </w:r>
    </w:p>
    <w:tbl>
      <w:tblPr>
        <w:tblStyle w:val="a8"/>
        <w:tblW w:w="9253" w:type="dxa"/>
        <w:tblInd w:w="-108" w:type="dxa"/>
        <w:tblBorders>
          <w:top w:val="single" w:sz="8" w:space="0" w:color="000000"/>
          <w:left w:val="single" w:sz="4" w:space="0" w:color="666666"/>
          <w:bottom w:val="single" w:sz="8" w:space="0" w:color="000000"/>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382"/>
        <w:gridCol w:w="1853"/>
        <w:gridCol w:w="567"/>
        <w:gridCol w:w="461"/>
        <w:gridCol w:w="673"/>
        <w:gridCol w:w="567"/>
        <w:gridCol w:w="567"/>
        <w:gridCol w:w="567"/>
        <w:gridCol w:w="567"/>
        <w:gridCol w:w="567"/>
        <w:gridCol w:w="567"/>
        <w:gridCol w:w="567"/>
        <w:gridCol w:w="461"/>
        <w:gridCol w:w="531"/>
        <w:gridCol w:w="356"/>
      </w:tblGrid>
      <w:tr w:rsidR="008A2CAD" w14:paraId="710D675E" w14:textId="77777777" w:rsidTr="00CE01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dxa"/>
            <w:vAlign w:val="center"/>
          </w:tcPr>
          <w:p w14:paraId="218C4978" w14:textId="77777777" w:rsidR="008A2CAD" w:rsidRDefault="008A2CAD" w:rsidP="00CE0184">
            <w:pPr>
              <w:spacing w:line="360" w:lineRule="auto"/>
              <w:rPr>
                <w:sz w:val="14"/>
                <w:szCs w:val="14"/>
              </w:rPr>
            </w:pPr>
          </w:p>
        </w:tc>
        <w:tc>
          <w:tcPr>
            <w:tcW w:w="1853" w:type="dxa"/>
            <w:tcBorders>
              <w:right w:val="single" w:sz="8" w:space="0" w:color="000000"/>
            </w:tcBorders>
            <w:vAlign w:val="center"/>
          </w:tcPr>
          <w:p w14:paraId="1DEB49A7"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Variable</w:t>
            </w:r>
          </w:p>
        </w:tc>
        <w:tc>
          <w:tcPr>
            <w:tcW w:w="567" w:type="dxa"/>
            <w:tcBorders>
              <w:left w:val="single" w:sz="8" w:space="0" w:color="000000"/>
            </w:tcBorders>
            <w:vAlign w:val="center"/>
          </w:tcPr>
          <w:p w14:paraId="667542F7"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Mean</w:t>
            </w:r>
          </w:p>
        </w:tc>
        <w:tc>
          <w:tcPr>
            <w:tcW w:w="461" w:type="dxa"/>
            <w:tcBorders>
              <w:right w:val="single" w:sz="8" w:space="0" w:color="000000"/>
            </w:tcBorders>
            <w:vAlign w:val="center"/>
          </w:tcPr>
          <w:p w14:paraId="3B96D985"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SD</w:t>
            </w:r>
          </w:p>
        </w:tc>
        <w:tc>
          <w:tcPr>
            <w:tcW w:w="673" w:type="dxa"/>
            <w:tcBorders>
              <w:left w:val="single" w:sz="8" w:space="0" w:color="000000"/>
            </w:tcBorders>
            <w:vAlign w:val="center"/>
          </w:tcPr>
          <w:p w14:paraId="25238A5A"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1</w:t>
            </w:r>
          </w:p>
        </w:tc>
        <w:tc>
          <w:tcPr>
            <w:tcW w:w="567" w:type="dxa"/>
            <w:vAlign w:val="center"/>
          </w:tcPr>
          <w:p w14:paraId="5F7F59AA"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2</w:t>
            </w:r>
          </w:p>
        </w:tc>
        <w:tc>
          <w:tcPr>
            <w:tcW w:w="567" w:type="dxa"/>
            <w:vAlign w:val="center"/>
          </w:tcPr>
          <w:p w14:paraId="339FA6BA"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3</w:t>
            </w:r>
          </w:p>
        </w:tc>
        <w:tc>
          <w:tcPr>
            <w:tcW w:w="567" w:type="dxa"/>
            <w:vAlign w:val="center"/>
          </w:tcPr>
          <w:p w14:paraId="0ECBEA7E"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4</w:t>
            </w:r>
          </w:p>
        </w:tc>
        <w:tc>
          <w:tcPr>
            <w:tcW w:w="567" w:type="dxa"/>
            <w:vAlign w:val="center"/>
          </w:tcPr>
          <w:p w14:paraId="3FEF8ABD"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5</w:t>
            </w:r>
          </w:p>
        </w:tc>
        <w:tc>
          <w:tcPr>
            <w:tcW w:w="567" w:type="dxa"/>
            <w:vAlign w:val="center"/>
          </w:tcPr>
          <w:p w14:paraId="63AA3984"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6</w:t>
            </w:r>
          </w:p>
        </w:tc>
        <w:tc>
          <w:tcPr>
            <w:tcW w:w="567" w:type="dxa"/>
            <w:vAlign w:val="center"/>
          </w:tcPr>
          <w:p w14:paraId="146D7A63"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7</w:t>
            </w:r>
          </w:p>
        </w:tc>
        <w:tc>
          <w:tcPr>
            <w:tcW w:w="567" w:type="dxa"/>
            <w:vAlign w:val="center"/>
          </w:tcPr>
          <w:p w14:paraId="46FCDDFD"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8</w:t>
            </w:r>
          </w:p>
        </w:tc>
        <w:tc>
          <w:tcPr>
            <w:tcW w:w="461" w:type="dxa"/>
            <w:vAlign w:val="center"/>
          </w:tcPr>
          <w:p w14:paraId="6DDD0B53"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9</w:t>
            </w:r>
          </w:p>
        </w:tc>
        <w:tc>
          <w:tcPr>
            <w:tcW w:w="531" w:type="dxa"/>
            <w:vAlign w:val="center"/>
          </w:tcPr>
          <w:p w14:paraId="540855E1"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10</w:t>
            </w:r>
          </w:p>
        </w:tc>
        <w:tc>
          <w:tcPr>
            <w:tcW w:w="356" w:type="dxa"/>
            <w:vAlign w:val="center"/>
          </w:tcPr>
          <w:p w14:paraId="5ED373C6" w14:textId="77777777" w:rsidR="008A2CAD" w:rsidRDefault="008A2CAD" w:rsidP="00CE0184">
            <w:pPr>
              <w:spacing w:line="360" w:lineRule="auto"/>
              <w:cnfStyle w:val="100000000000" w:firstRow="1" w:lastRow="0" w:firstColumn="0" w:lastColumn="0" w:oddVBand="0" w:evenVBand="0" w:oddHBand="0" w:evenHBand="0" w:firstRowFirstColumn="0" w:firstRowLastColumn="0" w:lastRowFirstColumn="0" w:lastRowLastColumn="0"/>
              <w:rPr>
                <w:sz w:val="14"/>
                <w:szCs w:val="14"/>
              </w:rPr>
            </w:pPr>
            <w:r>
              <w:rPr>
                <w:sz w:val="14"/>
                <w:szCs w:val="14"/>
              </w:rPr>
              <w:t>11</w:t>
            </w:r>
          </w:p>
        </w:tc>
      </w:tr>
      <w:tr w:rsidR="008A2CAD" w14:paraId="6282E5F5"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dxa"/>
            <w:vAlign w:val="center"/>
          </w:tcPr>
          <w:p w14:paraId="2A436554" w14:textId="77777777" w:rsidR="008A2CAD" w:rsidRDefault="008A2CAD" w:rsidP="00CE0184">
            <w:pPr>
              <w:spacing w:line="360" w:lineRule="auto"/>
              <w:rPr>
                <w:sz w:val="14"/>
                <w:szCs w:val="14"/>
              </w:rPr>
            </w:pPr>
            <w:r>
              <w:rPr>
                <w:b w:val="0"/>
                <w:sz w:val="14"/>
                <w:szCs w:val="14"/>
              </w:rPr>
              <w:t>1</w:t>
            </w:r>
          </w:p>
        </w:tc>
        <w:tc>
          <w:tcPr>
            <w:tcW w:w="1853" w:type="dxa"/>
            <w:tcBorders>
              <w:right w:val="single" w:sz="8" w:space="0" w:color="000000"/>
            </w:tcBorders>
            <w:vAlign w:val="center"/>
          </w:tcPr>
          <w:p w14:paraId="76931BCF"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Project Performance (PP)</w:t>
            </w:r>
          </w:p>
        </w:tc>
        <w:tc>
          <w:tcPr>
            <w:tcW w:w="567" w:type="dxa"/>
            <w:tcBorders>
              <w:left w:val="single" w:sz="8" w:space="0" w:color="000000"/>
            </w:tcBorders>
            <w:vAlign w:val="center"/>
          </w:tcPr>
          <w:p w14:paraId="049EBB4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4.88</w:t>
            </w:r>
          </w:p>
        </w:tc>
        <w:tc>
          <w:tcPr>
            <w:tcW w:w="461" w:type="dxa"/>
            <w:tcBorders>
              <w:right w:val="single" w:sz="8" w:space="0" w:color="000000"/>
            </w:tcBorders>
            <w:vAlign w:val="center"/>
          </w:tcPr>
          <w:p w14:paraId="5884506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.94</w:t>
            </w:r>
          </w:p>
        </w:tc>
        <w:tc>
          <w:tcPr>
            <w:tcW w:w="673" w:type="dxa"/>
            <w:tcBorders>
              <w:left w:val="single" w:sz="8" w:space="0" w:color="000000"/>
            </w:tcBorders>
            <w:vAlign w:val="center"/>
          </w:tcPr>
          <w:p w14:paraId="670DCB5F"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w:t>
            </w:r>
          </w:p>
        </w:tc>
        <w:tc>
          <w:tcPr>
            <w:tcW w:w="567" w:type="dxa"/>
            <w:vAlign w:val="center"/>
          </w:tcPr>
          <w:p w14:paraId="173FE5B0"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095B532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0F92AEB5"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09450291"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3780199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48638AE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2DD59FB5"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461" w:type="dxa"/>
            <w:vAlign w:val="center"/>
          </w:tcPr>
          <w:p w14:paraId="775CB50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31" w:type="dxa"/>
            <w:vAlign w:val="center"/>
          </w:tcPr>
          <w:p w14:paraId="3A9991F4"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356" w:type="dxa"/>
            <w:vAlign w:val="center"/>
          </w:tcPr>
          <w:p w14:paraId="3081115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r>
      <w:tr w:rsidR="008A2CAD" w14:paraId="4BE88A69" w14:textId="77777777" w:rsidTr="00CE0184">
        <w:tc>
          <w:tcPr>
            <w:cnfStyle w:val="001000000000" w:firstRow="0" w:lastRow="0" w:firstColumn="1" w:lastColumn="0" w:oddVBand="0" w:evenVBand="0" w:oddHBand="0" w:evenHBand="0" w:firstRowFirstColumn="0" w:firstRowLastColumn="0" w:lastRowFirstColumn="0" w:lastRowLastColumn="0"/>
            <w:tcW w:w="382" w:type="dxa"/>
            <w:vAlign w:val="center"/>
          </w:tcPr>
          <w:p w14:paraId="52BCE06A" w14:textId="77777777" w:rsidR="008A2CAD" w:rsidRDefault="008A2CAD" w:rsidP="00CE0184">
            <w:pPr>
              <w:spacing w:line="360" w:lineRule="auto"/>
              <w:rPr>
                <w:sz w:val="14"/>
                <w:szCs w:val="14"/>
              </w:rPr>
            </w:pPr>
            <w:r>
              <w:rPr>
                <w:b w:val="0"/>
                <w:sz w:val="14"/>
                <w:szCs w:val="14"/>
              </w:rPr>
              <w:t>2</w:t>
            </w:r>
          </w:p>
        </w:tc>
        <w:tc>
          <w:tcPr>
            <w:tcW w:w="1853" w:type="dxa"/>
            <w:tcBorders>
              <w:right w:val="single" w:sz="8" w:space="0" w:color="000000"/>
            </w:tcBorders>
            <w:vAlign w:val="center"/>
          </w:tcPr>
          <w:p w14:paraId="32FA1860"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b/>
                <w:sz w:val="14"/>
                <w:szCs w:val="14"/>
              </w:rPr>
            </w:pPr>
            <w:r>
              <w:rPr>
                <w:b/>
                <w:sz w:val="14"/>
                <w:szCs w:val="14"/>
              </w:rPr>
              <w:t>Firm Performance (FP)</w:t>
            </w:r>
          </w:p>
        </w:tc>
        <w:tc>
          <w:tcPr>
            <w:tcW w:w="567" w:type="dxa"/>
            <w:tcBorders>
              <w:left w:val="single" w:sz="8" w:space="0" w:color="000000"/>
              <w:right w:val="nil"/>
            </w:tcBorders>
            <w:vAlign w:val="center"/>
          </w:tcPr>
          <w:p w14:paraId="3F85FADC"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4.9</w:t>
            </w:r>
          </w:p>
        </w:tc>
        <w:tc>
          <w:tcPr>
            <w:tcW w:w="461" w:type="dxa"/>
            <w:tcBorders>
              <w:left w:val="nil"/>
              <w:right w:val="single" w:sz="8" w:space="0" w:color="000000"/>
            </w:tcBorders>
            <w:vAlign w:val="center"/>
          </w:tcPr>
          <w:p w14:paraId="11F5978D"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.91</w:t>
            </w:r>
          </w:p>
        </w:tc>
        <w:tc>
          <w:tcPr>
            <w:tcW w:w="673" w:type="dxa"/>
            <w:tcBorders>
              <w:left w:val="single" w:sz="8" w:space="0" w:color="000000"/>
            </w:tcBorders>
            <w:vAlign w:val="center"/>
          </w:tcPr>
          <w:p w14:paraId="15C3B698"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.805</w:t>
            </w:r>
            <w:r>
              <w:rPr>
                <w:sz w:val="14"/>
                <w:szCs w:val="14"/>
                <w:vertAlign w:val="superscript"/>
              </w:rPr>
              <w:t>**</w:t>
            </w:r>
          </w:p>
        </w:tc>
        <w:tc>
          <w:tcPr>
            <w:tcW w:w="567" w:type="dxa"/>
            <w:vAlign w:val="center"/>
          </w:tcPr>
          <w:p w14:paraId="1040ABCE"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w:t>
            </w:r>
          </w:p>
        </w:tc>
        <w:tc>
          <w:tcPr>
            <w:tcW w:w="567" w:type="dxa"/>
            <w:vAlign w:val="center"/>
          </w:tcPr>
          <w:p w14:paraId="1C0BB55C"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083954C1"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1A752AC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1BF71D1D"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7224AEEF"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0457F905"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461" w:type="dxa"/>
            <w:vAlign w:val="center"/>
          </w:tcPr>
          <w:p w14:paraId="3DF8E166"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31" w:type="dxa"/>
            <w:vAlign w:val="center"/>
          </w:tcPr>
          <w:p w14:paraId="0FEBE2D2"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356" w:type="dxa"/>
            <w:vAlign w:val="center"/>
          </w:tcPr>
          <w:p w14:paraId="676940D1"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r>
      <w:tr w:rsidR="008A2CAD" w14:paraId="07219D87"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dxa"/>
            <w:vAlign w:val="center"/>
          </w:tcPr>
          <w:p w14:paraId="3312BAFB" w14:textId="77777777" w:rsidR="008A2CAD" w:rsidRDefault="008A2CAD" w:rsidP="00CE0184">
            <w:pPr>
              <w:spacing w:line="360" w:lineRule="auto"/>
              <w:rPr>
                <w:sz w:val="14"/>
                <w:szCs w:val="14"/>
              </w:rPr>
            </w:pPr>
            <w:r>
              <w:rPr>
                <w:b w:val="0"/>
                <w:sz w:val="14"/>
                <w:szCs w:val="14"/>
              </w:rPr>
              <w:t>3</w:t>
            </w:r>
          </w:p>
        </w:tc>
        <w:tc>
          <w:tcPr>
            <w:tcW w:w="1853" w:type="dxa"/>
            <w:tcBorders>
              <w:right w:val="single" w:sz="8" w:space="0" w:color="000000"/>
            </w:tcBorders>
            <w:vAlign w:val="center"/>
          </w:tcPr>
          <w:p w14:paraId="709C0B0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Organisational Support - Integration (OS1)</w:t>
            </w:r>
          </w:p>
        </w:tc>
        <w:tc>
          <w:tcPr>
            <w:tcW w:w="567" w:type="dxa"/>
            <w:tcBorders>
              <w:left w:val="single" w:sz="8" w:space="0" w:color="000000"/>
            </w:tcBorders>
            <w:vAlign w:val="center"/>
          </w:tcPr>
          <w:p w14:paraId="2D60995C"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5.29</w:t>
            </w:r>
          </w:p>
        </w:tc>
        <w:tc>
          <w:tcPr>
            <w:tcW w:w="461" w:type="dxa"/>
            <w:tcBorders>
              <w:right w:val="single" w:sz="8" w:space="0" w:color="000000"/>
            </w:tcBorders>
            <w:vAlign w:val="center"/>
          </w:tcPr>
          <w:p w14:paraId="6DE83BB5"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1.04</w:t>
            </w:r>
          </w:p>
        </w:tc>
        <w:tc>
          <w:tcPr>
            <w:tcW w:w="673" w:type="dxa"/>
            <w:tcBorders>
              <w:left w:val="single" w:sz="8" w:space="0" w:color="000000"/>
            </w:tcBorders>
            <w:vAlign w:val="center"/>
          </w:tcPr>
          <w:p w14:paraId="01476E11"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.598</w:t>
            </w:r>
            <w:r>
              <w:rPr>
                <w:sz w:val="14"/>
                <w:szCs w:val="14"/>
                <w:vertAlign w:val="superscript"/>
              </w:rPr>
              <w:t>**</w:t>
            </w:r>
          </w:p>
        </w:tc>
        <w:tc>
          <w:tcPr>
            <w:tcW w:w="567" w:type="dxa"/>
            <w:vAlign w:val="center"/>
          </w:tcPr>
          <w:p w14:paraId="2C563774"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.668</w:t>
            </w:r>
            <w:r>
              <w:rPr>
                <w:sz w:val="14"/>
                <w:szCs w:val="14"/>
                <w:vertAlign w:val="superscript"/>
              </w:rPr>
              <w:t>**</w:t>
            </w:r>
          </w:p>
        </w:tc>
        <w:tc>
          <w:tcPr>
            <w:tcW w:w="567" w:type="dxa"/>
            <w:vAlign w:val="center"/>
          </w:tcPr>
          <w:p w14:paraId="029A163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w:t>
            </w:r>
          </w:p>
        </w:tc>
        <w:tc>
          <w:tcPr>
            <w:tcW w:w="567" w:type="dxa"/>
            <w:vAlign w:val="center"/>
          </w:tcPr>
          <w:p w14:paraId="6C53F0DF"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6B4C80E0"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70F91339"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1E6369A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66D9979D"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461" w:type="dxa"/>
            <w:vAlign w:val="center"/>
          </w:tcPr>
          <w:p w14:paraId="449A61B7"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31" w:type="dxa"/>
            <w:vAlign w:val="center"/>
          </w:tcPr>
          <w:p w14:paraId="71A370BC"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356" w:type="dxa"/>
            <w:vAlign w:val="center"/>
          </w:tcPr>
          <w:p w14:paraId="2628D289"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r>
      <w:tr w:rsidR="008A2CAD" w14:paraId="37315190" w14:textId="77777777" w:rsidTr="00CE0184">
        <w:tc>
          <w:tcPr>
            <w:cnfStyle w:val="001000000000" w:firstRow="0" w:lastRow="0" w:firstColumn="1" w:lastColumn="0" w:oddVBand="0" w:evenVBand="0" w:oddHBand="0" w:evenHBand="0" w:firstRowFirstColumn="0" w:firstRowLastColumn="0" w:lastRowFirstColumn="0" w:lastRowLastColumn="0"/>
            <w:tcW w:w="382" w:type="dxa"/>
            <w:vAlign w:val="center"/>
          </w:tcPr>
          <w:p w14:paraId="2FA4E9A9" w14:textId="77777777" w:rsidR="008A2CAD" w:rsidRDefault="008A2CAD" w:rsidP="00CE0184">
            <w:pPr>
              <w:spacing w:line="360" w:lineRule="auto"/>
              <w:rPr>
                <w:sz w:val="14"/>
                <w:szCs w:val="14"/>
              </w:rPr>
            </w:pPr>
            <w:r>
              <w:rPr>
                <w:b w:val="0"/>
                <w:sz w:val="14"/>
                <w:szCs w:val="14"/>
              </w:rPr>
              <w:t>4</w:t>
            </w:r>
          </w:p>
        </w:tc>
        <w:tc>
          <w:tcPr>
            <w:tcW w:w="1853" w:type="dxa"/>
            <w:tcBorders>
              <w:right w:val="single" w:sz="8" w:space="0" w:color="000000"/>
            </w:tcBorders>
            <w:vAlign w:val="center"/>
          </w:tcPr>
          <w:p w14:paraId="64A4B2E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b/>
                <w:sz w:val="14"/>
                <w:szCs w:val="14"/>
              </w:rPr>
            </w:pPr>
            <w:r>
              <w:rPr>
                <w:b/>
                <w:sz w:val="14"/>
                <w:szCs w:val="14"/>
              </w:rPr>
              <w:t>Organisational Support - Alignment (OS2)</w:t>
            </w:r>
          </w:p>
        </w:tc>
        <w:tc>
          <w:tcPr>
            <w:tcW w:w="567" w:type="dxa"/>
            <w:tcBorders>
              <w:left w:val="single" w:sz="8" w:space="0" w:color="000000"/>
              <w:right w:val="nil"/>
            </w:tcBorders>
            <w:vAlign w:val="center"/>
          </w:tcPr>
          <w:p w14:paraId="1D708F88"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5.37</w:t>
            </w:r>
          </w:p>
        </w:tc>
        <w:tc>
          <w:tcPr>
            <w:tcW w:w="461" w:type="dxa"/>
            <w:tcBorders>
              <w:left w:val="nil"/>
              <w:right w:val="single" w:sz="8" w:space="0" w:color="000000"/>
            </w:tcBorders>
            <w:vAlign w:val="center"/>
          </w:tcPr>
          <w:p w14:paraId="023F03B1"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1.29</w:t>
            </w:r>
          </w:p>
        </w:tc>
        <w:tc>
          <w:tcPr>
            <w:tcW w:w="673" w:type="dxa"/>
            <w:tcBorders>
              <w:left w:val="single" w:sz="8" w:space="0" w:color="000000"/>
            </w:tcBorders>
            <w:vAlign w:val="center"/>
          </w:tcPr>
          <w:p w14:paraId="467D4204"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.465</w:t>
            </w:r>
            <w:r>
              <w:rPr>
                <w:sz w:val="14"/>
                <w:szCs w:val="14"/>
                <w:vertAlign w:val="superscript"/>
              </w:rPr>
              <w:t>**</w:t>
            </w:r>
          </w:p>
        </w:tc>
        <w:tc>
          <w:tcPr>
            <w:tcW w:w="567" w:type="dxa"/>
            <w:vAlign w:val="center"/>
          </w:tcPr>
          <w:p w14:paraId="4E5A6D72"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.530</w:t>
            </w:r>
            <w:r>
              <w:rPr>
                <w:sz w:val="14"/>
                <w:szCs w:val="14"/>
                <w:vertAlign w:val="superscript"/>
              </w:rPr>
              <w:t>**</w:t>
            </w:r>
          </w:p>
        </w:tc>
        <w:tc>
          <w:tcPr>
            <w:tcW w:w="567" w:type="dxa"/>
            <w:vAlign w:val="center"/>
          </w:tcPr>
          <w:p w14:paraId="7E257EA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.303</w:t>
            </w:r>
            <w:r>
              <w:rPr>
                <w:sz w:val="14"/>
                <w:szCs w:val="14"/>
                <w:vertAlign w:val="superscript"/>
              </w:rPr>
              <w:t>*</w:t>
            </w:r>
          </w:p>
        </w:tc>
        <w:tc>
          <w:tcPr>
            <w:tcW w:w="567" w:type="dxa"/>
            <w:vAlign w:val="center"/>
          </w:tcPr>
          <w:p w14:paraId="7F7907D6"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w:t>
            </w:r>
          </w:p>
        </w:tc>
        <w:tc>
          <w:tcPr>
            <w:tcW w:w="567" w:type="dxa"/>
            <w:vAlign w:val="center"/>
          </w:tcPr>
          <w:p w14:paraId="612E930D"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52CC52BB"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038EB730"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15166B75"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461" w:type="dxa"/>
            <w:vAlign w:val="center"/>
          </w:tcPr>
          <w:p w14:paraId="182511C4"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31" w:type="dxa"/>
            <w:vAlign w:val="center"/>
          </w:tcPr>
          <w:p w14:paraId="612750C3"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356" w:type="dxa"/>
            <w:vAlign w:val="center"/>
          </w:tcPr>
          <w:p w14:paraId="3C522A66"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r>
      <w:tr w:rsidR="008A2CAD" w14:paraId="4198B99A"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dxa"/>
            <w:vAlign w:val="center"/>
          </w:tcPr>
          <w:p w14:paraId="7A12D83A" w14:textId="77777777" w:rsidR="008A2CAD" w:rsidRDefault="008A2CAD" w:rsidP="00CE0184">
            <w:pPr>
              <w:spacing w:line="360" w:lineRule="auto"/>
              <w:rPr>
                <w:sz w:val="14"/>
                <w:szCs w:val="14"/>
              </w:rPr>
            </w:pPr>
            <w:r>
              <w:rPr>
                <w:b w:val="0"/>
                <w:sz w:val="14"/>
                <w:szCs w:val="14"/>
              </w:rPr>
              <w:t>5</w:t>
            </w:r>
          </w:p>
        </w:tc>
        <w:tc>
          <w:tcPr>
            <w:tcW w:w="1853" w:type="dxa"/>
            <w:tcBorders>
              <w:right w:val="single" w:sz="8" w:space="0" w:color="000000"/>
            </w:tcBorders>
            <w:vAlign w:val="center"/>
          </w:tcPr>
          <w:p w14:paraId="3FFE1DE2"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Organisational Support - Communications (OS3)</w:t>
            </w:r>
          </w:p>
        </w:tc>
        <w:tc>
          <w:tcPr>
            <w:tcW w:w="567" w:type="dxa"/>
            <w:tcBorders>
              <w:left w:val="single" w:sz="8" w:space="0" w:color="000000"/>
            </w:tcBorders>
            <w:vAlign w:val="center"/>
          </w:tcPr>
          <w:p w14:paraId="12CD47D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5.41</w:t>
            </w:r>
          </w:p>
        </w:tc>
        <w:tc>
          <w:tcPr>
            <w:tcW w:w="461" w:type="dxa"/>
            <w:tcBorders>
              <w:right w:val="single" w:sz="8" w:space="0" w:color="000000"/>
            </w:tcBorders>
            <w:vAlign w:val="center"/>
          </w:tcPr>
          <w:p w14:paraId="6849A353"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1.13</w:t>
            </w:r>
          </w:p>
        </w:tc>
        <w:tc>
          <w:tcPr>
            <w:tcW w:w="673" w:type="dxa"/>
            <w:tcBorders>
              <w:left w:val="single" w:sz="8" w:space="0" w:color="000000"/>
            </w:tcBorders>
            <w:vAlign w:val="center"/>
          </w:tcPr>
          <w:p w14:paraId="6C0B8509"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.514</w:t>
            </w:r>
            <w:r>
              <w:rPr>
                <w:sz w:val="14"/>
                <w:szCs w:val="14"/>
                <w:vertAlign w:val="superscript"/>
              </w:rPr>
              <w:t>**</w:t>
            </w:r>
          </w:p>
        </w:tc>
        <w:tc>
          <w:tcPr>
            <w:tcW w:w="567" w:type="dxa"/>
            <w:vAlign w:val="center"/>
          </w:tcPr>
          <w:p w14:paraId="10FB9AF7"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.411</w:t>
            </w:r>
            <w:r>
              <w:rPr>
                <w:sz w:val="14"/>
                <w:szCs w:val="14"/>
                <w:vertAlign w:val="superscript"/>
              </w:rPr>
              <w:t>**</w:t>
            </w:r>
          </w:p>
        </w:tc>
        <w:tc>
          <w:tcPr>
            <w:tcW w:w="567" w:type="dxa"/>
            <w:vAlign w:val="center"/>
          </w:tcPr>
          <w:p w14:paraId="1F74B067"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.496</w:t>
            </w:r>
            <w:r>
              <w:rPr>
                <w:sz w:val="14"/>
                <w:szCs w:val="14"/>
                <w:vertAlign w:val="superscript"/>
              </w:rPr>
              <w:t>**</w:t>
            </w:r>
          </w:p>
        </w:tc>
        <w:tc>
          <w:tcPr>
            <w:tcW w:w="567" w:type="dxa"/>
            <w:vAlign w:val="center"/>
          </w:tcPr>
          <w:p w14:paraId="5AA01B82"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.303</w:t>
            </w:r>
            <w:r>
              <w:rPr>
                <w:sz w:val="14"/>
                <w:szCs w:val="14"/>
                <w:vertAlign w:val="superscript"/>
              </w:rPr>
              <w:t>*</w:t>
            </w:r>
          </w:p>
        </w:tc>
        <w:tc>
          <w:tcPr>
            <w:tcW w:w="567" w:type="dxa"/>
            <w:vAlign w:val="center"/>
          </w:tcPr>
          <w:p w14:paraId="4B4C3DF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w:t>
            </w:r>
          </w:p>
        </w:tc>
        <w:tc>
          <w:tcPr>
            <w:tcW w:w="567" w:type="dxa"/>
            <w:vAlign w:val="center"/>
          </w:tcPr>
          <w:p w14:paraId="46F3051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74178963"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67" w:type="dxa"/>
            <w:vAlign w:val="center"/>
          </w:tcPr>
          <w:p w14:paraId="45FE9E17"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461" w:type="dxa"/>
            <w:vAlign w:val="center"/>
          </w:tcPr>
          <w:p w14:paraId="5403AD6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31" w:type="dxa"/>
            <w:vAlign w:val="center"/>
          </w:tcPr>
          <w:p w14:paraId="2C20021D"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356" w:type="dxa"/>
            <w:vAlign w:val="center"/>
          </w:tcPr>
          <w:p w14:paraId="62FDE721"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r>
      <w:tr w:rsidR="008A2CAD" w14:paraId="3F137847" w14:textId="77777777" w:rsidTr="00CE0184">
        <w:tc>
          <w:tcPr>
            <w:cnfStyle w:val="001000000000" w:firstRow="0" w:lastRow="0" w:firstColumn="1" w:lastColumn="0" w:oddVBand="0" w:evenVBand="0" w:oddHBand="0" w:evenHBand="0" w:firstRowFirstColumn="0" w:firstRowLastColumn="0" w:lastRowFirstColumn="0" w:lastRowLastColumn="0"/>
            <w:tcW w:w="382" w:type="dxa"/>
            <w:vAlign w:val="center"/>
          </w:tcPr>
          <w:p w14:paraId="1B150FE8" w14:textId="77777777" w:rsidR="008A2CAD" w:rsidRDefault="008A2CAD" w:rsidP="00CE0184">
            <w:pPr>
              <w:spacing w:line="360" w:lineRule="auto"/>
              <w:rPr>
                <w:sz w:val="14"/>
                <w:szCs w:val="14"/>
              </w:rPr>
            </w:pPr>
            <w:r>
              <w:rPr>
                <w:b w:val="0"/>
                <w:sz w:val="14"/>
                <w:szCs w:val="14"/>
              </w:rPr>
              <w:t>6</w:t>
            </w:r>
          </w:p>
        </w:tc>
        <w:tc>
          <w:tcPr>
            <w:tcW w:w="1853" w:type="dxa"/>
            <w:tcBorders>
              <w:right w:val="single" w:sz="8" w:space="0" w:color="000000"/>
            </w:tcBorders>
            <w:vAlign w:val="center"/>
          </w:tcPr>
          <w:p w14:paraId="120FEB4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b/>
                <w:sz w:val="14"/>
                <w:szCs w:val="14"/>
              </w:rPr>
            </w:pPr>
            <w:r>
              <w:rPr>
                <w:b/>
                <w:sz w:val="14"/>
                <w:szCs w:val="14"/>
              </w:rPr>
              <w:t>VRIO - Value (V1) -</w:t>
            </w:r>
            <w:r>
              <w:rPr>
                <w:sz w:val="14"/>
                <w:szCs w:val="14"/>
              </w:rPr>
              <w:t xml:space="preserve"> </w:t>
            </w:r>
            <w:r>
              <w:rPr>
                <w:b/>
                <w:sz w:val="14"/>
                <w:szCs w:val="14"/>
              </w:rPr>
              <w:t>Impart Project Management Knowledge</w:t>
            </w:r>
          </w:p>
        </w:tc>
        <w:tc>
          <w:tcPr>
            <w:tcW w:w="567" w:type="dxa"/>
            <w:tcBorders>
              <w:left w:val="single" w:sz="8" w:space="0" w:color="000000"/>
              <w:right w:val="nil"/>
            </w:tcBorders>
            <w:vAlign w:val="center"/>
          </w:tcPr>
          <w:p w14:paraId="07C2053F"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5.13</w:t>
            </w:r>
          </w:p>
        </w:tc>
        <w:tc>
          <w:tcPr>
            <w:tcW w:w="461" w:type="dxa"/>
            <w:tcBorders>
              <w:left w:val="nil"/>
              <w:right w:val="single" w:sz="8" w:space="0" w:color="000000"/>
            </w:tcBorders>
            <w:vAlign w:val="center"/>
          </w:tcPr>
          <w:p w14:paraId="394FFE6E"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1.17</w:t>
            </w:r>
          </w:p>
        </w:tc>
        <w:tc>
          <w:tcPr>
            <w:tcW w:w="673" w:type="dxa"/>
            <w:tcBorders>
              <w:left w:val="single" w:sz="8" w:space="0" w:color="000000"/>
            </w:tcBorders>
            <w:vAlign w:val="center"/>
          </w:tcPr>
          <w:p w14:paraId="4CE092CF"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.478</w:t>
            </w:r>
            <w:r>
              <w:rPr>
                <w:sz w:val="14"/>
                <w:szCs w:val="14"/>
                <w:vertAlign w:val="superscript"/>
              </w:rPr>
              <w:t>**</w:t>
            </w:r>
          </w:p>
        </w:tc>
        <w:tc>
          <w:tcPr>
            <w:tcW w:w="567" w:type="dxa"/>
            <w:vAlign w:val="center"/>
          </w:tcPr>
          <w:p w14:paraId="5E6CE8A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.265</w:t>
            </w:r>
            <w:r>
              <w:rPr>
                <w:sz w:val="14"/>
                <w:szCs w:val="14"/>
                <w:vertAlign w:val="superscript"/>
              </w:rPr>
              <w:t>*</w:t>
            </w:r>
          </w:p>
        </w:tc>
        <w:tc>
          <w:tcPr>
            <w:tcW w:w="567" w:type="dxa"/>
            <w:vAlign w:val="center"/>
          </w:tcPr>
          <w:p w14:paraId="132696F4"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.251</w:t>
            </w:r>
            <w:r>
              <w:rPr>
                <w:sz w:val="14"/>
                <w:szCs w:val="14"/>
                <w:vertAlign w:val="superscript"/>
              </w:rPr>
              <w:t>*</w:t>
            </w:r>
          </w:p>
        </w:tc>
        <w:tc>
          <w:tcPr>
            <w:tcW w:w="567" w:type="dxa"/>
            <w:vAlign w:val="center"/>
          </w:tcPr>
          <w:p w14:paraId="4A79D646"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.318</w:t>
            </w:r>
            <w:r>
              <w:rPr>
                <w:sz w:val="14"/>
                <w:szCs w:val="14"/>
                <w:vertAlign w:val="superscript"/>
              </w:rPr>
              <w:t>**</w:t>
            </w:r>
          </w:p>
        </w:tc>
        <w:tc>
          <w:tcPr>
            <w:tcW w:w="567" w:type="dxa"/>
            <w:vAlign w:val="center"/>
          </w:tcPr>
          <w:p w14:paraId="3F1E07C8"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.591</w:t>
            </w:r>
            <w:r>
              <w:rPr>
                <w:sz w:val="14"/>
                <w:szCs w:val="14"/>
                <w:vertAlign w:val="superscript"/>
              </w:rPr>
              <w:t>**</w:t>
            </w:r>
          </w:p>
        </w:tc>
        <w:tc>
          <w:tcPr>
            <w:tcW w:w="567" w:type="dxa"/>
            <w:vAlign w:val="center"/>
          </w:tcPr>
          <w:p w14:paraId="7E1D6103"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w:t>
            </w:r>
          </w:p>
        </w:tc>
        <w:tc>
          <w:tcPr>
            <w:tcW w:w="567" w:type="dxa"/>
            <w:vAlign w:val="center"/>
          </w:tcPr>
          <w:p w14:paraId="481FBCBB"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67" w:type="dxa"/>
            <w:vAlign w:val="center"/>
          </w:tcPr>
          <w:p w14:paraId="04982987"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461" w:type="dxa"/>
            <w:vAlign w:val="center"/>
          </w:tcPr>
          <w:p w14:paraId="5C7DE07B"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31" w:type="dxa"/>
            <w:vAlign w:val="center"/>
          </w:tcPr>
          <w:p w14:paraId="6419B09D"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356" w:type="dxa"/>
            <w:vAlign w:val="center"/>
          </w:tcPr>
          <w:p w14:paraId="48996062"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r>
      <w:tr w:rsidR="008A2CAD" w14:paraId="77A20FD1"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dxa"/>
            <w:vAlign w:val="center"/>
          </w:tcPr>
          <w:p w14:paraId="68FA0C1D" w14:textId="77777777" w:rsidR="008A2CAD" w:rsidRDefault="008A2CAD" w:rsidP="00CE0184">
            <w:pPr>
              <w:spacing w:line="360" w:lineRule="auto"/>
              <w:rPr>
                <w:sz w:val="14"/>
                <w:szCs w:val="14"/>
              </w:rPr>
            </w:pPr>
            <w:r>
              <w:rPr>
                <w:b w:val="0"/>
                <w:sz w:val="14"/>
                <w:szCs w:val="14"/>
              </w:rPr>
              <w:t>7</w:t>
            </w:r>
          </w:p>
        </w:tc>
        <w:tc>
          <w:tcPr>
            <w:tcW w:w="1853" w:type="dxa"/>
            <w:tcBorders>
              <w:right w:val="single" w:sz="8" w:space="0" w:color="000000"/>
            </w:tcBorders>
            <w:vAlign w:val="center"/>
          </w:tcPr>
          <w:p w14:paraId="5BAFA9F2"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VRIO - Value (V2) - Share Knowledge Based Process</w:t>
            </w:r>
          </w:p>
        </w:tc>
        <w:tc>
          <w:tcPr>
            <w:tcW w:w="567" w:type="dxa"/>
            <w:tcBorders>
              <w:left w:val="single" w:sz="8" w:space="0" w:color="000000"/>
            </w:tcBorders>
            <w:vAlign w:val="center"/>
          </w:tcPr>
          <w:p w14:paraId="7D179AF4"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4.64</w:t>
            </w:r>
          </w:p>
        </w:tc>
        <w:tc>
          <w:tcPr>
            <w:tcW w:w="461" w:type="dxa"/>
            <w:tcBorders>
              <w:right w:val="single" w:sz="8" w:space="0" w:color="000000"/>
            </w:tcBorders>
            <w:vAlign w:val="center"/>
          </w:tcPr>
          <w:p w14:paraId="0DA06E04"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1.28</w:t>
            </w:r>
          </w:p>
        </w:tc>
        <w:tc>
          <w:tcPr>
            <w:tcW w:w="673" w:type="dxa"/>
            <w:tcBorders>
              <w:left w:val="single" w:sz="8" w:space="0" w:color="000000"/>
            </w:tcBorders>
            <w:vAlign w:val="center"/>
          </w:tcPr>
          <w:p w14:paraId="5EA94E2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.442</w:t>
            </w:r>
            <w:r>
              <w:rPr>
                <w:sz w:val="14"/>
                <w:szCs w:val="14"/>
                <w:vertAlign w:val="superscript"/>
              </w:rPr>
              <w:t>**</w:t>
            </w:r>
          </w:p>
        </w:tc>
        <w:tc>
          <w:tcPr>
            <w:tcW w:w="567" w:type="dxa"/>
            <w:vAlign w:val="center"/>
          </w:tcPr>
          <w:p w14:paraId="2028A2BC"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.224</w:t>
            </w:r>
          </w:p>
        </w:tc>
        <w:tc>
          <w:tcPr>
            <w:tcW w:w="567" w:type="dxa"/>
            <w:vAlign w:val="center"/>
          </w:tcPr>
          <w:p w14:paraId="51F7DB57"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.176</w:t>
            </w:r>
          </w:p>
        </w:tc>
        <w:tc>
          <w:tcPr>
            <w:tcW w:w="567" w:type="dxa"/>
            <w:vAlign w:val="center"/>
          </w:tcPr>
          <w:p w14:paraId="2CA678A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.268</w:t>
            </w:r>
            <w:r>
              <w:rPr>
                <w:sz w:val="14"/>
                <w:szCs w:val="14"/>
                <w:vertAlign w:val="superscript"/>
              </w:rPr>
              <w:t>*</w:t>
            </w:r>
          </w:p>
        </w:tc>
        <w:tc>
          <w:tcPr>
            <w:tcW w:w="567" w:type="dxa"/>
            <w:vAlign w:val="center"/>
          </w:tcPr>
          <w:p w14:paraId="096FE65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.479</w:t>
            </w:r>
            <w:r>
              <w:rPr>
                <w:sz w:val="14"/>
                <w:szCs w:val="14"/>
                <w:vertAlign w:val="superscript"/>
              </w:rPr>
              <w:t>**</w:t>
            </w:r>
          </w:p>
        </w:tc>
        <w:tc>
          <w:tcPr>
            <w:tcW w:w="567" w:type="dxa"/>
            <w:vAlign w:val="center"/>
          </w:tcPr>
          <w:p w14:paraId="24E4E74F"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.709</w:t>
            </w:r>
            <w:r>
              <w:rPr>
                <w:sz w:val="14"/>
                <w:szCs w:val="14"/>
                <w:vertAlign w:val="superscript"/>
              </w:rPr>
              <w:t>**</w:t>
            </w:r>
          </w:p>
        </w:tc>
        <w:tc>
          <w:tcPr>
            <w:tcW w:w="567" w:type="dxa"/>
            <w:vAlign w:val="center"/>
          </w:tcPr>
          <w:p w14:paraId="7C8A88A7"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w:t>
            </w:r>
          </w:p>
        </w:tc>
        <w:tc>
          <w:tcPr>
            <w:tcW w:w="567" w:type="dxa"/>
            <w:vAlign w:val="center"/>
          </w:tcPr>
          <w:p w14:paraId="69A96F64"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461" w:type="dxa"/>
            <w:vAlign w:val="center"/>
          </w:tcPr>
          <w:p w14:paraId="242351E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531" w:type="dxa"/>
            <w:vAlign w:val="center"/>
          </w:tcPr>
          <w:p w14:paraId="7A0AE1F0"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356" w:type="dxa"/>
            <w:vAlign w:val="center"/>
          </w:tcPr>
          <w:p w14:paraId="0E8AA329"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r>
      <w:tr w:rsidR="008A2CAD" w14:paraId="06583E71" w14:textId="77777777" w:rsidTr="00CE0184">
        <w:tc>
          <w:tcPr>
            <w:cnfStyle w:val="001000000000" w:firstRow="0" w:lastRow="0" w:firstColumn="1" w:lastColumn="0" w:oddVBand="0" w:evenVBand="0" w:oddHBand="0" w:evenHBand="0" w:firstRowFirstColumn="0" w:firstRowLastColumn="0" w:lastRowFirstColumn="0" w:lastRowLastColumn="0"/>
            <w:tcW w:w="382" w:type="dxa"/>
            <w:vAlign w:val="center"/>
          </w:tcPr>
          <w:p w14:paraId="1F45C069" w14:textId="77777777" w:rsidR="008A2CAD" w:rsidRDefault="008A2CAD" w:rsidP="00CE0184">
            <w:pPr>
              <w:spacing w:line="360" w:lineRule="auto"/>
              <w:rPr>
                <w:sz w:val="14"/>
                <w:szCs w:val="14"/>
              </w:rPr>
            </w:pPr>
            <w:r>
              <w:rPr>
                <w:b w:val="0"/>
                <w:sz w:val="14"/>
                <w:szCs w:val="14"/>
              </w:rPr>
              <w:t>8</w:t>
            </w:r>
          </w:p>
        </w:tc>
        <w:tc>
          <w:tcPr>
            <w:tcW w:w="1853" w:type="dxa"/>
            <w:tcBorders>
              <w:right w:val="single" w:sz="8" w:space="0" w:color="000000"/>
            </w:tcBorders>
            <w:vAlign w:val="center"/>
          </w:tcPr>
          <w:p w14:paraId="51F33CCF"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b/>
                <w:sz w:val="14"/>
                <w:szCs w:val="14"/>
              </w:rPr>
            </w:pPr>
            <w:r>
              <w:rPr>
                <w:b/>
                <w:sz w:val="14"/>
                <w:szCs w:val="14"/>
              </w:rPr>
              <w:t>VRIO - Rare (R1) - Document Formal Project Management Knowledge</w:t>
            </w:r>
          </w:p>
        </w:tc>
        <w:tc>
          <w:tcPr>
            <w:tcW w:w="567" w:type="dxa"/>
            <w:tcBorders>
              <w:left w:val="single" w:sz="8" w:space="0" w:color="000000"/>
              <w:right w:val="nil"/>
            </w:tcBorders>
            <w:vAlign w:val="center"/>
          </w:tcPr>
          <w:p w14:paraId="7B70A1AB"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4.02</w:t>
            </w:r>
          </w:p>
        </w:tc>
        <w:tc>
          <w:tcPr>
            <w:tcW w:w="461" w:type="dxa"/>
            <w:tcBorders>
              <w:left w:val="nil"/>
              <w:right w:val="single" w:sz="8" w:space="0" w:color="000000"/>
            </w:tcBorders>
            <w:vAlign w:val="center"/>
          </w:tcPr>
          <w:p w14:paraId="2AF7207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1.33</w:t>
            </w:r>
          </w:p>
        </w:tc>
        <w:tc>
          <w:tcPr>
            <w:tcW w:w="673" w:type="dxa"/>
            <w:tcBorders>
              <w:left w:val="single" w:sz="8" w:space="0" w:color="000000"/>
            </w:tcBorders>
            <w:vAlign w:val="center"/>
          </w:tcPr>
          <w:p w14:paraId="65A58577"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-.057</w:t>
            </w:r>
          </w:p>
        </w:tc>
        <w:tc>
          <w:tcPr>
            <w:tcW w:w="567" w:type="dxa"/>
            <w:vAlign w:val="center"/>
          </w:tcPr>
          <w:p w14:paraId="19FE1953"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.196</w:t>
            </w:r>
          </w:p>
        </w:tc>
        <w:tc>
          <w:tcPr>
            <w:tcW w:w="567" w:type="dxa"/>
            <w:vAlign w:val="center"/>
          </w:tcPr>
          <w:p w14:paraId="441E38A1"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-.005</w:t>
            </w:r>
          </w:p>
        </w:tc>
        <w:tc>
          <w:tcPr>
            <w:tcW w:w="567" w:type="dxa"/>
            <w:vAlign w:val="center"/>
          </w:tcPr>
          <w:p w14:paraId="566F4A2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.185</w:t>
            </w:r>
          </w:p>
        </w:tc>
        <w:tc>
          <w:tcPr>
            <w:tcW w:w="567" w:type="dxa"/>
            <w:vAlign w:val="center"/>
          </w:tcPr>
          <w:p w14:paraId="067CE04A"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-.124</w:t>
            </w:r>
          </w:p>
        </w:tc>
        <w:tc>
          <w:tcPr>
            <w:tcW w:w="567" w:type="dxa"/>
            <w:vAlign w:val="center"/>
          </w:tcPr>
          <w:p w14:paraId="7FB51EBE"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-.300</w:t>
            </w:r>
            <w:r>
              <w:rPr>
                <w:sz w:val="14"/>
                <w:szCs w:val="14"/>
                <w:vertAlign w:val="superscript"/>
              </w:rPr>
              <w:t>*</w:t>
            </w:r>
          </w:p>
        </w:tc>
        <w:tc>
          <w:tcPr>
            <w:tcW w:w="567" w:type="dxa"/>
            <w:vAlign w:val="center"/>
          </w:tcPr>
          <w:p w14:paraId="62695123"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-.082</w:t>
            </w:r>
          </w:p>
        </w:tc>
        <w:tc>
          <w:tcPr>
            <w:tcW w:w="567" w:type="dxa"/>
            <w:vAlign w:val="center"/>
          </w:tcPr>
          <w:p w14:paraId="7D5A9E20"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w:t>
            </w:r>
          </w:p>
        </w:tc>
        <w:tc>
          <w:tcPr>
            <w:tcW w:w="461" w:type="dxa"/>
            <w:vAlign w:val="center"/>
          </w:tcPr>
          <w:p w14:paraId="18713FD7"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531" w:type="dxa"/>
            <w:vAlign w:val="center"/>
          </w:tcPr>
          <w:p w14:paraId="4BAAEBA7"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c>
          <w:tcPr>
            <w:tcW w:w="356" w:type="dxa"/>
            <w:vAlign w:val="center"/>
          </w:tcPr>
          <w:p w14:paraId="771F499F"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r>
      <w:tr w:rsidR="008A2CAD" w14:paraId="0549E4B0"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dxa"/>
            <w:vAlign w:val="center"/>
          </w:tcPr>
          <w:p w14:paraId="02603B43" w14:textId="77777777" w:rsidR="008A2CAD" w:rsidRDefault="008A2CAD" w:rsidP="00CE0184">
            <w:pPr>
              <w:spacing w:line="360" w:lineRule="auto"/>
              <w:rPr>
                <w:sz w:val="14"/>
                <w:szCs w:val="14"/>
              </w:rPr>
            </w:pPr>
            <w:r>
              <w:rPr>
                <w:b w:val="0"/>
                <w:sz w:val="14"/>
                <w:szCs w:val="14"/>
              </w:rPr>
              <w:t>9</w:t>
            </w:r>
          </w:p>
        </w:tc>
        <w:tc>
          <w:tcPr>
            <w:tcW w:w="1853" w:type="dxa"/>
            <w:tcBorders>
              <w:right w:val="single" w:sz="8" w:space="0" w:color="000000"/>
            </w:tcBorders>
            <w:vAlign w:val="center"/>
          </w:tcPr>
          <w:p w14:paraId="40CE3462"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VRIO - Rare (R2) - Development of Individual Intangible Knowledge</w:t>
            </w:r>
          </w:p>
        </w:tc>
        <w:tc>
          <w:tcPr>
            <w:tcW w:w="567" w:type="dxa"/>
            <w:tcBorders>
              <w:left w:val="single" w:sz="8" w:space="0" w:color="000000"/>
            </w:tcBorders>
            <w:vAlign w:val="center"/>
          </w:tcPr>
          <w:p w14:paraId="41BC728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3.91</w:t>
            </w:r>
          </w:p>
        </w:tc>
        <w:tc>
          <w:tcPr>
            <w:tcW w:w="461" w:type="dxa"/>
            <w:tcBorders>
              <w:right w:val="single" w:sz="8" w:space="0" w:color="000000"/>
            </w:tcBorders>
            <w:vAlign w:val="center"/>
          </w:tcPr>
          <w:p w14:paraId="7582E7E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1.58</w:t>
            </w:r>
          </w:p>
        </w:tc>
        <w:tc>
          <w:tcPr>
            <w:tcW w:w="673" w:type="dxa"/>
            <w:tcBorders>
              <w:left w:val="single" w:sz="8" w:space="0" w:color="000000"/>
            </w:tcBorders>
            <w:vAlign w:val="center"/>
          </w:tcPr>
          <w:p w14:paraId="3A08807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-.018</w:t>
            </w:r>
          </w:p>
        </w:tc>
        <w:tc>
          <w:tcPr>
            <w:tcW w:w="567" w:type="dxa"/>
            <w:vAlign w:val="center"/>
          </w:tcPr>
          <w:p w14:paraId="7334F107"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.094</w:t>
            </w:r>
          </w:p>
        </w:tc>
        <w:tc>
          <w:tcPr>
            <w:tcW w:w="567" w:type="dxa"/>
            <w:vAlign w:val="center"/>
          </w:tcPr>
          <w:p w14:paraId="510F824B"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-.093</w:t>
            </w:r>
          </w:p>
        </w:tc>
        <w:tc>
          <w:tcPr>
            <w:tcW w:w="567" w:type="dxa"/>
            <w:vAlign w:val="center"/>
          </w:tcPr>
          <w:p w14:paraId="5B064EB0"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.139</w:t>
            </w:r>
          </w:p>
        </w:tc>
        <w:tc>
          <w:tcPr>
            <w:tcW w:w="567" w:type="dxa"/>
            <w:vAlign w:val="center"/>
          </w:tcPr>
          <w:p w14:paraId="1C058EC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.067</w:t>
            </w:r>
          </w:p>
        </w:tc>
        <w:tc>
          <w:tcPr>
            <w:tcW w:w="567" w:type="dxa"/>
            <w:vAlign w:val="center"/>
          </w:tcPr>
          <w:p w14:paraId="1C4438A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-.134</w:t>
            </w:r>
          </w:p>
        </w:tc>
        <w:tc>
          <w:tcPr>
            <w:tcW w:w="567" w:type="dxa"/>
            <w:vAlign w:val="center"/>
          </w:tcPr>
          <w:p w14:paraId="003DFA8C"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.064</w:t>
            </w:r>
          </w:p>
        </w:tc>
        <w:tc>
          <w:tcPr>
            <w:tcW w:w="567" w:type="dxa"/>
            <w:vAlign w:val="center"/>
          </w:tcPr>
          <w:p w14:paraId="64C16FD9"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.759</w:t>
            </w:r>
            <w:r>
              <w:rPr>
                <w:sz w:val="14"/>
                <w:szCs w:val="14"/>
                <w:vertAlign w:val="superscript"/>
              </w:rPr>
              <w:t>**</w:t>
            </w:r>
          </w:p>
        </w:tc>
        <w:tc>
          <w:tcPr>
            <w:tcW w:w="461" w:type="dxa"/>
            <w:vAlign w:val="center"/>
          </w:tcPr>
          <w:p w14:paraId="6BECD15D"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w:t>
            </w:r>
          </w:p>
        </w:tc>
        <w:tc>
          <w:tcPr>
            <w:tcW w:w="531" w:type="dxa"/>
            <w:vAlign w:val="center"/>
          </w:tcPr>
          <w:p w14:paraId="7728DCD6"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c>
          <w:tcPr>
            <w:tcW w:w="356" w:type="dxa"/>
            <w:vAlign w:val="center"/>
          </w:tcPr>
          <w:p w14:paraId="75ACE7E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p>
        </w:tc>
      </w:tr>
      <w:tr w:rsidR="008A2CAD" w14:paraId="2F5C8D79" w14:textId="77777777" w:rsidTr="00CE0184">
        <w:tc>
          <w:tcPr>
            <w:cnfStyle w:val="001000000000" w:firstRow="0" w:lastRow="0" w:firstColumn="1" w:lastColumn="0" w:oddVBand="0" w:evenVBand="0" w:oddHBand="0" w:evenHBand="0" w:firstRowFirstColumn="0" w:firstRowLastColumn="0" w:lastRowFirstColumn="0" w:lastRowLastColumn="0"/>
            <w:tcW w:w="382" w:type="dxa"/>
            <w:vAlign w:val="center"/>
          </w:tcPr>
          <w:p w14:paraId="7ED6DDF8" w14:textId="77777777" w:rsidR="008A2CAD" w:rsidRDefault="008A2CAD" w:rsidP="00CE0184">
            <w:pPr>
              <w:spacing w:line="360" w:lineRule="auto"/>
              <w:rPr>
                <w:sz w:val="14"/>
                <w:szCs w:val="14"/>
              </w:rPr>
            </w:pPr>
            <w:r>
              <w:rPr>
                <w:b w:val="0"/>
                <w:sz w:val="14"/>
                <w:szCs w:val="14"/>
              </w:rPr>
              <w:t>10</w:t>
            </w:r>
          </w:p>
        </w:tc>
        <w:tc>
          <w:tcPr>
            <w:tcW w:w="1853" w:type="dxa"/>
            <w:tcBorders>
              <w:right w:val="single" w:sz="8" w:space="0" w:color="000000"/>
            </w:tcBorders>
            <w:vAlign w:val="center"/>
          </w:tcPr>
          <w:p w14:paraId="140E6F7A"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b/>
                <w:sz w:val="14"/>
                <w:szCs w:val="14"/>
              </w:rPr>
            </w:pPr>
            <w:r>
              <w:rPr>
                <w:b/>
                <w:sz w:val="14"/>
                <w:szCs w:val="14"/>
              </w:rPr>
              <w:t>VRIO - Imitable (I1) - Embedded Assets</w:t>
            </w:r>
          </w:p>
        </w:tc>
        <w:tc>
          <w:tcPr>
            <w:tcW w:w="567" w:type="dxa"/>
            <w:tcBorders>
              <w:left w:val="single" w:sz="8" w:space="0" w:color="000000"/>
              <w:right w:val="nil"/>
            </w:tcBorders>
            <w:vAlign w:val="center"/>
          </w:tcPr>
          <w:p w14:paraId="08D762E1"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3.69</w:t>
            </w:r>
          </w:p>
        </w:tc>
        <w:tc>
          <w:tcPr>
            <w:tcW w:w="461" w:type="dxa"/>
            <w:tcBorders>
              <w:left w:val="nil"/>
              <w:right w:val="single" w:sz="8" w:space="0" w:color="000000"/>
            </w:tcBorders>
            <w:vAlign w:val="center"/>
          </w:tcPr>
          <w:p w14:paraId="49F9171F"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.95</w:t>
            </w:r>
          </w:p>
        </w:tc>
        <w:tc>
          <w:tcPr>
            <w:tcW w:w="673" w:type="dxa"/>
            <w:tcBorders>
              <w:left w:val="single" w:sz="8" w:space="0" w:color="000000"/>
            </w:tcBorders>
            <w:vAlign w:val="center"/>
          </w:tcPr>
          <w:p w14:paraId="73F8E1BE"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.422</w:t>
            </w:r>
            <w:r>
              <w:rPr>
                <w:sz w:val="14"/>
                <w:szCs w:val="14"/>
                <w:vertAlign w:val="superscript"/>
              </w:rPr>
              <w:t>**</w:t>
            </w:r>
          </w:p>
        </w:tc>
        <w:tc>
          <w:tcPr>
            <w:tcW w:w="567" w:type="dxa"/>
            <w:vAlign w:val="center"/>
          </w:tcPr>
          <w:p w14:paraId="2DF91BED"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.435</w:t>
            </w:r>
            <w:r>
              <w:rPr>
                <w:sz w:val="14"/>
                <w:szCs w:val="14"/>
                <w:vertAlign w:val="superscript"/>
              </w:rPr>
              <w:t>**</w:t>
            </w:r>
          </w:p>
        </w:tc>
        <w:tc>
          <w:tcPr>
            <w:tcW w:w="567" w:type="dxa"/>
            <w:vAlign w:val="center"/>
          </w:tcPr>
          <w:p w14:paraId="48B12E23"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.270</w:t>
            </w:r>
          </w:p>
        </w:tc>
        <w:tc>
          <w:tcPr>
            <w:tcW w:w="567" w:type="dxa"/>
            <w:vAlign w:val="center"/>
          </w:tcPr>
          <w:p w14:paraId="5043C2CA"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.264</w:t>
            </w:r>
          </w:p>
        </w:tc>
        <w:tc>
          <w:tcPr>
            <w:tcW w:w="567" w:type="dxa"/>
            <w:vAlign w:val="center"/>
          </w:tcPr>
          <w:p w14:paraId="5294A390"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.450</w:t>
            </w:r>
            <w:r>
              <w:rPr>
                <w:sz w:val="14"/>
                <w:szCs w:val="14"/>
                <w:vertAlign w:val="superscript"/>
              </w:rPr>
              <w:t>**</w:t>
            </w:r>
          </w:p>
        </w:tc>
        <w:tc>
          <w:tcPr>
            <w:tcW w:w="567" w:type="dxa"/>
            <w:vAlign w:val="center"/>
          </w:tcPr>
          <w:p w14:paraId="2B539F8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.171</w:t>
            </w:r>
          </w:p>
        </w:tc>
        <w:tc>
          <w:tcPr>
            <w:tcW w:w="567" w:type="dxa"/>
            <w:vAlign w:val="center"/>
          </w:tcPr>
          <w:p w14:paraId="421C048A"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.266</w:t>
            </w:r>
          </w:p>
        </w:tc>
        <w:tc>
          <w:tcPr>
            <w:tcW w:w="567" w:type="dxa"/>
            <w:vAlign w:val="center"/>
          </w:tcPr>
          <w:p w14:paraId="47E6FDB2"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-.024</w:t>
            </w:r>
          </w:p>
        </w:tc>
        <w:tc>
          <w:tcPr>
            <w:tcW w:w="461" w:type="dxa"/>
            <w:vAlign w:val="center"/>
          </w:tcPr>
          <w:p w14:paraId="039F6E29"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.155</w:t>
            </w:r>
          </w:p>
        </w:tc>
        <w:tc>
          <w:tcPr>
            <w:tcW w:w="531" w:type="dxa"/>
            <w:vAlign w:val="center"/>
          </w:tcPr>
          <w:p w14:paraId="1651BBDE"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1</w:t>
            </w:r>
          </w:p>
        </w:tc>
        <w:tc>
          <w:tcPr>
            <w:tcW w:w="356" w:type="dxa"/>
            <w:vAlign w:val="center"/>
          </w:tcPr>
          <w:p w14:paraId="58A0E420" w14:textId="77777777" w:rsidR="008A2CAD" w:rsidRDefault="008A2CAD" w:rsidP="00CE0184">
            <w:pPr>
              <w:spacing w:line="360" w:lineRule="auto"/>
              <w:cnfStyle w:val="000000000000" w:firstRow="0" w:lastRow="0" w:firstColumn="0" w:lastColumn="0" w:oddVBand="0" w:evenVBand="0" w:oddHBand="0" w:evenHBand="0" w:firstRowFirstColumn="0" w:firstRowLastColumn="0" w:lastRowFirstColumn="0" w:lastRowLastColumn="0"/>
              <w:rPr>
                <w:sz w:val="14"/>
                <w:szCs w:val="14"/>
              </w:rPr>
            </w:pPr>
          </w:p>
        </w:tc>
      </w:tr>
      <w:tr w:rsidR="008A2CAD" w14:paraId="1BA89CB6" w14:textId="77777777" w:rsidTr="00CE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dxa"/>
            <w:vAlign w:val="center"/>
          </w:tcPr>
          <w:p w14:paraId="0CAC1960" w14:textId="77777777" w:rsidR="008A2CAD" w:rsidRDefault="008A2CAD" w:rsidP="00CE0184">
            <w:pPr>
              <w:spacing w:line="360" w:lineRule="auto"/>
              <w:rPr>
                <w:sz w:val="14"/>
                <w:szCs w:val="14"/>
              </w:rPr>
            </w:pPr>
            <w:r>
              <w:rPr>
                <w:b w:val="0"/>
                <w:sz w:val="14"/>
                <w:szCs w:val="14"/>
              </w:rPr>
              <w:t>11</w:t>
            </w:r>
          </w:p>
        </w:tc>
        <w:tc>
          <w:tcPr>
            <w:tcW w:w="1853" w:type="dxa"/>
            <w:tcBorders>
              <w:bottom w:val="single" w:sz="8" w:space="0" w:color="000000"/>
              <w:right w:val="single" w:sz="8" w:space="0" w:color="000000"/>
            </w:tcBorders>
            <w:vAlign w:val="center"/>
          </w:tcPr>
          <w:p w14:paraId="4156371D"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b/>
                <w:sz w:val="14"/>
                <w:szCs w:val="14"/>
              </w:rPr>
            </w:pPr>
            <w:r>
              <w:rPr>
                <w:b/>
                <w:sz w:val="14"/>
                <w:szCs w:val="14"/>
              </w:rPr>
              <w:t>VRIO - Imitable (I2) - Embedded Codified Proprietary Tangible Assets</w:t>
            </w:r>
          </w:p>
        </w:tc>
        <w:tc>
          <w:tcPr>
            <w:tcW w:w="567" w:type="dxa"/>
            <w:tcBorders>
              <w:left w:val="single" w:sz="8" w:space="0" w:color="000000"/>
              <w:bottom w:val="single" w:sz="8" w:space="0" w:color="000000"/>
            </w:tcBorders>
            <w:vAlign w:val="center"/>
          </w:tcPr>
          <w:p w14:paraId="238D3911"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3.80</w:t>
            </w:r>
          </w:p>
        </w:tc>
        <w:tc>
          <w:tcPr>
            <w:tcW w:w="461" w:type="dxa"/>
            <w:tcBorders>
              <w:bottom w:val="single" w:sz="8" w:space="0" w:color="000000"/>
              <w:right w:val="single" w:sz="8" w:space="0" w:color="000000"/>
            </w:tcBorders>
            <w:vAlign w:val="center"/>
          </w:tcPr>
          <w:p w14:paraId="7BD2F95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1.21</w:t>
            </w:r>
          </w:p>
        </w:tc>
        <w:tc>
          <w:tcPr>
            <w:tcW w:w="673" w:type="dxa"/>
            <w:tcBorders>
              <w:left w:val="single" w:sz="8" w:space="0" w:color="000000"/>
            </w:tcBorders>
            <w:vAlign w:val="center"/>
          </w:tcPr>
          <w:p w14:paraId="67B59431"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.172</w:t>
            </w:r>
          </w:p>
        </w:tc>
        <w:tc>
          <w:tcPr>
            <w:tcW w:w="567" w:type="dxa"/>
            <w:vAlign w:val="center"/>
          </w:tcPr>
          <w:p w14:paraId="3C02FE2F"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.186</w:t>
            </w:r>
          </w:p>
        </w:tc>
        <w:tc>
          <w:tcPr>
            <w:tcW w:w="567" w:type="dxa"/>
            <w:vAlign w:val="center"/>
          </w:tcPr>
          <w:p w14:paraId="59DE1781"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.129</w:t>
            </w:r>
          </w:p>
        </w:tc>
        <w:tc>
          <w:tcPr>
            <w:tcW w:w="567" w:type="dxa"/>
            <w:vAlign w:val="center"/>
          </w:tcPr>
          <w:p w14:paraId="3838A62D"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.189</w:t>
            </w:r>
          </w:p>
        </w:tc>
        <w:tc>
          <w:tcPr>
            <w:tcW w:w="567" w:type="dxa"/>
            <w:vAlign w:val="center"/>
          </w:tcPr>
          <w:p w14:paraId="704BDEEA"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.304</w:t>
            </w:r>
            <w:r>
              <w:rPr>
                <w:sz w:val="14"/>
                <w:szCs w:val="14"/>
                <w:vertAlign w:val="superscript"/>
              </w:rPr>
              <w:t>*</w:t>
            </w:r>
          </w:p>
        </w:tc>
        <w:tc>
          <w:tcPr>
            <w:tcW w:w="567" w:type="dxa"/>
            <w:vAlign w:val="center"/>
          </w:tcPr>
          <w:p w14:paraId="29B3BDA8"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.164</w:t>
            </w:r>
          </w:p>
        </w:tc>
        <w:tc>
          <w:tcPr>
            <w:tcW w:w="567" w:type="dxa"/>
            <w:vAlign w:val="center"/>
          </w:tcPr>
          <w:p w14:paraId="6F7F993D"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.026</w:t>
            </w:r>
          </w:p>
        </w:tc>
        <w:tc>
          <w:tcPr>
            <w:tcW w:w="567" w:type="dxa"/>
            <w:vAlign w:val="center"/>
          </w:tcPr>
          <w:p w14:paraId="0D26B6BE"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.104</w:t>
            </w:r>
          </w:p>
        </w:tc>
        <w:tc>
          <w:tcPr>
            <w:tcW w:w="461" w:type="dxa"/>
            <w:vAlign w:val="center"/>
          </w:tcPr>
          <w:p w14:paraId="213D5AFC"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.105</w:t>
            </w:r>
          </w:p>
        </w:tc>
        <w:tc>
          <w:tcPr>
            <w:tcW w:w="531" w:type="dxa"/>
            <w:vAlign w:val="center"/>
          </w:tcPr>
          <w:p w14:paraId="49D845B8"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.304</w:t>
            </w:r>
            <w:r>
              <w:rPr>
                <w:sz w:val="14"/>
                <w:szCs w:val="14"/>
                <w:vertAlign w:val="superscript"/>
              </w:rPr>
              <w:t>*</w:t>
            </w:r>
          </w:p>
        </w:tc>
        <w:tc>
          <w:tcPr>
            <w:tcW w:w="356" w:type="dxa"/>
            <w:vAlign w:val="center"/>
          </w:tcPr>
          <w:p w14:paraId="08F78B53" w14:textId="77777777" w:rsidR="008A2CAD" w:rsidRDefault="008A2CAD" w:rsidP="00CE0184">
            <w:pPr>
              <w:spacing w:line="360" w:lineRule="auto"/>
              <w:cnfStyle w:val="000000100000" w:firstRow="0" w:lastRow="0" w:firstColumn="0" w:lastColumn="0" w:oddVBand="0" w:evenVBand="0" w:oddHBand="1" w:evenHBand="0" w:firstRowFirstColumn="0" w:firstRowLastColumn="0" w:lastRowFirstColumn="0" w:lastRowLastColumn="0"/>
              <w:rPr>
                <w:sz w:val="14"/>
                <w:szCs w:val="14"/>
              </w:rPr>
            </w:pPr>
            <w:r>
              <w:rPr>
                <w:sz w:val="14"/>
                <w:szCs w:val="14"/>
              </w:rPr>
              <w:t>1</w:t>
            </w:r>
          </w:p>
        </w:tc>
      </w:tr>
    </w:tbl>
    <w:p w14:paraId="2E90B661" w14:textId="77777777" w:rsidR="008A2CAD" w:rsidRDefault="008A2CAD" w:rsidP="008A2CAD">
      <w:pPr>
        <w:spacing w:line="360" w:lineRule="auto"/>
        <w:rPr>
          <w:sz w:val="20"/>
          <w:szCs w:val="20"/>
        </w:rPr>
      </w:pPr>
      <w:r>
        <w:rPr>
          <w:sz w:val="20"/>
          <w:szCs w:val="20"/>
        </w:rPr>
        <w:t>Note. ** p &lt; .01, * p &lt; .05</w:t>
      </w:r>
    </w:p>
    <w:p w14:paraId="00B16CED" w14:textId="77777777" w:rsidR="008A2CAD" w:rsidRDefault="008A2CAD" w:rsidP="008A2CAD">
      <w:pPr>
        <w:spacing w:line="360" w:lineRule="auto"/>
        <w:rPr>
          <w:sz w:val="20"/>
          <w:szCs w:val="20"/>
        </w:rPr>
      </w:pPr>
    </w:p>
    <w:p w14:paraId="2EC91D60" w14:textId="15ED74AB" w:rsidR="008A2CAD" w:rsidRDefault="008A2CAD">
      <w:pPr>
        <w:rPr>
          <w:b/>
          <w:color w:val="000000"/>
        </w:rPr>
      </w:pPr>
      <w:r>
        <w:rPr>
          <w:b/>
          <w:color w:val="000000"/>
        </w:rPr>
        <w:br w:type="page"/>
      </w:r>
    </w:p>
    <w:p w14:paraId="51A1713A" w14:textId="3981A53F" w:rsidR="008A2CAD" w:rsidRDefault="008A2CAD">
      <w:pPr>
        <w:rPr>
          <w:b/>
          <w:color w:val="000000"/>
        </w:rPr>
      </w:pPr>
    </w:p>
    <w:p w14:paraId="3DAD404C" w14:textId="3A88785B" w:rsidR="008A2CAD" w:rsidRDefault="008A2CAD">
      <w:pPr>
        <w:rPr>
          <w:b/>
          <w:color w:val="000000"/>
        </w:rPr>
      </w:pPr>
    </w:p>
    <w:p w14:paraId="570C4558" w14:textId="372D9EF8" w:rsidR="008A2CAD" w:rsidRDefault="008A2CAD" w:rsidP="008A2CAD">
      <w:pPr>
        <w:ind w:left="284" w:hanging="284"/>
        <w:jc w:val="center"/>
        <w:rPr>
          <w:b/>
          <w:color w:val="000000"/>
        </w:rPr>
      </w:pPr>
      <w:r>
        <w:rPr>
          <w:b/>
          <w:color w:val="000000"/>
        </w:rPr>
        <w:t>TABLE 3</w:t>
      </w:r>
    </w:p>
    <w:p w14:paraId="065D3910" w14:textId="4162C97E" w:rsidR="008A2CAD" w:rsidRDefault="008A2CAD">
      <w:pPr>
        <w:rPr>
          <w:b/>
          <w:color w:val="000000"/>
        </w:rPr>
      </w:pPr>
    </w:p>
    <w:p w14:paraId="5C1AFF12" w14:textId="77777777" w:rsidR="008A2CAD" w:rsidRDefault="008A2CAD" w:rsidP="008A2CAD">
      <w:pPr>
        <w:spacing w:line="360" w:lineRule="auto"/>
        <w:rPr>
          <w:i/>
        </w:rPr>
      </w:pPr>
      <w:r>
        <w:rPr>
          <w:i/>
        </w:rPr>
        <w:t>Table 3: The project management asset endowments are valuable, rare, and imitable</w:t>
      </w:r>
    </w:p>
    <w:tbl>
      <w:tblPr>
        <w:tblStyle w:val="a9"/>
        <w:tblW w:w="9180" w:type="dxa"/>
        <w:tblInd w:w="-108" w:type="dxa"/>
        <w:tblBorders>
          <w:top w:val="single" w:sz="8" w:space="0" w:color="000000"/>
          <w:left w:val="single" w:sz="4" w:space="0" w:color="666666"/>
          <w:bottom w:val="single" w:sz="8" w:space="0" w:color="000000"/>
          <w:right w:val="single" w:sz="4" w:space="0" w:color="666666"/>
          <w:insideH w:val="single" w:sz="4" w:space="0" w:color="666666"/>
          <w:insideV w:val="single" w:sz="4" w:space="0" w:color="666666"/>
        </w:tblBorders>
        <w:tblLayout w:type="fixed"/>
        <w:tblLook w:val="0600" w:firstRow="0" w:lastRow="0" w:firstColumn="0" w:lastColumn="0" w:noHBand="1" w:noVBand="1"/>
      </w:tblPr>
      <w:tblGrid>
        <w:gridCol w:w="2376"/>
        <w:gridCol w:w="6804"/>
      </w:tblGrid>
      <w:tr w:rsidR="008A2CAD" w14:paraId="710538F4" w14:textId="77777777" w:rsidTr="00CE0184">
        <w:tc>
          <w:tcPr>
            <w:tcW w:w="2376" w:type="dxa"/>
            <w:tcBorders>
              <w:top w:val="single" w:sz="8" w:space="0" w:color="000000"/>
              <w:bottom w:val="single" w:sz="4" w:space="0" w:color="000000"/>
            </w:tcBorders>
          </w:tcPr>
          <w:p w14:paraId="12B830CE" w14:textId="77777777" w:rsidR="008A2CAD" w:rsidRDefault="008A2CAD" w:rsidP="00CE0184">
            <w:pPr>
              <w:spacing w:line="360" w:lineRule="auto"/>
              <w:rPr>
                <w:b/>
                <w:sz w:val="20"/>
                <w:szCs w:val="20"/>
              </w:rPr>
            </w:pPr>
          </w:p>
        </w:tc>
        <w:tc>
          <w:tcPr>
            <w:tcW w:w="6804" w:type="dxa"/>
            <w:tcBorders>
              <w:top w:val="single" w:sz="8" w:space="0" w:color="000000"/>
              <w:bottom w:val="single" w:sz="4" w:space="0" w:color="000000"/>
            </w:tcBorders>
          </w:tcPr>
          <w:p w14:paraId="3F350B74" w14:textId="77777777" w:rsidR="008A2CAD" w:rsidRDefault="008A2CAD" w:rsidP="00CE0184">
            <w:pPr>
              <w:spacing w:line="360" w:lineRule="auto"/>
              <w:rPr>
                <w:b/>
                <w:sz w:val="20"/>
                <w:szCs w:val="20"/>
              </w:rPr>
            </w:pPr>
            <w:r>
              <w:rPr>
                <w:b/>
                <w:sz w:val="20"/>
                <w:szCs w:val="20"/>
              </w:rPr>
              <w:t>Project management asset endowments</w:t>
            </w:r>
          </w:p>
        </w:tc>
      </w:tr>
      <w:tr w:rsidR="008A2CAD" w14:paraId="2087056B" w14:textId="77777777" w:rsidTr="00CE0184">
        <w:tc>
          <w:tcPr>
            <w:tcW w:w="2376" w:type="dxa"/>
            <w:tcBorders>
              <w:top w:val="single" w:sz="4" w:space="0" w:color="000000"/>
              <w:bottom w:val="single" w:sz="4" w:space="0" w:color="000000"/>
            </w:tcBorders>
          </w:tcPr>
          <w:p w14:paraId="7066E458" w14:textId="77777777" w:rsidR="008A2CAD" w:rsidRDefault="008A2CAD" w:rsidP="00CE0184">
            <w:pPr>
              <w:spacing w:line="360" w:lineRule="auto"/>
              <w:rPr>
                <w:b/>
                <w:sz w:val="20"/>
                <w:szCs w:val="20"/>
              </w:rPr>
            </w:pPr>
            <w:r>
              <w:rPr>
                <w:b/>
                <w:sz w:val="20"/>
                <w:szCs w:val="20"/>
              </w:rPr>
              <w:t>Valuable</w:t>
            </w:r>
          </w:p>
        </w:tc>
        <w:tc>
          <w:tcPr>
            <w:tcW w:w="6804" w:type="dxa"/>
            <w:tcBorders>
              <w:top w:val="single" w:sz="4" w:space="0" w:color="000000"/>
              <w:bottom w:val="single" w:sz="4" w:space="0" w:color="000000"/>
            </w:tcBorders>
          </w:tcPr>
          <w:p w14:paraId="3652FFFA" w14:textId="77777777" w:rsidR="008A2CAD" w:rsidRDefault="008A2CAD" w:rsidP="00CE0184">
            <w:pPr>
              <w:numPr>
                <w:ilvl w:val="0"/>
                <w:numId w:val="5"/>
              </w:numPr>
              <w:pBdr>
                <w:top w:val="nil"/>
                <w:left w:val="nil"/>
                <w:bottom w:val="nil"/>
                <w:right w:val="nil"/>
                <w:between w:val="nil"/>
              </w:pBdr>
              <w:spacing w:line="360" w:lineRule="auto"/>
              <w:rPr>
                <w:sz w:val="20"/>
                <w:szCs w:val="20"/>
              </w:rPr>
            </w:pPr>
            <w:r>
              <w:rPr>
                <w:sz w:val="20"/>
                <w:szCs w:val="20"/>
              </w:rPr>
              <w:t>Impart Project Management Knowledge (V1)</w:t>
            </w:r>
          </w:p>
          <w:p w14:paraId="2932E4FA" w14:textId="77777777" w:rsidR="008A2CAD" w:rsidRDefault="008A2CAD" w:rsidP="00CE0184">
            <w:pPr>
              <w:numPr>
                <w:ilvl w:val="0"/>
                <w:numId w:val="5"/>
              </w:numPr>
              <w:pBdr>
                <w:top w:val="nil"/>
                <w:left w:val="nil"/>
                <w:bottom w:val="nil"/>
                <w:right w:val="nil"/>
                <w:between w:val="nil"/>
              </w:pBdr>
              <w:spacing w:after="200" w:line="360" w:lineRule="auto"/>
              <w:rPr>
                <w:sz w:val="20"/>
                <w:szCs w:val="20"/>
              </w:rPr>
            </w:pPr>
            <w:r>
              <w:rPr>
                <w:sz w:val="20"/>
                <w:szCs w:val="20"/>
              </w:rPr>
              <w:t>Share Knowledge-Based Processes (V2)</w:t>
            </w:r>
          </w:p>
        </w:tc>
      </w:tr>
      <w:tr w:rsidR="008A2CAD" w14:paraId="040A6ACE" w14:textId="77777777" w:rsidTr="00CE0184">
        <w:tc>
          <w:tcPr>
            <w:tcW w:w="2376" w:type="dxa"/>
            <w:tcBorders>
              <w:top w:val="single" w:sz="4" w:space="0" w:color="000000"/>
              <w:bottom w:val="single" w:sz="4" w:space="0" w:color="000000"/>
            </w:tcBorders>
          </w:tcPr>
          <w:p w14:paraId="76E78EFE" w14:textId="77777777" w:rsidR="008A2CAD" w:rsidRDefault="008A2CAD" w:rsidP="00CE0184">
            <w:pPr>
              <w:spacing w:line="360" w:lineRule="auto"/>
              <w:rPr>
                <w:b/>
                <w:sz w:val="20"/>
                <w:szCs w:val="20"/>
              </w:rPr>
            </w:pPr>
            <w:r>
              <w:rPr>
                <w:b/>
                <w:sz w:val="20"/>
                <w:szCs w:val="20"/>
              </w:rPr>
              <w:t>Rare</w:t>
            </w:r>
          </w:p>
        </w:tc>
        <w:tc>
          <w:tcPr>
            <w:tcW w:w="6804" w:type="dxa"/>
            <w:tcBorders>
              <w:top w:val="single" w:sz="4" w:space="0" w:color="000000"/>
              <w:bottom w:val="single" w:sz="4" w:space="0" w:color="000000"/>
            </w:tcBorders>
          </w:tcPr>
          <w:p w14:paraId="2C659E29" w14:textId="77777777" w:rsidR="008A2CAD" w:rsidRDefault="008A2CAD" w:rsidP="00CE0184">
            <w:pPr>
              <w:numPr>
                <w:ilvl w:val="0"/>
                <w:numId w:val="1"/>
              </w:numPr>
              <w:pBdr>
                <w:top w:val="nil"/>
                <w:left w:val="nil"/>
                <w:bottom w:val="nil"/>
                <w:right w:val="nil"/>
                <w:between w:val="nil"/>
              </w:pBdr>
              <w:spacing w:line="360" w:lineRule="auto"/>
              <w:rPr>
                <w:sz w:val="20"/>
                <w:szCs w:val="20"/>
              </w:rPr>
            </w:pPr>
            <w:r>
              <w:rPr>
                <w:sz w:val="20"/>
                <w:szCs w:val="20"/>
              </w:rPr>
              <w:t>Document Formal Project Management Knowledge (R1)</w:t>
            </w:r>
          </w:p>
          <w:p w14:paraId="51715659" w14:textId="77777777" w:rsidR="008A2CAD" w:rsidRDefault="008A2CAD" w:rsidP="00CE0184">
            <w:pPr>
              <w:numPr>
                <w:ilvl w:val="0"/>
                <w:numId w:val="1"/>
              </w:numPr>
              <w:pBdr>
                <w:top w:val="nil"/>
                <w:left w:val="nil"/>
                <w:bottom w:val="nil"/>
                <w:right w:val="nil"/>
                <w:between w:val="nil"/>
              </w:pBdr>
              <w:spacing w:after="200" w:line="360" w:lineRule="auto"/>
              <w:rPr>
                <w:sz w:val="20"/>
                <w:szCs w:val="20"/>
              </w:rPr>
            </w:pPr>
            <w:r>
              <w:rPr>
                <w:sz w:val="20"/>
                <w:szCs w:val="20"/>
              </w:rPr>
              <w:t>Development of Individual Project Management Knowledge (R2)</w:t>
            </w:r>
          </w:p>
        </w:tc>
      </w:tr>
      <w:tr w:rsidR="008A2CAD" w14:paraId="70661903" w14:textId="77777777" w:rsidTr="00CE0184">
        <w:tc>
          <w:tcPr>
            <w:tcW w:w="2376" w:type="dxa"/>
            <w:tcBorders>
              <w:top w:val="single" w:sz="4" w:space="0" w:color="000000"/>
            </w:tcBorders>
          </w:tcPr>
          <w:p w14:paraId="1EB0057A" w14:textId="77777777" w:rsidR="008A2CAD" w:rsidRDefault="008A2CAD" w:rsidP="00CE0184">
            <w:pPr>
              <w:spacing w:line="360" w:lineRule="auto"/>
              <w:rPr>
                <w:b/>
                <w:sz w:val="20"/>
                <w:szCs w:val="20"/>
              </w:rPr>
            </w:pPr>
            <w:r>
              <w:rPr>
                <w:b/>
                <w:sz w:val="20"/>
                <w:szCs w:val="20"/>
              </w:rPr>
              <w:t>Imitable</w:t>
            </w:r>
          </w:p>
        </w:tc>
        <w:tc>
          <w:tcPr>
            <w:tcW w:w="6804" w:type="dxa"/>
            <w:tcBorders>
              <w:top w:val="single" w:sz="4" w:space="0" w:color="000000"/>
            </w:tcBorders>
          </w:tcPr>
          <w:p w14:paraId="61CEEC57" w14:textId="77777777" w:rsidR="008A2CAD" w:rsidRDefault="008A2CAD" w:rsidP="00CE0184">
            <w:pPr>
              <w:numPr>
                <w:ilvl w:val="0"/>
                <w:numId w:val="2"/>
              </w:numPr>
              <w:pBdr>
                <w:top w:val="nil"/>
                <w:left w:val="nil"/>
                <w:bottom w:val="nil"/>
                <w:right w:val="nil"/>
                <w:between w:val="nil"/>
              </w:pBdr>
              <w:spacing w:line="360" w:lineRule="auto"/>
              <w:rPr>
                <w:sz w:val="20"/>
                <w:szCs w:val="20"/>
              </w:rPr>
            </w:pPr>
            <w:r>
              <w:rPr>
                <w:sz w:val="20"/>
                <w:szCs w:val="20"/>
              </w:rPr>
              <w:t>Embedded Assets (I1)</w:t>
            </w:r>
          </w:p>
          <w:p w14:paraId="5A4DA955" w14:textId="77777777" w:rsidR="008A2CAD" w:rsidRDefault="008A2CAD" w:rsidP="00CE0184">
            <w:pPr>
              <w:numPr>
                <w:ilvl w:val="0"/>
                <w:numId w:val="2"/>
              </w:numPr>
              <w:pBdr>
                <w:top w:val="nil"/>
                <w:left w:val="nil"/>
                <w:bottom w:val="nil"/>
                <w:right w:val="nil"/>
                <w:between w:val="nil"/>
              </w:pBdr>
              <w:spacing w:after="200" w:line="360" w:lineRule="auto"/>
              <w:rPr>
                <w:sz w:val="20"/>
                <w:szCs w:val="20"/>
              </w:rPr>
            </w:pPr>
            <w:r>
              <w:rPr>
                <w:sz w:val="20"/>
                <w:szCs w:val="20"/>
              </w:rPr>
              <w:t>Embedded Codified and Proprietary Tangible Assets (I2)</w:t>
            </w:r>
          </w:p>
        </w:tc>
      </w:tr>
    </w:tbl>
    <w:p w14:paraId="17DA80F4" w14:textId="77777777" w:rsidR="008A2CAD" w:rsidRDefault="008A2CAD" w:rsidP="008A2CAD">
      <w:pPr>
        <w:spacing w:line="360" w:lineRule="auto"/>
      </w:pPr>
    </w:p>
    <w:p w14:paraId="05D8C6D6" w14:textId="6850ADF9" w:rsidR="008A2CAD" w:rsidRDefault="008A2CAD">
      <w:pPr>
        <w:rPr>
          <w:b/>
          <w:color w:val="000000"/>
        </w:rPr>
      </w:pPr>
    </w:p>
    <w:p w14:paraId="7A2F0611" w14:textId="7908A77E" w:rsidR="008A2CAD" w:rsidRDefault="008A2CAD">
      <w:pPr>
        <w:rPr>
          <w:b/>
          <w:color w:val="000000"/>
        </w:rPr>
      </w:pPr>
    </w:p>
    <w:p w14:paraId="5C0E8D93" w14:textId="355A2389" w:rsidR="008A2CAD" w:rsidRDefault="008A2CAD">
      <w:pPr>
        <w:rPr>
          <w:b/>
          <w:color w:val="000000"/>
        </w:rPr>
      </w:pPr>
    </w:p>
    <w:p w14:paraId="5E11FE28" w14:textId="735037FE" w:rsidR="008A2CAD" w:rsidRDefault="008A2CAD">
      <w:pPr>
        <w:rPr>
          <w:b/>
          <w:color w:val="000000"/>
        </w:rPr>
      </w:pPr>
      <w:r>
        <w:rPr>
          <w:b/>
          <w:color w:val="000000"/>
        </w:rPr>
        <w:br w:type="page"/>
      </w:r>
    </w:p>
    <w:p w14:paraId="7B78B8B7" w14:textId="77777777" w:rsidR="008A2CAD" w:rsidRDefault="008A2CAD">
      <w:pPr>
        <w:rPr>
          <w:b/>
          <w:color w:val="000000"/>
        </w:rPr>
      </w:pPr>
    </w:p>
    <w:p w14:paraId="53A5846F" w14:textId="1597A4F7" w:rsidR="008A2CAD" w:rsidRDefault="008A2CAD" w:rsidP="008A2CAD">
      <w:pPr>
        <w:ind w:left="284" w:hanging="284"/>
        <w:jc w:val="center"/>
        <w:rPr>
          <w:b/>
          <w:color w:val="000000"/>
        </w:rPr>
      </w:pPr>
      <w:r>
        <w:rPr>
          <w:b/>
          <w:color w:val="000000"/>
        </w:rPr>
        <w:t>FIGURE 1</w:t>
      </w:r>
    </w:p>
    <w:p w14:paraId="75A04609" w14:textId="20ABAADA" w:rsidR="008A2CAD" w:rsidRDefault="008A2CAD" w:rsidP="008A2CAD">
      <w:pPr>
        <w:ind w:left="284" w:hanging="284"/>
        <w:jc w:val="center"/>
        <w:rPr>
          <w:b/>
          <w:color w:val="000000"/>
        </w:rPr>
      </w:pPr>
    </w:p>
    <w:p w14:paraId="72305D83" w14:textId="77777777" w:rsidR="008A2CAD" w:rsidRDefault="008A2CAD" w:rsidP="008A2CAD">
      <w:pPr>
        <w:spacing w:line="360" w:lineRule="auto"/>
      </w:pPr>
      <w:r>
        <w:rPr>
          <w:noProof/>
        </w:rPr>
        <w:drawing>
          <wp:inline distT="0" distB="0" distL="0" distR="0" wp14:anchorId="2512E911" wp14:editId="062F5963">
            <wp:extent cx="5761355" cy="2865120"/>
            <wp:effectExtent l="12700" t="12700" r="17145" b="17780"/>
            <wp:docPr id="15" name="image3.png" descr="Sha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Shape&#10;&#10;Description automatically generated"/>
                    <pic:cNvPicPr preferRelativeResize="0"/>
                  </pic:nvPicPr>
                  <pic:blipFill>
                    <a:blip r:embed="rId19"/>
                    <a:srcRect/>
                    <a:stretch>
                      <a:fillRect/>
                    </a:stretch>
                  </pic:blipFill>
                  <pic:spPr>
                    <a:xfrm>
                      <a:off x="0" y="0"/>
                      <a:ext cx="5761355" cy="2865120"/>
                    </a:xfrm>
                    <a:prstGeom prst="rect">
                      <a:avLst/>
                    </a:prstGeom>
                    <a:noFill/>
                    <a:ln>
                      <a:solidFill>
                        <a:schemeClr val="tx1"/>
                      </a:solidFill>
                    </a:ln>
                  </pic:spPr>
                </pic:pic>
              </a:graphicData>
            </a:graphic>
          </wp:inline>
        </w:drawing>
      </w:r>
    </w:p>
    <w:p w14:paraId="44806566" w14:textId="77777777" w:rsidR="008A2CAD" w:rsidRDefault="008A2CAD" w:rsidP="008A2CAD">
      <w:pPr>
        <w:spacing w:line="360" w:lineRule="auto"/>
        <w:rPr>
          <w:i/>
        </w:rPr>
      </w:pPr>
      <w:r>
        <w:rPr>
          <w:i/>
        </w:rPr>
        <w:t>Figure 1: Model [1] F1-9 Independent Variables, F10, F11 Dependant Variables</w:t>
      </w:r>
    </w:p>
    <w:p w14:paraId="0CBEC8CF" w14:textId="44BF655D" w:rsidR="008A2CAD" w:rsidRDefault="008A2CAD" w:rsidP="008A2CAD">
      <w:pPr>
        <w:spacing w:line="360" w:lineRule="auto"/>
      </w:pPr>
    </w:p>
    <w:p w14:paraId="13531DDB" w14:textId="6AA0E2AD" w:rsidR="008A2CAD" w:rsidRDefault="008A2CAD" w:rsidP="008A2CAD">
      <w:pPr>
        <w:ind w:left="284" w:hanging="284"/>
        <w:jc w:val="center"/>
        <w:rPr>
          <w:b/>
          <w:color w:val="000000"/>
        </w:rPr>
      </w:pPr>
      <w:r>
        <w:rPr>
          <w:b/>
          <w:color w:val="000000"/>
        </w:rPr>
        <w:t>FIGURE 2</w:t>
      </w:r>
    </w:p>
    <w:p w14:paraId="7DA08D21" w14:textId="77777777" w:rsidR="008A2CAD" w:rsidRDefault="008A2CAD" w:rsidP="008A2CAD">
      <w:pPr>
        <w:spacing w:line="360" w:lineRule="auto"/>
      </w:pPr>
    </w:p>
    <w:p w14:paraId="0E2A5D02" w14:textId="77777777" w:rsidR="008A2CAD" w:rsidRDefault="008A2CAD" w:rsidP="008A2CAD">
      <w:pPr>
        <w:spacing w:line="360" w:lineRule="auto"/>
      </w:pPr>
      <w:r>
        <w:rPr>
          <w:noProof/>
        </w:rPr>
        <w:drawing>
          <wp:inline distT="0" distB="0" distL="0" distR="0" wp14:anchorId="1D299DDC" wp14:editId="585C00A9">
            <wp:extent cx="5761355" cy="3152140"/>
            <wp:effectExtent l="12700" t="12700" r="17145" b="10160"/>
            <wp:docPr id="17" name="image2.png" descr="Sha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Shape&#10;&#10;Description automatically generated"/>
                    <pic:cNvPicPr preferRelativeResize="0"/>
                  </pic:nvPicPr>
                  <pic:blipFill>
                    <a:blip r:embed="rId20"/>
                    <a:srcRect/>
                    <a:stretch>
                      <a:fillRect/>
                    </a:stretch>
                  </pic:blipFill>
                  <pic:spPr>
                    <a:xfrm>
                      <a:off x="0" y="0"/>
                      <a:ext cx="5761355" cy="3152140"/>
                    </a:xfrm>
                    <a:prstGeom prst="rect">
                      <a:avLst/>
                    </a:prstGeom>
                    <a:ln>
                      <a:solidFill>
                        <a:schemeClr val="tx1"/>
                      </a:solidFill>
                    </a:ln>
                  </pic:spPr>
                </pic:pic>
              </a:graphicData>
            </a:graphic>
          </wp:inline>
        </w:drawing>
      </w:r>
    </w:p>
    <w:p w14:paraId="0A3EC4DC" w14:textId="77777777" w:rsidR="008A2CAD" w:rsidRDefault="008A2CAD" w:rsidP="008A2CAD">
      <w:pPr>
        <w:spacing w:line="360" w:lineRule="auto"/>
        <w:rPr>
          <w:i/>
        </w:rPr>
      </w:pPr>
      <w:r>
        <w:rPr>
          <w:i/>
        </w:rPr>
        <w:t xml:space="preserve">Figure 2: Model [2] F1-6 Independent Variables, F7-F9 Moderating Variables, F10, F11 Dependent Variables </w:t>
      </w:r>
    </w:p>
    <w:p w14:paraId="74C6301A" w14:textId="3F0977F8" w:rsidR="008A2CAD" w:rsidRDefault="008A2CAD" w:rsidP="008A2CAD">
      <w:pPr>
        <w:ind w:left="284" w:hanging="284"/>
        <w:jc w:val="center"/>
        <w:rPr>
          <w:b/>
          <w:color w:val="000000"/>
        </w:rPr>
      </w:pPr>
    </w:p>
    <w:p w14:paraId="694C4C7E" w14:textId="54AA98C1" w:rsidR="008A2CAD" w:rsidRDefault="008A2CAD" w:rsidP="008A2CAD">
      <w:pPr>
        <w:ind w:left="284" w:hanging="284"/>
        <w:jc w:val="center"/>
        <w:rPr>
          <w:b/>
          <w:color w:val="000000"/>
        </w:rPr>
      </w:pPr>
    </w:p>
    <w:p w14:paraId="2FB2F7BC" w14:textId="77777777" w:rsidR="00F80DB4" w:rsidRDefault="00F80DB4" w:rsidP="008A2CAD">
      <w:pPr>
        <w:ind w:left="284" w:hanging="284"/>
        <w:jc w:val="center"/>
        <w:rPr>
          <w:b/>
          <w:color w:val="000000"/>
        </w:rPr>
      </w:pPr>
    </w:p>
    <w:p w14:paraId="0D44D9BB" w14:textId="2A1CE9C4" w:rsidR="008A2CAD" w:rsidRDefault="008A2CAD" w:rsidP="008A2CAD">
      <w:pPr>
        <w:ind w:left="284" w:hanging="284"/>
        <w:jc w:val="center"/>
        <w:rPr>
          <w:b/>
          <w:color w:val="000000"/>
        </w:rPr>
      </w:pPr>
      <w:r>
        <w:rPr>
          <w:b/>
          <w:color w:val="000000"/>
        </w:rPr>
        <w:lastRenderedPageBreak/>
        <w:t>FIGURE 3</w:t>
      </w:r>
    </w:p>
    <w:p w14:paraId="55325B3E" w14:textId="77777777" w:rsidR="008A2CAD" w:rsidRDefault="008A2CAD" w:rsidP="008A2CAD">
      <w:pPr>
        <w:spacing w:line="360" w:lineRule="auto"/>
      </w:pPr>
      <w:r>
        <w:rPr>
          <w:noProof/>
        </w:rPr>
        <w:drawing>
          <wp:inline distT="0" distB="0" distL="0" distR="0" wp14:anchorId="33305D35" wp14:editId="4230DCE5">
            <wp:extent cx="6288296" cy="4769820"/>
            <wp:effectExtent l="12700" t="12700" r="11430" b="18415"/>
            <wp:docPr id="16" name="image1.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Diagram&#10;&#10;Description automatically generated"/>
                    <pic:cNvPicPr preferRelativeResize="0"/>
                  </pic:nvPicPr>
                  <pic:blipFill>
                    <a:blip r:embed="rId21"/>
                    <a:srcRect/>
                    <a:stretch>
                      <a:fillRect/>
                    </a:stretch>
                  </pic:blipFill>
                  <pic:spPr>
                    <a:xfrm>
                      <a:off x="0" y="0"/>
                      <a:ext cx="6288296" cy="4769820"/>
                    </a:xfrm>
                    <a:prstGeom prst="rect">
                      <a:avLst/>
                    </a:prstGeom>
                    <a:ln>
                      <a:solidFill>
                        <a:schemeClr val="tx1"/>
                      </a:solidFill>
                    </a:ln>
                  </pic:spPr>
                </pic:pic>
              </a:graphicData>
            </a:graphic>
          </wp:inline>
        </w:drawing>
      </w:r>
    </w:p>
    <w:p w14:paraId="74F6559E" w14:textId="77777777" w:rsidR="008A2CAD" w:rsidRDefault="008A2CAD" w:rsidP="008A2CAD">
      <w:pPr>
        <w:ind w:left="284" w:hanging="284"/>
        <w:jc w:val="center"/>
        <w:rPr>
          <w:b/>
          <w:color w:val="000000"/>
        </w:rPr>
      </w:pPr>
    </w:p>
    <w:p w14:paraId="2EAA9DC6" w14:textId="529D3B3C" w:rsidR="008A2CAD" w:rsidRDefault="008A2CAD" w:rsidP="008A2CAD">
      <w:pPr>
        <w:ind w:left="284" w:hanging="284"/>
        <w:jc w:val="center"/>
        <w:rPr>
          <w:b/>
          <w:color w:val="000000"/>
        </w:rPr>
      </w:pPr>
      <w:r>
        <w:rPr>
          <w:b/>
          <w:color w:val="000000"/>
        </w:rPr>
        <w:t>FIGURE 3</w:t>
      </w:r>
    </w:p>
    <w:p w14:paraId="07E339E3" w14:textId="14D63EB5" w:rsidR="008A2CAD" w:rsidRDefault="008A2CAD" w:rsidP="008A2CAD">
      <w:pPr>
        <w:spacing w:line="360" w:lineRule="auto"/>
        <w:rPr>
          <w:i/>
        </w:rPr>
      </w:pPr>
      <w:r>
        <w:rPr>
          <w:i/>
        </w:rPr>
        <w:t>Figure 3: Conceptual model: Levels of CA from endowments of project management assets</w:t>
      </w:r>
    </w:p>
    <w:p w14:paraId="133E398C" w14:textId="0F8BD308" w:rsidR="008A2CAD" w:rsidRDefault="008A2CAD" w:rsidP="008A2CAD">
      <w:pPr>
        <w:ind w:left="284" w:hanging="284"/>
        <w:jc w:val="center"/>
        <w:rPr>
          <w:b/>
          <w:color w:val="000000"/>
        </w:rPr>
      </w:pPr>
    </w:p>
    <w:p w14:paraId="5DB8E4CE" w14:textId="77777777" w:rsidR="008A2CAD" w:rsidRDefault="008A2CAD" w:rsidP="008A2CAD">
      <w:pPr>
        <w:spacing w:line="360" w:lineRule="auto"/>
        <w:jc w:val="center"/>
      </w:pPr>
      <w:r>
        <w:rPr>
          <w:noProof/>
        </w:rPr>
        <w:drawing>
          <wp:inline distT="0" distB="0" distL="0" distR="0" wp14:anchorId="2ABDA72E" wp14:editId="2958AB38">
            <wp:extent cx="5041774" cy="2438438"/>
            <wp:effectExtent l="12700" t="12700" r="13335" b="12700"/>
            <wp:docPr id="18" name="image4.png" descr="A picture containing dark, las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dark, laser&#10;&#10;Description automatically generated"/>
                    <pic:cNvPicPr preferRelativeResize="0"/>
                  </pic:nvPicPr>
                  <pic:blipFill>
                    <a:blip r:embed="rId22"/>
                    <a:srcRect/>
                    <a:stretch>
                      <a:fillRect/>
                    </a:stretch>
                  </pic:blipFill>
                  <pic:spPr>
                    <a:xfrm>
                      <a:off x="0" y="0"/>
                      <a:ext cx="5041774" cy="2438438"/>
                    </a:xfrm>
                    <a:prstGeom prst="rect">
                      <a:avLst/>
                    </a:prstGeom>
                    <a:ln>
                      <a:solidFill>
                        <a:schemeClr val="tx1"/>
                      </a:solidFill>
                    </a:ln>
                  </pic:spPr>
                </pic:pic>
              </a:graphicData>
            </a:graphic>
          </wp:inline>
        </w:drawing>
      </w:r>
    </w:p>
    <w:p w14:paraId="022B99D3" w14:textId="293F9306" w:rsidR="008A2CAD" w:rsidRDefault="008A2CAD" w:rsidP="008A2CAD">
      <w:pPr>
        <w:spacing w:line="360" w:lineRule="auto"/>
        <w:rPr>
          <w:b/>
          <w:color w:val="000000"/>
        </w:rPr>
      </w:pPr>
      <w:r>
        <w:rPr>
          <w:i/>
        </w:rPr>
        <w:t xml:space="preserve">Figure 4: VRIO investment, performance knowledge, degree of CA and performance relationship </w:t>
      </w:r>
      <w:proofErr w:type="gramStart"/>
      <w:r>
        <w:rPr>
          <w:i/>
        </w:rPr>
        <w:t xml:space="preserve">( </w:t>
      </w:r>
      <w:r>
        <w:t>&gt;</w:t>
      </w:r>
      <w:proofErr w:type="spellStart"/>
      <w:proofErr w:type="gramEnd"/>
      <w:r>
        <w:t>vrio</w:t>
      </w:r>
      <w:proofErr w:type="spellEnd"/>
      <w:r>
        <w:t xml:space="preserve"> + &gt;pk = &gt;cap)</w:t>
      </w:r>
    </w:p>
    <w:sectPr w:rsidR="008A2CAD">
      <w:headerReference w:type="default" r:id="rId23"/>
      <w:footerReference w:type="even" r:id="rId24"/>
      <w:footerReference w:type="default" r:id="rId2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26BCC" w14:textId="77777777" w:rsidR="00C13F60" w:rsidRDefault="00C13F60">
      <w:r>
        <w:separator/>
      </w:r>
    </w:p>
  </w:endnote>
  <w:endnote w:type="continuationSeparator" w:id="0">
    <w:p w14:paraId="2427D76E" w14:textId="77777777" w:rsidR="00C13F60" w:rsidRDefault="00C1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0EBE" w14:textId="77777777" w:rsidR="005D5B0A" w:rsidRDefault="00A73EE7">
    <w:pPr>
      <w:pBdr>
        <w:top w:val="nil"/>
        <w:left w:val="nil"/>
        <w:bottom w:val="nil"/>
        <w:right w:val="nil"/>
        <w:between w:val="nil"/>
      </w:pBdr>
      <w:tabs>
        <w:tab w:val="center" w:pos="4680"/>
        <w:tab w:val="right" w:pos="9360"/>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sidR="00000000">
      <w:rPr>
        <w:rFonts w:ascii="Calibri" w:eastAsia="Calibri" w:hAnsi="Calibri" w:cs="Calibri"/>
        <w:color w:val="000000"/>
        <w:sz w:val="22"/>
        <w:szCs w:val="22"/>
      </w:rPr>
      <w:fldChar w:fldCharType="separate"/>
    </w:r>
    <w:r>
      <w:rPr>
        <w:rFonts w:ascii="Calibri" w:eastAsia="Calibri" w:hAnsi="Calibri" w:cs="Calibri"/>
        <w:color w:val="000000"/>
        <w:sz w:val="22"/>
        <w:szCs w:val="22"/>
      </w:rPr>
      <w:fldChar w:fldCharType="end"/>
    </w:r>
  </w:p>
  <w:p w14:paraId="6D49511C" w14:textId="77777777" w:rsidR="005D5B0A" w:rsidRDefault="005D5B0A">
    <w:pPr>
      <w:pBdr>
        <w:top w:val="nil"/>
        <w:left w:val="nil"/>
        <w:bottom w:val="nil"/>
        <w:right w:val="nil"/>
        <w:between w:val="nil"/>
      </w:pBdr>
      <w:tabs>
        <w:tab w:val="center" w:pos="4680"/>
        <w:tab w:val="right" w:pos="9360"/>
      </w:tabs>
      <w:ind w:right="360"/>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4EC21" w14:textId="77777777" w:rsidR="005D5B0A" w:rsidRDefault="00A73EE7">
    <w:pPr>
      <w:pBdr>
        <w:top w:val="nil"/>
        <w:left w:val="nil"/>
        <w:bottom w:val="nil"/>
        <w:right w:val="nil"/>
        <w:between w:val="nil"/>
      </w:pBdr>
      <w:tabs>
        <w:tab w:val="center" w:pos="4680"/>
        <w:tab w:val="right" w:pos="9360"/>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F442D7">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14:paraId="07337F84" w14:textId="77777777" w:rsidR="005D5B0A" w:rsidRDefault="005D5B0A">
    <w:pPr>
      <w:pBdr>
        <w:top w:val="nil"/>
        <w:left w:val="nil"/>
        <w:bottom w:val="nil"/>
        <w:right w:val="nil"/>
        <w:between w:val="nil"/>
      </w:pBdr>
      <w:tabs>
        <w:tab w:val="center" w:pos="4680"/>
        <w:tab w:val="right" w:pos="9360"/>
      </w:tabs>
      <w:ind w:right="360"/>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D66E3" w14:textId="77777777" w:rsidR="00C13F60" w:rsidRDefault="00C13F60">
      <w:r>
        <w:separator/>
      </w:r>
    </w:p>
  </w:footnote>
  <w:footnote w:type="continuationSeparator" w:id="0">
    <w:p w14:paraId="0972B827" w14:textId="77777777" w:rsidR="00C13F60" w:rsidRDefault="00C13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223A" w14:textId="2835E11A" w:rsidR="000B5D6F" w:rsidRDefault="000B5D6F">
    <w:pPr>
      <w:pStyle w:val="Header"/>
    </w:pPr>
    <w:r>
      <w:t>BAM 2024 Conference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B39E3"/>
    <w:multiLevelType w:val="multilevel"/>
    <w:tmpl w:val="D5246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035B79"/>
    <w:multiLevelType w:val="multilevel"/>
    <w:tmpl w:val="11623F5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38803406"/>
    <w:multiLevelType w:val="multilevel"/>
    <w:tmpl w:val="EAF66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4D2120"/>
    <w:multiLevelType w:val="multilevel"/>
    <w:tmpl w:val="061A792A"/>
    <w:lvl w:ilvl="0">
      <w:start w:val="2"/>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5BAD4A14"/>
    <w:multiLevelType w:val="multilevel"/>
    <w:tmpl w:val="4CA277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52079835">
    <w:abstractNumId w:val="2"/>
  </w:num>
  <w:num w:numId="2" w16cid:durableId="253589534">
    <w:abstractNumId w:val="0"/>
  </w:num>
  <w:num w:numId="3" w16cid:durableId="1403061333">
    <w:abstractNumId w:val="1"/>
  </w:num>
  <w:num w:numId="4" w16cid:durableId="14230279">
    <w:abstractNumId w:val="3"/>
  </w:num>
  <w:num w:numId="5" w16cid:durableId="13760074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0A"/>
    <w:rsid w:val="0000013F"/>
    <w:rsid w:val="00063CDD"/>
    <w:rsid w:val="00070F4B"/>
    <w:rsid w:val="000A2A21"/>
    <w:rsid w:val="000A4597"/>
    <w:rsid w:val="000B5D6F"/>
    <w:rsid w:val="0012202C"/>
    <w:rsid w:val="00162454"/>
    <w:rsid w:val="002A7693"/>
    <w:rsid w:val="003856BF"/>
    <w:rsid w:val="003B78E9"/>
    <w:rsid w:val="003C72DC"/>
    <w:rsid w:val="004731E7"/>
    <w:rsid w:val="005D5B0A"/>
    <w:rsid w:val="0063774D"/>
    <w:rsid w:val="006A4BF1"/>
    <w:rsid w:val="00786402"/>
    <w:rsid w:val="007C3B91"/>
    <w:rsid w:val="00832AA3"/>
    <w:rsid w:val="008A2CAD"/>
    <w:rsid w:val="00950B4C"/>
    <w:rsid w:val="00992DB3"/>
    <w:rsid w:val="009968F9"/>
    <w:rsid w:val="00A57BF2"/>
    <w:rsid w:val="00A73EE7"/>
    <w:rsid w:val="00AB7C89"/>
    <w:rsid w:val="00BD1623"/>
    <w:rsid w:val="00C02423"/>
    <w:rsid w:val="00C13F60"/>
    <w:rsid w:val="00C2012B"/>
    <w:rsid w:val="00C462CF"/>
    <w:rsid w:val="00E55ECC"/>
    <w:rsid w:val="00F03EAA"/>
    <w:rsid w:val="00F442D7"/>
    <w:rsid w:val="00F56085"/>
    <w:rsid w:val="00F80DB4"/>
    <w:rsid w:val="00F970C2"/>
    <w:rsid w:val="00FB3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F1CD2"/>
  <w15:docId w15:val="{724E51CB-9481-409A-AEF4-C0B9E1C14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C2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CC0BC2"/>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CC0BC2"/>
    <w:rPr>
      <w:rFonts w:ascii="Tahoma" w:hAnsi="Tahoma" w:cs="Tahoma"/>
      <w:sz w:val="16"/>
      <w:szCs w:val="16"/>
    </w:rPr>
  </w:style>
  <w:style w:type="paragraph" w:styleId="ListParagraph">
    <w:name w:val="List Paragraph"/>
    <w:basedOn w:val="Normal"/>
    <w:uiPriority w:val="34"/>
    <w:qFormat/>
    <w:rsid w:val="003B7C4D"/>
    <w:pPr>
      <w:spacing w:after="200" w:line="276" w:lineRule="auto"/>
      <w:ind w:left="720"/>
      <w:contextualSpacing/>
    </w:pPr>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2E7DA5"/>
    <w:rPr>
      <w:sz w:val="16"/>
      <w:szCs w:val="16"/>
    </w:rPr>
  </w:style>
  <w:style w:type="paragraph" w:styleId="CommentText">
    <w:name w:val="annotation text"/>
    <w:basedOn w:val="Normal"/>
    <w:link w:val="CommentTextChar"/>
    <w:uiPriority w:val="99"/>
    <w:unhideWhenUsed/>
    <w:rsid w:val="002E7DA5"/>
    <w:pPr>
      <w:spacing w:after="20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2E7DA5"/>
    <w:rPr>
      <w:sz w:val="20"/>
      <w:szCs w:val="20"/>
    </w:rPr>
  </w:style>
  <w:style w:type="paragraph" w:styleId="CommentSubject">
    <w:name w:val="annotation subject"/>
    <w:basedOn w:val="CommentText"/>
    <w:next w:val="CommentText"/>
    <w:link w:val="CommentSubjectChar"/>
    <w:uiPriority w:val="99"/>
    <w:semiHidden/>
    <w:unhideWhenUsed/>
    <w:rsid w:val="002E7DA5"/>
    <w:rPr>
      <w:b/>
      <w:bCs/>
    </w:rPr>
  </w:style>
  <w:style w:type="character" w:customStyle="1" w:styleId="CommentSubjectChar">
    <w:name w:val="Comment Subject Char"/>
    <w:basedOn w:val="CommentTextChar"/>
    <w:link w:val="CommentSubject"/>
    <w:uiPriority w:val="99"/>
    <w:semiHidden/>
    <w:rsid w:val="002E7DA5"/>
    <w:rPr>
      <w:b/>
      <w:bCs/>
      <w:sz w:val="20"/>
      <w:szCs w:val="20"/>
    </w:rPr>
  </w:style>
  <w:style w:type="table" w:styleId="TableGrid">
    <w:name w:val="Table Grid"/>
    <w:basedOn w:val="TableNormal"/>
    <w:uiPriority w:val="39"/>
    <w:rsid w:val="00016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4FF6"/>
    <w:rPr>
      <w:color w:val="0000FF" w:themeColor="hyperlink"/>
      <w:u w:val="single"/>
    </w:rPr>
  </w:style>
  <w:style w:type="table" w:styleId="LightShading">
    <w:name w:val="Light Shading"/>
    <w:basedOn w:val="TableNormal"/>
    <w:uiPriority w:val="60"/>
    <w:rsid w:val="009A42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er">
    <w:name w:val="footer"/>
    <w:basedOn w:val="Normal"/>
    <w:link w:val="FooterChar"/>
    <w:uiPriority w:val="99"/>
    <w:unhideWhenUsed/>
    <w:rsid w:val="00883494"/>
    <w:pPr>
      <w:tabs>
        <w:tab w:val="center" w:pos="4680"/>
        <w:tab w:val="right" w:pos="9360"/>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883494"/>
  </w:style>
  <w:style w:type="character" w:styleId="PageNumber">
    <w:name w:val="page number"/>
    <w:basedOn w:val="DefaultParagraphFont"/>
    <w:uiPriority w:val="99"/>
    <w:semiHidden/>
    <w:unhideWhenUsed/>
    <w:rsid w:val="00883494"/>
  </w:style>
  <w:style w:type="paragraph" w:styleId="Revision">
    <w:name w:val="Revision"/>
    <w:hidden/>
    <w:uiPriority w:val="99"/>
    <w:semiHidden/>
    <w:rsid w:val="006B2087"/>
  </w:style>
  <w:style w:type="table" w:customStyle="1" w:styleId="LightShading1">
    <w:name w:val="Light Shading1"/>
    <w:basedOn w:val="TableNormal"/>
    <w:next w:val="LightShading"/>
    <w:uiPriority w:val="60"/>
    <w:rsid w:val="00F151A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next w:val="LightShading"/>
    <w:uiPriority w:val="60"/>
    <w:rsid w:val="00F151A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
    <w:name w:val="Light Shading3"/>
    <w:basedOn w:val="TableNormal"/>
    <w:next w:val="LightShading"/>
    <w:uiPriority w:val="60"/>
    <w:rsid w:val="00053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dTable6Colorful1">
    <w:name w:val="Grid Table 6 Colorful1"/>
    <w:basedOn w:val="TableNormal"/>
    <w:uiPriority w:val="51"/>
    <w:rsid w:val="00521676"/>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1">
    <w:name w:val="Grid Table 6 Colorful11"/>
    <w:basedOn w:val="TableNormal"/>
    <w:uiPriority w:val="51"/>
    <w:rsid w:val="00A22C1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2">
    <w:name w:val="Grid Table 6 Colorful12"/>
    <w:basedOn w:val="TableNormal"/>
    <w:uiPriority w:val="51"/>
    <w:rsid w:val="00A22C1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Header">
    <w:name w:val="header"/>
    <w:basedOn w:val="Normal"/>
    <w:link w:val="HeaderChar"/>
    <w:uiPriority w:val="99"/>
    <w:unhideWhenUsed/>
    <w:rsid w:val="00904514"/>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04514"/>
  </w:style>
  <w:style w:type="table" w:customStyle="1" w:styleId="LightShading4">
    <w:name w:val="Light Shading4"/>
    <w:basedOn w:val="TableNormal"/>
    <w:next w:val="LightShading"/>
    <w:uiPriority w:val="60"/>
    <w:rsid w:val="00AE05B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
    <w:name w:val="Light Shading5"/>
    <w:basedOn w:val="TableNormal"/>
    <w:next w:val="LightShading"/>
    <w:uiPriority w:val="60"/>
    <w:rsid w:val="0093604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UnresolvedMention">
    <w:name w:val="Unresolved Mention"/>
    <w:basedOn w:val="DefaultParagraphFont"/>
    <w:uiPriority w:val="99"/>
    <w:semiHidden/>
    <w:unhideWhenUsed/>
    <w:rsid w:val="0035648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0">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1">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2">
    <w:basedOn w:val="TableNormal"/>
    <w:rPr>
      <w:color w:val="000000"/>
    </w:rPr>
    <w:tblPr>
      <w:tblStyleRowBandSize w:val="1"/>
      <w:tblStyleColBandSize w:val="1"/>
    </w:tblPr>
  </w:style>
  <w:style w:type="table" w:customStyle="1" w:styleId="a3">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4">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5">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6">
    <w:basedOn w:val="TableNormal"/>
    <w:rPr>
      <w:color w:val="000000"/>
    </w:rPr>
    <w:tblPr>
      <w:tblStyleRowBandSize w:val="1"/>
      <w:tblStyleColBandSize w:val="1"/>
    </w:tblPr>
  </w:style>
  <w:style w:type="table" w:customStyle="1" w:styleId="a7">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8">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9">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a">
    <w:basedOn w:val="TableNormal"/>
    <w:rPr>
      <w:color w:val="000000"/>
    </w:rPr>
    <w:tblPr>
      <w:tblStyleRowBandSize w:val="1"/>
      <w:tblStyleColBandSize w:val="1"/>
    </w:tblPr>
  </w:style>
  <w:style w:type="paragraph" w:customStyle="1" w:styleId="Default">
    <w:name w:val="Default"/>
    <w:rsid w:val="00063CDD"/>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njamin.dehe@aut.ac.nzk" TargetMode="External"/><Relationship Id="rId13" Type="http://schemas.openxmlformats.org/officeDocument/2006/relationships/hyperlink" Target="https://www.gov.uk/government/statistics/public-expenditure-statistical-analyses-2010" TargetMode="External"/><Relationship Id="rId18" Type="http://schemas.openxmlformats.org/officeDocument/2006/relationships/hyperlink" Target="https://doi.org/10.1108/IJOPM-05-2019-039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doi.org/10.1108/01443579410056786" TargetMode="External"/><Relationship Id="rId17" Type="http://schemas.openxmlformats.org/officeDocument/2006/relationships/hyperlink" Target="https://www.nao.org.uk/wp-content/uploads/2016/07/Spending-Review-2015.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ebarchive.nationalarchives.gov.uk/20110822131348/http://www.ogc.gov.uk/programmes_and_projects.asp"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007650320985084"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hud.summon.serialssolutions.com" TargetMode="External"/><Relationship Id="rId23" Type="http://schemas.openxmlformats.org/officeDocument/2006/relationships/header" Target="header1.xml"/><Relationship Id="rId10" Type="http://schemas.openxmlformats.org/officeDocument/2006/relationships/hyperlink" Target="mailto:M.papalexi@mmu.ac.uk"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d.bamford@mmu.ac.uk" TargetMode="External"/><Relationship Id="rId14" Type="http://schemas.openxmlformats.org/officeDocument/2006/relationships/hyperlink" Target="https://www.gov.uk/government/collections/public-expenditure-statistical-analyses-pesa" TargetMode="External"/><Relationship Id="rId22" Type="http://schemas.openxmlformats.org/officeDocument/2006/relationships/image" Target="media/image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EETkuRu0ER9fzUU8H6y7nymNDA==">AMUW2mXIh/J1JXW1eSX+o5b66GoOWrvdwOakAsCzxXpXBc7v5aije9FRMN1BAfKbdEROMMOKY/dgNTZeE1dkX2h7thCdfa2RijO8wyEYehQHZZ4TS6d3laafHpfOTayV/2SiDq3w0FRd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39</Pages>
  <Words>11897</Words>
  <Characters>67814</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David Bamford</cp:lastModifiedBy>
  <cp:revision>5</cp:revision>
  <dcterms:created xsi:type="dcterms:W3CDTF">2024-06-14T11:26:00Z</dcterms:created>
  <dcterms:modified xsi:type="dcterms:W3CDTF">2024-06-14T12:39:00Z</dcterms:modified>
</cp:coreProperties>
</file>