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D526E9" w14:textId="77777777" w:rsidR="00B951B0" w:rsidRPr="00103556" w:rsidRDefault="00B951B0" w:rsidP="005125FC">
      <w:pPr>
        <w:pStyle w:val="SectionTitle"/>
        <w:rPr>
          <w:rFonts w:cstheme="majorHAnsi"/>
          <w:b/>
          <w:bCs/>
          <w:color w:val="auto"/>
        </w:rPr>
      </w:pPr>
      <w:r w:rsidRPr="00103556">
        <w:rPr>
          <w:rFonts w:cstheme="majorHAnsi"/>
          <w:b/>
          <w:bCs/>
          <w:color w:val="auto"/>
        </w:rPr>
        <w:t xml:space="preserve">Abstract </w:t>
      </w:r>
    </w:p>
    <w:p w14:paraId="4A429D46" w14:textId="77777777" w:rsidR="00B951B0" w:rsidRPr="00103556" w:rsidRDefault="00B951B0" w:rsidP="005125FC">
      <w:pPr>
        <w:pStyle w:val="NoSpacing"/>
        <w:ind w:firstLine="720"/>
        <w:rPr>
          <w:rFonts w:asciiTheme="majorHAnsi" w:hAnsiTheme="majorHAnsi" w:cstheme="majorHAnsi"/>
          <w:color w:val="auto"/>
        </w:rPr>
      </w:pPr>
      <w:r w:rsidRPr="00103556">
        <w:rPr>
          <w:rFonts w:asciiTheme="majorHAnsi" w:hAnsiTheme="majorHAnsi" w:cstheme="majorHAnsi"/>
          <w:color w:val="auto"/>
        </w:rPr>
        <w:t xml:space="preserve">Positivity has been shown to improve wellbeing and performance, but can it yield beneficial outcomes when it is mandatory? Drawing on identity regulation theory, we investigate the manifestations, mechanisms, and consequences of imposing positivity in organisations on employees. Using grounded theory, we collect and analyse 436 pages of textual data from 19 interviews and vignette discussions with an international sample of employees, middle managers, and informants from Communications and HR departments and 27 organisational documents. Through iterative coding, we identify different types of top-down positivity imposition and that it incites emotional distress, creates unfavourable perceptions, and results in openly opposing or feigning positivity. We offer a conceptual model integrating imposing positivity as a precursor to the perceived obligation to display positivity, resistance to such pressure as an outcome, and mechanisms and conditions of these relationships. Our contributions include extending positive organisational scholarship with the knowledge on the unintended consequences of positivity, framing mandatory positivity as a new form of control, and linking to the literature on antecedents of emotional labour in intra-organisational settings by identifying it as an atypical individual resistance to positivity imposition. </w:t>
      </w:r>
    </w:p>
    <w:p w14:paraId="78985E18" w14:textId="0342C180" w:rsidR="00081D54" w:rsidRPr="00103556" w:rsidRDefault="00B951B0" w:rsidP="005125FC">
      <w:pPr>
        <w:ind w:firstLine="0"/>
        <w:rPr>
          <w:rFonts w:asciiTheme="majorHAnsi" w:hAnsiTheme="majorHAnsi" w:cstheme="majorHAnsi"/>
          <w:color w:val="auto"/>
        </w:rPr>
      </w:pPr>
      <w:r w:rsidRPr="00103556">
        <w:rPr>
          <w:rFonts w:asciiTheme="majorHAnsi" w:hAnsiTheme="majorHAnsi" w:cstheme="majorHAnsi"/>
          <w:color w:val="auto"/>
        </w:rPr>
        <w:tab/>
      </w:r>
      <w:r w:rsidRPr="00103556">
        <w:rPr>
          <w:rStyle w:val="Emphasis"/>
          <w:rFonts w:asciiTheme="majorHAnsi" w:hAnsiTheme="majorHAnsi" w:cstheme="majorHAnsi"/>
          <w:color w:val="auto"/>
        </w:rPr>
        <w:t>Keywords</w:t>
      </w:r>
      <w:r w:rsidRPr="00103556">
        <w:rPr>
          <w:rFonts w:asciiTheme="majorHAnsi" w:hAnsiTheme="majorHAnsi" w:cstheme="majorHAnsi"/>
          <w:color w:val="auto"/>
        </w:rPr>
        <w:t xml:space="preserve">: positivity, imposing positivity, positivity display pressure, identity regulation, control, faking, emotional labour. </w:t>
      </w:r>
    </w:p>
    <w:p w14:paraId="3305F7EF" w14:textId="77777777" w:rsidR="00081D54" w:rsidRPr="00103556" w:rsidRDefault="00081D54">
      <w:pPr>
        <w:rPr>
          <w:rFonts w:asciiTheme="majorHAnsi" w:hAnsiTheme="majorHAnsi" w:cstheme="majorHAnsi"/>
          <w:color w:val="auto"/>
        </w:rPr>
      </w:pPr>
      <w:r w:rsidRPr="00103556">
        <w:rPr>
          <w:rFonts w:asciiTheme="majorHAnsi" w:hAnsiTheme="majorHAnsi" w:cstheme="majorHAnsi"/>
          <w:color w:val="auto"/>
        </w:rPr>
        <w:br w:type="page"/>
      </w:r>
    </w:p>
    <w:p w14:paraId="55BEE8F2" w14:textId="19A3B7EC" w:rsidR="00A43684" w:rsidRPr="00103556" w:rsidRDefault="00A43684" w:rsidP="00AD2E25">
      <w:pPr>
        <w:jc w:val="center"/>
        <w:rPr>
          <w:rFonts w:asciiTheme="majorHAnsi" w:hAnsiTheme="majorHAnsi" w:cstheme="majorHAnsi"/>
          <w:b/>
          <w:bCs/>
          <w:color w:val="auto"/>
        </w:rPr>
      </w:pPr>
      <w:r w:rsidRPr="00103556">
        <w:rPr>
          <w:rFonts w:asciiTheme="majorHAnsi" w:hAnsiTheme="majorHAnsi" w:cstheme="majorHAnsi"/>
          <w:b/>
          <w:bCs/>
          <w:color w:val="auto"/>
        </w:rPr>
        <w:lastRenderedPageBreak/>
        <w:t>“</w:t>
      </w:r>
      <w:r w:rsidR="00A07E36" w:rsidRPr="00A07E36">
        <w:rPr>
          <w:rFonts w:asciiTheme="majorHAnsi" w:hAnsiTheme="majorHAnsi" w:cstheme="majorHAnsi"/>
          <w:b/>
          <w:bCs/>
          <w:color w:val="auto"/>
        </w:rPr>
        <w:t>They almost force positive thinking on you</w:t>
      </w:r>
      <w:r w:rsidRPr="00103556">
        <w:rPr>
          <w:rFonts w:asciiTheme="majorHAnsi" w:hAnsiTheme="majorHAnsi" w:cstheme="majorHAnsi"/>
          <w:b/>
          <w:bCs/>
          <w:color w:val="auto"/>
        </w:rPr>
        <w:t>”: practices and consequences of imposing positivity in organisations.</w:t>
      </w:r>
    </w:p>
    <w:p w14:paraId="17FB6E00" w14:textId="77777777" w:rsidR="00A43684" w:rsidRPr="00103556" w:rsidRDefault="00A43684" w:rsidP="005125FC">
      <w:pPr>
        <w:pStyle w:val="Title2"/>
        <w:rPr>
          <w:rFonts w:asciiTheme="majorHAnsi" w:hAnsiTheme="majorHAnsi" w:cstheme="majorHAnsi"/>
          <w:b/>
          <w:bCs/>
          <w:color w:val="auto"/>
        </w:rPr>
      </w:pPr>
    </w:p>
    <w:p w14:paraId="23B7AE33" w14:textId="77777777" w:rsidR="00A43684" w:rsidRPr="00C71B3B" w:rsidRDefault="00A43684" w:rsidP="005125FC">
      <w:pPr>
        <w:pStyle w:val="Title2"/>
        <w:rPr>
          <w:rFonts w:asciiTheme="majorHAnsi" w:hAnsiTheme="majorHAnsi" w:cstheme="majorHAnsi"/>
          <w:color w:val="auto"/>
        </w:rPr>
      </w:pPr>
      <w:r w:rsidRPr="00C71B3B">
        <w:rPr>
          <w:rFonts w:asciiTheme="majorHAnsi" w:hAnsiTheme="majorHAnsi" w:cstheme="majorHAnsi"/>
          <w:b/>
          <w:bCs/>
          <w:color w:val="auto"/>
        </w:rPr>
        <w:t>Introduction</w:t>
      </w:r>
    </w:p>
    <w:p w14:paraId="495BAB0B" w14:textId="07D0ED14" w:rsidR="006B7494" w:rsidRPr="00C71B3B" w:rsidRDefault="00A43684" w:rsidP="005125FC">
      <w:pPr>
        <w:rPr>
          <w:rFonts w:asciiTheme="majorHAnsi" w:hAnsiTheme="majorHAnsi" w:cstheme="majorHAnsi"/>
          <w:color w:val="auto"/>
        </w:rPr>
      </w:pPr>
      <w:r w:rsidRPr="00C71B3B">
        <w:rPr>
          <w:rFonts w:asciiTheme="majorHAnsi" w:hAnsiTheme="majorHAnsi" w:cstheme="majorHAnsi"/>
          <w:color w:val="auto"/>
        </w:rPr>
        <w:t xml:space="preserve">Positivity has long been celebrated as a catalyst for enhanced subjective well-being, improved performance, and increased motivation, with an extensive body of research attesting to its benefits (e.g., Tenney et al., 2016). Broadly defined as </w:t>
      </w:r>
      <w:r w:rsidRPr="00C71B3B">
        <w:rPr>
          <w:rFonts w:asciiTheme="majorHAnsi" w:hAnsiTheme="majorHAnsi" w:cstheme="majorHAnsi"/>
          <w:color w:val="auto"/>
          <w:shd w:val="clear" w:color="auto" w:fill="FFFFFF"/>
        </w:rPr>
        <w:t xml:space="preserve">positive states, affect, cognitions, or attitudes </w:t>
      </w:r>
      <w:r w:rsidRPr="00C71B3B">
        <w:rPr>
          <w:rFonts w:asciiTheme="majorHAnsi" w:hAnsiTheme="majorHAnsi" w:cstheme="majorHAnsi"/>
          <w:color w:val="auto"/>
        </w:rPr>
        <w:t>(Ciarrochi et al., 2022)</w:t>
      </w:r>
      <w:r w:rsidRPr="00C71B3B">
        <w:rPr>
          <w:rFonts w:asciiTheme="majorHAnsi" w:hAnsiTheme="majorHAnsi" w:cstheme="majorHAnsi"/>
          <w:color w:val="auto"/>
          <w:shd w:val="clear" w:color="auto" w:fill="FFFFFF"/>
        </w:rPr>
        <w:t xml:space="preserve">, positivity has been </w:t>
      </w:r>
      <w:r w:rsidRPr="00C71B3B">
        <w:rPr>
          <w:rFonts w:asciiTheme="majorHAnsi" w:hAnsiTheme="majorHAnsi" w:cstheme="majorHAnsi"/>
          <w:color w:val="auto"/>
        </w:rPr>
        <w:t xml:space="preserve">promoted as a self-help technique to foster health, wellbeing, and good performance across practitioner literatures and HRM consultancy (e.g., Brinkmann, 2017; Fineman, 2006; Held, 2018). </w:t>
      </w:r>
      <w:r w:rsidR="006B7494">
        <w:t xml:space="preserve">However, while the benefits of positivity are well-documented, </w:t>
      </w:r>
      <w:r w:rsidR="00D40CA6">
        <w:t>it</w:t>
      </w:r>
      <w:r w:rsidR="00D75994">
        <w:t xml:space="preserve"> can have a</w:t>
      </w:r>
      <w:r w:rsidR="00D40CA6">
        <w:t xml:space="preserve"> potential dark side when individuals are compelled to demonstrate it</w:t>
      </w:r>
      <w:r w:rsidR="00D75994">
        <w:t xml:space="preserve">, which </w:t>
      </w:r>
      <w:r w:rsidR="006B7494">
        <w:t>remains underexplored</w:t>
      </w:r>
      <w:r w:rsidR="00AB5073">
        <w:t xml:space="preserve"> in organisational settings</w:t>
      </w:r>
      <w:r w:rsidR="006B7494">
        <w:t>.</w:t>
      </w:r>
    </w:p>
    <w:p w14:paraId="4970A53B" w14:textId="098340E1" w:rsidR="009D3B95" w:rsidRPr="00C71B3B" w:rsidRDefault="003C7614" w:rsidP="005125FC">
      <w:pPr>
        <w:rPr>
          <w:rFonts w:asciiTheme="majorHAnsi" w:hAnsiTheme="majorHAnsi" w:cstheme="majorHAnsi"/>
          <w:i/>
          <w:iCs/>
          <w:color w:val="auto"/>
        </w:rPr>
      </w:pPr>
      <w:r w:rsidRPr="00C71B3B">
        <w:rPr>
          <w:rFonts w:asciiTheme="majorHAnsi" w:hAnsiTheme="majorHAnsi" w:cstheme="majorHAnsi"/>
          <w:color w:val="auto"/>
        </w:rPr>
        <w:t xml:space="preserve">The exploration of discourses and experiences of the pressure to demonstrate positivity in </w:t>
      </w:r>
      <w:r w:rsidR="00A43684" w:rsidRPr="00C71B3B">
        <w:rPr>
          <w:rFonts w:asciiTheme="majorHAnsi" w:hAnsiTheme="majorHAnsi" w:cstheme="majorHAnsi"/>
          <w:color w:val="auto"/>
        </w:rPr>
        <w:t>non-work settings</w:t>
      </w:r>
      <w:r w:rsidR="008B6FF8" w:rsidRPr="00C71B3B">
        <w:rPr>
          <w:rFonts w:asciiTheme="majorHAnsi" w:hAnsiTheme="majorHAnsi" w:cstheme="majorHAnsi"/>
          <w:color w:val="auto"/>
        </w:rPr>
        <w:t xml:space="preserve"> has shown that such approaches </w:t>
      </w:r>
      <w:r w:rsidR="00BB1C23" w:rsidRPr="00C71B3B">
        <w:rPr>
          <w:rFonts w:asciiTheme="majorHAnsi" w:hAnsiTheme="majorHAnsi" w:cstheme="majorHAnsi"/>
          <w:color w:val="auto"/>
        </w:rPr>
        <w:t>are</w:t>
      </w:r>
      <w:r w:rsidR="008B6FF8" w:rsidRPr="00C71B3B">
        <w:rPr>
          <w:rFonts w:asciiTheme="majorHAnsi" w:hAnsiTheme="majorHAnsi" w:cstheme="majorHAnsi"/>
          <w:color w:val="auto"/>
        </w:rPr>
        <w:t xml:space="preserve"> counterproductive</w:t>
      </w:r>
      <w:r w:rsidR="000D0C31" w:rsidRPr="00C71B3B">
        <w:rPr>
          <w:rFonts w:asciiTheme="majorHAnsi" w:hAnsiTheme="majorHAnsi" w:cstheme="majorHAnsi"/>
          <w:color w:val="auto"/>
        </w:rPr>
        <w:t>,</w:t>
      </w:r>
      <w:r w:rsidR="008B6FF8" w:rsidRPr="00C71B3B">
        <w:rPr>
          <w:rFonts w:asciiTheme="majorHAnsi" w:hAnsiTheme="majorHAnsi" w:cstheme="majorHAnsi"/>
          <w:color w:val="auto"/>
        </w:rPr>
        <w:t xml:space="preserve"> generating guilt and self-blame in patients with cancer</w:t>
      </w:r>
      <w:r w:rsidR="00B2757D" w:rsidRPr="00C71B3B">
        <w:rPr>
          <w:rFonts w:asciiTheme="majorHAnsi" w:hAnsiTheme="majorHAnsi" w:cstheme="majorHAnsi"/>
          <w:color w:val="auto"/>
        </w:rPr>
        <w:t xml:space="preserve"> </w:t>
      </w:r>
      <w:r w:rsidR="00A43684" w:rsidRPr="00C71B3B">
        <w:rPr>
          <w:rFonts w:asciiTheme="majorHAnsi" w:hAnsiTheme="majorHAnsi" w:cstheme="majorHAnsi"/>
          <w:color w:val="auto"/>
        </w:rPr>
        <w:t>(McCreaddie et al., 2010; Ruthig et al., 2012; Tod et al. 2011). Similar concerns may arise in the organisational context when positivity is enforced on employees leading to discontent (Mancini et al., 2022). Despite indications that excessive emphasis on positivity at work may result in emotion suppression, biased organisational processes, hindered communication and decision-making</w:t>
      </w:r>
      <w:r w:rsidR="00474D3B">
        <w:rPr>
          <w:rFonts w:asciiTheme="majorHAnsi" w:hAnsiTheme="majorHAnsi" w:cstheme="majorHAnsi"/>
          <w:color w:val="auto"/>
        </w:rPr>
        <w:t>, negatively</w:t>
      </w:r>
      <w:r w:rsidR="00A43684" w:rsidRPr="00C71B3B">
        <w:rPr>
          <w:rFonts w:asciiTheme="majorHAnsi" w:hAnsiTheme="majorHAnsi" w:cstheme="majorHAnsi"/>
          <w:color w:val="auto"/>
        </w:rPr>
        <w:t xml:space="preserve"> impact</w:t>
      </w:r>
      <w:r w:rsidR="00474D3B">
        <w:rPr>
          <w:rFonts w:asciiTheme="majorHAnsi" w:hAnsiTheme="majorHAnsi" w:cstheme="majorHAnsi"/>
          <w:color w:val="auto"/>
        </w:rPr>
        <w:t>ing</w:t>
      </w:r>
      <w:r w:rsidR="00A43684" w:rsidRPr="00C71B3B">
        <w:rPr>
          <w:rFonts w:asciiTheme="majorHAnsi" w:hAnsiTheme="majorHAnsi" w:cstheme="majorHAnsi"/>
          <w:color w:val="auto"/>
        </w:rPr>
        <w:t xml:space="preserve"> individual wellbeing and effective leadership (Collinson, 2012; Fineman, 2006), the practice, processes, and consequences of imposing positivity in organisations</w:t>
      </w:r>
      <w:r w:rsidR="000249A5">
        <w:rPr>
          <w:rFonts w:asciiTheme="majorHAnsi" w:hAnsiTheme="majorHAnsi" w:cstheme="majorHAnsi"/>
          <w:color w:val="auto"/>
        </w:rPr>
        <w:t xml:space="preserve"> </w:t>
      </w:r>
      <w:r w:rsidR="009D3B95">
        <w:t>remain largely unexamined</w:t>
      </w:r>
      <w:r w:rsidR="00E17629">
        <w:t>. The current knowledge is limited to anecdotal evidence and critiques, with a</w:t>
      </w:r>
      <w:r w:rsidR="00EC1C9D">
        <w:t xml:space="preserve"> paucity</w:t>
      </w:r>
      <w:r w:rsidR="00E17629">
        <w:t xml:space="preserve"> of focused empirical </w:t>
      </w:r>
      <w:r w:rsidR="003E5C87">
        <w:t>investigation</w:t>
      </w:r>
      <w:r w:rsidR="00652D6B">
        <w:t xml:space="preserve"> obscuring a holistic understanding of positivity</w:t>
      </w:r>
      <w:r w:rsidR="009D3B95">
        <w:t>.</w:t>
      </w:r>
    </w:p>
    <w:p w14:paraId="3C8097C2" w14:textId="77777777" w:rsidR="00A43684" w:rsidRDefault="00A43684" w:rsidP="005125FC">
      <w:pPr>
        <w:rPr>
          <w:rFonts w:asciiTheme="majorHAnsi" w:hAnsiTheme="majorHAnsi" w:cstheme="majorHAnsi"/>
          <w:color w:val="auto"/>
        </w:rPr>
      </w:pPr>
      <w:r w:rsidRPr="00C71B3B">
        <w:rPr>
          <w:rFonts w:asciiTheme="majorHAnsi" w:hAnsiTheme="majorHAnsi" w:cstheme="majorHAnsi"/>
          <w:color w:val="auto"/>
        </w:rPr>
        <w:lastRenderedPageBreak/>
        <w:t>In this study, we build a conceptual understanding of the dynamics and implications of imposing positivity by investigating its manifestations, mechanisms, and consequences through the prism of identity regulation theory (Alvesson &amp; Willmott, 2002). Using grounded theory approach, we integrate data from semi-structured interviews including vignette discussions with an international sample of employees, middle managers, and key informants in HR and Communications as well as relevant organisational documents. For purposes of data collection, we use the term “positive thinking” as a lay concept (Kelly, 1970) encompassing states, thoughts, attitudes, or feelings (Ciarrochi et al., 2022).</w:t>
      </w:r>
    </w:p>
    <w:p w14:paraId="2C4AC19F" w14:textId="651D7E34" w:rsidR="00A43684" w:rsidRDefault="00A43684" w:rsidP="005125FC">
      <w:pPr>
        <w:rPr>
          <w:rFonts w:asciiTheme="majorHAnsi" w:hAnsiTheme="majorHAnsi" w:cstheme="majorHAnsi"/>
          <w:color w:val="auto"/>
        </w:rPr>
      </w:pPr>
      <w:r w:rsidRPr="00C71B3B">
        <w:rPr>
          <w:rFonts w:asciiTheme="majorHAnsi" w:hAnsiTheme="majorHAnsi" w:cstheme="majorHAnsi"/>
          <w:color w:val="auto"/>
        </w:rPr>
        <w:t xml:space="preserve">We contribute to positive organisational scholarship with the knowledge about </w:t>
      </w:r>
      <w:r w:rsidR="00CA7797">
        <w:rPr>
          <w:rFonts w:asciiTheme="majorHAnsi" w:hAnsiTheme="majorHAnsi" w:cstheme="majorHAnsi"/>
          <w:color w:val="auto"/>
        </w:rPr>
        <w:t xml:space="preserve">the </w:t>
      </w:r>
      <w:r w:rsidRPr="00C71B3B">
        <w:rPr>
          <w:rFonts w:asciiTheme="majorHAnsi" w:hAnsiTheme="majorHAnsi" w:cstheme="majorHAnsi"/>
          <w:color w:val="auto"/>
        </w:rPr>
        <w:t xml:space="preserve">“conditions, processes, and consequences” of positive phenomena (Collinson, 2012, p.101) and </w:t>
      </w:r>
      <w:r w:rsidR="00CA7797">
        <w:rPr>
          <w:rFonts w:asciiTheme="majorHAnsi" w:hAnsiTheme="majorHAnsi" w:cstheme="majorHAnsi"/>
          <w:color w:val="auto"/>
        </w:rPr>
        <w:t xml:space="preserve">the </w:t>
      </w:r>
      <w:r w:rsidRPr="00C71B3B">
        <w:rPr>
          <w:rFonts w:asciiTheme="majorHAnsi" w:hAnsiTheme="majorHAnsi" w:cstheme="majorHAnsi"/>
          <w:color w:val="auto"/>
        </w:rPr>
        <w:t>contextual influences on them (Ciarrochi et al., 2016; Bennett, 2015; McNulty &amp; Fincham 2012). Specifically, we offer a typology and model of imposing positivity, integrating the transformation of mandated positivity into perceived positivity display pressure, underlying mechanisms, and any resistance. Our work speaks to critiques of prevailing assumptions of positivity’s inherent virtue, limiting a nuanced understanding (Lindebaum &amp; Jordan, 2014), and the ethicality and effectiveness of coercion to positivity (</w:t>
      </w:r>
      <w:r w:rsidRPr="00C71B3B">
        <w:rPr>
          <w:rFonts w:asciiTheme="majorHAnsi" w:hAnsiTheme="majorHAnsi" w:cstheme="majorHAnsi"/>
          <w:color w:val="auto"/>
          <w:shd w:val="clear" w:color="auto" w:fill="FFFFFF"/>
        </w:rPr>
        <w:t xml:space="preserve">Friedli &amp; Stearn, 2015). </w:t>
      </w:r>
      <w:r w:rsidRPr="00C71B3B">
        <w:rPr>
          <w:rFonts w:asciiTheme="majorHAnsi" w:hAnsiTheme="majorHAnsi" w:cstheme="majorHAnsi"/>
          <w:color w:val="auto"/>
        </w:rPr>
        <w:t xml:space="preserve">We extend research on identity regulation by framing positivity as a form of control and expand our understanding of why employees engage in emotional labour in intra-organisational settings by identifying it as an atypical individual resistance (Alvesson &amp; Willmott, 2002; Gabriel et al., 2023; Mumby, 2019). </w:t>
      </w:r>
    </w:p>
    <w:p w14:paraId="60B4E649" w14:textId="77777777" w:rsidR="00906EB2" w:rsidRPr="00C71B3B" w:rsidRDefault="00906EB2" w:rsidP="005125FC">
      <w:pPr>
        <w:ind w:firstLine="0"/>
        <w:jc w:val="center"/>
        <w:rPr>
          <w:rFonts w:asciiTheme="majorHAnsi" w:hAnsiTheme="majorHAnsi" w:cstheme="majorHAnsi"/>
          <w:b/>
          <w:bCs/>
          <w:color w:val="auto"/>
        </w:rPr>
      </w:pPr>
      <w:r w:rsidRPr="00C71B3B">
        <w:rPr>
          <w:rFonts w:asciiTheme="majorHAnsi" w:hAnsiTheme="majorHAnsi" w:cstheme="majorHAnsi"/>
          <w:b/>
          <w:bCs/>
          <w:color w:val="auto"/>
        </w:rPr>
        <w:t>Theoretical approach and previous research</w:t>
      </w:r>
    </w:p>
    <w:p w14:paraId="16F3785B" w14:textId="77777777" w:rsidR="00906EB2" w:rsidRPr="00C71B3B" w:rsidRDefault="00906EB2" w:rsidP="005125FC">
      <w:pPr>
        <w:rPr>
          <w:rFonts w:asciiTheme="majorHAnsi" w:hAnsiTheme="majorHAnsi" w:cstheme="majorHAnsi"/>
          <w:color w:val="auto"/>
        </w:rPr>
      </w:pPr>
      <w:r w:rsidRPr="00C71B3B">
        <w:rPr>
          <w:rFonts w:asciiTheme="majorHAnsi" w:hAnsiTheme="majorHAnsi" w:cstheme="majorHAnsi"/>
          <w:color w:val="auto"/>
        </w:rPr>
        <w:t xml:space="preserve">Positivity can be used as a means of subtle organisational control over employees through shaping a “corporate-approved” identity (Alvesson et al., 2008) spreading positive beliefs, affect, </w:t>
      </w:r>
      <w:r w:rsidRPr="00C71B3B">
        <w:rPr>
          <w:rFonts w:asciiTheme="majorHAnsi" w:hAnsiTheme="majorHAnsi" w:cstheme="majorHAnsi"/>
          <w:color w:val="auto"/>
        </w:rPr>
        <w:lastRenderedPageBreak/>
        <w:t xml:space="preserve">and attitudes. From the identity regulation perspective, organisations promote positive characteristics and identities to influence employee behaviour in line with organisational goals (Alvesson &amp; Willmott, 2002). Promoted personal attributes, such as positive attitude, confidence, or high energy (Collinson, 2012; Dutton et al., 2010), can be reflected in organisational behavioural guidelines prescribing employee role approach, interactions, and emotion expression in the workplace (Alvesson, 2000; Diefendorff &amp; Richard, 2003). Such guidance targets the content and valence of employees’ thoughts and affect so that they self-motivate and self-discipline to put in greater efforts towards organisational objectives and enhance own career prospects  (Delbridge &amp; Ezzamel, 2005; Fairclough, 2001; </w:t>
      </w:r>
      <w:r w:rsidRPr="00C71B3B">
        <w:rPr>
          <w:rFonts w:asciiTheme="majorHAnsi" w:hAnsiTheme="majorHAnsi" w:cstheme="majorHAnsi"/>
          <w:color w:val="auto"/>
          <w:shd w:val="clear" w:color="auto" w:fill="FFFFFF"/>
        </w:rPr>
        <w:t>Friedli &amp; Stearn, 2015</w:t>
      </w:r>
      <w:r w:rsidRPr="00C71B3B">
        <w:rPr>
          <w:rFonts w:asciiTheme="majorHAnsi" w:hAnsiTheme="majorHAnsi" w:cstheme="majorHAnsi"/>
          <w:color w:val="auto"/>
        </w:rPr>
        <w:t xml:space="preserve">). Relevant communication channels include formal downward corporate communication, such as emails, newsletters, magazines, websites, job specifications and advertisements, corporate mission and value statements (e.g., Yates, 1989), and processes, for example, selection, onboarding, training, appraising performance, or rewarding (e.g., Alvesson et al., 2008). If employees accept and internalise the promoted qualities, they feel comfortable demonstrating them (Fairclough, 2001). </w:t>
      </w:r>
    </w:p>
    <w:p w14:paraId="155CFBE0" w14:textId="64265AA6" w:rsidR="00906EB2" w:rsidRPr="00C71B3B" w:rsidRDefault="00906EB2" w:rsidP="005125FC">
      <w:pPr>
        <w:rPr>
          <w:rFonts w:asciiTheme="majorHAnsi" w:hAnsiTheme="majorHAnsi" w:cstheme="majorHAnsi"/>
          <w:color w:val="auto"/>
        </w:rPr>
      </w:pPr>
      <w:r w:rsidRPr="00C71B3B">
        <w:rPr>
          <w:rFonts w:asciiTheme="majorHAnsi" w:hAnsiTheme="majorHAnsi" w:cstheme="majorHAnsi"/>
          <w:color w:val="auto"/>
        </w:rPr>
        <w:t xml:space="preserve">However, when the characteristics conflict with the employee’s identity, they may show resistance to the imposition in various forms, as suggested by emerging research (Fa et al., 2022; Mumby, 2019). These range from hidden individual actions to overt group opposition, varying in degrees of intensity, intent, frequency, and effectiveness (Fa et al., 2022; Mumby et al., 2017). In this paper, we consider individual infrapolitics denoting covert low-profile resistance, and insubordination involving open contestation to organisational attempts to impose positivity (Scott, 1990). The former includes subtle, often unnoticed acts (e.g., humour or scepticism), aiming to distance from the source of oppression, whereas the latter includes more direct actions (e.g.,  misbehaviour or whistleblowing) (Fa et al., 2022; Mumby et al., 2017). The borderline </w:t>
      </w:r>
      <w:r w:rsidRPr="00C71B3B">
        <w:rPr>
          <w:rFonts w:asciiTheme="majorHAnsi" w:hAnsiTheme="majorHAnsi" w:cstheme="majorHAnsi"/>
          <w:color w:val="auto"/>
        </w:rPr>
        <w:lastRenderedPageBreak/>
        <w:t>between resistance and compliance is also not necessarily clearcut (Collinson, 1994): employees can hiddenly oppose but publicly conform with organisational policies (Fa et al., 2022), as illustrated by examples of openly supporting but privately countering organisational change programmes and business strategy among Amsterdam municipal employees or UK early-care</w:t>
      </w:r>
      <w:r w:rsidR="00E42BDA">
        <w:rPr>
          <w:rFonts w:asciiTheme="majorHAnsi" w:hAnsiTheme="majorHAnsi" w:cstheme="majorHAnsi"/>
          <w:color w:val="auto"/>
        </w:rPr>
        <w:t>e</w:t>
      </w:r>
      <w:r w:rsidRPr="00C71B3B">
        <w:rPr>
          <w:rFonts w:asciiTheme="majorHAnsi" w:hAnsiTheme="majorHAnsi" w:cstheme="majorHAnsi"/>
          <w:color w:val="auto"/>
        </w:rPr>
        <w:t xml:space="preserve">r academics (Bristow et al., 2017; Ybema &amp; Horvers, 2017). </w:t>
      </w:r>
    </w:p>
    <w:p w14:paraId="2B37786C" w14:textId="47435EFC" w:rsidR="00906EB2" w:rsidRPr="00C71B3B" w:rsidRDefault="00906EB2" w:rsidP="00E054B8">
      <w:pPr>
        <w:rPr>
          <w:rFonts w:asciiTheme="majorHAnsi" w:hAnsiTheme="majorHAnsi" w:cstheme="majorHAnsi"/>
          <w:color w:val="auto"/>
        </w:rPr>
      </w:pPr>
      <w:r w:rsidRPr="00C71B3B">
        <w:rPr>
          <w:rFonts w:asciiTheme="majorHAnsi" w:hAnsiTheme="majorHAnsi" w:cstheme="majorHAnsi"/>
          <w:color w:val="auto"/>
        </w:rPr>
        <w:t>While research on imposing positivity remains limited, studies in the critical framework have investigated other imposed perceptions, attitudes, or behaviours in organisations through the identity regulation prism. For instance, employees perceived organisation-driven fun activities as coercive and serving organisational objectives rather than benefiting employees, resist</w:t>
      </w:r>
      <w:r w:rsidR="004E20F7" w:rsidRPr="00C71B3B">
        <w:rPr>
          <w:rFonts w:asciiTheme="majorHAnsi" w:hAnsiTheme="majorHAnsi" w:cstheme="majorHAnsi"/>
          <w:color w:val="auto"/>
        </w:rPr>
        <w:t xml:space="preserve">ing </w:t>
      </w:r>
      <w:r w:rsidRPr="00C71B3B">
        <w:rPr>
          <w:rFonts w:asciiTheme="majorHAnsi" w:hAnsiTheme="majorHAnsi" w:cstheme="majorHAnsi"/>
          <w:color w:val="auto"/>
        </w:rPr>
        <w:t>through distancing from the activities and the organisation (Plester et al, 2015). A case study examin</w:t>
      </w:r>
      <w:r w:rsidR="001333B2" w:rsidRPr="00C71B3B">
        <w:rPr>
          <w:rFonts w:asciiTheme="majorHAnsi" w:hAnsiTheme="majorHAnsi" w:cstheme="majorHAnsi"/>
          <w:color w:val="auto"/>
        </w:rPr>
        <w:t>ing</w:t>
      </w:r>
      <w:r w:rsidRPr="00C71B3B">
        <w:rPr>
          <w:rFonts w:asciiTheme="majorHAnsi" w:hAnsiTheme="majorHAnsi" w:cstheme="majorHAnsi"/>
          <w:color w:val="auto"/>
        </w:rPr>
        <w:t xml:space="preserve"> how a child and family social work service in England attempted to achieve employee conformity through managing pride and shame (Gibson, 2019)</w:t>
      </w:r>
      <w:r w:rsidR="001333B2" w:rsidRPr="00C71B3B">
        <w:rPr>
          <w:rFonts w:asciiTheme="majorHAnsi" w:hAnsiTheme="majorHAnsi" w:cstheme="majorHAnsi"/>
          <w:color w:val="auto"/>
        </w:rPr>
        <w:t xml:space="preserve">, found that </w:t>
      </w:r>
      <w:r w:rsidR="00B8721A" w:rsidRPr="00C71B3B">
        <w:rPr>
          <w:rFonts w:asciiTheme="majorHAnsi" w:hAnsiTheme="majorHAnsi" w:cstheme="majorHAnsi"/>
          <w:color w:val="auto"/>
        </w:rPr>
        <w:t>the</w:t>
      </w:r>
      <w:r w:rsidRPr="00C71B3B">
        <w:rPr>
          <w:rFonts w:asciiTheme="majorHAnsi" w:hAnsiTheme="majorHAnsi" w:cstheme="majorHAnsi"/>
          <w:color w:val="auto"/>
        </w:rPr>
        <w:t xml:space="preserve"> organisational attempts led to empowerment when aligned with workers’ feelings, and stress and dissonance if mismatched, depending on the extent of acceptance. </w:t>
      </w:r>
      <w:r w:rsidR="00AB3066" w:rsidRPr="00C71B3B">
        <w:rPr>
          <w:rFonts w:asciiTheme="majorHAnsi" w:hAnsiTheme="majorHAnsi" w:cstheme="majorHAnsi"/>
          <w:color w:val="auto"/>
        </w:rPr>
        <w:t>A</w:t>
      </w:r>
      <w:r w:rsidRPr="00C71B3B">
        <w:rPr>
          <w:rFonts w:asciiTheme="majorHAnsi" w:hAnsiTheme="majorHAnsi" w:cstheme="majorHAnsi"/>
          <w:color w:val="auto"/>
        </w:rPr>
        <w:t>nother case study</w:t>
      </w:r>
      <w:r w:rsidR="00AB3066" w:rsidRPr="00C71B3B">
        <w:rPr>
          <w:rFonts w:asciiTheme="majorHAnsi" w:hAnsiTheme="majorHAnsi" w:cstheme="majorHAnsi"/>
          <w:color w:val="auto"/>
        </w:rPr>
        <w:t xml:space="preserve"> showed that disabled employees actively navigated and countered organi</w:t>
      </w:r>
      <w:r w:rsidR="00B27FB4" w:rsidRPr="00C71B3B">
        <w:rPr>
          <w:rFonts w:asciiTheme="majorHAnsi" w:hAnsiTheme="majorHAnsi" w:cstheme="majorHAnsi"/>
          <w:color w:val="auto"/>
        </w:rPr>
        <w:t>s</w:t>
      </w:r>
      <w:r w:rsidR="00AB3066" w:rsidRPr="00C71B3B">
        <w:rPr>
          <w:rFonts w:asciiTheme="majorHAnsi" w:hAnsiTheme="majorHAnsi" w:cstheme="majorHAnsi"/>
          <w:color w:val="auto"/>
        </w:rPr>
        <w:t xml:space="preserve">ational efforts to downplay disability, </w:t>
      </w:r>
      <w:r w:rsidRPr="00C71B3B">
        <w:rPr>
          <w:rFonts w:asciiTheme="majorHAnsi" w:hAnsiTheme="majorHAnsi" w:cstheme="majorHAnsi"/>
          <w:color w:val="auto"/>
        </w:rPr>
        <w:t xml:space="preserve">including hiding it to claim rewards associated with non-disability, or accentuating (Jammaers &amp; Zanoni, 2021). A study in an Australia-based call centre found that the organisational </w:t>
      </w:r>
      <w:r w:rsidR="00111062" w:rsidRPr="00C71B3B">
        <w:rPr>
          <w:rFonts w:asciiTheme="majorHAnsi" w:hAnsiTheme="majorHAnsi" w:cstheme="majorHAnsi"/>
          <w:color w:val="auto"/>
        </w:rPr>
        <w:t xml:space="preserve">push for </w:t>
      </w:r>
      <w:r w:rsidRPr="00C71B3B">
        <w:rPr>
          <w:rFonts w:asciiTheme="majorHAnsi" w:hAnsiTheme="majorHAnsi" w:cstheme="majorHAnsi"/>
          <w:color w:val="auto"/>
        </w:rPr>
        <w:t>authenticity (“just be yourself!”)</w:t>
      </w:r>
      <w:r w:rsidR="00111062" w:rsidRPr="00C71B3B">
        <w:rPr>
          <w:rFonts w:asciiTheme="majorHAnsi" w:hAnsiTheme="majorHAnsi" w:cstheme="majorHAnsi"/>
          <w:color w:val="auto"/>
        </w:rPr>
        <w:t>, seen as a</w:t>
      </w:r>
      <w:r w:rsidR="00530296" w:rsidRPr="00C71B3B">
        <w:rPr>
          <w:rFonts w:asciiTheme="majorHAnsi" w:hAnsiTheme="majorHAnsi" w:cstheme="majorHAnsi"/>
          <w:color w:val="auto"/>
        </w:rPr>
        <w:t>n attempt to distract from other controls</w:t>
      </w:r>
      <w:r w:rsidR="00E054B8" w:rsidRPr="00C71B3B">
        <w:rPr>
          <w:rFonts w:asciiTheme="majorHAnsi" w:hAnsiTheme="majorHAnsi" w:cstheme="majorHAnsi"/>
          <w:color w:val="auto"/>
        </w:rPr>
        <w:t xml:space="preserve">, </w:t>
      </w:r>
      <w:r w:rsidR="00995EE3" w:rsidRPr="00C71B3B">
        <w:rPr>
          <w:rFonts w:asciiTheme="majorHAnsi" w:hAnsiTheme="majorHAnsi" w:cstheme="majorHAnsi"/>
          <w:color w:val="auto"/>
        </w:rPr>
        <w:t>sparked employee backlash</w:t>
      </w:r>
      <w:r w:rsidRPr="00C71B3B">
        <w:rPr>
          <w:rFonts w:asciiTheme="majorHAnsi" w:hAnsiTheme="majorHAnsi" w:cstheme="majorHAnsi"/>
          <w:color w:val="auto"/>
        </w:rPr>
        <w:t xml:space="preserve"> and confusion as employees were mandated to partake in fun activities (Fleming &amp; Sturdy, 2011).</w:t>
      </w:r>
    </w:p>
    <w:p w14:paraId="0A139BFB" w14:textId="1456AFBA" w:rsidR="00906EB2" w:rsidRPr="00C71B3B" w:rsidRDefault="00906EB2" w:rsidP="00CC4160">
      <w:pPr>
        <w:rPr>
          <w:rFonts w:asciiTheme="majorHAnsi" w:hAnsiTheme="majorHAnsi" w:cstheme="majorHAnsi"/>
          <w:color w:val="auto"/>
        </w:rPr>
      </w:pPr>
      <w:r w:rsidRPr="00C71B3B">
        <w:rPr>
          <w:rFonts w:asciiTheme="majorHAnsi" w:hAnsiTheme="majorHAnsi" w:cstheme="majorHAnsi"/>
          <w:color w:val="auto"/>
        </w:rPr>
        <w:t xml:space="preserve">At a US metal fabrication plant, </w:t>
      </w:r>
      <w:r w:rsidR="001D6E73" w:rsidRPr="00C71B3B">
        <w:rPr>
          <w:rFonts w:asciiTheme="majorHAnsi" w:hAnsiTheme="majorHAnsi" w:cstheme="majorHAnsi"/>
          <w:color w:val="auto"/>
        </w:rPr>
        <w:t xml:space="preserve">promoting a "healthy worker" identity that conflicted with employees' self-perceptions led to worries about penalties for non-compliance and </w:t>
      </w:r>
      <w:r w:rsidR="001B3801" w:rsidRPr="00C71B3B">
        <w:rPr>
          <w:rFonts w:asciiTheme="majorHAnsi" w:hAnsiTheme="majorHAnsi" w:cstheme="majorHAnsi"/>
          <w:color w:val="auto"/>
        </w:rPr>
        <w:t xml:space="preserve">the perception of </w:t>
      </w:r>
      <w:r w:rsidR="001D6E73" w:rsidRPr="00C71B3B">
        <w:rPr>
          <w:rFonts w:asciiTheme="majorHAnsi" w:hAnsiTheme="majorHAnsi" w:cstheme="majorHAnsi"/>
          <w:color w:val="auto"/>
        </w:rPr>
        <w:t>manipulat</w:t>
      </w:r>
      <w:r w:rsidR="001B3801" w:rsidRPr="00C71B3B">
        <w:rPr>
          <w:rFonts w:asciiTheme="majorHAnsi" w:hAnsiTheme="majorHAnsi" w:cstheme="majorHAnsi"/>
          <w:color w:val="auto"/>
        </w:rPr>
        <w:t>ion (James et al., 2023).</w:t>
      </w:r>
      <w:r w:rsidRPr="00C71B3B">
        <w:rPr>
          <w:rFonts w:asciiTheme="majorHAnsi" w:hAnsiTheme="majorHAnsi" w:cstheme="majorHAnsi"/>
          <w:color w:val="auto"/>
        </w:rPr>
        <w:t xml:space="preserve"> Interviews with call centre managers in India </w:t>
      </w:r>
      <w:r w:rsidRPr="00C71B3B">
        <w:rPr>
          <w:rFonts w:asciiTheme="majorHAnsi" w:hAnsiTheme="majorHAnsi" w:cstheme="majorHAnsi"/>
          <w:color w:val="auto"/>
        </w:rPr>
        <w:lastRenderedPageBreak/>
        <w:t xml:space="preserve">revealed that in the context of depersonalised bullying, organisations cultivated the notion of professionalism to regulate employee identity, achieving conformity but also generating emotional distress  (D’Cruz &amp; Noronha, 2013). Attempts to regulate employee identity through self-help programmes in a knowledge-intensive organisation met with unexpected resistance, with employees using the provided resources to challenge organisational demands (Carlone &amp; Larson, 2006). </w:t>
      </w:r>
      <w:r w:rsidR="0048631C" w:rsidRPr="00C71B3B">
        <w:rPr>
          <w:rFonts w:asciiTheme="majorHAnsi" w:hAnsiTheme="majorHAnsi" w:cstheme="majorHAnsi"/>
          <w:color w:val="auto"/>
        </w:rPr>
        <w:t>A</w:t>
      </w:r>
      <w:r w:rsidR="006C3D7E" w:rsidRPr="00C71B3B">
        <w:rPr>
          <w:rFonts w:asciiTheme="majorHAnsi" w:hAnsiTheme="majorHAnsi" w:cstheme="majorHAnsi"/>
          <w:color w:val="auto"/>
        </w:rPr>
        <w:t xml:space="preserve"> </w:t>
      </w:r>
      <w:r w:rsidR="00B95AF7" w:rsidRPr="00C71B3B">
        <w:rPr>
          <w:rFonts w:asciiTheme="majorHAnsi" w:hAnsiTheme="majorHAnsi" w:cstheme="majorHAnsi"/>
          <w:color w:val="auto"/>
        </w:rPr>
        <w:t>discrepancy</w:t>
      </w:r>
      <w:r w:rsidR="006C3D7E" w:rsidRPr="00C71B3B">
        <w:rPr>
          <w:rFonts w:asciiTheme="majorHAnsi" w:hAnsiTheme="majorHAnsi" w:cstheme="majorHAnsi"/>
          <w:color w:val="auto"/>
        </w:rPr>
        <w:t xml:space="preserve"> between </w:t>
      </w:r>
      <w:r w:rsidR="00BE7553" w:rsidRPr="00C71B3B">
        <w:rPr>
          <w:rFonts w:asciiTheme="majorHAnsi" w:hAnsiTheme="majorHAnsi" w:cstheme="majorHAnsi"/>
          <w:color w:val="auto"/>
        </w:rPr>
        <w:t xml:space="preserve">the promoted idea of a skilled, committed, and adaptable global workforce and the reality of being treated as less competent by Western peers in </w:t>
      </w:r>
      <w:r w:rsidRPr="00C71B3B">
        <w:rPr>
          <w:rFonts w:asciiTheme="majorHAnsi" w:hAnsiTheme="majorHAnsi" w:cstheme="majorHAnsi"/>
          <w:color w:val="auto"/>
        </w:rPr>
        <w:t>India's IT sector prompt</w:t>
      </w:r>
      <w:r w:rsidR="00165823" w:rsidRPr="00C71B3B">
        <w:rPr>
          <w:rFonts w:asciiTheme="majorHAnsi" w:hAnsiTheme="majorHAnsi" w:cstheme="majorHAnsi"/>
          <w:color w:val="auto"/>
        </w:rPr>
        <w:t>ed</w:t>
      </w:r>
      <w:r w:rsidRPr="00C71B3B">
        <w:rPr>
          <w:rFonts w:asciiTheme="majorHAnsi" w:hAnsiTheme="majorHAnsi" w:cstheme="majorHAnsi"/>
          <w:color w:val="auto"/>
        </w:rPr>
        <w:t xml:space="preserve"> employees to question organisational practices and policies</w:t>
      </w:r>
      <w:r w:rsidR="002020BA" w:rsidRPr="00C71B3B">
        <w:rPr>
          <w:rFonts w:asciiTheme="majorHAnsi" w:hAnsiTheme="majorHAnsi" w:cstheme="majorHAnsi"/>
          <w:color w:val="auto"/>
        </w:rPr>
        <w:t xml:space="preserve"> </w:t>
      </w:r>
      <w:r w:rsidRPr="00C71B3B">
        <w:rPr>
          <w:rFonts w:asciiTheme="majorHAnsi" w:hAnsiTheme="majorHAnsi" w:cstheme="majorHAnsi"/>
          <w:color w:val="auto"/>
        </w:rPr>
        <w:t>(</w:t>
      </w:r>
      <w:hyperlink r:id="rId9" w:history="1">
        <w:r w:rsidRPr="00C71B3B">
          <w:rPr>
            <w:rFonts w:asciiTheme="majorHAnsi" w:hAnsiTheme="majorHAnsi" w:cstheme="majorHAnsi"/>
            <w:color w:val="auto"/>
          </w:rPr>
          <w:t>Koppman</w:t>
        </w:r>
      </w:hyperlink>
      <w:r w:rsidRPr="00C71B3B">
        <w:rPr>
          <w:rFonts w:asciiTheme="majorHAnsi" w:hAnsiTheme="majorHAnsi" w:cstheme="majorHAnsi"/>
          <w:color w:val="auto"/>
        </w:rPr>
        <w:t xml:space="preserve"> et al., 2016). </w:t>
      </w:r>
      <w:r w:rsidR="000A7B2E" w:rsidRPr="00C71B3B">
        <w:rPr>
          <w:rFonts w:asciiTheme="majorHAnsi" w:hAnsiTheme="majorHAnsi" w:cstheme="majorHAnsi"/>
          <w:color w:val="auto"/>
        </w:rPr>
        <w:t xml:space="preserve">The promotion of the ideal consultant identity </w:t>
      </w:r>
      <w:r w:rsidR="00853D0B" w:rsidRPr="00C71B3B">
        <w:rPr>
          <w:rFonts w:asciiTheme="majorHAnsi" w:hAnsiTheme="majorHAnsi" w:cstheme="majorHAnsi"/>
          <w:color w:val="auto"/>
        </w:rPr>
        <w:t>through</w:t>
      </w:r>
      <w:r w:rsidR="000A7B2E" w:rsidRPr="00C71B3B">
        <w:rPr>
          <w:rFonts w:asciiTheme="majorHAnsi" w:hAnsiTheme="majorHAnsi" w:cstheme="majorHAnsi"/>
          <w:color w:val="auto"/>
        </w:rPr>
        <w:t xml:space="preserve"> attitudes, gestures, and postures, although conformed to was not necessarily internalised, evident, for instance, in parodic behaviours</w:t>
      </w:r>
      <w:r w:rsidR="0013483B" w:rsidRPr="00C71B3B">
        <w:rPr>
          <w:rFonts w:asciiTheme="majorHAnsi" w:hAnsiTheme="majorHAnsi" w:cstheme="majorHAnsi"/>
          <w:color w:val="auto"/>
        </w:rPr>
        <w:t xml:space="preserve"> (Paring et al., 2017). </w:t>
      </w:r>
      <w:r w:rsidRPr="00C71B3B">
        <w:rPr>
          <w:rFonts w:asciiTheme="majorHAnsi" w:hAnsiTheme="majorHAnsi" w:cstheme="majorHAnsi"/>
          <w:color w:val="auto"/>
        </w:rPr>
        <w:t>Importantly, the organisational regulation of employee self-expression, requiring increased self-control, can result in dissonance, depleted resources, and performance trade-offs (Grandey et al., 2015).</w:t>
      </w:r>
    </w:p>
    <w:p w14:paraId="5FC1CA3E" w14:textId="5D9DFD56" w:rsidR="001C3FAF" w:rsidRPr="00C71B3B" w:rsidRDefault="00906EB2" w:rsidP="00741B76">
      <w:pPr>
        <w:rPr>
          <w:rFonts w:asciiTheme="majorHAnsi" w:hAnsiTheme="majorHAnsi" w:cstheme="majorHAnsi"/>
          <w:color w:val="auto"/>
        </w:rPr>
      </w:pPr>
      <w:r w:rsidRPr="00C71B3B">
        <w:rPr>
          <w:rFonts w:asciiTheme="majorHAnsi" w:hAnsiTheme="majorHAnsi" w:cstheme="majorHAnsi"/>
          <w:color w:val="auto"/>
        </w:rPr>
        <w:t xml:space="preserve">Thus, research in multiple settings has </w:t>
      </w:r>
      <w:r w:rsidR="00432ECD">
        <w:rPr>
          <w:rFonts w:asciiTheme="majorHAnsi" w:hAnsiTheme="majorHAnsi" w:cstheme="majorHAnsi"/>
          <w:color w:val="auto"/>
        </w:rPr>
        <w:t xml:space="preserve">focused on </w:t>
      </w:r>
      <w:r w:rsidR="00F55B83">
        <w:rPr>
          <w:rFonts w:ascii="Times New Roman" w:eastAsia="Times New Roman" w:hAnsi="Times New Roman" w:cs="Times New Roman"/>
          <w:color w:val="auto"/>
          <w:lang w:eastAsia="en-GB"/>
        </w:rPr>
        <w:t>various</w:t>
      </w:r>
      <w:r w:rsidR="00432ECD" w:rsidRPr="001C3FAF">
        <w:rPr>
          <w:rFonts w:ascii="Times New Roman" w:eastAsia="Times New Roman" w:hAnsi="Times New Roman" w:cs="Times New Roman"/>
          <w:color w:val="auto"/>
          <w:lang w:eastAsia="en-GB"/>
        </w:rPr>
        <w:t xml:space="preserve"> identity constructs</w:t>
      </w:r>
      <w:r w:rsidR="00F55B83">
        <w:rPr>
          <w:rFonts w:ascii="Times New Roman" w:eastAsia="Times New Roman" w:hAnsi="Times New Roman" w:cs="Times New Roman"/>
          <w:color w:val="auto"/>
          <w:lang w:eastAsia="en-GB"/>
        </w:rPr>
        <w:t>,</w:t>
      </w:r>
      <w:r w:rsidR="00432ECD" w:rsidRPr="00C71B3B">
        <w:rPr>
          <w:rFonts w:asciiTheme="majorHAnsi" w:hAnsiTheme="majorHAnsi" w:cstheme="majorHAnsi"/>
          <w:color w:val="auto"/>
        </w:rPr>
        <w:t xml:space="preserve"> </w:t>
      </w:r>
      <w:r w:rsidRPr="00C71B3B">
        <w:rPr>
          <w:rFonts w:asciiTheme="majorHAnsi" w:hAnsiTheme="majorHAnsi" w:cstheme="majorHAnsi"/>
          <w:color w:val="auto"/>
        </w:rPr>
        <w:t>explor</w:t>
      </w:r>
      <w:r w:rsidR="00432ECD">
        <w:rPr>
          <w:rFonts w:asciiTheme="majorHAnsi" w:hAnsiTheme="majorHAnsi" w:cstheme="majorHAnsi"/>
          <w:color w:val="auto"/>
        </w:rPr>
        <w:t>ing</w:t>
      </w:r>
      <w:r w:rsidRPr="00C71B3B">
        <w:rPr>
          <w:rFonts w:asciiTheme="majorHAnsi" w:hAnsiTheme="majorHAnsi" w:cstheme="majorHAnsi"/>
          <w:color w:val="auto"/>
        </w:rPr>
        <w:t xml:space="preserve"> instances and practices of organisational attempts to regulate employee identity by imposing patterns of thinking, feeling, or behaving. Research highlights the “when” of the acceptance-rejection spectrum of employee reactions, including various degrees of internalisation, negotiation, or resistance, depending on the alignment with the promoted identity. Yet, our knowledge of imposing positivity at work is limited to anecdotal evidence, critiques, or studies not primarily focused on the phenomenon</w:t>
      </w:r>
      <w:r w:rsidR="00764879" w:rsidRPr="00C71B3B">
        <w:rPr>
          <w:rFonts w:asciiTheme="majorHAnsi" w:hAnsiTheme="majorHAnsi" w:cstheme="majorHAnsi"/>
          <w:color w:val="auto"/>
        </w:rPr>
        <w:t xml:space="preserve"> as research </w:t>
      </w:r>
      <w:r w:rsidRPr="00C71B3B">
        <w:rPr>
          <w:rFonts w:asciiTheme="majorHAnsi" w:hAnsiTheme="majorHAnsi" w:cstheme="majorHAnsi"/>
          <w:color w:val="auto"/>
        </w:rPr>
        <w:t>ha</w:t>
      </w:r>
      <w:r w:rsidR="00764879" w:rsidRPr="00C71B3B">
        <w:rPr>
          <w:rFonts w:asciiTheme="majorHAnsi" w:hAnsiTheme="majorHAnsi" w:cstheme="majorHAnsi"/>
          <w:color w:val="auto"/>
        </w:rPr>
        <w:t>s</w:t>
      </w:r>
      <w:r w:rsidRPr="00C71B3B">
        <w:rPr>
          <w:rFonts w:asciiTheme="majorHAnsi" w:hAnsiTheme="majorHAnsi" w:cstheme="majorHAnsi"/>
          <w:color w:val="auto"/>
        </w:rPr>
        <w:t xml:space="preserve"> not sufficiently explored expectations to express positivity at work and employee reactions to such expectations. </w:t>
      </w:r>
      <w:r w:rsidR="00C5200D" w:rsidRPr="001C3FAF">
        <w:rPr>
          <w:rFonts w:ascii="Times New Roman" w:eastAsia="Times New Roman" w:hAnsi="Times New Roman" w:cs="Times New Roman"/>
          <w:color w:val="auto"/>
          <w:lang w:eastAsia="en-GB"/>
        </w:rPr>
        <w:t>Drawing on identity regulation</w:t>
      </w:r>
      <w:r w:rsidR="00C5200D">
        <w:rPr>
          <w:rFonts w:ascii="Times New Roman" w:eastAsia="Times New Roman" w:hAnsi="Times New Roman" w:cs="Times New Roman"/>
          <w:color w:val="auto"/>
          <w:lang w:eastAsia="en-GB"/>
        </w:rPr>
        <w:t xml:space="preserve"> and resistance</w:t>
      </w:r>
      <w:r w:rsidR="00C5200D" w:rsidRPr="001C3FAF">
        <w:rPr>
          <w:rFonts w:ascii="Times New Roman" w:eastAsia="Times New Roman" w:hAnsi="Times New Roman" w:cs="Times New Roman"/>
          <w:color w:val="auto"/>
          <w:lang w:eastAsia="en-GB"/>
        </w:rPr>
        <w:t xml:space="preserve"> theory</w:t>
      </w:r>
      <w:r w:rsidR="00C5200D">
        <w:rPr>
          <w:rFonts w:ascii="Times New Roman" w:eastAsia="Times New Roman" w:hAnsi="Times New Roman" w:cs="Times New Roman"/>
          <w:color w:val="auto"/>
          <w:lang w:eastAsia="en-GB"/>
        </w:rPr>
        <w:t xml:space="preserve">, </w:t>
      </w:r>
      <w:r w:rsidR="00550A49" w:rsidRPr="001C3FAF">
        <w:rPr>
          <w:rFonts w:ascii="Times New Roman" w:eastAsia="Times New Roman" w:hAnsi="Times New Roman" w:cs="Times New Roman"/>
          <w:color w:val="auto"/>
          <w:lang w:eastAsia="en-GB"/>
        </w:rPr>
        <w:t>we examine how organi</w:t>
      </w:r>
      <w:r w:rsidR="00550A49">
        <w:rPr>
          <w:rFonts w:ascii="Times New Roman" w:eastAsia="Times New Roman" w:hAnsi="Times New Roman" w:cs="Times New Roman"/>
          <w:color w:val="auto"/>
          <w:lang w:eastAsia="en-GB"/>
        </w:rPr>
        <w:t>s</w:t>
      </w:r>
      <w:r w:rsidR="00550A49" w:rsidRPr="001C3FAF">
        <w:rPr>
          <w:rFonts w:ascii="Times New Roman" w:eastAsia="Times New Roman" w:hAnsi="Times New Roman" w:cs="Times New Roman"/>
          <w:color w:val="auto"/>
          <w:lang w:eastAsia="en-GB"/>
        </w:rPr>
        <w:t xml:space="preserve">ations leverage positivity as a </w:t>
      </w:r>
      <w:r w:rsidR="00550A49">
        <w:rPr>
          <w:rFonts w:ascii="Times New Roman" w:eastAsia="Times New Roman" w:hAnsi="Times New Roman" w:cs="Times New Roman"/>
          <w:color w:val="auto"/>
          <w:lang w:eastAsia="en-GB"/>
        </w:rPr>
        <w:t xml:space="preserve">unique form of </w:t>
      </w:r>
      <w:r w:rsidR="00550A49" w:rsidRPr="001C3FAF">
        <w:rPr>
          <w:rFonts w:ascii="Times New Roman" w:eastAsia="Times New Roman" w:hAnsi="Times New Roman" w:cs="Times New Roman"/>
          <w:color w:val="auto"/>
          <w:lang w:eastAsia="en-GB"/>
        </w:rPr>
        <w:t>control</w:t>
      </w:r>
      <w:r w:rsidR="00550A49">
        <w:rPr>
          <w:rFonts w:ascii="Times New Roman" w:eastAsia="Times New Roman" w:hAnsi="Times New Roman" w:cs="Times New Roman"/>
          <w:color w:val="auto"/>
          <w:lang w:eastAsia="en-GB"/>
        </w:rPr>
        <w:t xml:space="preserve"> </w:t>
      </w:r>
      <w:r w:rsidR="00550A49" w:rsidRPr="001C3FAF">
        <w:rPr>
          <w:rFonts w:ascii="Times New Roman" w:eastAsia="Times New Roman" w:hAnsi="Times New Roman" w:cs="Times New Roman"/>
          <w:color w:val="auto"/>
          <w:lang w:eastAsia="en-GB"/>
        </w:rPr>
        <w:t xml:space="preserve">through the promotion of specific </w:t>
      </w:r>
      <w:r w:rsidR="00550A49">
        <w:rPr>
          <w:rFonts w:ascii="Times New Roman" w:eastAsia="Times New Roman" w:hAnsi="Times New Roman" w:cs="Times New Roman"/>
          <w:color w:val="auto"/>
          <w:lang w:eastAsia="en-GB"/>
        </w:rPr>
        <w:t xml:space="preserve">“positive” </w:t>
      </w:r>
      <w:r w:rsidR="00550A49" w:rsidRPr="001C3FAF">
        <w:rPr>
          <w:rFonts w:ascii="Times New Roman" w:eastAsia="Times New Roman" w:hAnsi="Times New Roman" w:cs="Times New Roman"/>
          <w:color w:val="auto"/>
          <w:lang w:eastAsia="en-GB"/>
        </w:rPr>
        <w:t xml:space="preserve">attributes </w:t>
      </w:r>
      <w:r w:rsidR="00550A49">
        <w:rPr>
          <w:rFonts w:ascii="Times New Roman" w:eastAsia="Times New Roman" w:hAnsi="Times New Roman" w:cs="Times New Roman"/>
          <w:color w:val="auto"/>
          <w:lang w:eastAsia="en-GB"/>
        </w:rPr>
        <w:t>and discourse</w:t>
      </w:r>
      <w:r w:rsidR="00550A49" w:rsidRPr="001C3FAF">
        <w:rPr>
          <w:rFonts w:ascii="Times New Roman" w:eastAsia="Times New Roman" w:hAnsi="Times New Roman" w:cs="Times New Roman"/>
          <w:color w:val="auto"/>
          <w:lang w:eastAsia="en-GB"/>
        </w:rPr>
        <w:t>.</w:t>
      </w:r>
      <w:r w:rsidR="00550A49">
        <w:rPr>
          <w:rFonts w:ascii="Times New Roman" w:eastAsia="Times New Roman" w:hAnsi="Times New Roman" w:cs="Times New Roman"/>
          <w:color w:val="auto"/>
          <w:lang w:eastAsia="en-GB"/>
        </w:rPr>
        <w:t xml:space="preserve"> W</w:t>
      </w:r>
      <w:r w:rsidRPr="00C71B3B">
        <w:rPr>
          <w:rFonts w:asciiTheme="majorHAnsi" w:hAnsiTheme="majorHAnsi" w:cstheme="majorHAnsi"/>
          <w:color w:val="auto"/>
        </w:rPr>
        <w:t>e</w:t>
      </w:r>
      <w:r w:rsidR="00550A49">
        <w:rPr>
          <w:rFonts w:asciiTheme="majorHAnsi" w:hAnsiTheme="majorHAnsi" w:cstheme="majorHAnsi"/>
          <w:color w:val="auto"/>
        </w:rPr>
        <w:t xml:space="preserve"> </w:t>
      </w:r>
      <w:r w:rsidRPr="00C71B3B">
        <w:rPr>
          <w:rFonts w:asciiTheme="majorHAnsi" w:hAnsiTheme="majorHAnsi" w:cstheme="majorHAnsi"/>
          <w:color w:val="auto"/>
        </w:rPr>
        <w:t xml:space="preserve">seek to </w:t>
      </w:r>
      <w:r w:rsidRPr="00C71B3B">
        <w:rPr>
          <w:rFonts w:asciiTheme="majorHAnsi" w:hAnsiTheme="majorHAnsi" w:cstheme="majorHAnsi"/>
          <w:color w:val="auto"/>
        </w:rPr>
        <w:lastRenderedPageBreak/>
        <w:t>build a conceptual understanding of positivity imposition in organisations by investigating its manifestations, mechanisms, and consequences, including employee perceptions and behaviours, using employee and managerial perspectives and organisational document analysis.</w:t>
      </w:r>
      <w:r w:rsidR="001C3FAF" w:rsidRPr="001C3FAF">
        <w:rPr>
          <w:rFonts w:ascii="Times New Roman" w:eastAsia="Times New Roman" w:hAnsi="Times New Roman" w:cs="Times New Roman"/>
          <w:color w:val="auto"/>
          <w:lang w:eastAsia="en-GB"/>
        </w:rPr>
        <w:t xml:space="preserve"> </w:t>
      </w:r>
    </w:p>
    <w:p w14:paraId="59D09AF8" w14:textId="77777777" w:rsidR="002361AE" w:rsidRPr="00C71B3B" w:rsidRDefault="002361AE" w:rsidP="005125FC">
      <w:pPr>
        <w:ind w:firstLine="0"/>
        <w:jc w:val="center"/>
        <w:rPr>
          <w:rFonts w:asciiTheme="majorHAnsi" w:hAnsiTheme="majorHAnsi" w:cstheme="majorHAnsi"/>
          <w:b/>
          <w:bCs/>
          <w:color w:val="auto"/>
        </w:rPr>
      </w:pPr>
      <w:r w:rsidRPr="00C71B3B">
        <w:rPr>
          <w:rFonts w:asciiTheme="majorHAnsi" w:hAnsiTheme="majorHAnsi" w:cstheme="majorHAnsi"/>
          <w:b/>
          <w:bCs/>
          <w:color w:val="auto"/>
        </w:rPr>
        <w:t>Research methods and analytical approach</w:t>
      </w:r>
    </w:p>
    <w:p w14:paraId="32D5F94E" w14:textId="57AF8DD1" w:rsidR="001F4997" w:rsidRPr="00C71B3B" w:rsidRDefault="002361AE" w:rsidP="001F4997">
      <w:pPr>
        <w:rPr>
          <w:rFonts w:ascii="Segoe UI" w:hAnsi="Segoe UI" w:cs="Segoe UI"/>
          <w:color w:val="auto"/>
          <w:shd w:val="clear" w:color="auto" w:fill="FFFFFF"/>
        </w:rPr>
      </w:pPr>
      <w:r w:rsidRPr="00C71B3B">
        <w:rPr>
          <w:rFonts w:asciiTheme="majorHAnsi" w:hAnsiTheme="majorHAnsi" w:cstheme="majorHAnsi"/>
          <w:color w:val="auto"/>
        </w:rPr>
        <w:t>We used grounded theory method as most appropriate for areas with poor theoretical foundation</w:t>
      </w:r>
      <w:r w:rsidR="00776469" w:rsidRPr="00C71B3B">
        <w:rPr>
          <w:rFonts w:asciiTheme="majorHAnsi" w:hAnsiTheme="majorHAnsi" w:cstheme="majorHAnsi"/>
          <w:color w:val="auto"/>
        </w:rPr>
        <w:t xml:space="preserve"> </w:t>
      </w:r>
      <w:r w:rsidRPr="00C71B3B">
        <w:rPr>
          <w:rFonts w:asciiTheme="majorHAnsi" w:hAnsiTheme="majorHAnsi" w:cstheme="majorHAnsi"/>
          <w:color w:val="auto"/>
        </w:rPr>
        <w:t xml:space="preserve">(Gioia et al., 2012). </w:t>
      </w:r>
      <w:r w:rsidR="0039518C" w:rsidRPr="00C71B3B">
        <w:rPr>
          <w:rFonts w:asciiTheme="majorHAnsi" w:hAnsiTheme="majorHAnsi" w:cstheme="majorHAnsi"/>
          <w:color w:val="auto"/>
        </w:rPr>
        <w:t xml:space="preserve">This </w:t>
      </w:r>
      <w:r w:rsidRPr="00C71B3B">
        <w:rPr>
          <w:rFonts w:asciiTheme="majorHAnsi" w:hAnsiTheme="majorHAnsi" w:cstheme="majorHAnsi"/>
          <w:color w:val="auto"/>
        </w:rPr>
        <w:t>involv</w:t>
      </w:r>
      <w:r w:rsidR="0039518C" w:rsidRPr="00C71B3B">
        <w:rPr>
          <w:rFonts w:asciiTheme="majorHAnsi" w:hAnsiTheme="majorHAnsi" w:cstheme="majorHAnsi"/>
          <w:color w:val="auto"/>
        </w:rPr>
        <w:t>ed</w:t>
      </w:r>
      <w:r w:rsidRPr="00C71B3B">
        <w:rPr>
          <w:rFonts w:asciiTheme="majorHAnsi" w:hAnsiTheme="majorHAnsi" w:cstheme="majorHAnsi"/>
          <w:color w:val="auto"/>
        </w:rPr>
        <w:t xml:space="preserve"> simultaneous, interdependent, and iterative data collection and analysis where the identification of concepts relevant to the evolving model drove search for new data (Corbin &amp; Strauss, 2015). We </w:t>
      </w:r>
      <w:r w:rsidR="00211727" w:rsidRPr="00C71B3B">
        <w:rPr>
          <w:rFonts w:asciiTheme="majorHAnsi" w:hAnsiTheme="majorHAnsi" w:cstheme="majorHAnsi"/>
          <w:color w:val="auto"/>
        </w:rPr>
        <w:t xml:space="preserve">used </w:t>
      </w:r>
      <w:r w:rsidRPr="00C71B3B">
        <w:rPr>
          <w:rFonts w:asciiTheme="majorHAnsi" w:hAnsiTheme="majorHAnsi" w:cstheme="majorHAnsi"/>
          <w:color w:val="auto"/>
        </w:rPr>
        <w:t>interview</w:t>
      </w:r>
      <w:r w:rsidR="009A2386" w:rsidRPr="00C71B3B">
        <w:rPr>
          <w:rFonts w:asciiTheme="majorHAnsi" w:hAnsiTheme="majorHAnsi" w:cstheme="majorHAnsi"/>
          <w:color w:val="auto"/>
        </w:rPr>
        <w:t xml:space="preserve"> data</w:t>
      </w:r>
      <w:r w:rsidRPr="00C71B3B">
        <w:rPr>
          <w:rFonts w:asciiTheme="majorHAnsi" w:hAnsiTheme="majorHAnsi" w:cstheme="majorHAnsi"/>
          <w:color w:val="auto"/>
        </w:rPr>
        <w:t xml:space="preserve"> with vignette discussions and organisational document data collection</w:t>
      </w:r>
      <w:r w:rsidR="001F4997" w:rsidRPr="00C71B3B">
        <w:rPr>
          <w:rFonts w:asciiTheme="majorHAnsi" w:hAnsiTheme="majorHAnsi" w:cstheme="majorHAnsi"/>
          <w:color w:val="auto"/>
        </w:rPr>
        <w:t xml:space="preserve">, </w:t>
      </w:r>
      <w:r w:rsidRPr="00C71B3B">
        <w:rPr>
          <w:rFonts w:asciiTheme="majorHAnsi" w:hAnsiTheme="majorHAnsi" w:cstheme="majorHAnsi"/>
          <w:color w:val="auto"/>
        </w:rPr>
        <w:t>achieved theoretical saturation, where incoming data did not add anything new to properties of categories (Corbin &amp; Strauss, 2015), after 13 interviews and 16 organisational documents</w:t>
      </w:r>
      <w:r w:rsidR="001F4997" w:rsidRPr="00C71B3B">
        <w:rPr>
          <w:rFonts w:asciiTheme="majorHAnsi" w:hAnsiTheme="majorHAnsi" w:cstheme="majorHAnsi"/>
          <w:color w:val="auto"/>
        </w:rPr>
        <w:t>,</w:t>
      </w:r>
      <w:r w:rsidRPr="00C71B3B">
        <w:rPr>
          <w:rFonts w:asciiTheme="majorHAnsi" w:hAnsiTheme="majorHAnsi" w:cstheme="majorHAnsi"/>
          <w:color w:val="auto"/>
        </w:rPr>
        <w:t xml:space="preserve"> and were able to confirm that indeed additional data did not offer new insights after a total of 19 interviews and 27 documents. </w:t>
      </w:r>
    </w:p>
    <w:p w14:paraId="55C9FDAD" w14:textId="77777777" w:rsidR="002361AE" w:rsidRPr="00C71B3B" w:rsidRDefault="002361AE" w:rsidP="005125FC">
      <w:pPr>
        <w:ind w:firstLine="0"/>
        <w:rPr>
          <w:rFonts w:asciiTheme="majorHAnsi" w:hAnsiTheme="majorHAnsi" w:cstheme="majorHAnsi"/>
          <w:color w:val="auto"/>
        </w:rPr>
      </w:pPr>
      <w:r w:rsidRPr="00C71B3B">
        <w:rPr>
          <w:rFonts w:asciiTheme="majorHAnsi" w:hAnsiTheme="majorHAnsi" w:cstheme="majorHAnsi"/>
          <w:b/>
          <w:bCs/>
          <w:color w:val="auto"/>
        </w:rPr>
        <w:t>Data collection</w:t>
      </w:r>
      <w:r w:rsidRPr="00C71B3B">
        <w:rPr>
          <w:rFonts w:asciiTheme="majorHAnsi" w:hAnsiTheme="majorHAnsi" w:cstheme="majorHAnsi"/>
          <w:color w:val="auto"/>
        </w:rPr>
        <w:t xml:space="preserve"> </w:t>
      </w:r>
    </w:p>
    <w:p w14:paraId="4115B59B" w14:textId="77777777" w:rsidR="002361AE" w:rsidRPr="00C71B3B" w:rsidRDefault="002361AE" w:rsidP="005125FC">
      <w:pPr>
        <w:rPr>
          <w:rFonts w:asciiTheme="majorHAnsi" w:hAnsiTheme="majorHAnsi" w:cstheme="majorHAnsi"/>
          <w:color w:val="auto"/>
        </w:rPr>
      </w:pPr>
      <w:r w:rsidRPr="00C71B3B">
        <w:rPr>
          <w:rFonts w:asciiTheme="majorHAnsi" w:hAnsiTheme="majorHAnsi" w:cstheme="majorHAnsi"/>
          <w:b/>
          <w:bCs/>
          <w:color w:val="auto"/>
        </w:rPr>
        <w:t xml:space="preserve">Participants </w:t>
      </w:r>
    </w:p>
    <w:p w14:paraId="4EE8FF5F" w14:textId="77777777" w:rsidR="002E1929" w:rsidRPr="00C71B3B" w:rsidRDefault="002361AE" w:rsidP="002E1929">
      <w:pPr>
        <w:rPr>
          <w:rFonts w:asciiTheme="majorHAnsi" w:hAnsiTheme="majorHAnsi" w:cstheme="majorHAnsi"/>
          <w:color w:val="auto"/>
        </w:rPr>
      </w:pPr>
      <w:r w:rsidRPr="00C71B3B">
        <w:rPr>
          <w:rFonts w:asciiTheme="majorHAnsi" w:hAnsiTheme="majorHAnsi" w:cstheme="majorHAnsi"/>
          <w:color w:val="auto"/>
        </w:rPr>
        <w:t xml:space="preserve">Our final sample comprised an international, multi-cultural, and heterogenous group of 19 individuals working in global (63%) and local (37%) organisations (organisation sizes varying from 50 up to 75,000 employees) in different parts of the world and representing a range of sectors and industries and key informants from Communications and HR departments, which provided a breadth of perspectives (Table 1). </w:t>
      </w:r>
      <w:r w:rsidR="00927203" w:rsidRPr="00C71B3B">
        <w:rPr>
          <w:rFonts w:asciiTheme="majorHAnsi" w:hAnsiTheme="majorHAnsi" w:cstheme="majorHAnsi"/>
          <w:color w:val="auto"/>
        </w:rPr>
        <w:t>Our</w:t>
      </w:r>
      <w:r w:rsidRPr="00C71B3B">
        <w:rPr>
          <w:rFonts w:asciiTheme="majorHAnsi" w:hAnsiTheme="majorHAnsi" w:cstheme="majorHAnsi"/>
          <w:color w:val="auto"/>
        </w:rPr>
        <w:t xml:space="preserve"> sample included both employees who are end users of policies and practices and experience their day-to-day impact (53%), and managers (47%), who have a better strategic understanding underlying the policies and practices (Smith &amp; Elger, 2014). They were between 31 to 66 (mean = 41) years of age, with 47% being female. White British constituted 37% of the participants, the rest included Asian, Hispanic, </w:t>
      </w:r>
      <w:r w:rsidRPr="00C71B3B">
        <w:rPr>
          <w:rFonts w:asciiTheme="majorHAnsi" w:hAnsiTheme="majorHAnsi" w:cstheme="majorHAnsi"/>
          <w:color w:val="auto"/>
        </w:rPr>
        <w:lastRenderedPageBreak/>
        <w:t xml:space="preserve">Mediterranean, and Hispanic and White North American. </w:t>
      </w:r>
      <w:r w:rsidR="002E1929" w:rsidRPr="00C71B3B">
        <w:rPr>
          <w:rFonts w:asciiTheme="majorHAnsi" w:hAnsiTheme="majorHAnsi" w:cstheme="majorHAnsi"/>
          <w:color w:val="auto"/>
        </w:rPr>
        <w:t xml:space="preserve">The study ensured voluntary participation, confidentiality, and ethics with informed consent. Participant identifiers were replaced, and sensitive details in quotes or documents were altered or generalised, effectively cloaking origins to maintain anonymity (Whiting &amp; Pritchard, 2018). </w:t>
      </w:r>
    </w:p>
    <w:p w14:paraId="5E135D1B" w14:textId="77777777" w:rsidR="00DC5A63" w:rsidRPr="00C71B3B" w:rsidRDefault="00DC5A63" w:rsidP="00DC5A63">
      <w:pPr>
        <w:ind w:firstLine="0"/>
        <w:rPr>
          <w:rFonts w:asciiTheme="majorHAnsi" w:hAnsiTheme="majorHAnsi" w:cstheme="majorHAnsi"/>
          <w:b/>
          <w:bCs/>
          <w:color w:val="auto"/>
        </w:rPr>
      </w:pPr>
      <w:r w:rsidRPr="00C71B3B">
        <w:rPr>
          <w:rFonts w:asciiTheme="majorHAnsi" w:hAnsiTheme="majorHAnsi" w:cstheme="majorHAnsi"/>
          <w:b/>
          <w:bCs/>
          <w:color w:val="auto"/>
        </w:rPr>
        <w:t xml:space="preserve">Table 1 </w:t>
      </w:r>
    </w:p>
    <w:p w14:paraId="27E7B65E" w14:textId="77777777" w:rsidR="00DC5A63" w:rsidRPr="00C71B3B" w:rsidRDefault="00DC5A63" w:rsidP="00DC5A63">
      <w:pPr>
        <w:ind w:firstLine="0"/>
        <w:rPr>
          <w:rFonts w:asciiTheme="majorHAnsi" w:hAnsiTheme="majorHAnsi" w:cstheme="majorHAnsi"/>
          <w:i/>
          <w:iCs/>
          <w:color w:val="auto"/>
        </w:rPr>
      </w:pPr>
      <w:r w:rsidRPr="00C71B3B">
        <w:rPr>
          <w:rFonts w:asciiTheme="majorHAnsi" w:hAnsiTheme="majorHAnsi" w:cstheme="majorHAnsi"/>
          <w:i/>
          <w:iCs/>
          <w:color w:val="auto"/>
        </w:rPr>
        <w:t>Sample characteristics</w:t>
      </w:r>
    </w:p>
    <w:tbl>
      <w:tblPr>
        <w:tblStyle w:val="TableGrid"/>
        <w:tblW w:w="0" w:type="auto"/>
        <w:tblLook w:val="04A0" w:firstRow="1" w:lastRow="0" w:firstColumn="1" w:lastColumn="0" w:noHBand="0" w:noVBand="1"/>
      </w:tblPr>
      <w:tblGrid>
        <w:gridCol w:w="1003"/>
        <w:gridCol w:w="1190"/>
        <w:gridCol w:w="1068"/>
        <w:gridCol w:w="708"/>
        <w:gridCol w:w="1276"/>
        <w:gridCol w:w="1701"/>
        <w:gridCol w:w="2414"/>
      </w:tblGrid>
      <w:tr w:rsidR="00C71B3B" w:rsidRPr="00C71B3B" w14:paraId="21322000" w14:textId="77777777" w:rsidTr="00A23BE2">
        <w:tc>
          <w:tcPr>
            <w:tcW w:w="1003" w:type="dxa"/>
            <w:tcBorders>
              <w:top w:val="nil"/>
              <w:left w:val="nil"/>
              <w:bottom w:val="single" w:sz="4" w:space="0" w:color="auto"/>
              <w:right w:val="nil"/>
            </w:tcBorders>
          </w:tcPr>
          <w:p w14:paraId="7F4BFAA7" w14:textId="77777777" w:rsidR="00DC5A63" w:rsidRPr="00C71B3B" w:rsidRDefault="00DC5A63" w:rsidP="00A23BE2">
            <w:pPr>
              <w:ind w:firstLine="0"/>
              <w:rPr>
                <w:rFonts w:asciiTheme="majorHAnsi" w:eastAsia="Calibri" w:hAnsiTheme="majorHAnsi" w:cstheme="majorHAnsi"/>
                <w:b/>
                <w:color w:val="auto"/>
              </w:rPr>
            </w:pPr>
            <w:r w:rsidRPr="00C71B3B">
              <w:rPr>
                <w:rFonts w:asciiTheme="majorHAnsi" w:eastAsia="Calibri" w:hAnsiTheme="majorHAnsi" w:cstheme="majorHAnsi"/>
                <w:b/>
                <w:color w:val="auto"/>
              </w:rPr>
              <w:t xml:space="preserve">Name </w:t>
            </w:r>
          </w:p>
        </w:tc>
        <w:tc>
          <w:tcPr>
            <w:tcW w:w="1190" w:type="dxa"/>
            <w:tcBorders>
              <w:top w:val="nil"/>
              <w:left w:val="nil"/>
              <w:bottom w:val="single" w:sz="4" w:space="0" w:color="auto"/>
              <w:right w:val="nil"/>
            </w:tcBorders>
          </w:tcPr>
          <w:p w14:paraId="20DBD5F3" w14:textId="77777777" w:rsidR="00DC5A63" w:rsidRPr="00C71B3B" w:rsidRDefault="00DC5A63" w:rsidP="00A23BE2">
            <w:pPr>
              <w:ind w:firstLine="0"/>
              <w:rPr>
                <w:rFonts w:asciiTheme="majorHAnsi" w:eastAsia="Calibri" w:hAnsiTheme="majorHAnsi" w:cstheme="majorHAnsi"/>
                <w:b/>
                <w:color w:val="auto"/>
              </w:rPr>
            </w:pPr>
            <w:r w:rsidRPr="00C71B3B">
              <w:rPr>
                <w:rFonts w:asciiTheme="majorHAnsi" w:eastAsia="Calibri" w:hAnsiTheme="majorHAnsi" w:cstheme="majorHAnsi"/>
                <w:b/>
                <w:color w:val="auto"/>
              </w:rPr>
              <w:t xml:space="preserve">Position </w:t>
            </w:r>
          </w:p>
        </w:tc>
        <w:tc>
          <w:tcPr>
            <w:tcW w:w="1068" w:type="dxa"/>
            <w:tcBorders>
              <w:top w:val="nil"/>
              <w:left w:val="nil"/>
              <w:bottom w:val="single" w:sz="4" w:space="0" w:color="auto"/>
              <w:right w:val="nil"/>
            </w:tcBorders>
          </w:tcPr>
          <w:p w14:paraId="2CAB99BB" w14:textId="77777777" w:rsidR="00DC5A63" w:rsidRPr="00C71B3B" w:rsidRDefault="00DC5A63" w:rsidP="00A23BE2">
            <w:pPr>
              <w:ind w:firstLine="0"/>
              <w:rPr>
                <w:rFonts w:asciiTheme="majorHAnsi" w:eastAsia="Calibri" w:hAnsiTheme="majorHAnsi" w:cstheme="majorHAnsi"/>
                <w:b/>
                <w:color w:val="auto"/>
              </w:rPr>
            </w:pPr>
            <w:r w:rsidRPr="00C71B3B">
              <w:rPr>
                <w:rFonts w:asciiTheme="majorHAnsi" w:eastAsia="Calibri" w:hAnsiTheme="majorHAnsi" w:cstheme="majorHAnsi"/>
                <w:b/>
                <w:color w:val="auto"/>
              </w:rPr>
              <w:t>Gender</w:t>
            </w:r>
          </w:p>
        </w:tc>
        <w:tc>
          <w:tcPr>
            <w:tcW w:w="708" w:type="dxa"/>
            <w:tcBorders>
              <w:top w:val="nil"/>
              <w:left w:val="nil"/>
              <w:bottom w:val="single" w:sz="4" w:space="0" w:color="auto"/>
              <w:right w:val="nil"/>
            </w:tcBorders>
          </w:tcPr>
          <w:p w14:paraId="4E35553A" w14:textId="77777777" w:rsidR="00DC5A63" w:rsidRPr="00C71B3B" w:rsidRDefault="00DC5A63" w:rsidP="00A23BE2">
            <w:pPr>
              <w:ind w:firstLine="0"/>
              <w:rPr>
                <w:rFonts w:asciiTheme="majorHAnsi" w:eastAsia="Calibri" w:hAnsiTheme="majorHAnsi" w:cstheme="majorHAnsi"/>
                <w:b/>
                <w:color w:val="auto"/>
              </w:rPr>
            </w:pPr>
            <w:r w:rsidRPr="00C71B3B">
              <w:rPr>
                <w:rFonts w:asciiTheme="majorHAnsi" w:eastAsia="Calibri" w:hAnsiTheme="majorHAnsi" w:cstheme="majorHAnsi"/>
                <w:b/>
                <w:color w:val="auto"/>
              </w:rPr>
              <w:t>Age</w:t>
            </w:r>
          </w:p>
        </w:tc>
        <w:tc>
          <w:tcPr>
            <w:tcW w:w="1276" w:type="dxa"/>
            <w:tcBorders>
              <w:top w:val="nil"/>
              <w:left w:val="nil"/>
              <w:bottom w:val="single" w:sz="4" w:space="0" w:color="auto"/>
              <w:right w:val="nil"/>
            </w:tcBorders>
          </w:tcPr>
          <w:p w14:paraId="6F13780C" w14:textId="77777777" w:rsidR="00DC5A63" w:rsidRPr="00C71B3B" w:rsidRDefault="00DC5A63" w:rsidP="00A23BE2">
            <w:pPr>
              <w:ind w:firstLine="0"/>
              <w:rPr>
                <w:rFonts w:asciiTheme="majorHAnsi" w:eastAsia="Calibri" w:hAnsiTheme="majorHAnsi" w:cstheme="majorHAnsi"/>
                <w:b/>
                <w:color w:val="auto"/>
              </w:rPr>
            </w:pPr>
            <w:r w:rsidRPr="00C71B3B">
              <w:rPr>
                <w:rFonts w:asciiTheme="majorHAnsi" w:eastAsia="Calibri" w:hAnsiTheme="majorHAnsi" w:cstheme="majorHAnsi"/>
                <w:b/>
                <w:color w:val="auto"/>
              </w:rPr>
              <w:t xml:space="preserve">Location </w:t>
            </w:r>
          </w:p>
        </w:tc>
        <w:tc>
          <w:tcPr>
            <w:tcW w:w="1701" w:type="dxa"/>
            <w:tcBorders>
              <w:top w:val="nil"/>
              <w:left w:val="nil"/>
              <w:bottom w:val="single" w:sz="4" w:space="0" w:color="auto"/>
              <w:right w:val="nil"/>
            </w:tcBorders>
          </w:tcPr>
          <w:p w14:paraId="58F1465D" w14:textId="77777777" w:rsidR="00DC5A63" w:rsidRPr="00C71B3B" w:rsidRDefault="00DC5A63" w:rsidP="00A23BE2">
            <w:pPr>
              <w:ind w:firstLine="0"/>
              <w:rPr>
                <w:rFonts w:asciiTheme="majorHAnsi" w:eastAsia="Calibri" w:hAnsiTheme="majorHAnsi" w:cstheme="majorHAnsi"/>
                <w:b/>
                <w:color w:val="auto"/>
              </w:rPr>
            </w:pPr>
            <w:r w:rsidRPr="00C71B3B">
              <w:rPr>
                <w:rFonts w:asciiTheme="majorHAnsi" w:eastAsia="Calibri" w:hAnsiTheme="majorHAnsi" w:cstheme="majorHAnsi"/>
                <w:b/>
                <w:color w:val="auto"/>
              </w:rPr>
              <w:t xml:space="preserve">Industry </w:t>
            </w:r>
          </w:p>
        </w:tc>
        <w:tc>
          <w:tcPr>
            <w:tcW w:w="2414" w:type="dxa"/>
            <w:tcBorders>
              <w:top w:val="nil"/>
              <w:left w:val="nil"/>
              <w:bottom w:val="single" w:sz="4" w:space="0" w:color="auto"/>
              <w:right w:val="nil"/>
            </w:tcBorders>
          </w:tcPr>
          <w:p w14:paraId="3B254E1A" w14:textId="77777777" w:rsidR="00DC5A63" w:rsidRPr="00C71B3B" w:rsidRDefault="00DC5A63" w:rsidP="00A23BE2">
            <w:pPr>
              <w:ind w:firstLine="0"/>
              <w:rPr>
                <w:rFonts w:asciiTheme="majorHAnsi" w:eastAsia="Calibri" w:hAnsiTheme="majorHAnsi" w:cstheme="majorHAnsi"/>
                <w:b/>
                <w:color w:val="auto"/>
              </w:rPr>
            </w:pPr>
            <w:r w:rsidRPr="00C71B3B">
              <w:rPr>
                <w:rFonts w:asciiTheme="majorHAnsi" w:eastAsia="Calibri" w:hAnsiTheme="majorHAnsi" w:cstheme="majorHAnsi"/>
                <w:b/>
                <w:color w:val="auto"/>
              </w:rPr>
              <w:t>Work area</w:t>
            </w:r>
          </w:p>
        </w:tc>
      </w:tr>
      <w:tr w:rsidR="00C71B3B" w:rsidRPr="00C71B3B" w14:paraId="705DBCD4" w14:textId="77777777" w:rsidTr="00A23BE2">
        <w:tc>
          <w:tcPr>
            <w:tcW w:w="1003" w:type="dxa"/>
            <w:tcBorders>
              <w:top w:val="single" w:sz="4" w:space="0" w:color="auto"/>
              <w:left w:val="nil"/>
              <w:bottom w:val="nil"/>
              <w:right w:val="nil"/>
            </w:tcBorders>
          </w:tcPr>
          <w:p w14:paraId="1B0270B3"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Yasmin</w:t>
            </w:r>
          </w:p>
        </w:tc>
        <w:tc>
          <w:tcPr>
            <w:tcW w:w="1190" w:type="dxa"/>
            <w:tcBorders>
              <w:top w:val="single" w:sz="4" w:space="0" w:color="auto"/>
              <w:left w:val="nil"/>
              <w:bottom w:val="nil"/>
              <w:right w:val="nil"/>
            </w:tcBorders>
          </w:tcPr>
          <w:p w14:paraId="47AA4E8E"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Employee </w:t>
            </w:r>
          </w:p>
        </w:tc>
        <w:tc>
          <w:tcPr>
            <w:tcW w:w="1068" w:type="dxa"/>
            <w:tcBorders>
              <w:top w:val="single" w:sz="4" w:space="0" w:color="auto"/>
              <w:left w:val="nil"/>
              <w:bottom w:val="nil"/>
              <w:right w:val="nil"/>
            </w:tcBorders>
          </w:tcPr>
          <w:p w14:paraId="6B947B05"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Female</w:t>
            </w:r>
          </w:p>
        </w:tc>
        <w:tc>
          <w:tcPr>
            <w:tcW w:w="708" w:type="dxa"/>
            <w:tcBorders>
              <w:top w:val="single" w:sz="4" w:space="0" w:color="auto"/>
              <w:left w:val="nil"/>
              <w:bottom w:val="nil"/>
              <w:right w:val="nil"/>
            </w:tcBorders>
          </w:tcPr>
          <w:p w14:paraId="3A405C10"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33</w:t>
            </w:r>
          </w:p>
        </w:tc>
        <w:tc>
          <w:tcPr>
            <w:tcW w:w="1276" w:type="dxa"/>
            <w:tcBorders>
              <w:top w:val="single" w:sz="4" w:space="0" w:color="auto"/>
              <w:left w:val="nil"/>
              <w:bottom w:val="nil"/>
              <w:right w:val="nil"/>
            </w:tcBorders>
          </w:tcPr>
          <w:p w14:paraId="5218A55B"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UK</w:t>
            </w:r>
          </w:p>
        </w:tc>
        <w:tc>
          <w:tcPr>
            <w:tcW w:w="1701" w:type="dxa"/>
            <w:tcBorders>
              <w:top w:val="single" w:sz="4" w:space="0" w:color="auto"/>
              <w:left w:val="nil"/>
              <w:bottom w:val="nil"/>
              <w:right w:val="nil"/>
            </w:tcBorders>
          </w:tcPr>
          <w:p w14:paraId="168C8235"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Consultancy</w:t>
            </w:r>
          </w:p>
        </w:tc>
        <w:tc>
          <w:tcPr>
            <w:tcW w:w="2414" w:type="dxa"/>
            <w:tcBorders>
              <w:top w:val="single" w:sz="4" w:space="0" w:color="auto"/>
              <w:left w:val="nil"/>
              <w:bottom w:val="nil"/>
              <w:right w:val="nil"/>
            </w:tcBorders>
          </w:tcPr>
          <w:p w14:paraId="276BDF2E"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Project management</w:t>
            </w:r>
          </w:p>
        </w:tc>
      </w:tr>
      <w:tr w:rsidR="00C71B3B" w:rsidRPr="00C71B3B" w14:paraId="0D8DA925" w14:textId="77777777" w:rsidTr="00A23BE2">
        <w:tc>
          <w:tcPr>
            <w:tcW w:w="1003" w:type="dxa"/>
            <w:tcBorders>
              <w:top w:val="nil"/>
              <w:left w:val="nil"/>
              <w:bottom w:val="nil"/>
              <w:right w:val="nil"/>
            </w:tcBorders>
          </w:tcPr>
          <w:p w14:paraId="5721F80A"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Yvonne</w:t>
            </w:r>
          </w:p>
        </w:tc>
        <w:tc>
          <w:tcPr>
            <w:tcW w:w="1190" w:type="dxa"/>
            <w:tcBorders>
              <w:top w:val="nil"/>
              <w:left w:val="nil"/>
              <w:bottom w:val="nil"/>
              <w:right w:val="nil"/>
            </w:tcBorders>
          </w:tcPr>
          <w:p w14:paraId="4D358E8B"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Manager</w:t>
            </w:r>
          </w:p>
        </w:tc>
        <w:tc>
          <w:tcPr>
            <w:tcW w:w="1068" w:type="dxa"/>
            <w:tcBorders>
              <w:top w:val="nil"/>
              <w:left w:val="nil"/>
              <w:bottom w:val="nil"/>
              <w:right w:val="nil"/>
            </w:tcBorders>
          </w:tcPr>
          <w:p w14:paraId="1AAA4E74"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Female </w:t>
            </w:r>
          </w:p>
        </w:tc>
        <w:tc>
          <w:tcPr>
            <w:tcW w:w="708" w:type="dxa"/>
            <w:tcBorders>
              <w:top w:val="nil"/>
              <w:left w:val="nil"/>
              <w:bottom w:val="nil"/>
              <w:right w:val="nil"/>
            </w:tcBorders>
          </w:tcPr>
          <w:p w14:paraId="12907775"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44</w:t>
            </w:r>
          </w:p>
        </w:tc>
        <w:tc>
          <w:tcPr>
            <w:tcW w:w="1276" w:type="dxa"/>
            <w:tcBorders>
              <w:top w:val="nil"/>
              <w:left w:val="nil"/>
              <w:bottom w:val="nil"/>
              <w:right w:val="nil"/>
            </w:tcBorders>
          </w:tcPr>
          <w:p w14:paraId="4B4389A3"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UK</w:t>
            </w:r>
          </w:p>
        </w:tc>
        <w:tc>
          <w:tcPr>
            <w:tcW w:w="1701" w:type="dxa"/>
            <w:tcBorders>
              <w:top w:val="nil"/>
              <w:left w:val="nil"/>
              <w:bottom w:val="nil"/>
              <w:right w:val="nil"/>
            </w:tcBorders>
          </w:tcPr>
          <w:p w14:paraId="79040CA6"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Marketing </w:t>
            </w:r>
          </w:p>
        </w:tc>
        <w:tc>
          <w:tcPr>
            <w:tcW w:w="2414" w:type="dxa"/>
            <w:tcBorders>
              <w:top w:val="nil"/>
              <w:left w:val="nil"/>
              <w:bottom w:val="nil"/>
              <w:right w:val="nil"/>
            </w:tcBorders>
          </w:tcPr>
          <w:p w14:paraId="2B6645BA"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Client services </w:t>
            </w:r>
          </w:p>
        </w:tc>
      </w:tr>
      <w:tr w:rsidR="00C71B3B" w:rsidRPr="00C71B3B" w14:paraId="6B621A39" w14:textId="77777777" w:rsidTr="00A23BE2">
        <w:tc>
          <w:tcPr>
            <w:tcW w:w="1003" w:type="dxa"/>
            <w:tcBorders>
              <w:top w:val="nil"/>
              <w:left w:val="nil"/>
              <w:bottom w:val="nil"/>
              <w:right w:val="nil"/>
            </w:tcBorders>
          </w:tcPr>
          <w:p w14:paraId="0E9EA93E"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Rose</w:t>
            </w:r>
          </w:p>
        </w:tc>
        <w:tc>
          <w:tcPr>
            <w:tcW w:w="1190" w:type="dxa"/>
            <w:tcBorders>
              <w:top w:val="nil"/>
              <w:left w:val="nil"/>
              <w:bottom w:val="nil"/>
              <w:right w:val="nil"/>
            </w:tcBorders>
          </w:tcPr>
          <w:p w14:paraId="77CF56DC"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Manager</w:t>
            </w:r>
          </w:p>
        </w:tc>
        <w:tc>
          <w:tcPr>
            <w:tcW w:w="1068" w:type="dxa"/>
            <w:tcBorders>
              <w:top w:val="nil"/>
              <w:left w:val="nil"/>
              <w:bottom w:val="nil"/>
              <w:right w:val="nil"/>
            </w:tcBorders>
          </w:tcPr>
          <w:p w14:paraId="68441D9F"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Female</w:t>
            </w:r>
          </w:p>
        </w:tc>
        <w:tc>
          <w:tcPr>
            <w:tcW w:w="708" w:type="dxa"/>
            <w:tcBorders>
              <w:top w:val="nil"/>
              <w:left w:val="nil"/>
              <w:bottom w:val="nil"/>
              <w:right w:val="nil"/>
            </w:tcBorders>
          </w:tcPr>
          <w:p w14:paraId="18314597"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31</w:t>
            </w:r>
          </w:p>
        </w:tc>
        <w:tc>
          <w:tcPr>
            <w:tcW w:w="1276" w:type="dxa"/>
            <w:tcBorders>
              <w:top w:val="nil"/>
              <w:left w:val="nil"/>
              <w:bottom w:val="nil"/>
              <w:right w:val="nil"/>
            </w:tcBorders>
          </w:tcPr>
          <w:p w14:paraId="354769C1"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Maldives</w:t>
            </w:r>
          </w:p>
        </w:tc>
        <w:tc>
          <w:tcPr>
            <w:tcW w:w="1701" w:type="dxa"/>
            <w:tcBorders>
              <w:top w:val="nil"/>
              <w:left w:val="nil"/>
              <w:bottom w:val="nil"/>
              <w:right w:val="nil"/>
            </w:tcBorders>
          </w:tcPr>
          <w:p w14:paraId="0FB0D7EC"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Hospitality</w:t>
            </w:r>
          </w:p>
        </w:tc>
        <w:tc>
          <w:tcPr>
            <w:tcW w:w="2414" w:type="dxa"/>
            <w:tcBorders>
              <w:top w:val="nil"/>
              <w:left w:val="nil"/>
              <w:bottom w:val="nil"/>
              <w:right w:val="nil"/>
            </w:tcBorders>
          </w:tcPr>
          <w:p w14:paraId="0E58452A"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Customer care</w:t>
            </w:r>
          </w:p>
        </w:tc>
      </w:tr>
      <w:tr w:rsidR="00C71B3B" w:rsidRPr="00C71B3B" w14:paraId="395075AA" w14:textId="77777777" w:rsidTr="00A23BE2">
        <w:tc>
          <w:tcPr>
            <w:tcW w:w="1003" w:type="dxa"/>
            <w:tcBorders>
              <w:top w:val="nil"/>
              <w:left w:val="nil"/>
              <w:bottom w:val="nil"/>
              <w:right w:val="nil"/>
            </w:tcBorders>
          </w:tcPr>
          <w:p w14:paraId="2D94DEDD"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Helen</w:t>
            </w:r>
          </w:p>
        </w:tc>
        <w:tc>
          <w:tcPr>
            <w:tcW w:w="1190" w:type="dxa"/>
            <w:tcBorders>
              <w:top w:val="nil"/>
              <w:left w:val="nil"/>
              <w:bottom w:val="nil"/>
              <w:right w:val="nil"/>
            </w:tcBorders>
          </w:tcPr>
          <w:p w14:paraId="43369C53"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Manager</w:t>
            </w:r>
          </w:p>
        </w:tc>
        <w:tc>
          <w:tcPr>
            <w:tcW w:w="1068" w:type="dxa"/>
            <w:tcBorders>
              <w:top w:val="nil"/>
              <w:left w:val="nil"/>
              <w:bottom w:val="nil"/>
              <w:right w:val="nil"/>
            </w:tcBorders>
          </w:tcPr>
          <w:p w14:paraId="21180667"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Female</w:t>
            </w:r>
          </w:p>
        </w:tc>
        <w:tc>
          <w:tcPr>
            <w:tcW w:w="708" w:type="dxa"/>
            <w:tcBorders>
              <w:top w:val="nil"/>
              <w:left w:val="nil"/>
              <w:bottom w:val="nil"/>
              <w:right w:val="nil"/>
            </w:tcBorders>
          </w:tcPr>
          <w:p w14:paraId="31BA66A0"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35</w:t>
            </w:r>
          </w:p>
        </w:tc>
        <w:tc>
          <w:tcPr>
            <w:tcW w:w="1276" w:type="dxa"/>
            <w:tcBorders>
              <w:top w:val="nil"/>
              <w:left w:val="nil"/>
              <w:bottom w:val="nil"/>
              <w:right w:val="nil"/>
            </w:tcBorders>
          </w:tcPr>
          <w:p w14:paraId="56FFCD5C"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UK</w:t>
            </w:r>
          </w:p>
        </w:tc>
        <w:tc>
          <w:tcPr>
            <w:tcW w:w="1701" w:type="dxa"/>
            <w:tcBorders>
              <w:top w:val="nil"/>
              <w:left w:val="nil"/>
              <w:bottom w:val="nil"/>
              <w:right w:val="nil"/>
            </w:tcBorders>
          </w:tcPr>
          <w:p w14:paraId="2E7615F8"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Banking</w:t>
            </w:r>
          </w:p>
        </w:tc>
        <w:tc>
          <w:tcPr>
            <w:tcW w:w="2414" w:type="dxa"/>
            <w:tcBorders>
              <w:top w:val="nil"/>
              <w:left w:val="nil"/>
              <w:bottom w:val="nil"/>
              <w:right w:val="nil"/>
            </w:tcBorders>
          </w:tcPr>
          <w:p w14:paraId="033592E1"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Project management</w:t>
            </w:r>
          </w:p>
        </w:tc>
      </w:tr>
      <w:tr w:rsidR="00C71B3B" w:rsidRPr="00C71B3B" w14:paraId="71B9B637" w14:textId="77777777" w:rsidTr="00A23BE2">
        <w:tc>
          <w:tcPr>
            <w:tcW w:w="1003" w:type="dxa"/>
            <w:tcBorders>
              <w:top w:val="nil"/>
              <w:left w:val="nil"/>
              <w:bottom w:val="nil"/>
              <w:right w:val="nil"/>
            </w:tcBorders>
          </w:tcPr>
          <w:p w14:paraId="5EBECFE1"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Ann </w:t>
            </w:r>
          </w:p>
        </w:tc>
        <w:tc>
          <w:tcPr>
            <w:tcW w:w="1190" w:type="dxa"/>
            <w:tcBorders>
              <w:top w:val="nil"/>
              <w:left w:val="nil"/>
              <w:bottom w:val="nil"/>
              <w:right w:val="nil"/>
            </w:tcBorders>
          </w:tcPr>
          <w:p w14:paraId="5939C267"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Manager</w:t>
            </w:r>
          </w:p>
        </w:tc>
        <w:tc>
          <w:tcPr>
            <w:tcW w:w="1068" w:type="dxa"/>
            <w:tcBorders>
              <w:top w:val="nil"/>
              <w:left w:val="nil"/>
              <w:bottom w:val="nil"/>
              <w:right w:val="nil"/>
            </w:tcBorders>
          </w:tcPr>
          <w:p w14:paraId="17E3D731"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Female</w:t>
            </w:r>
          </w:p>
        </w:tc>
        <w:tc>
          <w:tcPr>
            <w:tcW w:w="708" w:type="dxa"/>
            <w:tcBorders>
              <w:top w:val="nil"/>
              <w:left w:val="nil"/>
              <w:bottom w:val="nil"/>
              <w:right w:val="nil"/>
            </w:tcBorders>
          </w:tcPr>
          <w:p w14:paraId="1AC32A40"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46</w:t>
            </w:r>
          </w:p>
        </w:tc>
        <w:tc>
          <w:tcPr>
            <w:tcW w:w="1276" w:type="dxa"/>
            <w:tcBorders>
              <w:top w:val="nil"/>
              <w:left w:val="nil"/>
              <w:bottom w:val="nil"/>
              <w:right w:val="nil"/>
            </w:tcBorders>
          </w:tcPr>
          <w:p w14:paraId="4C389C9C"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UK</w:t>
            </w:r>
          </w:p>
        </w:tc>
        <w:tc>
          <w:tcPr>
            <w:tcW w:w="1701" w:type="dxa"/>
            <w:tcBorders>
              <w:top w:val="nil"/>
              <w:left w:val="nil"/>
              <w:bottom w:val="nil"/>
              <w:right w:val="nil"/>
            </w:tcBorders>
          </w:tcPr>
          <w:p w14:paraId="32DCF1D4"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Public sector</w:t>
            </w:r>
          </w:p>
        </w:tc>
        <w:tc>
          <w:tcPr>
            <w:tcW w:w="2414" w:type="dxa"/>
            <w:tcBorders>
              <w:top w:val="nil"/>
              <w:left w:val="nil"/>
              <w:bottom w:val="nil"/>
              <w:right w:val="nil"/>
            </w:tcBorders>
          </w:tcPr>
          <w:p w14:paraId="61360DBB"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Organisational development</w:t>
            </w:r>
          </w:p>
        </w:tc>
      </w:tr>
      <w:tr w:rsidR="00C71B3B" w:rsidRPr="00C71B3B" w14:paraId="4D98B28E" w14:textId="77777777" w:rsidTr="00A23BE2">
        <w:tc>
          <w:tcPr>
            <w:tcW w:w="1003" w:type="dxa"/>
            <w:tcBorders>
              <w:top w:val="nil"/>
              <w:left w:val="nil"/>
              <w:bottom w:val="nil"/>
              <w:right w:val="nil"/>
            </w:tcBorders>
          </w:tcPr>
          <w:p w14:paraId="7C9062C6"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Leo</w:t>
            </w:r>
          </w:p>
        </w:tc>
        <w:tc>
          <w:tcPr>
            <w:tcW w:w="1190" w:type="dxa"/>
            <w:tcBorders>
              <w:top w:val="nil"/>
              <w:left w:val="nil"/>
              <w:bottom w:val="nil"/>
              <w:right w:val="nil"/>
            </w:tcBorders>
          </w:tcPr>
          <w:p w14:paraId="4A2A3D71"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Employee</w:t>
            </w:r>
          </w:p>
        </w:tc>
        <w:tc>
          <w:tcPr>
            <w:tcW w:w="1068" w:type="dxa"/>
            <w:tcBorders>
              <w:top w:val="nil"/>
              <w:left w:val="nil"/>
              <w:bottom w:val="nil"/>
              <w:right w:val="nil"/>
            </w:tcBorders>
          </w:tcPr>
          <w:p w14:paraId="5183E719"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Male</w:t>
            </w:r>
          </w:p>
        </w:tc>
        <w:tc>
          <w:tcPr>
            <w:tcW w:w="708" w:type="dxa"/>
            <w:tcBorders>
              <w:top w:val="nil"/>
              <w:left w:val="nil"/>
              <w:bottom w:val="nil"/>
              <w:right w:val="nil"/>
            </w:tcBorders>
          </w:tcPr>
          <w:p w14:paraId="4C459C1F"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36</w:t>
            </w:r>
          </w:p>
        </w:tc>
        <w:tc>
          <w:tcPr>
            <w:tcW w:w="1276" w:type="dxa"/>
            <w:tcBorders>
              <w:top w:val="nil"/>
              <w:left w:val="nil"/>
              <w:bottom w:val="nil"/>
              <w:right w:val="nil"/>
            </w:tcBorders>
          </w:tcPr>
          <w:p w14:paraId="25833CA3"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UK</w:t>
            </w:r>
          </w:p>
        </w:tc>
        <w:tc>
          <w:tcPr>
            <w:tcW w:w="1701" w:type="dxa"/>
            <w:tcBorders>
              <w:top w:val="nil"/>
              <w:left w:val="nil"/>
              <w:bottom w:val="nil"/>
              <w:right w:val="nil"/>
            </w:tcBorders>
          </w:tcPr>
          <w:p w14:paraId="36B9F7DB"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Public sector</w:t>
            </w:r>
          </w:p>
        </w:tc>
        <w:tc>
          <w:tcPr>
            <w:tcW w:w="2414" w:type="dxa"/>
            <w:tcBorders>
              <w:top w:val="nil"/>
              <w:left w:val="nil"/>
              <w:bottom w:val="nil"/>
              <w:right w:val="nil"/>
            </w:tcBorders>
          </w:tcPr>
          <w:p w14:paraId="176660B5"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Project management </w:t>
            </w:r>
          </w:p>
        </w:tc>
      </w:tr>
      <w:tr w:rsidR="00C71B3B" w:rsidRPr="00C71B3B" w14:paraId="322D07B8" w14:textId="77777777" w:rsidTr="00A23BE2">
        <w:tc>
          <w:tcPr>
            <w:tcW w:w="1003" w:type="dxa"/>
            <w:tcBorders>
              <w:top w:val="nil"/>
              <w:left w:val="nil"/>
              <w:bottom w:val="nil"/>
              <w:right w:val="nil"/>
            </w:tcBorders>
          </w:tcPr>
          <w:p w14:paraId="7606D144"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Emma</w:t>
            </w:r>
          </w:p>
        </w:tc>
        <w:tc>
          <w:tcPr>
            <w:tcW w:w="1190" w:type="dxa"/>
            <w:tcBorders>
              <w:top w:val="nil"/>
              <w:left w:val="nil"/>
              <w:bottom w:val="nil"/>
              <w:right w:val="nil"/>
            </w:tcBorders>
          </w:tcPr>
          <w:p w14:paraId="7E971C2E"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Manager </w:t>
            </w:r>
          </w:p>
        </w:tc>
        <w:tc>
          <w:tcPr>
            <w:tcW w:w="1068" w:type="dxa"/>
            <w:tcBorders>
              <w:top w:val="nil"/>
              <w:left w:val="nil"/>
              <w:bottom w:val="nil"/>
              <w:right w:val="nil"/>
            </w:tcBorders>
          </w:tcPr>
          <w:p w14:paraId="062101EE"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Female</w:t>
            </w:r>
          </w:p>
        </w:tc>
        <w:tc>
          <w:tcPr>
            <w:tcW w:w="708" w:type="dxa"/>
            <w:tcBorders>
              <w:top w:val="nil"/>
              <w:left w:val="nil"/>
              <w:bottom w:val="nil"/>
              <w:right w:val="nil"/>
            </w:tcBorders>
          </w:tcPr>
          <w:p w14:paraId="3B53CC9F"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39</w:t>
            </w:r>
          </w:p>
        </w:tc>
        <w:tc>
          <w:tcPr>
            <w:tcW w:w="1276" w:type="dxa"/>
            <w:tcBorders>
              <w:top w:val="nil"/>
              <w:left w:val="nil"/>
              <w:bottom w:val="nil"/>
              <w:right w:val="nil"/>
            </w:tcBorders>
          </w:tcPr>
          <w:p w14:paraId="18DDBC57"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UK</w:t>
            </w:r>
          </w:p>
        </w:tc>
        <w:tc>
          <w:tcPr>
            <w:tcW w:w="1701" w:type="dxa"/>
            <w:tcBorders>
              <w:top w:val="nil"/>
              <w:left w:val="nil"/>
              <w:bottom w:val="nil"/>
              <w:right w:val="nil"/>
            </w:tcBorders>
          </w:tcPr>
          <w:p w14:paraId="0D8F2183"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Consultancy </w:t>
            </w:r>
          </w:p>
        </w:tc>
        <w:tc>
          <w:tcPr>
            <w:tcW w:w="2414" w:type="dxa"/>
            <w:tcBorders>
              <w:top w:val="nil"/>
              <w:left w:val="nil"/>
              <w:bottom w:val="nil"/>
              <w:right w:val="nil"/>
            </w:tcBorders>
          </w:tcPr>
          <w:p w14:paraId="47055224"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HR</w:t>
            </w:r>
          </w:p>
        </w:tc>
      </w:tr>
      <w:tr w:rsidR="00C71B3B" w:rsidRPr="00C71B3B" w14:paraId="04C84B75" w14:textId="77777777" w:rsidTr="00A23BE2">
        <w:tc>
          <w:tcPr>
            <w:tcW w:w="1003" w:type="dxa"/>
            <w:tcBorders>
              <w:top w:val="nil"/>
              <w:left w:val="nil"/>
              <w:bottom w:val="nil"/>
              <w:right w:val="nil"/>
            </w:tcBorders>
          </w:tcPr>
          <w:p w14:paraId="048DF31E"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Olivia</w:t>
            </w:r>
          </w:p>
        </w:tc>
        <w:tc>
          <w:tcPr>
            <w:tcW w:w="1190" w:type="dxa"/>
            <w:tcBorders>
              <w:top w:val="nil"/>
              <w:left w:val="nil"/>
              <w:bottom w:val="nil"/>
              <w:right w:val="nil"/>
            </w:tcBorders>
          </w:tcPr>
          <w:p w14:paraId="54B46E22"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Employee</w:t>
            </w:r>
          </w:p>
        </w:tc>
        <w:tc>
          <w:tcPr>
            <w:tcW w:w="1068" w:type="dxa"/>
            <w:tcBorders>
              <w:top w:val="nil"/>
              <w:left w:val="nil"/>
              <w:bottom w:val="nil"/>
              <w:right w:val="nil"/>
            </w:tcBorders>
          </w:tcPr>
          <w:p w14:paraId="28F1FCF3"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Female </w:t>
            </w:r>
          </w:p>
        </w:tc>
        <w:tc>
          <w:tcPr>
            <w:tcW w:w="708" w:type="dxa"/>
            <w:tcBorders>
              <w:top w:val="nil"/>
              <w:left w:val="nil"/>
              <w:bottom w:val="nil"/>
              <w:right w:val="nil"/>
            </w:tcBorders>
          </w:tcPr>
          <w:p w14:paraId="6681ADA6"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32</w:t>
            </w:r>
          </w:p>
        </w:tc>
        <w:tc>
          <w:tcPr>
            <w:tcW w:w="1276" w:type="dxa"/>
            <w:tcBorders>
              <w:top w:val="nil"/>
              <w:left w:val="nil"/>
              <w:bottom w:val="nil"/>
              <w:right w:val="nil"/>
            </w:tcBorders>
          </w:tcPr>
          <w:p w14:paraId="17EF9C10"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UK</w:t>
            </w:r>
          </w:p>
        </w:tc>
        <w:tc>
          <w:tcPr>
            <w:tcW w:w="1701" w:type="dxa"/>
            <w:tcBorders>
              <w:top w:val="nil"/>
              <w:left w:val="nil"/>
              <w:bottom w:val="nil"/>
              <w:right w:val="nil"/>
            </w:tcBorders>
          </w:tcPr>
          <w:p w14:paraId="5E42D4B9"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Gaming</w:t>
            </w:r>
          </w:p>
        </w:tc>
        <w:tc>
          <w:tcPr>
            <w:tcW w:w="2414" w:type="dxa"/>
            <w:tcBorders>
              <w:top w:val="nil"/>
              <w:left w:val="nil"/>
              <w:bottom w:val="nil"/>
              <w:right w:val="nil"/>
            </w:tcBorders>
          </w:tcPr>
          <w:p w14:paraId="44E79EEA"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Customer care</w:t>
            </w:r>
          </w:p>
        </w:tc>
      </w:tr>
      <w:tr w:rsidR="00C71B3B" w:rsidRPr="00C71B3B" w14:paraId="7C8D1373" w14:textId="77777777" w:rsidTr="00A23BE2">
        <w:tc>
          <w:tcPr>
            <w:tcW w:w="1003" w:type="dxa"/>
            <w:tcBorders>
              <w:top w:val="nil"/>
              <w:left w:val="nil"/>
              <w:bottom w:val="nil"/>
              <w:right w:val="nil"/>
            </w:tcBorders>
          </w:tcPr>
          <w:p w14:paraId="13036FD2"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Ralph </w:t>
            </w:r>
          </w:p>
        </w:tc>
        <w:tc>
          <w:tcPr>
            <w:tcW w:w="1190" w:type="dxa"/>
            <w:tcBorders>
              <w:top w:val="nil"/>
              <w:left w:val="nil"/>
              <w:bottom w:val="nil"/>
              <w:right w:val="nil"/>
            </w:tcBorders>
          </w:tcPr>
          <w:p w14:paraId="05E57421"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Manager</w:t>
            </w:r>
          </w:p>
        </w:tc>
        <w:tc>
          <w:tcPr>
            <w:tcW w:w="1068" w:type="dxa"/>
            <w:tcBorders>
              <w:top w:val="nil"/>
              <w:left w:val="nil"/>
              <w:bottom w:val="nil"/>
              <w:right w:val="nil"/>
            </w:tcBorders>
          </w:tcPr>
          <w:p w14:paraId="4EA4C93D"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Male</w:t>
            </w:r>
          </w:p>
        </w:tc>
        <w:tc>
          <w:tcPr>
            <w:tcW w:w="708" w:type="dxa"/>
            <w:tcBorders>
              <w:top w:val="nil"/>
              <w:left w:val="nil"/>
              <w:bottom w:val="nil"/>
              <w:right w:val="nil"/>
            </w:tcBorders>
          </w:tcPr>
          <w:p w14:paraId="22C90C4B"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40</w:t>
            </w:r>
          </w:p>
        </w:tc>
        <w:tc>
          <w:tcPr>
            <w:tcW w:w="1276" w:type="dxa"/>
            <w:tcBorders>
              <w:top w:val="nil"/>
              <w:left w:val="nil"/>
              <w:bottom w:val="nil"/>
              <w:right w:val="nil"/>
            </w:tcBorders>
          </w:tcPr>
          <w:p w14:paraId="15E958A3"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US</w:t>
            </w:r>
          </w:p>
        </w:tc>
        <w:tc>
          <w:tcPr>
            <w:tcW w:w="1701" w:type="dxa"/>
            <w:tcBorders>
              <w:top w:val="nil"/>
              <w:left w:val="nil"/>
              <w:bottom w:val="nil"/>
              <w:right w:val="nil"/>
            </w:tcBorders>
          </w:tcPr>
          <w:p w14:paraId="33FA3251"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Oil and gas</w:t>
            </w:r>
          </w:p>
        </w:tc>
        <w:tc>
          <w:tcPr>
            <w:tcW w:w="2414" w:type="dxa"/>
            <w:tcBorders>
              <w:top w:val="nil"/>
              <w:left w:val="nil"/>
              <w:bottom w:val="nil"/>
              <w:right w:val="nil"/>
            </w:tcBorders>
          </w:tcPr>
          <w:p w14:paraId="206923BF"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Drilling</w:t>
            </w:r>
          </w:p>
        </w:tc>
      </w:tr>
      <w:tr w:rsidR="00C71B3B" w:rsidRPr="00C71B3B" w14:paraId="1881D6D9" w14:textId="77777777" w:rsidTr="00A23BE2">
        <w:tc>
          <w:tcPr>
            <w:tcW w:w="1003" w:type="dxa"/>
            <w:tcBorders>
              <w:top w:val="nil"/>
              <w:left w:val="nil"/>
              <w:bottom w:val="nil"/>
              <w:right w:val="nil"/>
            </w:tcBorders>
          </w:tcPr>
          <w:p w14:paraId="4B302467"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Norman </w:t>
            </w:r>
          </w:p>
        </w:tc>
        <w:tc>
          <w:tcPr>
            <w:tcW w:w="1190" w:type="dxa"/>
            <w:tcBorders>
              <w:top w:val="nil"/>
              <w:left w:val="nil"/>
              <w:bottom w:val="nil"/>
              <w:right w:val="nil"/>
            </w:tcBorders>
          </w:tcPr>
          <w:p w14:paraId="10F1668D"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Employee </w:t>
            </w:r>
          </w:p>
        </w:tc>
        <w:tc>
          <w:tcPr>
            <w:tcW w:w="1068" w:type="dxa"/>
            <w:tcBorders>
              <w:top w:val="nil"/>
              <w:left w:val="nil"/>
              <w:bottom w:val="nil"/>
              <w:right w:val="nil"/>
            </w:tcBorders>
          </w:tcPr>
          <w:p w14:paraId="17F7EE9D"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Male </w:t>
            </w:r>
          </w:p>
        </w:tc>
        <w:tc>
          <w:tcPr>
            <w:tcW w:w="708" w:type="dxa"/>
            <w:tcBorders>
              <w:top w:val="nil"/>
              <w:left w:val="nil"/>
              <w:bottom w:val="nil"/>
              <w:right w:val="nil"/>
            </w:tcBorders>
          </w:tcPr>
          <w:p w14:paraId="1D89CA24"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66</w:t>
            </w:r>
          </w:p>
        </w:tc>
        <w:tc>
          <w:tcPr>
            <w:tcW w:w="1276" w:type="dxa"/>
            <w:tcBorders>
              <w:top w:val="nil"/>
              <w:left w:val="nil"/>
              <w:bottom w:val="nil"/>
              <w:right w:val="nil"/>
            </w:tcBorders>
          </w:tcPr>
          <w:p w14:paraId="4A1C7708"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US</w:t>
            </w:r>
          </w:p>
        </w:tc>
        <w:tc>
          <w:tcPr>
            <w:tcW w:w="1701" w:type="dxa"/>
            <w:tcBorders>
              <w:top w:val="nil"/>
              <w:left w:val="nil"/>
              <w:bottom w:val="nil"/>
              <w:right w:val="nil"/>
            </w:tcBorders>
          </w:tcPr>
          <w:p w14:paraId="410F5156"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Oil and gas</w:t>
            </w:r>
          </w:p>
        </w:tc>
        <w:tc>
          <w:tcPr>
            <w:tcW w:w="2414" w:type="dxa"/>
            <w:tcBorders>
              <w:top w:val="nil"/>
              <w:left w:val="nil"/>
              <w:bottom w:val="nil"/>
              <w:right w:val="nil"/>
            </w:tcBorders>
          </w:tcPr>
          <w:p w14:paraId="03B02B82"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Operations </w:t>
            </w:r>
          </w:p>
        </w:tc>
      </w:tr>
      <w:tr w:rsidR="00C71B3B" w:rsidRPr="00C71B3B" w14:paraId="32E5087C" w14:textId="77777777" w:rsidTr="00A23BE2">
        <w:tc>
          <w:tcPr>
            <w:tcW w:w="1003" w:type="dxa"/>
            <w:tcBorders>
              <w:top w:val="nil"/>
              <w:left w:val="nil"/>
              <w:bottom w:val="nil"/>
              <w:right w:val="nil"/>
            </w:tcBorders>
          </w:tcPr>
          <w:p w14:paraId="481BF449"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Vail </w:t>
            </w:r>
          </w:p>
        </w:tc>
        <w:tc>
          <w:tcPr>
            <w:tcW w:w="1190" w:type="dxa"/>
            <w:tcBorders>
              <w:top w:val="nil"/>
              <w:left w:val="nil"/>
              <w:bottom w:val="nil"/>
              <w:right w:val="nil"/>
            </w:tcBorders>
          </w:tcPr>
          <w:p w14:paraId="737769DC"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Employee </w:t>
            </w:r>
          </w:p>
        </w:tc>
        <w:tc>
          <w:tcPr>
            <w:tcW w:w="1068" w:type="dxa"/>
            <w:tcBorders>
              <w:top w:val="nil"/>
              <w:left w:val="nil"/>
              <w:bottom w:val="nil"/>
              <w:right w:val="nil"/>
            </w:tcBorders>
          </w:tcPr>
          <w:p w14:paraId="472518DA"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Male </w:t>
            </w:r>
          </w:p>
        </w:tc>
        <w:tc>
          <w:tcPr>
            <w:tcW w:w="708" w:type="dxa"/>
            <w:tcBorders>
              <w:top w:val="nil"/>
              <w:left w:val="nil"/>
              <w:bottom w:val="nil"/>
              <w:right w:val="nil"/>
            </w:tcBorders>
          </w:tcPr>
          <w:p w14:paraId="75374DD1"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32</w:t>
            </w:r>
          </w:p>
        </w:tc>
        <w:tc>
          <w:tcPr>
            <w:tcW w:w="1276" w:type="dxa"/>
            <w:tcBorders>
              <w:top w:val="nil"/>
              <w:left w:val="nil"/>
              <w:bottom w:val="nil"/>
              <w:right w:val="nil"/>
            </w:tcBorders>
          </w:tcPr>
          <w:p w14:paraId="65B136F8"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US</w:t>
            </w:r>
          </w:p>
        </w:tc>
        <w:tc>
          <w:tcPr>
            <w:tcW w:w="1701" w:type="dxa"/>
            <w:tcBorders>
              <w:top w:val="nil"/>
              <w:left w:val="nil"/>
              <w:bottom w:val="nil"/>
              <w:right w:val="nil"/>
            </w:tcBorders>
          </w:tcPr>
          <w:p w14:paraId="5A96C599"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Banking</w:t>
            </w:r>
          </w:p>
        </w:tc>
        <w:tc>
          <w:tcPr>
            <w:tcW w:w="2414" w:type="dxa"/>
            <w:tcBorders>
              <w:top w:val="nil"/>
              <w:left w:val="nil"/>
              <w:bottom w:val="nil"/>
              <w:right w:val="nil"/>
            </w:tcBorders>
          </w:tcPr>
          <w:p w14:paraId="652761EF"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Risk assessment</w:t>
            </w:r>
          </w:p>
        </w:tc>
      </w:tr>
      <w:tr w:rsidR="00C71B3B" w:rsidRPr="00C71B3B" w14:paraId="628311C9" w14:textId="77777777" w:rsidTr="00A23BE2">
        <w:tc>
          <w:tcPr>
            <w:tcW w:w="1003" w:type="dxa"/>
            <w:tcBorders>
              <w:top w:val="nil"/>
              <w:left w:val="nil"/>
              <w:bottom w:val="nil"/>
              <w:right w:val="nil"/>
            </w:tcBorders>
          </w:tcPr>
          <w:p w14:paraId="17833DCA"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Majid </w:t>
            </w:r>
          </w:p>
        </w:tc>
        <w:tc>
          <w:tcPr>
            <w:tcW w:w="1190" w:type="dxa"/>
            <w:tcBorders>
              <w:top w:val="nil"/>
              <w:left w:val="nil"/>
              <w:bottom w:val="nil"/>
              <w:right w:val="nil"/>
            </w:tcBorders>
          </w:tcPr>
          <w:p w14:paraId="20E61F77"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Employee</w:t>
            </w:r>
          </w:p>
        </w:tc>
        <w:tc>
          <w:tcPr>
            <w:tcW w:w="1068" w:type="dxa"/>
            <w:tcBorders>
              <w:top w:val="nil"/>
              <w:left w:val="nil"/>
              <w:bottom w:val="nil"/>
              <w:right w:val="nil"/>
            </w:tcBorders>
          </w:tcPr>
          <w:p w14:paraId="3751CABC"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Male </w:t>
            </w:r>
          </w:p>
        </w:tc>
        <w:tc>
          <w:tcPr>
            <w:tcW w:w="708" w:type="dxa"/>
            <w:tcBorders>
              <w:top w:val="nil"/>
              <w:left w:val="nil"/>
              <w:bottom w:val="nil"/>
              <w:right w:val="nil"/>
            </w:tcBorders>
          </w:tcPr>
          <w:p w14:paraId="57DB521B"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50</w:t>
            </w:r>
          </w:p>
        </w:tc>
        <w:tc>
          <w:tcPr>
            <w:tcW w:w="1276" w:type="dxa"/>
            <w:tcBorders>
              <w:top w:val="nil"/>
              <w:left w:val="nil"/>
              <w:bottom w:val="nil"/>
              <w:right w:val="nil"/>
            </w:tcBorders>
          </w:tcPr>
          <w:p w14:paraId="13E9BE69"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UK</w:t>
            </w:r>
          </w:p>
        </w:tc>
        <w:tc>
          <w:tcPr>
            <w:tcW w:w="1701" w:type="dxa"/>
            <w:tcBorders>
              <w:top w:val="nil"/>
              <w:left w:val="nil"/>
              <w:bottom w:val="nil"/>
              <w:right w:val="nil"/>
            </w:tcBorders>
          </w:tcPr>
          <w:p w14:paraId="093A8B81"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Recruitment </w:t>
            </w:r>
          </w:p>
        </w:tc>
        <w:tc>
          <w:tcPr>
            <w:tcW w:w="2414" w:type="dxa"/>
            <w:tcBorders>
              <w:top w:val="nil"/>
              <w:left w:val="nil"/>
              <w:bottom w:val="nil"/>
              <w:right w:val="nil"/>
            </w:tcBorders>
          </w:tcPr>
          <w:p w14:paraId="260680AC"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Recruitment</w:t>
            </w:r>
          </w:p>
        </w:tc>
      </w:tr>
      <w:tr w:rsidR="00C71B3B" w:rsidRPr="00C71B3B" w14:paraId="593CFBFE" w14:textId="77777777" w:rsidTr="00A23BE2">
        <w:tc>
          <w:tcPr>
            <w:tcW w:w="1003" w:type="dxa"/>
            <w:tcBorders>
              <w:top w:val="nil"/>
              <w:left w:val="nil"/>
              <w:bottom w:val="nil"/>
              <w:right w:val="nil"/>
            </w:tcBorders>
          </w:tcPr>
          <w:p w14:paraId="594E3AEA"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Derek</w:t>
            </w:r>
          </w:p>
        </w:tc>
        <w:tc>
          <w:tcPr>
            <w:tcW w:w="1190" w:type="dxa"/>
            <w:tcBorders>
              <w:top w:val="nil"/>
              <w:left w:val="nil"/>
              <w:bottom w:val="nil"/>
              <w:right w:val="nil"/>
            </w:tcBorders>
          </w:tcPr>
          <w:p w14:paraId="2936F641"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Employee </w:t>
            </w:r>
          </w:p>
        </w:tc>
        <w:tc>
          <w:tcPr>
            <w:tcW w:w="1068" w:type="dxa"/>
            <w:tcBorders>
              <w:top w:val="nil"/>
              <w:left w:val="nil"/>
              <w:bottom w:val="nil"/>
              <w:right w:val="nil"/>
            </w:tcBorders>
          </w:tcPr>
          <w:p w14:paraId="3C91EDE3"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Male </w:t>
            </w:r>
          </w:p>
        </w:tc>
        <w:tc>
          <w:tcPr>
            <w:tcW w:w="708" w:type="dxa"/>
            <w:tcBorders>
              <w:top w:val="nil"/>
              <w:left w:val="nil"/>
              <w:bottom w:val="nil"/>
              <w:right w:val="nil"/>
            </w:tcBorders>
          </w:tcPr>
          <w:p w14:paraId="455FE1E0"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33</w:t>
            </w:r>
          </w:p>
        </w:tc>
        <w:tc>
          <w:tcPr>
            <w:tcW w:w="1276" w:type="dxa"/>
            <w:tcBorders>
              <w:top w:val="nil"/>
              <w:left w:val="nil"/>
              <w:bottom w:val="nil"/>
              <w:right w:val="nil"/>
            </w:tcBorders>
          </w:tcPr>
          <w:p w14:paraId="0A692200"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UK</w:t>
            </w:r>
          </w:p>
        </w:tc>
        <w:tc>
          <w:tcPr>
            <w:tcW w:w="1701" w:type="dxa"/>
            <w:tcBorders>
              <w:top w:val="nil"/>
              <w:left w:val="nil"/>
              <w:bottom w:val="nil"/>
              <w:right w:val="nil"/>
            </w:tcBorders>
          </w:tcPr>
          <w:p w14:paraId="7E4A0262"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Finance</w:t>
            </w:r>
          </w:p>
        </w:tc>
        <w:tc>
          <w:tcPr>
            <w:tcW w:w="2414" w:type="dxa"/>
            <w:tcBorders>
              <w:top w:val="nil"/>
              <w:left w:val="nil"/>
              <w:bottom w:val="nil"/>
              <w:right w:val="nil"/>
            </w:tcBorders>
          </w:tcPr>
          <w:p w14:paraId="784A6621"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Accounting</w:t>
            </w:r>
          </w:p>
        </w:tc>
      </w:tr>
      <w:tr w:rsidR="00C71B3B" w:rsidRPr="00C71B3B" w14:paraId="7C57A38F" w14:textId="77777777" w:rsidTr="00A23BE2">
        <w:tc>
          <w:tcPr>
            <w:tcW w:w="1003" w:type="dxa"/>
            <w:tcBorders>
              <w:top w:val="nil"/>
              <w:left w:val="nil"/>
              <w:bottom w:val="nil"/>
              <w:right w:val="nil"/>
            </w:tcBorders>
          </w:tcPr>
          <w:p w14:paraId="139C30CB"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Sajiv </w:t>
            </w:r>
          </w:p>
        </w:tc>
        <w:tc>
          <w:tcPr>
            <w:tcW w:w="1190" w:type="dxa"/>
            <w:tcBorders>
              <w:top w:val="nil"/>
              <w:left w:val="nil"/>
              <w:bottom w:val="nil"/>
              <w:right w:val="nil"/>
            </w:tcBorders>
          </w:tcPr>
          <w:p w14:paraId="6A089656"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Employee </w:t>
            </w:r>
          </w:p>
        </w:tc>
        <w:tc>
          <w:tcPr>
            <w:tcW w:w="1068" w:type="dxa"/>
            <w:tcBorders>
              <w:top w:val="nil"/>
              <w:left w:val="nil"/>
              <w:bottom w:val="nil"/>
              <w:right w:val="nil"/>
            </w:tcBorders>
          </w:tcPr>
          <w:p w14:paraId="667C6317"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Male </w:t>
            </w:r>
          </w:p>
        </w:tc>
        <w:tc>
          <w:tcPr>
            <w:tcW w:w="708" w:type="dxa"/>
            <w:tcBorders>
              <w:top w:val="nil"/>
              <w:left w:val="nil"/>
              <w:bottom w:val="nil"/>
              <w:right w:val="nil"/>
            </w:tcBorders>
          </w:tcPr>
          <w:p w14:paraId="4CF2613E"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52</w:t>
            </w:r>
          </w:p>
        </w:tc>
        <w:tc>
          <w:tcPr>
            <w:tcW w:w="1276" w:type="dxa"/>
            <w:tcBorders>
              <w:top w:val="nil"/>
              <w:left w:val="nil"/>
              <w:bottom w:val="nil"/>
              <w:right w:val="nil"/>
            </w:tcBorders>
          </w:tcPr>
          <w:p w14:paraId="098952FB"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Oman</w:t>
            </w:r>
          </w:p>
        </w:tc>
        <w:tc>
          <w:tcPr>
            <w:tcW w:w="1701" w:type="dxa"/>
            <w:tcBorders>
              <w:top w:val="nil"/>
              <w:left w:val="nil"/>
              <w:bottom w:val="nil"/>
              <w:right w:val="nil"/>
            </w:tcBorders>
          </w:tcPr>
          <w:p w14:paraId="74411749"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Oil and gas</w:t>
            </w:r>
          </w:p>
        </w:tc>
        <w:tc>
          <w:tcPr>
            <w:tcW w:w="2414" w:type="dxa"/>
            <w:tcBorders>
              <w:top w:val="nil"/>
              <w:left w:val="nil"/>
              <w:bottom w:val="nil"/>
              <w:right w:val="nil"/>
            </w:tcBorders>
          </w:tcPr>
          <w:p w14:paraId="00273CE4"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HR</w:t>
            </w:r>
          </w:p>
        </w:tc>
      </w:tr>
      <w:tr w:rsidR="00C71B3B" w:rsidRPr="00C71B3B" w14:paraId="392A6A43" w14:textId="77777777" w:rsidTr="00A23BE2">
        <w:tc>
          <w:tcPr>
            <w:tcW w:w="1003" w:type="dxa"/>
            <w:tcBorders>
              <w:top w:val="nil"/>
              <w:left w:val="nil"/>
              <w:bottom w:val="nil"/>
              <w:right w:val="nil"/>
            </w:tcBorders>
          </w:tcPr>
          <w:p w14:paraId="492A8FA6"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Yash</w:t>
            </w:r>
          </w:p>
        </w:tc>
        <w:tc>
          <w:tcPr>
            <w:tcW w:w="1190" w:type="dxa"/>
            <w:tcBorders>
              <w:top w:val="nil"/>
              <w:left w:val="nil"/>
              <w:bottom w:val="nil"/>
              <w:right w:val="nil"/>
            </w:tcBorders>
          </w:tcPr>
          <w:p w14:paraId="00D5AE59"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Manager </w:t>
            </w:r>
          </w:p>
        </w:tc>
        <w:tc>
          <w:tcPr>
            <w:tcW w:w="1068" w:type="dxa"/>
            <w:tcBorders>
              <w:top w:val="nil"/>
              <w:left w:val="nil"/>
              <w:bottom w:val="nil"/>
              <w:right w:val="nil"/>
            </w:tcBorders>
          </w:tcPr>
          <w:p w14:paraId="208E340C"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Male</w:t>
            </w:r>
          </w:p>
        </w:tc>
        <w:tc>
          <w:tcPr>
            <w:tcW w:w="708" w:type="dxa"/>
            <w:tcBorders>
              <w:top w:val="nil"/>
              <w:left w:val="nil"/>
              <w:bottom w:val="nil"/>
              <w:right w:val="nil"/>
            </w:tcBorders>
          </w:tcPr>
          <w:p w14:paraId="0A6F6E2E"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53</w:t>
            </w:r>
          </w:p>
        </w:tc>
        <w:tc>
          <w:tcPr>
            <w:tcW w:w="1276" w:type="dxa"/>
            <w:tcBorders>
              <w:top w:val="nil"/>
              <w:left w:val="nil"/>
              <w:bottom w:val="nil"/>
              <w:right w:val="nil"/>
            </w:tcBorders>
          </w:tcPr>
          <w:p w14:paraId="6FE29411"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OAE</w:t>
            </w:r>
          </w:p>
        </w:tc>
        <w:tc>
          <w:tcPr>
            <w:tcW w:w="1701" w:type="dxa"/>
            <w:tcBorders>
              <w:top w:val="nil"/>
              <w:left w:val="nil"/>
              <w:bottom w:val="nil"/>
              <w:right w:val="nil"/>
            </w:tcBorders>
          </w:tcPr>
          <w:p w14:paraId="62573EF5"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Oil and has</w:t>
            </w:r>
          </w:p>
        </w:tc>
        <w:tc>
          <w:tcPr>
            <w:tcW w:w="2414" w:type="dxa"/>
            <w:tcBorders>
              <w:top w:val="nil"/>
              <w:left w:val="nil"/>
              <w:bottom w:val="nil"/>
              <w:right w:val="nil"/>
            </w:tcBorders>
          </w:tcPr>
          <w:p w14:paraId="48171917"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Engineering</w:t>
            </w:r>
          </w:p>
        </w:tc>
      </w:tr>
      <w:tr w:rsidR="00C71B3B" w:rsidRPr="00C71B3B" w14:paraId="7FFEB267" w14:textId="77777777" w:rsidTr="00A23BE2">
        <w:tc>
          <w:tcPr>
            <w:tcW w:w="1003" w:type="dxa"/>
            <w:tcBorders>
              <w:top w:val="nil"/>
              <w:left w:val="nil"/>
              <w:bottom w:val="nil"/>
              <w:right w:val="nil"/>
            </w:tcBorders>
          </w:tcPr>
          <w:p w14:paraId="2B3B5D30"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Defne</w:t>
            </w:r>
          </w:p>
        </w:tc>
        <w:tc>
          <w:tcPr>
            <w:tcW w:w="1190" w:type="dxa"/>
            <w:tcBorders>
              <w:top w:val="nil"/>
              <w:left w:val="nil"/>
              <w:bottom w:val="nil"/>
              <w:right w:val="nil"/>
            </w:tcBorders>
          </w:tcPr>
          <w:p w14:paraId="1F72D3E7"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Employee</w:t>
            </w:r>
          </w:p>
        </w:tc>
        <w:tc>
          <w:tcPr>
            <w:tcW w:w="1068" w:type="dxa"/>
            <w:tcBorders>
              <w:top w:val="nil"/>
              <w:left w:val="nil"/>
              <w:bottom w:val="nil"/>
              <w:right w:val="nil"/>
            </w:tcBorders>
          </w:tcPr>
          <w:p w14:paraId="13381A1D"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Female </w:t>
            </w:r>
          </w:p>
        </w:tc>
        <w:tc>
          <w:tcPr>
            <w:tcW w:w="708" w:type="dxa"/>
            <w:tcBorders>
              <w:top w:val="nil"/>
              <w:left w:val="nil"/>
              <w:bottom w:val="nil"/>
              <w:right w:val="nil"/>
            </w:tcBorders>
          </w:tcPr>
          <w:p w14:paraId="6A4E922A"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45</w:t>
            </w:r>
          </w:p>
        </w:tc>
        <w:tc>
          <w:tcPr>
            <w:tcW w:w="1276" w:type="dxa"/>
            <w:tcBorders>
              <w:top w:val="nil"/>
              <w:left w:val="nil"/>
              <w:bottom w:val="nil"/>
              <w:right w:val="nil"/>
            </w:tcBorders>
          </w:tcPr>
          <w:p w14:paraId="634A47F9"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Azerbaijan</w:t>
            </w:r>
          </w:p>
        </w:tc>
        <w:tc>
          <w:tcPr>
            <w:tcW w:w="1701" w:type="dxa"/>
            <w:tcBorders>
              <w:top w:val="nil"/>
              <w:left w:val="nil"/>
              <w:bottom w:val="nil"/>
              <w:right w:val="nil"/>
            </w:tcBorders>
          </w:tcPr>
          <w:p w14:paraId="33B7F8D2"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Oil and gas</w:t>
            </w:r>
          </w:p>
        </w:tc>
        <w:tc>
          <w:tcPr>
            <w:tcW w:w="2414" w:type="dxa"/>
            <w:tcBorders>
              <w:top w:val="nil"/>
              <w:left w:val="nil"/>
              <w:bottom w:val="nil"/>
              <w:right w:val="nil"/>
            </w:tcBorders>
          </w:tcPr>
          <w:p w14:paraId="33D15034"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HR</w:t>
            </w:r>
          </w:p>
        </w:tc>
      </w:tr>
      <w:tr w:rsidR="00C71B3B" w:rsidRPr="00C71B3B" w14:paraId="57930252" w14:textId="77777777" w:rsidTr="00A23BE2">
        <w:tc>
          <w:tcPr>
            <w:tcW w:w="1003" w:type="dxa"/>
            <w:tcBorders>
              <w:top w:val="nil"/>
              <w:left w:val="nil"/>
              <w:bottom w:val="nil"/>
              <w:right w:val="nil"/>
            </w:tcBorders>
          </w:tcPr>
          <w:p w14:paraId="690F1F9D"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Neil</w:t>
            </w:r>
          </w:p>
        </w:tc>
        <w:tc>
          <w:tcPr>
            <w:tcW w:w="1190" w:type="dxa"/>
            <w:tcBorders>
              <w:top w:val="nil"/>
              <w:left w:val="nil"/>
              <w:bottom w:val="nil"/>
              <w:right w:val="nil"/>
            </w:tcBorders>
          </w:tcPr>
          <w:p w14:paraId="043CB02B"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Manager</w:t>
            </w:r>
          </w:p>
        </w:tc>
        <w:tc>
          <w:tcPr>
            <w:tcW w:w="1068" w:type="dxa"/>
            <w:tcBorders>
              <w:top w:val="nil"/>
              <w:left w:val="nil"/>
              <w:bottom w:val="nil"/>
              <w:right w:val="nil"/>
            </w:tcBorders>
          </w:tcPr>
          <w:p w14:paraId="273F04D7"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Male </w:t>
            </w:r>
          </w:p>
        </w:tc>
        <w:tc>
          <w:tcPr>
            <w:tcW w:w="708" w:type="dxa"/>
            <w:tcBorders>
              <w:top w:val="nil"/>
              <w:left w:val="nil"/>
              <w:bottom w:val="nil"/>
              <w:right w:val="nil"/>
            </w:tcBorders>
          </w:tcPr>
          <w:p w14:paraId="37A96DD2"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65</w:t>
            </w:r>
          </w:p>
        </w:tc>
        <w:tc>
          <w:tcPr>
            <w:tcW w:w="1276" w:type="dxa"/>
            <w:tcBorders>
              <w:top w:val="nil"/>
              <w:left w:val="nil"/>
              <w:bottom w:val="nil"/>
              <w:right w:val="nil"/>
            </w:tcBorders>
          </w:tcPr>
          <w:p w14:paraId="79E6D03A"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UK</w:t>
            </w:r>
          </w:p>
        </w:tc>
        <w:tc>
          <w:tcPr>
            <w:tcW w:w="1701" w:type="dxa"/>
            <w:tcBorders>
              <w:top w:val="nil"/>
              <w:left w:val="nil"/>
              <w:bottom w:val="nil"/>
              <w:right w:val="nil"/>
            </w:tcBorders>
          </w:tcPr>
          <w:p w14:paraId="26CF3117"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Oil and gas</w:t>
            </w:r>
          </w:p>
        </w:tc>
        <w:tc>
          <w:tcPr>
            <w:tcW w:w="2414" w:type="dxa"/>
            <w:tcBorders>
              <w:top w:val="nil"/>
              <w:left w:val="nil"/>
              <w:bottom w:val="nil"/>
              <w:right w:val="nil"/>
            </w:tcBorders>
          </w:tcPr>
          <w:p w14:paraId="759B081C"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Production </w:t>
            </w:r>
          </w:p>
        </w:tc>
      </w:tr>
      <w:tr w:rsidR="00C71B3B" w:rsidRPr="00C71B3B" w14:paraId="0231D371" w14:textId="77777777" w:rsidTr="00A23BE2">
        <w:tc>
          <w:tcPr>
            <w:tcW w:w="1003" w:type="dxa"/>
            <w:tcBorders>
              <w:top w:val="nil"/>
              <w:left w:val="nil"/>
              <w:bottom w:val="nil"/>
              <w:right w:val="nil"/>
            </w:tcBorders>
          </w:tcPr>
          <w:p w14:paraId="3DCCF036"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Nail </w:t>
            </w:r>
          </w:p>
        </w:tc>
        <w:tc>
          <w:tcPr>
            <w:tcW w:w="1190" w:type="dxa"/>
            <w:tcBorders>
              <w:top w:val="nil"/>
              <w:left w:val="nil"/>
              <w:bottom w:val="nil"/>
              <w:right w:val="nil"/>
            </w:tcBorders>
          </w:tcPr>
          <w:p w14:paraId="7A281B16"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Manager</w:t>
            </w:r>
          </w:p>
        </w:tc>
        <w:tc>
          <w:tcPr>
            <w:tcW w:w="1068" w:type="dxa"/>
            <w:tcBorders>
              <w:top w:val="nil"/>
              <w:left w:val="nil"/>
              <w:bottom w:val="nil"/>
              <w:right w:val="nil"/>
            </w:tcBorders>
          </w:tcPr>
          <w:p w14:paraId="6FA4022A"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Male</w:t>
            </w:r>
          </w:p>
        </w:tc>
        <w:tc>
          <w:tcPr>
            <w:tcW w:w="708" w:type="dxa"/>
            <w:tcBorders>
              <w:top w:val="nil"/>
              <w:left w:val="nil"/>
              <w:bottom w:val="nil"/>
              <w:right w:val="nil"/>
            </w:tcBorders>
          </w:tcPr>
          <w:p w14:paraId="01F40A1C"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40</w:t>
            </w:r>
          </w:p>
        </w:tc>
        <w:tc>
          <w:tcPr>
            <w:tcW w:w="1276" w:type="dxa"/>
            <w:tcBorders>
              <w:top w:val="nil"/>
              <w:left w:val="nil"/>
              <w:bottom w:val="nil"/>
              <w:right w:val="nil"/>
            </w:tcBorders>
          </w:tcPr>
          <w:p w14:paraId="0A348999"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Azerbaijan</w:t>
            </w:r>
          </w:p>
        </w:tc>
        <w:tc>
          <w:tcPr>
            <w:tcW w:w="1701" w:type="dxa"/>
            <w:tcBorders>
              <w:top w:val="nil"/>
              <w:left w:val="nil"/>
              <w:bottom w:val="nil"/>
              <w:right w:val="nil"/>
            </w:tcBorders>
          </w:tcPr>
          <w:p w14:paraId="1C8F799E"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Oil and gas</w:t>
            </w:r>
          </w:p>
        </w:tc>
        <w:tc>
          <w:tcPr>
            <w:tcW w:w="2414" w:type="dxa"/>
            <w:tcBorders>
              <w:top w:val="nil"/>
              <w:left w:val="nil"/>
              <w:bottom w:val="nil"/>
              <w:right w:val="nil"/>
            </w:tcBorders>
          </w:tcPr>
          <w:p w14:paraId="4739745C"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Communication </w:t>
            </w:r>
          </w:p>
        </w:tc>
      </w:tr>
      <w:tr w:rsidR="00C71B3B" w:rsidRPr="00C71B3B" w14:paraId="16D6E187" w14:textId="77777777" w:rsidTr="00A23BE2">
        <w:tc>
          <w:tcPr>
            <w:tcW w:w="1003" w:type="dxa"/>
            <w:tcBorders>
              <w:top w:val="nil"/>
              <w:left w:val="nil"/>
              <w:bottom w:val="single" w:sz="4" w:space="0" w:color="auto"/>
              <w:right w:val="nil"/>
            </w:tcBorders>
          </w:tcPr>
          <w:p w14:paraId="4C8941F5"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Rita </w:t>
            </w:r>
          </w:p>
        </w:tc>
        <w:tc>
          <w:tcPr>
            <w:tcW w:w="1190" w:type="dxa"/>
            <w:tcBorders>
              <w:top w:val="nil"/>
              <w:left w:val="nil"/>
              <w:bottom w:val="single" w:sz="4" w:space="0" w:color="auto"/>
              <w:right w:val="nil"/>
            </w:tcBorders>
          </w:tcPr>
          <w:p w14:paraId="48B43EC7"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Employee </w:t>
            </w:r>
          </w:p>
        </w:tc>
        <w:tc>
          <w:tcPr>
            <w:tcW w:w="1068" w:type="dxa"/>
            <w:tcBorders>
              <w:top w:val="nil"/>
              <w:left w:val="nil"/>
              <w:bottom w:val="single" w:sz="4" w:space="0" w:color="auto"/>
              <w:right w:val="nil"/>
            </w:tcBorders>
          </w:tcPr>
          <w:p w14:paraId="45D942EA"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Female </w:t>
            </w:r>
          </w:p>
        </w:tc>
        <w:tc>
          <w:tcPr>
            <w:tcW w:w="708" w:type="dxa"/>
            <w:tcBorders>
              <w:top w:val="nil"/>
              <w:left w:val="nil"/>
              <w:bottom w:val="single" w:sz="4" w:space="0" w:color="auto"/>
              <w:right w:val="nil"/>
            </w:tcBorders>
          </w:tcPr>
          <w:p w14:paraId="3AE8F70E"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38</w:t>
            </w:r>
          </w:p>
        </w:tc>
        <w:tc>
          <w:tcPr>
            <w:tcW w:w="1276" w:type="dxa"/>
            <w:tcBorders>
              <w:top w:val="nil"/>
              <w:left w:val="nil"/>
              <w:bottom w:val="single" w:sz="4" w:space="0" w:color="auto"/>
              <w:right w:val="nil"/>
            </w:tcBorders>
          </w:tcPr>
          <w:p w14:paraId="165AAB15"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Azerbaijan </w:t>
            </w:r>
          </w:p>
        </w:tc>
        <w:tc>
          <w:tcPr>
            <w:tcW w:w="1701" w:type="dxa"/>
            <w:tcBorders>
              <w:top w:val="nil"/>
              <w:left w:val="nil"/>
              <w:bottom w:val="single" w:sz="4" w:space="0" w:color="auto"/>
              <w:right w:val="nil"/>
            </w:tcBorders>
          </w:tcPr>
          <w:p w14:paraId="2F61F3AF"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Oil and gas</w:t>
            </w:r>
          </w:p>
        </w:tc>
        <w:tc>
          <w:tcPr>
            <w:tcW w:w="2414" w:type="dxa"/>
            <w:tcBorders>
              <w:top w:val="nil"/>
              <w:left w:val="nil"/>
              <w:bottom w:val="single" w:sz="4" w:space="0" w:color="auto"/>
              <w:right w:val="nil"/>
            </w:tcBorders>
          </w:tcPr>
          <w:p w14:paraId="5BCE5D1C" w14:textId="77777777" w:rsidR="00DC5A63" w:rsidRPr="00C71B3B" w:rsidRDefault="00DC5A63" w:rsidP="00A23BE2">
            <w:pPr>
              <w:ind w:firstLine="0"/>
              <w:rPr>
                <w:rFonts w:asciiTheme="majorHAnsi" w:hAnsiTheme="majorHAnsi" w:cstheme="majorHAnsi"/>
                <w:color w:val="auto"/>
              </w:rPr>
            </w:pPr>
            <w:r w:rsidRPr="00C71B3B">
              <w:rPr>
                <w:rFonts w:asciiTheme="majorHAnsi" w:hAnsiTheme="majorHAnsi" w:cstheme="majorHAnsi"/>
                <w:color w:val="auto"/>
              </w:rPr>
              <w:t xml:space="preserve">Logistics </w:t>
            </w:r>
          </w:p>
        </w:tc>
      </w:tr>
    </w:tbl>
    <w:p w14:paraId="4C96B02A" w14:textId="77777777" w:rsidR="00DC5A63" w:rsidRPr="00C71B3B" w:rsidRDefault="00DC5A63" w:rsidP="00DC5A63">
      <w:pPr>
        <w:ind w:firstLine="0"/>
        <w:rPr>
          <w:rFonts w:asciiTheme="majorHAnsi" w:hAnsiTheme="majorHAnsi" w:cstheme="majorHAnsi"/>
          <w:i/>
          <w:iCs/>
          <w:color w:val="auto"/>
        </w:rPr>
      </w:pPr>
    </w:p>
    <w:p w14:paraId="7CA6606B" w14:textId="77777777" w:rsidR="002361AE" w:rsidRPr="00C71B3B" w:rsidRDefault="002361AE" w:rsidP="005125FC">
      <w:pPr>
        <w:rPr>
          <w:rFonts w:asciiTheme="majorHAnsi" w:hAnsiTheme="majorHAnsi" w:cstheme="majorHAnsi"/>
          <w:b/>
          <w:bCs/>
          <w:color w:val="auto"/>
        </w:rPr>
      </w:pPr>
      <w:r w:rsidRPr="00C71B3B">
        <w:rPr>
          <w:rFonts w:asciiTheme="majorHAnsi" w:hAnsiTheme="majorHAnsi" w:cstheme="majorHAnsi"/>
          <w:b/>
          <w:bCs/>
          <w:color w:val="auto"/>
        </w:rPr>
        <w:t>Procedure and vignettes</w:t>
      </w:r>
    </w:p>
    <w:p w14:paraId="18696362" w14:textId="292BA9C2" w:rsidR="002361AE" w:rsidRPr="00C71B3B" w:rsidRDefault="002361AE" w:rsidP="005125FC">
      <w:pPr>
        <w:rPr>
          <w:rFonts w:asciiTheme="majorHAnsi" w:hAnsiTheme="majorHAnsi" w:cstheme="majorHAnsi"/>
          <w:color w:val="auto"/>
        </w:rPr>
      </w:pPr>
      <w:r w:rsidRPr="00C71B3B">
        <w:rPr>
          <w:rFonts w:asciiTheme="majorHAnsi" w:hAnsiTheme="majorHAnsi" w:cstheme="majorHAnsi"/>
          <w:color w:val="auto"/>
        </w:rPr>
        <w:t xml:space="preserve">The interviews took place in the researchers’ or participants’ offices and online, lasted 39-85 min, and were audio-recorded and transcribed verbatim. We first discussed participants’ understandings of positivity at work and then moved to experiences of imposed positivity. The interview questions included: “How does positive thinking feature in your organisation?’; ‘When you are asked to think positive, how does it make you feel?’. Once rapport had been established </w:t>
      </w:r>
      <w:r w:rsidRPr="00C71B3B">
        <w:rPr>
          <w:rFonts w:asciiTheme="majorHAnsi" w:hAnsiTheme="majorHAnsi" w:cstheme="majorHAnsi"/>
          <w:color w:val="auto"/>
        </w:rPr>
        <w:lastRenderedPageBreak/>
        <w:t xml:space="preserve">and participants were sensitised and engaged (Kandemir &amp; Budd, 2018), we introduced vignettes </w:t>
      </w:r>
      <w:r w:rsidR="00F428A1" w:rsidRPr="00C71B3B">
        <w:rPr>
          <w:rFonts w:asciiTheme="majorHAnsi" w:hAnsiTheme="majorHAnsi" w:cstheme="majorHAnsi"/>
          <w:color w:val="auto"/>
        </w:rPr>
        <w:t>(</w:t>
      </w:r>
      <w:r w:rsidR="009C6D22" w:rsidRPr="00C71B3B">
        <w:rPr>
          <w:rFonts w:asciiTheme="majorHAnsi" w:hAnsiTheme="majorHAnsi" w:cstheme="majorHAnsi"/>
          <w:color w:val="auto"/>
        </w:rPr>
        <w:t>available upon request</w:t>
      </w:r>
      <w:r w:rsidR="00F428A1" w:rsidRPr="00C71B3B">
        <w:rPr>
          <w:rFonts w:asciiTheme="majorHAnsi" w:hAnsiTheme="majorHAnsi" w:cstheme="majorHAnsi"/>
          <w:color w:val="auto"/>
        </w:rPr>
        <w:t xml:space="preserve">), </w:t>
      </w:r>
      <w:r w:rsidRPr="00C71B3B">
        <w:rPr>
          <w:rFonts w:asciiTheme="majorHAnsi" w:hAnsiTheme="majorHAnsi" w:cstheme="majorHAnsi"/>
          <w:color w:val="auto"/>
        </w:rPr>
        <w:t xml:space="preserve">which we had developed a priori working with subject matter experts, including a UK academic who was a former HR director and organisational psychologists, and drawing on the literature (e.g., Collinson, 2012). </w:t>
      </w:r>
      <w:r w:rsidR="004832AC" w:rsidRPr="00C71B3B">
        <w:rPr>
          <w:rFonts w:asciiTheme="majorHAnsi" w:hAnsiTheme="majorHAnsi" w:cstheme="majorHAnsi"/>
          <w:color w:val="auto"/>
        </w:rPr>
        <w:t>V</w:t>
      </w:r>
      <w:r w:rsidR="005C0073" w:rsidRPr="00C71B3B">
        <w:rPr>
          <w:rFonts w:asciiTheme="majorHAnsi" w:hAnsiTheme="majorHAnsi" w:cstheme="majorHAnsi"/>
          <w:color w:val="auto"/>
        </w:rPr>
        <w:t>ignettes grounded the abstract concept of positivity, uncovering aspects difficult to access directly and preventing superficial responses</w:t>
      </w:r>
      <w:r w:rsidR="00D03F98" w:rsidRPr="00C71B3B">
        <w:rPr>
          <w:rFonts w:asciiTheme="majorHAnsi" w:hAnsiTheme="majorHAnsi" w:cstheme="majorHAnsi"/>
          <w:color w:val="auto"/>
        </w:rPr>
        <w:t xml:space="preserve"> </w:t>
      </w:r>
      <w:r w:rsidR="00A52B62" w:rsidRPr="00C71B3B">
        <w:rPr>
          <w:rFonts w:asciiTheme="majorHAnsi" w:hAnsiTheme="majorHAnsi" w:cstheme="majorHAnsi"/>
          <w:color w:val="auto"/>
        </w:rPr>
        <w:t>(Kandemir &amp; Budd, 2018; Törrönen, 2018)</w:t>
      </w:r>
      <w:r w:rsidR="005C0073" w:rsidRPr="00C71B3B">
        <w:rPr>
          <w:rFonts w:asciiTheme="majorHAnsi" w:hAnsiTheme="majorHAnsi" w:cstheme="majorHAnsi"/>
          <w:color w:val="auto"/>
        </w:rPr>
        <w:t xml:space="preserve">. </w:t>
      </w:r>
      <w:r w:rsidR="00D03F98" w:rsidRPr="00C71B3B">
        <w:rPr>
          <w:rFonts w:asciiTheme="majorHAnsi" w:hAnsiTheme="majorHAnsi" w:cstheme="majorHAnsi"/>
          <w:color w:val="auto"/>
        </w:rPr>
        <w:t>By</w:t>
      </w:r>
      <w:r w:rsidR="005C0073" w:rsidRPr="00C71B3B">
        <w:rPr>
          <w:rFonts w:asciiTheme="majorHAnsi" w:hAnsiTheme="majorHAnsi" w:cstheme="majorHAnsi"/>
          <w:color w:val="auto"/>
        </w:rPr>
        <w:t xml:space="preserve"> portraying varied workplace scenarios of imposed positivity, </w:t>
      </w:r>
      <w:r w:rsidR="00D03F98" w:rsidRPr="00C71B3B">
        <w:rPr>
          <w:rFonts w:asciiTheme="majorHAnsi" w:hAnsiTheme="majorHAnsi" w:cstheme="majorHAnsi"/>
          <w:color w:val="auto"/>
        </w:rPr>
        <w:t xml:space="preserve">they </w:t>
      </w:r>
      <w:r w:rsidR="005C0073" w:rsidRPr="00C71B3B">
        <w:rPr>
          <w:rFonts w:asciiTheme="majorHAnsi" w:hAnsiTheme="majorHAnsi" w:cstheme="majorHAnsi"/>
          <w:color w:val="auto"/>
        </w:rPr>
        <w:t xml:space="preserve">enabled participants to reflect and discuss these situations, often transitioning naturally to their personal experiences </w:t>
      </w:r>
      <w:r w:rsidR="00D03F98" w:rsidRPr="00C71B3B">
        <w:rPr>
          <w:rFonts w:asciiTheme="majorHAnsi" w:hAnsiTheme="majorHAnsi" w:cstheme="majorHAnsi"/>
          <w:color w:val="auto"/>
        </w:rPr>
        <w:t>due to</w:t>
      </w:r>
      <w:r w:rsidR="005C0073" w:rsidRPr="00C71B3B">
        <w:rPr>
          <w:rFonts w:asciiTheme="majorHAnsi" w:hAnsiTheme="majorHAnsi" w:cstheme="majorHAnsi"/>
          <w:color w:val="auto"/>
        </w:rPr>
        <w:t xml:space="preserve"> relating to the vignettes' characters and settings</w:t>
      </w:r>
      <w:r w:rsidR="00A52B62" w:rsidRPr="00C71B3B">
        <w:rPr>
          <w:rFonts w:asciiTheme="majorHAnsi" w:hAnsiTheme="majorHAnsi" w:cstheme="majorHAnsi"/>
          <w:color w:val="auto"/>
        </w:rPr>
        <w:t xml:space="preserve"> (O’Dell et al., 2012). </w:t>
      </w:r>
      <w:r w:rsidR="006E1693" w:rsidRPr="00C71B3B">
        <w:rPr>
          <w:rFonts w:asciiTheme="majorHAnsi" w:hAnsiTheme="majorHAnsi" w:cstheme="majorHAnsi"/>
          <w:color w:val="auto"/>
        </w:rPr>
        <w:t xml:space="preserve">Participants discussed </w:t>
      </w:r>
      <w:r w:rsidRPr="00C71B3B">
        <w:rPr>
          <w:rFonts w:asciiTheme="majorHAnsi" w:hAnsiTheme="majorHAnsi" w:cstheme="majorHAnsi"/>
          <w:color w:val="auto"/>
        </w:rPr>
        <w:t xml:space="preserve">all the four vignettes so that alongside speaking from a perspective matching their own (employee/manager) they take on an opposite one. In addition to open-ended questions or sentences to complete in vignette discussions, we used direct questions, such as “Have you ever been in a situation like this one? What happened? Why?”.  </w:t>
      </w:r>
    </w:p>
    <w:p w14:paraId="1E1663F8" w14:textId="77777777" w:rsidR="002361AE" w:rsidRPr="00C71B3B" w:rsidRDefault="002361AE" w:rsidP="005125FC">
      <w:pPr>
        <w:rPr>
          <w:rFonts w:asciiTheme="majorHAnsi" w:hAnsiTheme="majorHAnsi" w:cstheme="majorHAnsi"/>
          <w:b/>
          <w:bCs/>
          <w:color w:val="auto"/>
        </w:rPr>
      </w:pPr>
      <w:r w:rsidRPr="00C71B3B">
        <w:rPr>
          <w:rFonts w:asciiTheme="majorHAnsi" w:hAnsiTheme="majorHAnsi" w:cstheme="majorHAnsi"/>
          <w:b/>
          <w:bCs/>
          <w:color w:val="auto"/>
        </w:rPr>
        <w:t xml:space="preserve">Incorporation of organisational documents </w:t>
      </w:r>
    </w:p>
    <w:p w14:paraId="5C05F1DD" w14:textId="77777777" w:rsidR="002361AE" w:rsidRPr="00C71B3B" w:rsidRDefault="002361AE" w:rsidP="005125FC">
      <w:pPr>
        <w:rPr>
          <w:rFonts w:asciiTheme="majorHAnsi" w:hAnsiTheme="majorHAnsi" w:cstheme="majorHAnsi"/>
          <w:color w:val="auto"/>
        </w:rPr>
      </w:pPr>
      <w:r w:rsidRPr="00C71B3B">
        <w:rPr>
          <w:rFonts w:asciiTheme="majorHAnsi" w:hAnsiTheme="majorHAnsi" w:cstheme="majorHAnsi"/>
          <w:color w:val="auto"/>
        </w:rPr>
        <w:t xml:space="preserve">As participants referred to instances of perceived pressure to demonstrate positivity in organisational documents and communications we sourced 27 documents dating back to 2013 of the organisations in which our participants were employed (Bowen, 2009) to widen our range of data sources. We selected and appraised documents’ relevance to the study’s topic guided by the central question asking about processes and consequences of external pressure to demonstrate positivity in the organisational discourse. To avoid biased selectivity, we considered the documents’ authenticity, representativeness, and purposes of their production  (Bowen, 2009; Coffey, 2014). We treated them as authentic because the documents were shared by organisations in online public or internal domains. They targeted internal and external audiences, </w:t>
      </w:r>
      <w:r w:rsidRPr="00C71B3B">
        <w:rPr>
          <w:rFonts w:asciiTheme="majorHAnsi" w:hAnsiTheme="majorHAnsi" w:cstheme="majorHAnsi"/>
          <w:color w:val="auto"/>
        </w:rPr>
        <w:lastRenderedPageBreak/>
        <w:t xml:space="preserve">and included communications, such as sustainability reports, websites, internal magazines, press interviews, employee selection tools, corporate emails, as well as leadership frameworks and selection tools. We primarily focused on written texts but also multimodal documents encompassing both texts and pictures (e.g., social media accounts). </w:t>
      </w:r>
    </w:p>
    <w:p w14:paraId="6B1CA424" w14:textId="77777777" w:rsidR="002361AE" w:rsidRPr="00C71B3B" w:rsidRDefault="002361AE" w:rsidP="005125FC">
      <w:pPr>
        <w:ind w:firstLine="0"/>
        <w:rPr>
          <w:rFonts w:asciiTheme="majorHAnsi" w:hAnsiTheme="majorHAnsi" w:cstheme="majorHAnsi"/>
          <w:b/>
          <w:bCs/>
          <w:color w:val="auto"/>
        </w:rPr>
      </w:pPr>
      <w:r w:rsidRPr="00C71B3B">
        <w:rPr>
          <w:rFonts w:asciiTheme="majorHAnsi" w:hAnsiTheme="majorHAnsi" w:cstheme="majorHAnsi"/>
          <w:b/>
          <w:bCs/>
          <w:color w:val="auto"/>
        </w:rPr>
        <w:t>Data analysis</w:t>
      </w:r>
    </w:p>
    <w:p w14:paraId="5ECD3935" w14:textId="617590E1" w:rsidR="00C415B8" w:rsidRPr="00C71B3B" w:rsidRDefault="002361AE" w:rsidP="00395E8A">
      <w:pPr>
        <w:rPr>
          <w:rFonts w:asciiTheme="majorHAnsi" w:hAnsiTheme="majorHAnsi" w:cstheme="majorHAnsi"/>
          <w:color w:val="auto"/>
        </w:rPr>
      </w:pPr>
      <w:r w:rsidRPr="00C71B3B">
        <w:rPr>
          <w:rFonts w:asciiTheme="majorHAnsi" w:hAnsiTheme="majorHAnsi" w:cstheme="majorHAnsi"/>
          <w:color w:val="auto"/>
        </w:rPr>
        <w:t xml:space="preserve">We iteratively line-by-line coded data, using short phrases and in vivo codes to label lower-order descriptive codes and then grouping the concrete initial codes into more abstract higher-order concepts to form categories (Corbin &amp; Strauss, 2015). </w:t>
      </w:r>
      <w:r w:rsidR="00196372" w:rsidRPr="00C71B3B">
        <w:rPr>
          <w:rFonts w:asciiTheme="majorHAnsi" w:hAnsiTheme="majorHAnsi" w:cstheme="majorHAnsi"/>
          <w:color w:val="auto"/>
        </w:rPr>
        <w:t>A</w:t>
      </w:r>
      <w:r w:rsidR="00D41560" w:rsidRPr="00C71B3B">
        <w:rPr>
          <w:rFonts w:asciiTheme="majorHAnsi" w:hAnsiTheme="majorHAnsi" w:cstheme="majorHAnsi"/>
          <w:color w:val="auto"/>
        </w:rPr>
        <w:t>xial coding</w:t>
      </w:r>
      <w:r w:rsidR="00196372" w:rsidRPr="00C71B3B">
        <w:rPr>
          <w:rFonts w:asciiTheme="majorHAnsi" w:hAnsiTheme="majorHAnsi" w:cstheme="majorHAnsi"/>
          <w:color w:val="auto"/>
        </w:rPr>
        <w:t xml:space="preserve"> helped</w:t>
      </w:r>
      <w:r w:rsidR="00D41560" w:rsidRPr="00C71B3B">
        <w:rPr>
          <w:rFonts w:asciiTheme="majorHAnsi" w:hAnsiTheme="majorHAnsi" w:cstheme="majorHAnsi"/>
          <w:color w:val="auto"/>
        </w:rPr>
        <w:t xml:space="preserve"> identify relationships among concepts and categories</w:t>
      </w:r>
      <w:r w:rsidR="00AA56A4" w:rsidRPr="00C71B3B">
        <w:rPr>
          <w:rFonts w:asciiTheme="majorHAnsi" w:hAnsiTheme="majorHAnsi" w:cstheme="majorHAnsi"/>
          <w:color w:val="auto"/>
        </w:rPr>
        <w:t>, while s</w:t>
      </w:r>
      <w:r w:rsidR="00D41560" w:rsidRPr="00C71B3B">
        <w:rPr>
          <w:rFonts w:asciiTheme="majorHAnsi" w:hAnsiTheme="majorHAnsi" w:cstheme="majorHAnsi"/>
          <w:color w:val="auto"/>
        </w:rPr>
        <w:t xml:space="preserve">elective coding </w:t>
      </w:r>
      <w:r w:rsidR="00AA56A4" w:rsidRPr="00C71B3B">
        <w:rPr>
          <w:rFonts w:asciiTheme="majorHAnsi" w:hAnsiTheme="majorHAnsi" w:cstheme="majorHAnsi"/>
          <w:color w:val="auto"/>
        </w:rPr>
        <w:t xml:space="preserve">facilitated </w:t>
      </w:r>
      <w:r w:rsidR="004A6EB8" w:rsidRPr="00C71B3B">
        <w:rPr>
          <w:rFonts w:asciiTheme="majorHAnsi" w:hAnsiTheme="majorHAnsi" w:cstheme="majorHAnsi"/>
          <w:color w:val="auto"/>
        </w:rPr>
        <w:t xml:space="preserve">the </w:t>
      </w:r>
      <w:r w:rsidR="00D41560" w:rsidRPr="00C71B3B">
        <w:rPr>
          <w:rFonts w:asciiTheme="majorHAnsi" w:hAnsiTheme="majorHAnsi" w:cstheme="majorHAnsi"/>
          <w:color w:val="auto"/>
        </w:rPr>
        <w:t>construction of an integrative model (Gioia et al., 2012).</w:t>
      </w:r>
      <w:r w:rsidR="0097162E" w:rsidRPr="00C71B3B">
        <w:rPr>
          <w:rFonts w:asciiTheme="majorHAnsi" w:hAnsiTheme="majorHAnsi" w:cstheme="majorHAnsi"/>
          <w:color w:val="auto"/>
        </w:rPr>
        <w:t xml:space="preserve"> </w:t>
      </w:r>
      <w:r w:rsidRPr="00C71B3B">
        <w:rPr>
          <w:rFonts w:asciiTheme="majorHAnsi" w:hAnsiTheme="majorHAnsi" w:cstheme="majorHAnsi"/>
          <w:color w:val="auto"/>
        </w:rPr>
        <w:t xml:space="preserve">Alongside coding, we constantly compared data units, concepts, and categories and examined whether major codes represented conditions, actions, or consequences related to imposing positivity (Corbin &amp; Strauss, 2015). We refined categories by revisiting existing data with new questions and collecting additional data. </w:t>
      </w:r>
      <w:r w:rsidR="00D26865" w:rsidRPr="00C71B3B">
        <w:rPr>
          <w:rFonts w:asciiTheme="majorHAnsi" w:hAnsiTheme="majorHAnsi" w:cstheme="majorHAnsi"/>
          <w:color w:val="auto"/>
        </w:rPr>
        <w:t>T</w:t>
      </w:r>
      <w:r w:rsidR="00C415B8" w:rsidRPr="00C71B3B">
        <w:rPr>
          <w:rFonts w:asciiTheme="majorHAnsi" w:hAnsiTheme="majorHAnsi" w:cstheme="majorHAnsi"/>
          <w:color w:val="auto"/>
        </w:rPr>
        <w:t xml:space="preserve">hroughout, we </w:t>
      </w:r>
      <w:r w:rsidR="007B0638" w:rsidRPr="00C71B3B">
        <w:rPr>
          <w:rFonts w:asciiTheme="majorHAnsi" w:hAnsiTheme="majorHAnsi" w:cstheme="majorHAnsi"/>
          <w:color w:val="auto"/>
        </w:rPr>
        <w:t>wrote</w:t>
      </w:r>
      <w:r w:rsidR="00C415B8" w:rsidRPr="00C71B3B">
        <w:rPr>
          <w:rFonts w:asciiTheme="majorHAnsi" w:hAnsiTheme="majorHAnsi" w:cstheme="majorHAnsi"/>
          <w:color w:val="auto"/>
        </w:rPr>
        <w:t xml:space="preserve"> memos to track analytical insights and ensure coherent interpretation, culminating in Figure 1, which encapsulates the key constructs, including </w:t>
      </w:r>
      <w:r w:rsidR="00395E8A" w:rsidRPr="00C71B3B">
        <w:rPr>
          <w:rFonts w:asciiTheme="majorHAnsi" w:hAnsiTheme="majorHAnsi" w:cstheme="majorHAnsi"/>
          <w:color w:val="auto"/>
        </w:rPr>
        <w:t xml:space="preserve">process and consequences </w:t>
      </w:r>
      <w:r w:rsidR="00C415B8" w:rsidRPr="00C71B3B">
        <w:rPr>
          <w:rFonts w:asciiTheme="majorHAnsi" w:hAnsiTheme="majorHAnsi" w:cstheme="majorHAnsi"/>
          <w:color w:val="auto"/>
        </w:rPr>
        <w:t>of impos</w:t>
      </w:r>
      <w:r w:rsidR="00395E8A" w:rsidRPr="00C71B3B">
        <w:rPr>
          <w:rFonts w:asciiTheme="majorHAnsi" w:hAnsiTheme="majorHAnsi" w:cstheme="majorHAnsi"/>
          <w:color w:val="auto"/>
        </w:rPr>
        <w:t>ing</w:t>
      </w:r>
      <w:r w:rsidR="00C415B8" w:rsidRPr="00C71B3B">
        <w:rPr>
          <w:rFonts w:asciiTheme="majorHAnsi" w:hAnsiTheme="majorHAnsi" w:cstheme="majorHAnsi"/>
          <w:color w:val="auto"/>
        </w:rPr>
        <w:t xml:space="preserve"> positivity on employe</w:t>
      </w:r>
      <w:r w:rsidR="00395E8A" w:rsidRPr="00C71B3B">
        <w:rPr>
          <w:rFonts w:asciiTheme="majorHAnsi" w:hAnsiTheme="majorHAnsi" w:cstheme="majorHAnsi"/>
          <w:color w:val="auto"/>
        </w:rPr>
        <w:t>e</w:t>
      </w:r>
      <w:r w:rsidR="00C415B8" w:rsidRPr="00C71B3B">
        <w:rPr>
          <w:rFonts w:asciiTheme="majorHAnsi" w:hAnsiTheme="majorHAnsi" w:cstheme="majorHAnsi"/>
          <w:color w:val="auto"/>
        </w:rPr>
        <w:t xml:space="preserve"> perceptions, </w:t>
      </w:r>
      <w:r w:rsidR="00272CC1" w:rsidRPr="00C71B3B">
        <w:rPr>
          <w:rFonts w:asciiTheme="majorHAnsi" w:hAnsiTheme="majorHAnsi" w:cstheme="majorHAnsi"/>
          <w:color w:val="auto"/>
        </w:rPr>
        <w:t>behaviours</w:t>
      </w:r>
      <w:r w:rsidR="00C415B8" w:rsidRPr="00C71B3B">
        <w:rPr>
          <w:rFonts w:asciiTheme="majorHAnsi" w:hAnsiTheme="majorHAnsi" w:cstheme="majorHAnsi"/>
          <w:color w:val="auto"/>
        </w:rPr>
        <w:t>, and emotions.</w:t>
      </w:r>
    </w:p>
    <w:p w14:paraId="08AA6F9C" w14:textId="77777777" w:rsidR="002F668B" w:rsidRPr="00C71B3B" w:rsidRDefault="002F668B" w:rsidP="002F668B">
      <w:pPr>
        <w:jc w:val="center"/>
        <w:rPr>
          <w:rFonts w:asciiTheme="majorHAnsi" w:hAnsiTheme="majorHAnsi" w:cstheme="majorHAnsi"/>
          <w:b/>
          <w:bCs/>
          <w:color w:val="auto"/>
        </w:rPr>
      </w:pPr>
      <w:r w:rsidRPr="00C71B3B">
        <w:rPr>
          <w:rFonts w:asciiTheme="majorHAnsi" w:hAnsiTheme="majorHAnsi" w:cstheme="majorHAnsi"/>
          <w:b/>
          <w:bCs/>
          <w:color w:val="auto"/>
        </w:rPr>
        <w:t>Findings</w:t>
      </w:r>
    </w:p>
    <w:p w14:paraId="0D8859F7" w14:textId="77777777" w:rsidR="002F668B" w:rsidRPr="00C71B3B" w:rsidRDefault="002F668B" w:rsidP="002F668B">
      <w:pPr>
        <w:ind w:firstLine="0"/>
        <w:rPr>
          <w:rFonts w:asciiTheme="majorHAnsi" w:hAnsiTheme="majorHAnsi" w:cstheme="majorHAnsi"/>
          <w:b/>
          <w:bCs/>
          <w:color w:val="auto"/>
        </w:rPr>
      </w:pPr>
      <w:r w:rsidRPr="00C71B3B">
        <w:rPr>
          <w:rFonts w:asciiTheme="majorHAnsi" w:hAnsiTheme="majorHAnsi" w:cstheme="majorHAnsi"/>
          <w:b/>
          <w:bCs/>
          <w:color w:val="auto"/>
        </w:rPr>
        <w:t xml:space="preserve">Typology and purposes of imposing positivity  </w:t>
      </w:r>
    </w:p>
    <w:p w14:paraId="42F0053D" w14:textId="77777777" w:rsidR="002F668B" w:rsidRPr="00C71B3B" w:rsidRDefault="002F668B" w:rsidP="002F668B">
      <w:pPr>
        <w:rPr>
          <w:rFonts w:asciiTheme="majorHAnsi" w:hAnsiTheme="majorHAnsi" w:cstheme="majorHAnsi"/>
          <w:b/>
          <w:bCs/>
          <w:color w:val="auto"/>
        </w:rPr>
      </w:pPr>
      <w:r w:rsidRPr="00C71B3B">
        <w:rPr>
          <w:rFonts w:asciiTheme="majorHAnsi" w:hAnsiTheme="majorHAnsi" w:cstheme="majorHAnsi"/>
          <w:color w:val="auto"/>
        </w:rPr>
        <w:t xml:space="preserve">Based on our analysis, we developed a conceptual model of the practices and consequences of imposing positivity at work (Figure 2). It suggests that the top-down imposition of positivity for identity regulation can incite emotional distress and create the belief of obligation to demonstrate positivity, which we refer to as positivity display pressure, subsequently resulting in resistance. Specifically, we found that positivity was imposed in </w:t>
      </w:r>
      <w:r w:rsidRPr="00C71B3B">
        <w:rPr>
          <w:rFonts w:asciiTheme="majorHAnsi" w:hAnsiTheme="majorHAnsi" w:cstheme="majorHAnsi"/>
          <w:color w:val="auto"/>
        </w:rPr>
        <w:lastRenderedPageBreak/>
        <w:t>organisations, which implied expecting its manifestations including enthusiasm, optimism, cheerfulness, or high energy, particularly, in relation to support for organisational/managerial initiatives. We categorised the imposition into four distinct practice types, varying in visibility and intent dimensions and including overt, covert, deliberate, and unintentional ways (Figure 1).</w:t>
      </w:r>
    </w:p>
    <w:p w14:paraId="51878A15" w14:textId="17EFF3B1" w:rsidR="00AF6A5A" w:rsidRPr="00C71B3B" w:rsidRDefault="009C6D22" w:rsidP="0097162E">
      <w:pPr>
        <w:ind w:firstLine="0"/>
        <w:rPr>
          <w:rFonts w:asciiTheme="majorHAnsi" w:hAnsiTheme="majorHAnsi" w:cstheme="majorHAnsi"/>
          <w:b/>
          <w:bCs/>
          <w:color w:val="auto"/>
        </w:rPr>
      </w:pPr>
      <w:r w:rsidRPr="00C71B3B">
        <w:rPr>
          <w:rFonts w:asciiTheme="majorHAnsi" w:hAnsiTheme="majorHAnsi" w:cstheme="majorHAnsi"/>
          <w:b/>
          <w:bCs/>
          <w:color w:val="auto"/>
        </w:rPr>
        <w:t>Figure 1</w:t>
      </w:r>
    </w:p>
    <w:p w14:paraId="0BE711AD" w14:textId="57C93AF1" w:rsidR="00AF6A5A" w:rsidRPr="00C71B3B" w:rsidRDefault="0097162E" w:rsidP="0097162E">
      <w:pPr>
        <w:ind w:firstLine="0"/>
        <w:rPr>
          <w:rFonts w:cstheme="minorHAnsi"/>
          <w:i/>
          <w:iCs/>
          <w:color w:val="auto"/>
        </w:rPr>
      </w:pPr>
      <w:r w:rsidRPr="00C71B3B">
        <w:rPr>
          <w:rFonts w:cstheme="minorHAnsi"/>
          <w:i/>
          <w:iCs/>
          <w:color w:val="auto"/>
        </w:rPr>
        <w:t>Data structure</w:t>
      </w:r>
    </w:p>
    <w:p w14:paraId="31266A4A" w14:textId="47C5D772" w:rsidR="001160B6" w:rsidRPr="001160B6" w:rsidRDefault="001160B6" w:rsidP="0097162E">
      <w:pPr>
        <w:ind w:firstLine="0"/>
        <w:rPr>
          <w:rFonts w:asciiTheme="majorHAnsi" w:hAnsiTheme="majorHAnsi" w:cstheme="majorHAnsi"/>
          <w:b/>
          <w:bCs/>
          <w:color w:val="auto"/>
        </w:rPr>
      </w:pPr>
      <w:r w:rsidRPr="00C71B3B">
        <w:rPr>
          <w:rFonts w:ascii="Times New Roman" w:eastAsia="Times New Roman" w:hAnsi="Times New Roman" w:cs="Times New Roman"/>
          <w:noProof/>
          <w:color w:val="auto"/>
          <w:lang w:eastAsia="en-GB"/>
        </w:rPr>
        <w:drawing>
          <wp:inline distT="0" distB="0" distL="0" distR="0" wp14:anchorId="3CC01D07" wp14:editId="08A4956E">
            <wp:extent cx="4353560" cy="6049335"/>
            <wp:effectExtent l="0" t="0" r="8890" b="8890"/>
            <wp:docPr id="878403986" name="Picture 1" descr="A diagram of a company's flow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403986" name="Picture 1" descr="A diagram of a company's flowchar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53560" cy="6049335"/>
                    </a:xfrm>
                    <a:prstGeom prst="rect">
                      <a:avLst/>
                    </a:prstGeom>
                    <a:noFill/>
                    <a:ln>
                      <a:noFill/>
                    </a:ln>
                  </pic:spPr>
                </pic:pic>
              </a:graphicData>
            </a:graphic>
          </wp:inline>
        </w:drawing>
      </w:r>
    </w:p>
    <w:p w14:paraId="0F26654D" w14:textId="4CFB53B2" w:rsidR="0098288C" w:rsidRPr="00C71B3B" w:rsidRDefault="0098288C" w:rsidP="0098288C">
      <w:pPr>
        <w:ind w:firstLine="0"/>
        <w:rPr>
          <w:rFonts w:asciiTheme="majorHAnsi" w:hAnsiTheme="majorHAnsi" w:cstheme="majorHAnsi"/>
          <w:b/>
          <w:bCs/>
          <w:color w:val="auto"/>
        </w:rPr>
      </w:pPr>
      <w:r w:rsidRPr="00C71B3B">
        <w:rPr>
          <w:rFonts w:asciiTheme="majorHAnsi" w:hAnsiTheme="majorHAnsi" w:cstheme="majorHAnsi"/>
          <w:b/>
          <w:bCs/>
          <w:color w:val="auto"/>
        </w:rPr>
        <w:lastRenderedPageBreak/>
        <w:t>Figure 2</w:t>
      </w:r>
    </w:p>
    <w:p w14:paraId="2B25B005" w14:textId="5943A3E4" w:rsidR="004B64A1" w:rsidRPr="004B64A1" w:rsidRDefault="00000E14" w:rsidP="00000E14">
      <w:pPr>
        <w:ind w:firstLine="0"/>
        <w:rPr>
          <w:rFonts w:ascii="Times New Roman" w:eastAsia="Times New Roman" w:hAnsi="Times New Roman" w:cs="Times New Roman"/>
          <w:color w:val="auto"/>
          <w:lang w:eastAsia="en-GB"/>
        </w:rPr>
      </w:pPr>
      <w:r w:rsidRPr="00C71B3B">
        <w:rPr>
          <w:rFonts w:cstheme="minorHAnsi"/>
          <w:i/>
          <w:iCs/>
          <w:color w:val="auto"/>
        </w:rPr>
        <w:t>Conceptual model of imposing positivity at work</w:t>
      </w:r>
      <w:r w:rsidR="004B64A1" w:rsidRPr="00C71B3B">
        <w:rPr>
          <w:rFonts w:ascii="Times New Roman" w:eastAsia="Times New Roman" w:hAnsi="Times New Roman" w:cs="Times New Roman"/>
          <w:noProof/>
          <w:color w:val="auto"/>
          <w:lang w:eastAsia="en-GB"/>
        </w:rPr>
        <w:drawing>
          <wp:inline distT="0" distB="0" distL="0" distR="0" wp14:anchorId="5586B048" wp14:editId="33F9853F">
            <wp:extent cx="5943600" cy="1870710"/>
            <wp:effectExtent l="0" t="0" r="0" b="0"/>
            <wp:docPr id="1910828014" name="Picture 2"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828014" name="Picture 2" descr="A diagram of a process&#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870710"/>
                    </a:xfrm>
                    <a:prstGeom prst="rect">
                      <a:avLst/>
                    </a:prstGeom>
                    <a:noFill/>
                    <a:ln>
                      <a:noFill/>
                    </a:ln>
                  </pic:spPr>
                </pic:pic>
              </a:graphicData>
            </a:graphic>
          </wp:inline>
        </w:drawing>
      </w:r>
    </w:p>
    <w:p w14:paraId="06660F62" w14:textId="44F892D9" w:rsidR="00C86B09" w:rsidRPr="00C71B3B" w:rsidRDefault="00C86B09" w:rsidP="005125FC">
      <w:pPr>
        <w:rPr>
          <w:rFonts w:asciiTheme="majorHAnsi" w:hAnsiTheme="majorHAnsi" w:cstheme="majorHAnsi"/>
          <w:color w:val="auto"/>
        </w:rPr>
      </w:pPr>
      <w:r w:rsidRPr="00C71B3B">
        <w:rPr>
          <w:rFonts w:asciiTheme="majorHAnsi" w:hAnsiTheme="majorHAnsi" w:cstheme="majorHAnsi"/>
          <w:color w:val="auto"/>
        </w:rPr>
        <w:t xml:space="preserve">Participants construed the imposition of positivity as an attempt to shape employee thinking and attitudes with the ultimate goal of influencing their performance. Illustratively, Neil’s account suggested that the qualities viewed by managers as positive including agreeableness and non-confrontational approach enabled controllability: </w:t>
      </w:r>
    </w:p>
    <w:p w14:paraId="1468D8B4" w14:textId="77777777" w:rsidR="00C86B09" w:rsidRPr="00C71B3B" w:rsidRDefault="00C86B09" w:rsidP="005125FC">
      <w:pPr>
        <w:ind w:left="720" w:firstLine="0"/>
        <w:rPr>
          <w:rFonts w:asciiTheme="majorHAnsi" w:hAnsiTheme="majorHAnsi" w:cstheme="majorHAnsi"/>
          <w:i/>
          <w:iCs/>
          <w:color w:val="auto"/>
        </w:rPr>
      </w:pPr>
      <w:r w:rsidRPr="00C71B3B">
        <w:rPr>
          <w:rFonts w:asciiTheme="majorHAnsi" w:hAnsiTheme="majorHAnsi" w:cstheme="majorHAnsi"/>
          <w:i/>
          <w:iCs/>
          <w:color w:val="auto"/>
        </w:rPr>
        <w:t>it's easier to get on with somebody if they are happier and more positively thinking. They're easier people to work with. They also tend to do what you ask them without arguing, with respect. You know, ‘Can you go to this place?’ ‘Yes, no problem’ is generally the answer. And therefore, I value that type of behaviour because it's easier for me. Quite simple as a manager. People do what you ask them.</w:t>
      </w:r>
    </w:p>
    <w:p w14:paraId="3B36DB31" w14:textId="25A621B6" w:rsidR="00C86B09" w:rsidRPr="00C71B3B" w:rsidRDefault="00C86B09" w:rsidP="005125FC">
      <w:pPr>
        <w:ind w:firstLine="0"/>
        <w:rPr>
          <w:rFonts w:asciiTheme="majorHAnsi" w:hAnsiTheme="majorHAnsi" w:cstheme="majorHAnsi"/>
          <w:color w:val="auto"/>
        </w:rPr>
      </w:pPr>
      <w:r w:rsidRPr="00C71B3B">
        <w:rPr>
          <w:rFonts w:asciiTheme="majorHAnsi" w:hAnsiTheme="majorHAnsi" w:cstheme="majorHAnsi"/>
          <w:color w:val="auto"/>
        </w:rPr>
        <w:t xml:space="preserve">Employee beliefs that organisations want happy workforce due to its potential for enhanced efficiency, captured by the aggregate dimension of motives (Figure 1) supported this perspective. For instance, Norman </w:t>
      </w:r>
      <w:r w:rsidR="003677B6" w:rsidRPr="00C71B3B">
        <w:rPr>
          <w:rFonts w:asciiTheme="majorHAnsi" w:hAnsiTheme="majorHAnsi" w:cstheme="majorHAnsi"/>
          <w:color w:val="auto"/>
        </w:rPr>
        <w:t>contrasted</w:t>
      </w:r>
      <w:r w:rsidRPr="00C71B3B">
        <w:rPr>
          <w:rFonts w:asciiTheme="majorHAnsi" w:hAnsiTheme="majorHAnsi" w:cstheme="majorHAnsi"/>
          <w:color w:val="auto"/>
        </w:rPr>
        <w:t xml:space="preserve"> the current positivity discourse with the transactional approach prevalent in organisations during his early career in the 1960s</w:t>
      </w:r>
      <w:r w:rsidR="003677B6" w:rsidRPr="00C71B3B">
        <w:rPr>
          <w:rFonts w:asciiTheme="majorHAnsi" w:hAnsiTheme="majorHAnsi" w:cstheme="majorHAnsi"/>
          <w:color w:val="auto"/>
        </w:rPr>
        <w:t xml:space="preserve">. He </w:t>
      </w:r>
      <w:r w:rsidR="00DD41E9" w:rsidRPr="00C71B3B">
        <w:rPr>
          <w:rFonts w:asciiTheme="majorHAnsi" w:hAnsiTheme="majorHAnsi" w:cstheme="majorHAnsi"/>
          <w:color w:val="auto"/>
        </w:rPr>
        <w:t>viewed</w:t>
      </w:r>
      <w:r w:rsidR="003677B6" w:rsidRPr="00C71B3B">
        <w:rPr>
          <w:rFonts w:asciiTheme="majorHAnsi" w:hAnsiTheme="majorHAnsi" w:cstheme="majorHAnsi"/>
          <w:color w:val="auto"/>
        </w:rPr>
        <w:t xml:space="preserve"> </w:t>
      </w:r>
      <w:r w:rsidR="00DD41E9" w:rsidRPr="00B24151">
        <w:rPr>
          <w:rFonts w:asciiTheme="majorHAnsi" w:hAnsiTheme="majorHAnsi" w:cstheme="majorHAnsi"/>
          <w:color w:val="auto"/>
        </w:rPr>
        <w:t>the modern emphasis on positiv</w:t>
      </w:r>
      <w:r w:rsidR="006D4D34" w:rsidRPr="00C71B3B">
        <w:rPr>
          <w:rFonts w:asciiTheme="majorHAnsi" w:hAnsiTheme="majorHAnsi" w:cstheme="majorHAnsi"/>
          <w:color w:val="auto"/>
        </w:rPr>
        <w:t>ity</w:t>
      </w:r>
      <w:r w:rsidR="00DD41E9" w:rsidRPr="00B24151">
        <w:rPr>
          <w:rFonts w:asciiTheme="majorHAnsi" w:hAnsiTheme="majorHAnsi" w:cstheme="majorHAnsi"/>
          <w:color w:val="auto"/>
        </w:rPr>
        <w:t xml:space="preserve"> as a strategy to boost productivity, marking a significant shift from the past when employees were simply expected to complete their tasks without regard to their emotional state.</w:t>
      </w:r>
      <w:r w:rsidR="00EB77BE" w:rsidRPr="00C71B3B">
        <w:rPr>
          <w:rFonts w:asciiTheme="majorHAnsi" w:hAnsiTheme="majorHAnsi" w:cstheme="majorHAnsi"/>
          <w:color w:val="auto"/>
        </w:rPr>
        <w:tab/>
      </w:r>
      <w:r w:rsidRPr="00C71B3B">
        <w:rPr>
          <w:rFonts w:asciiTheme="majorHAnsi" w:hAnsiTheme="majorHAnsi" w:cstheme="majorHAnsi"/>
          <w:color w:val="auto"/>
        </w:rPr>
        <w:t xml:space="preserve">When discussing how positivity featured in his workplace, Vail cited the organisational </w:t>
      </w:r>
      <w:r w:rsidRPr="00C71B3B">
        <w:rPr>
          <w:rFonts w:asciiTheme="majorHAnsi" w:hAnsiTheme="majorHAnsi" w:cstheme="majorHAnsi"/>
          <w:color w:val="auto"/>
        </w:rPr>
        <w:lastRenderedPageBreak/>
        <w:t>website and compared its pervasive content seeming to inject positivity with cultlike messages. In making fun of the initiative, which called in question its effectiveness, he was rather ironical:</w:t>
      </w:r>
    </w:p>
    <w:p w14:paraId="4283BF5E" w14:textId="77777777" w:rsidR="00C86B09" w:rsidRPr="00C71B3B" w:rsidRDefault="00C86B09" w:rsidP="005125FC">
      <w:pPr>
        <w:ind w:left="720" w:firstLine="0"/>
        <w:rPr>
          <w:rFonts w:asciiTheme="majorHAnsi" w:hAnsiTheme="majorHAnsi" w:cstheme="majorHAnsi"/>
          <w:i/>
          <w:iCs/>
          <w:color w:val="auto"/>
        </w:rPr>
      </w:pPr>
      <w:r w:rsidRPr="00C71B3B">
        <w:rPr>
          <w:rFonts w:asciiTheme="majorHAnsi" w:hAnsiTheme="majorHAnsi" w:cstheme="majorHAnsi"/>
          <w:color w:val="auto"/>
        </w:rPr>
        <w:t>[it]</w:t>
      </w:r>
      <w:r w:rsidRPr="00C71B3B">
        <w:rPr>
          <w:rFonts w:asciiTheme="majorHAnsi" w:hAnsiTheme="majorHAnsi" w:cstheme="majorHAnsi"/>
          <w:i/>
          <w:iCs/>
          <w:color w:val="auto"/>
        </w:rPr>
        <w:t xml:space="preserve"> always has a smiling face of someone in senior leadership. Are you familiar with the term ‘devotional’? So it's a religious term…in the States, it's like a short, written meditation, talking about religion… But we joke that we have bank devotionals, where the chief financial officer will be talking about ‘My great grandmother is, you know, 92 years old, and she's from Sicily. And every time I go visit her, I'm reminded of these positive family traditions and things like that’. So they put things on there, it's hard to avoid seeing and there's always some sort of positive message behind them. </w:t>
      </w:r>
    </w:p>
    <w:p w14:paraId="777E2B4A" w14:textId="06FEF2DA" w:rsidR="00C86B09" w:rsidRPr="00C71B3B" w:rsidRDefault="00C86B09" w:rsidP="00A3092D">
      <w:pPr>
        <w:ind w:firstLine="0"/>
        <w:rPr>
          <w:rFonts w:asciiTheme="majorHAnsi" w:hAnsiTheme="majorHAnsi" w:cstheme="majorHAnsi"/>
          <w:color w:val="auto"/>
        </w:rPr>
      </w:pPr>
      <w:r w:rsidRPr="00C71B3B">
        <w:rPr>
          <w:rFonts w:asciiTheme="majorHAnsi" w:hAnsiTheme="majorHAnsi" w:cstheme="majorHAnsi"/>
          <w:color w:val="auto"/>
        </w:rPr>
        <w:t>This resonated with Nail's insights, underscoring the universality of projecting positivity through organisational communication channels, irrespective of geographic location</w:t>
      </w:r>
      <w:r w:rsidR="000228A9" w:rsidRPr="00C71B3B">
        <w:rPr>
          <w:rFonts w:asciiTheme="majorHAnsi" w:hAnsiTheme="majorHAnsi" w:cstheme="majorHAnsi"/>
          <w:color w:val="auto"/>
        </w:rPr>
        <w:t>, when he note</w:t>
      </w:r>
      <w:r w:rsidR="00984325" w:rsidRPr="00C71B3B">
        <w:rPr>
          <w:rFonts w:asciiTheme="majorHAnsi" w:hAnsiTheme="majorHAnsi" w:cstheme="majorHAnsi"/>
          <w:color w:val="auto"/>
        </w:rPr>
        <w:t xml:space="preserve">d that </w:t>
      </w:r>
      <w:r w:rsidR="00F7623A" w:rsidRPr="00C71B3B">
        <w:rPr>
          <w:rFonts w:asciiTheme="majorHAnsi" w:hAnsiTheme="majorHAnsi" w:cstheme="majorHAnsi"/>
          <w:color w:val="auto"/>
        </w:rPr>
        <w:t xml:space="preserve">dedicated </w:t>
      </w:r>
      <w:r w:rsidR="00727156" w:rsidRPr="00C71B3B">
        <w:rPr>
          <w:rFonts w:asciiTheme="majorHAnsi" w:hAnsiTheme="majorHAnsi" w:cstheme="majorHAnsi"/>
          <w:color w:val="auto"/>
        </w:rPr>
        <w:t xml:space="preserve">internal communication </w:t>
      </w:r>
      <w:r w:rsidR="00F7623A" w:rsidRPr="00C71B3B">
        <w:rPr>
          <w:rFonts w:asciiTheme="majorHAnsi" w:hAnsiTheme="majorHAnsi" w:cstheme="majorHAnsi"/>
          <w:color w:val="auto"/>
        </w:rPr>
        <w:t>teams produce regular updates and features that praise</w:t>
      </w:r>
      <w:r w:rsidR="00F7623A" w:rsidRPr="00C71B3B">
        <w:rPr>
          <w:rFonts w:ascii="Segoe UI" w:hAnsi="Segoe UI" w:cs="Segoe UI"/>
          <w:color w:val="auto"/>
          <w:shd w:val="clear" w:color="auto" w:fill="FFFFFF"/>
        </w:rPr>
        <w:t xml:space="preserve"> </w:t>
      </w:r>
      <w:r w:rsidR="00F7623A" w:rsidRPr="00C71B3B">
        <w:rPr>
          <w:rFonts w:asciiTheme="majorHAnsi" w:hAnsiTheme="majorHAnsi" w:cstheme="majorHAnsi"/>
          <w:color w:val="auto"/>
        </w:rPr>
        <w:t xml:space="preserve">exemplary </w:t>
      </w:r>
      <w:r w:rsidR="00727156" w:rsidRPr="00C71B3B">
        <w:rPr>
          <w:rFonts w:asciiTheme="majorHAnsi" w:hAnsiTheme="majorHAnsi" w:cstheme="majorHAnsi"/>
          <w:color w:val="auto"/>
        </w:rPr>
        <w:t>behaviours</w:t>
      </w:r>
      <w:r w:rsidR="00F7623A" w:rsidRPr="00C71B3B">
        <w:rPr>
          <w:rFonts w:asciiTheme="majorHAnsi" w:hAnsiTheme="majorHAnsi" w:cstheme="majorHAnsi"/>
          <w:color w:val="auto"/>
        </w:rPr>
        <w:t>, setting a norm that others are encouraged to emulate.</w:t>
      </w:r>
      <w:r w:rsidR="00A3092D" w:rsidRPr="00C71B3B">
        <w:rPr>
          <w:rFonts w:asciiTheme="majorHAnsi" w:hAnsiTheme="majorHAnsi" w:cstheme="majorHAnsi"/>
          <w:color w:val="auto"/>
        </w:rPr>
        <w:t xml:space="preserve"> </w:t>
      </w:r>
      <w:r w:rsidRPr="00C71B3B">
        <w:rPr>
          <w:rFonts w:asciiTheme="majorHAnsi" w:hAnsiTheme="majorHAnsi" w:cstheme="majorHAnsi"/>
          <w:color w:val="auto"/>
        </w:rPr>
        <w:t xml:space="preserve">Drawing on similar examples and references that demonstrations of positivity were equalled to the demonstration of organisational values linked with the reward and selection systems, we analysed documents of organisations participants were affiliated with to identify relevant evidence. Figure 1 synthesises manifestations of imposing positivity in interactions and discourse into the Channels, Types, &amp; Messages category. </w:t>
      </w:r>
    </w:p>
    <w:p w14:paraId="14736B72" w14:textId="2FB4B480" w:rsidR="00C86B09" w:rsidRPr="00C71B3B" w:rsidRDefault="00C86B09" w:rsidP="00195D08">
      <w:pPr>
        <w:rPr>
          <w:rFonts w:asciiTheme="majorHAnsi" w:hAnsiTheme="majorHAnsi" w:cstheme="majorHAnsi"/>
          <w:color w:val="auto"/>
          <w:shd w:val="clear" w:color="auto" w:fill="FFFFFF"/>
        </w:rPr>
      </w:pPr>
      <w:r w:rsidRPr="00C71B3B">
        <w:rPr>
          <w:rFonts w:asciiTheme="majorHAnsi" w:hAnsiTheme="majorHAnsi" w:cstheme="majorHAnsi"/>
          <w:color w:val="auto"/>
        </w:rPr>
        <w:t xml:space="preserve">In the organisational discourse, imposing positivity mostly took overt and deliberate forms in explicitly and intentionally communicating expectations of positivity displays.  Documents stressed the necessity to demonstrate enthusiasm, energy, passion, confidence, and positive approach and contained calls for creating a positive work environment, acting positively, energising people, generating an attitude of enthusiasm, communicating with enthusiasm, or </w:t>
      </w:r>
      <w:r w:rsidRPr="00C71B3B">
        <w:rPr>
          <w:rFonts w:asciiTheme="majorHAnsi" w:hAnsiTheme="majorHAnsi" w:cstheme="majorHAnsi"/>
          <w:color w:val="auto"/>
        </w:rPr>
        <w:lastRenderedPageBreak/>
        <w:t>driving positivity. The emphasis on displaying enthusiasm and confidence as must-have qualities of role model employees was particularly strong.</w:t>
      </w:r>
      <w:r w:rsidRPr="00C71B3B">
        <w:rPr>
          <w:rFonts w:asciiTheme="majorHAnsi" w:hAnsiTheme="majorHAnsi" w:cstheme="majorHAnsi"/>
          <w:b/>
          <w:bCs/>
          <w:color w:val="auto"/>
        </w:rPr>
        <w:t xml:space="preserve"> </w:t>
      </w:r>
      <w:r w:rsidRPr="00C71B3B">
        <w:rPr>
          <w:rFonts w:asciiTheme="majorHAnsi" w:hAnsiTheme="majorHAnsi" w:cstheme="majorHAnsi"/>
          <w:color w:val="auto"/>
        </w:rPr>
        <w:t>For example, a group Human Resources Director named enthusiastic employees as the stewards of the company that prioritise company performance. In an internal magazine interview, an employee recommended those looking to pursue a career with the company to put enthusiasm into their role, noting</w:t>
      </w:r>
      <w:r w:rsidR="00DF7454" w:rsidRPr="00C71B3B">
        <w:rPr>
          <w:rFonts w:asciiTheme="majorHAnsi" w:hAnsiTheme="majorHAnsi" w:cstheme="majorHAnsi"/>
          <w:color w:val="auto"/>
        </w:rPr>
        <w:t xml:space="preserve"> </w:t>
      </w:r>
      <w:r w:rsidR="00EA7662" w:rsidRPr="00C71B3B">
        <w:rPr>
          <w:rFonts w:asciiTheme="majorHAnsi" w:hAnsiTheme="majorHAnsi" w:cstheme="majorHAnsi"/>
          <w:color w:val="auto"/>
        </w:rPr>
        <w:t xml:space="preserve">that they are known for their enthusiasm and bring it to </w:t>
      </w:r>
      <w:r w:rsidR="00195D08" w:rsidRPr="00C71B3B">
        <w:rPr>
          <w:rFonts w:asciiTheme="majorHAnsi" w:hAnsiTheme="majorHAnsi" w:cstheme="majorHAnsi"/>
          <w:color w:val="auto"/>
        </w:rPr>
        <w:t xml:space="preserve">their life career. </w:t>
      </w:r>
      <w:r w:rsidR="00EA7662" w:rsidRPr="00C71B3B">
        <w:rPr>
          <w:rFonts w:asciiTheme="majorHAnsi" w:hAnsiTheme="majorHAnsi" w:cstheme="majorHAnsi"/>
          <w:color w:val="auto"/>
        </w:rPr>
        <w:t xml:space="preserve"> </w:t>
      </w:r>
      <w:r w:rsidRPr="00C71B3B">
        <w:rPr>
          <w:rFonts w:asciiTheme="majorHAnsi" w:hAnsiTheme="majorHAnsi" w:cstheme="majorHAnsi"/>
          <w:color w:val="auto"/>
          <w:shd w:val="clear" w:color="auto" w:fill="F2F2F2"/>
        </w:rPr>
        <w:t xml:space="preserve"> </w:t>
      </w:r>
    </w:p>
    <w:p w14:paraId="7DF4DD77" w14:textId="77777777" w:rsidR="00C86B09" w:rsidRPr="00C71B3B" w:rsidRDefault="00C86B09" w:rsidP="005125FC">
      <w:pPr>
        <w:rPr>
          <w:rFonts w:asciiTheme="majorHAnsi" w:hAnsiTheme="majorHAnsi" w:cstheme="majorHAnsi"/>
          <w:color w:val="auto"/>
        </w:rPr>
      </w:pPr>
      <w:r w:rsidRPr="00C71B3B">
        <w:rPr>
          <w:rFonts w:asciiTheme="majorHAnsi" w:hAnsiTheme="majorHAnsi" w:cstheme="majorHAnsi"/>
          <w:color w:val="auto"/>
          <w:shd w:val="clear" w:color="auto" w:fill="FFFFFF"/>
        </w:rPr>
        <w:t xml:space="preserve">This mirrored in job and career development programmes (e.g., women’s careers, undergraduate work placements) listing enthusiasm and passion as preferred qualities and requirements. In leadership frameworks and recruitment tools, as one moved up the hierarchy, there was a progressively greater emphasis on the need to energise, demonstrate relentless drive and determination, and generate an enthusiastic attitude. </w:t>
      </w:r>
      <w:r w:rsidRPr="00C71B3B">
        <w:rPr>
          <w:rFonts w:asciiTheme="majorHAnsi" w:hAnsiTheme="majorHAnsi" w:cstheme="majorHAnsi"/>
          <w:color w:val="auto"/>
        </w:rPr>
        <w:t xml:space="preserve">Required competencies included showing pride, passion, confidence, driving positivity within the team, interacting with enthusiasm, and encouraging others to do the same. Similarly, corporate social media accounts contained images of smiling and happy employees </w:t>
      </w:r>
      <w:r w:rsidRPr="00C71B3B">
        <w:rPr>
          <w:rFonts w:asciiTheme="majorHAnsi" w:hAnsiTheme="majorHAnsi" w:cstheme="majorHAnsi"/>
          <w:color w:val="auto"/>
          <w:shd w:val="clear" w:color="auto" w:fill="FFFFFF"/>
        </w:rPr>
        <w:t xml:space="preserve">with hashtags including </w:t>
      </w:r>
      <w:hyperlink r:id="rId12" w:history="1">
        <w:r w:rsidRPr="00C71B3B">
          <w:rPr>
            <w:rStyle w:val="Hyperlink"/>
            <w:rFonts w:asciiTheme="majorHAnsi" w:hAnsiTheme="majorHAnsi" w:cstheme="majorHAnsi"/>
            <w:color w:val="auto"/>
            <w:bdr w:val="none" w:sz="0" w:space="0" w:color="auto" w:frame="1"/>
            <w:shd w:val="clear" w:color="auto" w:fill="FFFFFF"/>
          </w:rPr>
          <w:t>#spreadpositivity</w:t>
        </w:r>
      </w:hyperlink>
      <w:r w:rsidRPr="00C71B3B">
        <w:rPr>
          <w:rStyle w:val="Hyperlink"/>
          <w:rFonts w:asciiTheme="majorHAnsi" w:hAnsiTheme="majorHAnsi" w:cstheme="majorHAnsi"/>
          <w:color w:val="auto"/>
          <w:bdr w:val="none" w:sz="0" w:space="0" w:color="auto" w:frame="1"/>
          <w:shd w:val="clear" w:color="auto" w:fill="FFFFFF"/>
        </w:rPr>
        <w:t xml:space="preserve">, </w:t>
      </w:r>
      <w:r w:rsidRPr="00C71B3B">
        <w:rPr>
          <w:rFonts w:asciiTheme="majorHAnsi" w:hAnsiTheme="majorHAnsi" w:cstheme="majorHAnsi"/>
          <w:color w:val="auto"/>
          <w:shd w:val="clear" w:color="auto" w:fill="FFFFFF"/>
        </w:rPr>
        <w:t xml:space="preserve">“Wowzers!” and “awesome” expressions, and people in photos </w:t>
      </w:r>
      <w:r w:rsidRPr="00C71B3B">
        <w:rPr>
          <w:rFonts w:asciiTheme="majorHAnsi" w:hAnsiTheme="majorHAnsi" w:cstheme="majorHAnsi"/>
          <w:color w:val="auto"/>
          <w:bdr w:val="none" w:sz="0" w:space="0" w:color="auto" w:frame="1"/>
        </w:rPr>
        <w:t>encouraging viewers to demonstrate positive emotions</w:t>
      </w:r>
      <w:r w:rsidRPr="00C71B3B">
        <w:rPr>
          <w:rFonts w:asciiTheme="majorHAnsi" w:hAnsiTheme="majorHAnsi" w:cstheme="majorHAnsi"/>
          <w:color w:val="auto"/>
        </w:rPr>
        <w:t xml:space="preserve">. </w:t>
      </w:r>
      <w:r w:rsidRPr="00C71B3B">
        <w:rPr>
          <w:rFonts w:asciiTheme="majorHAnsi" w:hAnsiTheme="majorHAnsi" w:cstheme="majorHAnsi"/>
          <w:color w:val="auto"/>
          <w:bdr w:val="none" w:sz="0" w:space="0" w:color="auto" w:frame="1"/>
        </w:rPr>
        <w:t>Interviews with senior leadership in internal magazines had showy titles, such as “Mr. Resilient</w:t>
      </w:r>
      <w:r w:rsidRPr="00C71B3B">
        <w:rPr>
          <w:rFonts w:asciiTheme="majorHAnsi" w:hAnsiTheme="majorHAnsi" w:cstheme="majorHAnsi"/>
          <w:color w:val="auto"/>
          <w:shd w:val="clear" w:color="auto" w:fill="FFFFFF"/>
        </w:rPr>
        <w:t xml:space="preserve"> Takes the lead”, “A winning way”, “Operations thrive as efficiency improves”, </w:t>
      </w:r>
      <w:r w:rsidRPr="00C71B3B">
        <w:rPr>
          <w:rFonts w:asciiTheme="majorHAnsi" w:hAnsiTheme="majorHAnsi" w:cstheme="majorHAnsi"/>
          <w:color w:val="auto"/>
        </w:rPr>
        <w:t xml:space="preserve">or “Excitement and pride surround X [field name] development”. </w:t>
      </w:r>
    </w:p>
    <w:p w14:paraId="18C9751B" w14:textId="673428AB" w:rsidR="00C86B09" w:rsidRPr="00C71B3B" w:rsidRDefault="00C86B09" w:rsidP="00FD5722">
      <w:pPr>
        <w:ind w:firstLine="0"/>
        <w:rPr>
          <w:rFonts w:asciiTheme="majorHAnsi" w:hAnsiTheme="majorHAnsi" w:cstheme="majorHAnsi"/>
          <w:color w:val="auto"/>
        </w:rPr>
      </w:pPr>
      <w:r w:rsidRPr="00C71B3B">
        <w:rPr>
          <w:rFonts w:asciiTheme="majorHAnsi" w:hAnsiTheme="majorHAnsi" w:cstheme="majorHAnsi"/>
          <w:color w:val="auto"/>
        </w:rPr>
        <w:tab/>
        <w:t>In addition,</w:t>
      </w:r>
      <w:r w:rsidR="006014CC" w:rsidRPr="00C71B3B">
        <w:rPr>
          <w:rFonts w:asciiTheme="majorHAnsi" w:hAnsiTheme="majorHAnsi" w:cstheme="majorHAnsi"/>
          <w:color w:val="auto"/>
        </w:rPr>
        <w:t xml:space="preserve"> </w:t>
      </w:r>
      <w:r w:rsidR="00620FF4" w:rsidRPr="00C71B3B">
        <w:rPr>
          <w:rFonts w:asciiTheme="majorHAnsi" w:hAnsiTheme="majorHAnsi" w:cstheme="majorHAnsi"/>
          <w:color w:val="auto"/>
        </w:rPr>
        <w:t xml:space="preserve">the </w:t>
      </w:r>
      <w:r w:rsidR="006014CC" w:rsidRPr="00C71B3B">
        <w:rPr>
          <w:rFonts w:asciiTheme="majorHAnsi" w:hAnsiTheme="majorHAnsi" w:cstheme="majorHAnsi"/>
          <w:color w:val="auto"/>
        </w:rPr>
        <w:t xml:space="preserve">organisational discourse </w:t>
      </w:r>
      <w:r w:rsidR="00114159" w:rsidRPr="00C71B3B">
        <w:rPr>
          <w:rFonts w:asciiTheme="majorHAnsi" w:hAnsiTheme="majorHAnsi" w:cstheme="majorHAnsi"/>
          <w:color w:val="auto"/>
        </w:rPr>
        <w:t>bunched up positivity with organisational behaviours and values, which, in turn, were explicitly linked with</w:t>
      </w:r>
      <w:r w:rsidR="00620FF4" w:rsidRPr="00C71B3B">
        <w:rPr>
          <w:rFonts w:asciiTheme="majorHAnsi" w:hAnsiTheme="majorHAnsi" w:cstheme="majorHAnsi"/>
          <w:color w:val="auto"/>
        </w:rPr>
        <w:t xml:space="preserve"> recruitment and</w:t>
      </w:r>
      <w:r w:rsidR="00114159" w:rsidRPr="00C71B3B">
        <w:rPr>
          <w:rFonts w:asciiTheme="majorHAnsi" w:hAnsiTheme="majorHAnsi" w:cstheme="majorHAnsi"/>
          <w:color w:val="auto"/>
        </w:rPr>
        <w:t xml:space="preserve"> reward</w:t>
      </w:r>
      <w:r w:rsidR="00620FF4" w:rsidRPr="00C71B3B">
        <w:rPr>
          <w:rFonts w:asciiTheme="majorHAnsi" w:hAnsiTheme="majorHAnsi" w:cstheme="majorHAnsi"/>
          <w:color w:val="auto"/>
        </w:rPr>
        <w:t xml:space="preserve"> processes. </w:t>
      </w:r>
      <w:r w:rsidR="00114159" w:rsidRPr="00C71B3B">
        <w:rPr>
          <w:rFonts w:asciiTheme="majorHAnsi" w:hAnsiTheme="majorHAnsi" w:cstheme="majorHAnsi"/>
          <w:color w:val="auto"/>
        </w:rPr>
        <w:t xml:space="preserve"> </w:t>
      </w:r>
      <w:r w:rsidR="00620FF4" w:rsidRPr="00C71B3B">
        <w:rPr>
          <w:rFonts w:asciiTheme="majorHAnsi" w:hAnsiTheme="majorHAnsi" w:cstheme="majorHAnsi"/>
          <w:color w:val="auto"/>
        </w:rPr>
        <w:t>This echoed interview data suggesting that organisations link demonstrations of positivity with selection and rewards. Eventually, employees associated displays of positivity with reward, coupling, for example, enthusiasm with promotion.</w:t>
      </w:r>
      <w:r w:rsidR="00FD5722" w:rsidRPr="00C71B3B">
        <w:rPr>
          <w:rFonts w:asciiTheme="majorHAnsi" w:hAnsiTheme="majorHAnsi" w:cstheme="majorHAnsi"/>
          <w:color w:val="auto"/>
        </w:rPr>
        <w:t xml:space="preserve"> </w:t>
      </w:r>
      <w:r w:rsidRPr="00C71B3B">
        <w:rPr>
          <w:rFonts w:asciiTheme="majorHAnsi" w:hAnsiTheme="majorHAnsi" w:cstheme="majorHAnsi"/>
          <w:color w:val="auto"/>
        </w:rPr>
        <w:t xml:space="preserve">The emphasis on positivity in </w:t>
      </w:r>
      <w:r w:rsidRPr="00C71B3B">
        <w:rPr>
          <w:rFonts w:asciiTheme="majorHAnsi" w:hAnsiTheme="majorHAnsi" w:cstheme="majorHAnsi"/>
          <w:color w:val="auto"/>
        </w:rPr>
        <w:lastRenderedPageBreak/>
        <w:t>the organisational discourse may explain related expectations in workplace</w:t>
      </w:r>
      <w:r w:rsidRPr="00C71B3B">
        <w:rPr>
          <w:rFonts w:asciiTheme="majorHAnsi" w:hAnsiTheme="majorHAnsi" w:cstheme="majorHAnsi"/>
          <w:b/>
          <w:bCs/>
          <w:color w:val="auto"/>
        </w:rPr>
        <w:t xml:space="preserve"> </w:t>
      </w:r>
      <w:r w:rsidRPr="00C71B3B">
        <w:rPr>
          <w:rFonts w:asciiTheme="majorHAnsi" w:hAnsiTheme="majorHAnsi" w:cstheme="majorHAnsi"/>
          <w:color w:val="auto"/>
        </w:rPr>
        <w:t xml:space="preserve">interactions. Interview data pointed to managerial beliefs that their workplace conduct must be adherent to organisational norms, as evident in Olivia’s quote, where she reflects on how positivity features in her organisation: </w:t>
      </w:r>
    </w:p>
    <w:p w14:paraId="039E4682" w14:textId="77777777" w:rsidR="00C86B09" w:rsidRPr="00C71B3B" w:rsidRDefault="00C86B09" w:rsidP="005125FC">
      <w:pPr>
        <w:ind w:left="720" w:firstLine="0"/>
        <w:rPr>
          <w:rFonts w:asciiTheme="majorHAnsi" w:hAnsiTheme="majorHAnsi" w:cstheme="majorHAnsi"/>
          <w:color w:val="auto"/>
        </w:rPr>
      </w:pPr>
      <w:r w:rsidRPr="00C71B3B">
        <w:rPr>
          <w:rFonts w:asciiTheme="majorHAnsi" w:hAnsiTheme="majorHAnsi" w:cstheme="majorHAnsi"/>
          <w:i/>
          <w:iCs/>
          <w:color w:val="auto"/>
        </w:rPr>
        <w:t>So in my organisation, there is this way that management should conduct themselves. So there are certain values and certain behaviours that we are supposed to be demonstrating. And sometimes you can see that their actions and behaviours are done just for the sake of saying that we’re positive about things</w:t>
      </w:r>
      <w:r w:rsidRPr="00C71B3B">
        <w:rPr>
          <w:rFonts w:asciiTheme="majorHAnsi" w:hAnsiTheme="majorHAnsi" w:cstheme="majorHAnsi"/>
          <w:color w:val="auto"/>
        </w:rPr>
        <w:t>.</w:t>
      </w:r>
    </w:p>
    <w:p w14:paraId="21D8C5D3" w14:textId="4F6F17E6" w:rsidR="00C86B09" w:rsidRPr="00C71B3B" w:rsidRDefault="00C86B09" w:rsidP="00736823">
      <w:pPr>
        <w:ind w:firstLine="0"/>
        <w:rPr>
          <w:rFonts w:asciiTheme="majorHAnsi" w:hAnsiTheme="majorHAnsi" w:cstheme="majorHAnsi"/>
          <w:color w:val="auto"/>
        </w:rPr>
      </w:pPr>
      <w:r w:rsidRPr="00C71B3B">
        <w:rPr>
          <w:rFonts w:asciiTheme="majorHAnsi" w:hAnsiTheme="majorHAnsi" w:cstheme="majorHAnsi"/>
          <w:color w:val="auto"/>
        </w:rPr>
        <w:t>Subjected to the top-down imposition of positivity through the organisational discourse, managers subsequently expected displays of positivity from subordinates, which manifested in overt, covert, unintentional, and deliberate forms.</w:t>
      </w:r>
      <w:r w:rsidRPr="00C71B3B">
        <w:rPr>
          <w:rFonts w:asciiTheme="majorHAnsi" w:hAnsiTheme="majorHAnsi" w:cstheme="majorHAnsi"/>
          <w:b/>
          <w:bCs/>
          <w:color w:val="auto"/>
        </w:rPr>
        <w:t xml:space="preserve"> </w:t>
      </w:r>
      <w:r w:rsidRPr="00C71B3B">
        <w:rPr>
          <w:rFonts w:asciiTheme="majorHAnsi" w:hAnsiTheme="majorHAnsi" w:cstheme="majorHAnsi"/>
          <w:color w:val="auto"/>
        </w:rPr>
        <w:t>As</w:t>
      </w:r>
      <w:r w:rsidRPr="00C71B3B">
        <w:rPr>
          <w:rFonts w:asciiTheme="majorHAnsi" w:hAnsiTheme="majorHAnsi" w:cstheme="majorHAnsi"/>
          <w:b/>
          <w:bCs/>
          <w:color w:val="auto"/>
        </w:rPr>
        <w:t xml:space="preserve"> </w:t>
      </w:r>
      <w:r w:rsidRPr="00C71B3B">
        <w:rPr>
          <w:rFonts w:asciiTheme="majorHAnsi" w:hAnsiTheme="majorHAnsi" w:cstheme="majorHAnsi"/>
          <w:color w:val="auto"/>
        </w:rPr>
        <w:t>Neil acknowledged, he requested employees to blend in and leave “negativity” behind the workplace, which was an instance of an overt and deliberate imposition in an offshore setting</w:t>
      </w:r>
      <w:r w:rsidR="00736823" w:rsidRPr="00C71B3B">
        <w:rPr>
          <w:rFonts w:asciiTheme="majorHAnsi" w:hAnsiTheme="majorHAnsi" w:cstheme="majorHAnsi"/>
          <w:color w:val="auto"/>
        </w:rPr>
        <w:t xml:space="preserve">. </w:t>
      </w:r>
      <w:r w:rsidRPr="00C71B3B">
        <w:rPr>
          <w:rFonts w:asciiTheme="majorHAnsi" w:hAnsiTheme="majorHAnsi" w:cstheme="majorHAnsi"/>
          <w:color w:val="auto"/>
        </w:rPr>
        <w:t xml:space="preserve">A particular instance of deliberate covert positivity imposition in the manager-employee interaction involved getting employees to work towards organisational objectives, which participants viewed as an attempt to distract from issues and manipulation. Emma used an example when tasks are presented as a good opportunity under the cover of positivity, which she perceived as imposition: </w:t>
      </w:r>
    </w:p>
    <w:p w14:paraId="1429EC46" w14:textId="77777777" w:rsidR="00C86B09" w:rsidRPr="00C71B3B" w:rsidRDefault="00C86B09" w:rsidP="005125FC">
      <w:pPr>
        <w:ind w:left="720" w:firstLine="0"/>
        <w:rPr>
          <w:rFonts w:asciiTheme="majorHAnsi" w:hAnsiTheme="majorHAnsi" w:cstheme="majorHAnsi"/>
          <w:i/>
          <w:iCs/>
          <w:color w:val="auto"/>
        </w:rPr>
      </w:pPr>
      <w:r w:rsidRPr="00C71B3B">
        <w:rPr>
          <w:rFonts w:asciiTheme="majorHAnsi" w:hAnsiTheme="majorHAnsi" w:cstheme="majorHAnsi"/>
          <w:i/>
          <w:iCs/>
          <w:color w:val="auto"/>
        </w:rPr>
        <w:t xml:space="preserve">that happens a lot in organisations when somebody wants to give you a piece of work that they probably know you’re not going to really want to do that much, but they spin it as a good opportunity for you and I think they almost force positive thinking on you…so I personally feel like positive thinking can be a bit forced in an organisation. </w:t>
      </w:r>
    </w:p>
    <w:p w14:paraId="3F94B572" w14:textId="77777777" w:rsidR="00C86B09" w:rsidRPr="00C71B3B" w:rsidRDefault="00C86B09" w:rsidP="005125FC">
      <w:pPr>
        <w:ind w:firstLine="0"/>
        <w:rPr>
          <w:rFonts w:asciiTheme="majorHAnsi" w:hAnsiTheme="majorHAnsi" w:cstheme="majorHAnsi"/>
          <w:color w:val="auto"/>
        </w:rPr>
      </w:pPr>
      <w:r w:rsidRPr="00C71B3B">
        <w:rPr>
          <w:rFonts w:asciiTheme="majorHAnsi" w:hAnsiTheme="majorHAnsi" w:cstheme="majorHAnsi"/>
          <w:color w:val="auto"/>
        </w:rPr>
        <w:t xml:space="preserve">Participants stressed they discerned manipulation, even if they consented to undertake a task wrapped in positivity. </w:t>
      </w:r>
    </w:p>
    <w:p w14:paraId="4701ABFB" w14:textId="06A9E094" w:rsidR="00C86B09" w:rsidRPr="00C71B3B" w:rsidRDefault="00C86B09" w:rsidP="005125FC">
      <w:pPr>
        <w:rPr>
          <w:rFonts w:asciiTheme="majorHAnsi" w:hAnsiTheme="majorHAnsi" w:cstheme="majorHAnsi"/>
          <w:color w:val="auto"/>
        </w:rPr>
      </w:pPr>
      <w:r w:rsidRPr="00C71B3B">
        <w:rPr>
          <w:rFonts w:asciiTheme="majorHAnsi" w:hAnsiTheme="majorHAnsi" w:cstheme="majorHAnsi"/>
          <w:color w:val="auto"/>
        </w:rPr>
        <w:lastRenderedPageBreak/>
        <w:t xml:space="preserve">Covert deliberate imposition of positivity also manifested in the management distinguishing and favouring so-called positive employees and encouraging them in various ways including public praising and awarding with certificates and prizes in staff meetings, or greeting them in an over-animated, excessively hearty manner. Participants interpreted such manifestations as projecting an example to be followed by the rest. Unintentional imposing referred to encouraging one to demonstrate positivity without the intent to enforce it but also without much sensitivity to employee reactions and clarity of communication as to what it implies. Examples included casual encouragement to think/be positive thrown away without appreciation of potential adverse effects. Participants suggested that such sentences and expressions must have entered the vernacular and are used without much consideration given to their meaning and impact. </w:t>
      </w:r>
    </w:p>
    <w:p w14:paraId="0D6F66BC" w14:textId="3636DF72" w:rsidR="00C86B09" w:rsidRPr="00C71B3B" w:rsidRDefault="00C86B09" w:rsidP="00CC0959">
      <w:pPr>
        <w:rPr>
          <w:rFonts w:asciiTheme="majorHAnsi" w:hAnsiTheme="majorHAnsi" w:cstheme="majorHAnsi"/>
          <w:color w:val="auto"/>
        </w:rPr>
      </w:pPr>
      <w:r w:rsidRPr="00C71B3B">
        <w:rPr>
          <w:rFonts w:asciiTheme="majorHAnsi" w:hAnsiTheme="majorHAnsi" w:cstheme="majorHAnsi"/>
          <w:color w:val="auto"/>
        </w:rPr>
        <w:t xml:space="preserve">Although both employees and managers experienced pressure for positivity, managers did not recognise they put the pressure on subordinates. For example, Yash, a senior manager, who suggested adding positivity-oriented questions to selection interviews, did not see imposition in the vignette scenario about </w:t>
      </w:r>
      <w:r w:rsidR="00E761C7" w:rsidRPr="00C71B3B">
        <w:rPr>
          <w:rFonts w:asciiTheme="majorHAnsi" w:hAnsiTheme="majorHAnsi" w:cstheme="majorHAnsi"/>
          <w:color w:val="auto"/>
        </w:rPr>
        <w:t xml:space="preserve">a </w:t>
      </w:r>
      <w:r w:rsidRPr="00C71B3B">
        <w:rPr>
          <w:rFonts w:asciiTheme="majorHAnsi" w:hAnsiTheme="majorHAnsi" w:cstheme="majorHAnsi"/>
          <w:color w:val="auto"/>
        </w:rPr>
        <w:t xml:space="preserve">project engineer’s concerns over project planning and suggested that the manager might have had reasons to encourage the employee to discard the concerns and think positive. Yet, he related to the situation, recalling that he had encountered a similar experience at the onset of his tenure with the organisation, stressed the need for the manager to articulate his reasoning with greater clarity, and affirmed that </w:t>
      </w:r>
      <w:r w:rsidR="00A7197C" w:rsidRPr="00C71B3B">
        <w:rPr>
          <w:rFonts w:asciiTheme="majorHAnsi" w:hAnsiTheme="majorHAnsi" w:cstheme="majorHAnsi"/>
          <w:color w:val="auto"/>
        </w:rPr>
        <w:t xml:space="preserve">the </w:t>
      </w:r>
      <w:r w:rsidR="002D73BC" w:rsidRPr="00C71B3B">
        <w:rPr>
          <w:rFonts w:asciiTheme="majorHAnsi" w:hAnsiTheme="majorHAnsi" w:cstheme="majorHAnsi"/>
          <w:color w:val="auto"/>
        </w:rPr>
        <w:t>employee</w:t>
      </w:r>
      <w:r w:rsidRPr="00C71B3B">
        <w:rPr>
          <w:rFonts w:asciiTheme="majorHAnsi" w:hAnsiTheme="majorHAnsi" w:cstheme="majorHAnsi"/>
          <w:color w:val="auto"/>
        </w:rPr>
        <w:t xml:space="preserve"> would have been right in seeking clarification</w:t>
      </w:r>
      <w:r w:rsidR="00867BC8" w:rsidRPr="00C71B3B">
        <w:rPr>
          <w:rFonts w:asciiTheme="majorHAnsi" w:hAnsiTheme="majorHAnsi" w:cstheme="majorHAnsi"/>
          <w:color w:val="auto"/>
        </w:rPr>
        <w:t xml:space="preserve">. </w:t>
      </w:r>
      <w:r w:rsidRPr="00C71B3B">
        <w:rPr>
          <w:rFonts w:asciiTheme="majorHAnsi" w:hAnsiTheme="majorHAnsi" w:cstheme="majorHAnsi"/>
          <w:color w:val="auto"/>
        </w:rPr>
        <w:t xml:space="preserve">The difference in the managerial and employee perspectives on imposing positivity could potentially account for </w:t>
      </w:r>
      <w:r w:rsidRPr="00C71B3B">
        <w:rPr>
          <w:rFonts w:asciiTheme="majorHAnsi" w:eastAsiaTheme="minorHAnsi" w:hAnsiTheme="majorHAnsi" w:cstheme="majorHAnsi"/>
          <w:color w:val="auto"/>
          <w:lang w:eastAsia="en-US"/>
        </w:rPr>
        <w:t xml:space="preserve">the tension including its affective, </w:t>
      </w:r>
      <w:r w:rsidRPr="00C71B3B">
        <w:rPr>
          <w:rFonts w:asciiTheme="majorHAnsi" w:hAnsiTheme="majorHAnsi" w:cstheme="majorHAnsi"/>
          <w:color w:val="auto"/>
        </w:rPr>
        <w:t xml:space="preserve">cognitive, and behavioural consequences, reflected in the aggregated dimension of reactions in Figure 1 and discussed next. </w:t>
      </w:r>
    </w:p>
    <w:p w14:paraId="05C4F784" w14:textId="77777777" w:rsidR="00C86B09" w:rsidRPr="00C71B3B" w:rsidRDefault="00C86B09" w:rsidP="005125FC">
      <w:pPr>
        <w:ind w:firstLine="0"/>
        <w:rPr>
          <w:rFonts w:asciiTheme="majorHAnsi" w:hAnsiTheme="majorHAnsi" w:cstheme="majorHAnsi"/>
          <w:b/>
          <w:bCs/>
          <w:color w:val="auto"/>
        </w:rPr>
      </w:pPr>
      <w:r w:rsidRPr="00C71B3B">
        <w:rPr>
          <w:rFonts w:asciiTheme="majorHAnsi" w:hAnsiTheme="majorHAnsi" w:cstheme="majorHAnsi"/>
          <w:b/>
          <w:bCs/>
          <w:color w:val="auto"/>
        </w:rPr>
        <w:lastRenderedPageBreak/>
        <w:t xml:space="preserve">Consequences of imposing positivity </w:t>
      </w:r>
    </w:p>
    <w:p w14:paraId="3DFD8995" w14:textId="77777777" w:rsidR="00BA42AA" w:rsidRPr="00C71B3B" w:rsidRDefault="00C86B09" w:rsidP="00BA42AA">
      <w:pPr>
        <w:rPr>
          <w:rFonts w:asciiTheme="majorHAnsi" w:hAnsiTheme="majorHAnsi" w:cstheme="majorHAnsi"/>
          <w:color w:val="auto"/>
        </w:rPr>
      </w:pPr>
      <w:r w:rsidRPr="00C71B3B">
        <w:rPr>
          <w:rFonts w:asciiTheme="majorHAnsi" w:hAnsiTheme="majorHAnsi" w:cstheme="majorHAnsi"/>
          <w:color w:val="auto"/>
        </w:rPr>
        <w:t xml:space="preserve">Regardless of the forms, imposing positivity was not received well and caused emotional distress including disappointment, resentment, annoyance, or guilt (Figure 2 and the Affect category in Figure 1). In a vignette discussion, </w:t>
      </w:r>
      <w:r w:rsidR="00FC1091" w:rsidRPr="00C71B3B">
        <w:rPr>
          <w:rFonts w:asciiTheme="majorHAnsi" w:hAnsiTheme="majorHAnsi" w:cstheme="majorHAnsi"/>
          <w:color w:val="auto"/>
          <w:shd w:val="clear" w:color="auto" w:fill="FFFFFF"/>
        </w:rPr>
        <w:t>Rose identified with the character's potential frustration against being forced to stay positive, expressing that such a mandate would annoy her and potentially provoke a strong reaction, especially since she perceives herself as a naturally positive person</w:t>
      </w:r>
      <w:r w:rsidR="00CA2535" w:rsidRPr="00C71B3B">
        <w:rPr>
          <w:rFonts w:asciiTheme="majorHAnsi" w:hAnsiTheme="majorHAnsi" w:cstheme="majorHAnsi"/>
          <w:color w:val="auto"/>
          <w:shd w:val="clear" w:color="auto" w:fill="FFFFFF"/>
        </w:rPr>
        <w:t xml:space="preserve">. </w:t>
      </w:r>
      <w:r w:rsidRPr="00C71B3B">
        <w:rPr>
          <w:rFonts w:asciiTheme="majorHAnsi" w:hAnsiTheme="majorHAnsi" w:cstheme="majorHAnsi"/>
          <w:color w:val="auto"/>
        </w:rPr>
        <w:t>The perceptions it created centred around counterproductive effects on workplace dynamics and lack of depth in approaches to positivity grouped into the 'Disabling Positivity' and 'Shallowness' categories (Figure 1) and presented as Negative perceptions in the conceptual model (Figure 2). Participants believed that imposing positivity lacked in effective communication, situational awareness, acceptance, and empathy, which they considered crucial for employee-manager or employee-organisation relationships and employee wellbeing. Reflecting on the scenario about an employee encouraged to think positive during a performance appraisal, Vail drew parallels with managers unreflectively adopting trendy management tools without considering their implications</w:t>
      </w:r>
      <w:r w:rsidR="00D918F1" w:rsidRPr="00C71B3B">
        <w:rPr>
          <w:rFonts w:asciiTheme="majorHAnsi" w:hAnsiTheme="majorHAnsi" w:cstheme="majorHAnsi"/>
          <w:color w:val="auto"/>
        </w:rPr>
        <w:t xml:space="preserve">. </w:t>
      </w:r>
    </w:p>
    <w:p w14:paraId="1C474B04" w14:textId="1AD0916E" w:rsidR="00C86B09" w:rsidRPr="00C71B3B" w:rsidRDefault="00C86B09" w:rsidP="00400C0E">
      <w:pPr>
        <w:rPr>
          <w:rFonts w:asciiTheme="majorHAnsi" w:hAnsiTheme="majorHAnsi" w:cstheme="majorHAnsi"/>
          <w:color w:val="auto"/>
        </w:rPr>
      </w:pPr>
      <w:r w:rsidRPr="00C71B3B">
        <w:rPr>
          <w:rFonts w:asciiTheme="majorHAnsi" w:hAnsiTheme="majorHAnsi" w:cstheme="majorHAnsi"/>
          <w:color w:val="auto"/>
        </w:rPr>
        <w:t>Participants viewed imposing positivity as judgemental and interpreted it as unwarranted criticism and personal attack. In a vignette discussion, Yvonne suggested that imposing positivity implies being negative and saw it as an undeserved tag attached to people</w:t>
      </w:r>
      <w:r w:rsidRPr="00C71B3B">
        <w:rPr>
          <w:rFonts w:asciiTheme="majorHAnsi" w:hAnsiTheme="majorHAnsi" w:cstheme="majorHAnsi"/>
          <w:i/>
          <w:iCs/>
          <w:color w:val="auto"/>
        </w:rPr>
        <w:t>.</w:t>
      </w:r>
      <w:r w:rsidR="008A6F2B" w:rsidRPr="00C71B3B">
        <w:rPr>
          <w:rFonts w:asciiTheme="majorHAnsi" w:hAnsiTheme="majorHAnsi" w:cstheme="majorHAnsi"/>
          <w:i/>
          <w:iCs/>
          <w:color w:val="auto"/>
        </w:rPr>
        <w:t xml:space="preserve"> </w:t>
      </w:r>
      <w:r w:rsidRPr="00C71B3B">
        <w:rPr>
          <w:rFonts w:asciiTheme="majorHAnsi" w:hAnsiTheme="majorHAnsi" w:cstheme="majorHAnsi"/>
          <w:color w:val="auto"/>
        </w:rPr>
        <w:t xml:space="preserve">Labelling went hand in hand with simplism of imposing in attempting to fix complex situations with a surface-level measure without addressing root causes and conveniently categorising individuals as “positive” and “negative”. Yet, no participant considered themselves negative. Apart from one participant who suggested that not being too positive may stem from one’s personality and does not require justification, most participants felt inclined to challenge such a view of themselves. </w:t>
      </w:r>
    </w:p>
    <w:p w14:paraId="1538B852" w14:textId="0CA3EF44" w:rsidR="00C86B09" w:rsidRPr="00C71B3B" w:rsidRDefault="00C86B09" w:rsidP="00400C0E">
      <w:pPr>
        <w:rPr>
          <w:rFonts w:asciiTheme="majorHAnsi" w:hAnsiTheme="majorHAnsi" w:cstheme="majorHAnsi"/>
          <w:color w:val="auto"/>
        </w:rPr>
      </w:pPr>
      <w:r w:rsidRPr="00C71B3B">
        <w:rPr>
          <w:rFonts w:asciiTheme="majorHAnsi" w:hAnsiTheme="majorHAnsi" w:cstheme="majorHAnsi"/>
          <w:color w:val="auto"/>
        </w:rPr>
        <w:lastRenderedPageBreak/>
        <w:t>Further, participants noted that imposing indicates lack of attention to employee concerns, making one question the value of expressing oneself and potentially decreasing trust in management. Reflecting on the discouraging effect of imposing positivity in a vignette discussion, Derek</w:t>
      </w:r>
      <w:r w:rsidR="0087234D" w:rsidRPr="00C71B3B">
        <w:rPr>
          <w:rFonts w:asciiTheme="majorHAnsi" w:hAnsiTheme="majorHAnsi" w:cstheme="majorHAnsi"/>
          <w:color w:val="auto"/>
        </w:rPr>
        <w:t xml:space="preserve"> expressed frustration with the enforced positivity, viewing it as dismissive and worrying it might deter future candidness due to fear of being ignored or undervalued.</w:t>
      </w:r>
      <w:r w:rsidR="00265793" w:rsidRPr="00C71B3B">
        <w:rPr>
          <w:rFonts w:asciiTheme="majorHAnsi" w:hAnsiTheme="majorHAnsi" w:cstheme="majorHAnsi"/>
          <w:color w:val="auto"/>
        </w:rPr>
        <w:t xml:space="preserve"> </w:t>
      </w:r>
      <w:r w:rsidRPr="00C71B3B">
        <w:rPr>
          <w:rFonts w:asciiTheme="majorHAnsi" w:hAnsiTheme="majorHAnsi" w:cstheme="majorHAnsi"/>
          <w:color w:val="auto"/>
        </w:rPr>
        <w:t>Participants also viewed the imposition as an expectation of an immediate and radical shift in the perspective and challenged the patronisation it aired, contrasting it with the clarity of steering the person towards positivity with specific feedback and concrete examples, as Majid noted in a vignette discussion:</w:t>
      </w:r>
    </w:p>
    <w:p w14:paraId="3C03E54D" w14:textId="77777777" w:rsidR="00C86B09" w:rsidRPr="00C71B3B" w:rsidRDefault="00C86B09" w:rsidP="005125FC">
      <w:pPr>
        <w:ind w:left="720" w:firstLine="0"/>
        <w:rPr>
          <w:rFonts w:asciiTheme="majorHAnsi" w:hAnsiTheme="majorHAnsi" w:cstheme="majorHAnsi"/>
          <w:i/>
          <w:iCs/>
          <w:color w:val="auto"/>
        </w:rPr>
      </w:pPr>
      <w:r w:rsidRPr="00C71B3B">
        <w:rPr>
          <w:rFonts w:asciiTheme="majorHAnsi" w:hAnsiTheme="majorHAnsi" w:cstheme="majorHAnsi"/>
          <w:color w:val="auto"/>
        </w:rPr>
        <w:t>[positivity]</w:t>
      </w:r>
      <w:r w:rsidRPr="00C71B3B">
        <w:rPr>
          <w:rFonts w:asciiTheme="majorHAnsi" w:hAnsiTheme="majorHAnsi" w:cstheme="majorHAnsi"/>
          <w:i/>
          <w:iCs/>
          <w:color w:val="auto"/>
        </w:rPr>
        <w:t xml:space="preserve"> needs to be guided… the manager should have said ‘Be positive, but here’s some guidance on how you might want to’… you need to be quite specific in which areas to be positive and how to be positive as well…because he doesn’t really tell how, Alex might think ‘Okay, being positive might be just smiling more or agreeing more’… it is not really that helpful. I’d definitely give an example of that from his work.</w:t>
      </w:r>
    </w:p>
    <w:p w14:paraId="69E2B7DD" w14:textId="77777777" w:rsidR="00C86B09" w:rsidRPr="00C71B3B" w:rsidRDefault="00C86B09" w:rsidP="005125FC">
      <w:pPr>
        <w:ind w:firstLine="0"/>
        <w:rPr>
          <w:rFonts w:asciiTheme="majorHAnsi" w:hAnsiTheme="majorHAnsi" w:cstheme="majorHAnsi"/>
          <w:color w:val="auto"/>
        </w:rPr>
      </w:pPr>
      <w:r w:rsidRPr="00C71B3B">
        <w:rPr>
          <w:rFonts w:asciiTheme="majorHAnsi" w:hAnsiTheme="majorHAnsi" w:cstheme="majorHAnsi"/>
          <w:color w:val="auto"/>
        </w:rPr>
        <w:t xml:space="preserve">They pointed to a danger of backfiring when the imposing person fails to recognise that not everyone can consistently demonstrate positivity due to their circumstances, wellbeing, or mental health. Thus, efforts to promote positivity hindered workplace functioning and revealed a superficial approach. </w:t>
      </w:r>
    </w:p>
    <w:p w14:paraId="39B49165" w14:textId="77777777" w:rsidR="00C86B09" w:rsidRPr="00C71B3B" w:rsidRDefault="00C86B09" w:rsidP="005125FC">
      <w:pPr>
        <w:rPr>
          <w:rFonts w:asciiTheme="majorHAnsi" w:hAnsiTheme="majorHAnsi" w:cstheme="majorHAnsi"/>
          <w:color w:val="auto"/>
        </w:rPr>
      </w:pPr>
      <w:r w:rsidRPr="00C71B3B">
        <w:rPr>
          <w:rFonts w:asciiTheme="majorHAnsi" w:hAnsiTheme="majorHAnsi" w:cstheme="majorHAnsi"/>
          <w:color w:val="auto"/>
        </w:rPr>
        <w:t>The negative emotional and cognitive reactions (Figure 1), potentially contributing to the perceived obligation to exhibit positivity may explain why participants did not internalise imposed positivity and resisted either by openly challenging or faking (Figure 2). Those who were aware of their expertise and value to the organisation felt most confident to withstand. Vail believed the increasing belief in his capability to perform the job (conceptualised as job self-</w:t>
      </w:r>
      <w:r w:rsidRPr="00C71B3B">
        <w:rPr>
          <w:rFonts w:asciiTheme="majorHAnsi" w:hAnsiTheme="majorHAnsi" w:cstheme="majorHAnsi"/>
          <w:color w:val="auto"/>
        </w:rPr>
        <w:lastRenderedPageBreak/>
        <w:t>efficacy in Figure 2) impacts dynamics in the employee-organisation relationship, where the more confident the employee, the more immune to such pressure they become. Specifically, Vail stressed the shift in his response to organisational expectations:</w:t>
      </w:r>
    </w:p>
    <w:p w14:paraId="08730D26" w14:textId="1EB9F979" w:rsidR="00C86B09" w:rsidRPr="00C71B3B" w:rsidRDefault="00C86B09" w:rsidP="005125FC">
      <w:pPr>
        <w:ind w:left="720" w:firstLine="0"/>
        <w:rPr>
          <w:rFonts w:asciiTheme="majorHAnsi" w:hAnsiTheme="majorHAnsi" w:cstheme="majorHAnsi"/>
          <w:i/>
          <w:iCs/>
          <w:color w:val="auto"/>
        </w:rPr>
      </w:pPr>
      <w:r w:rsidRPr="00C71B3B">
        <w:rPr>
          <w:rFonts w:asciiTheme="majorHAnsi" w:hAnsiTheme="majorHAnsi" w:cstheme="majorHAnsi"/>
          <w:i/>
          <w:iCs/>
          <w:color w:val="auto"/>
        </w:rPr>
        <w:t>earlier in my career…I was very nervous about things, I would probably just…come to the team building event…And having already done that several times in ways that I regret somewhat, I would probably say ‘Hey, you know, I hate to miss it, but I’m just not gonna be able to make it to this one</w:t>
      </w:r>
      <w:r w:rsidR="008A2D97" w:rsidRPr="00C71B3B">
        <w:rPr>
          <w:rFonts w:asciiTheme="majorHAnsi" w:hAnsiTheme="majorHAnsi" w:cstheme="majorHAnsi"/>
          <w:i/>
          <w:iCs/>
          <w:color w:val="auto"/>
        </w:rPr>
        <w:t>…</w:t>
      </w:r>
      <w:r w:rsidRPr="00C71B3B">
        <w:rPr>
          <w:rFonts w:asciiTheme="majorHAnsi" w:hAnsiTheme="majorHAnsi" w:cstheme="majorHAnsi"/>
          <w:i/>
          <w:iCs/>
          <w:color w:val="auto"/>
        </w:rPr>
        <w:t>I am much harder to push around by my managers</w:t>
      </w:r>
      <w:r w:rsidR="00F14ABC" w:rsidRPr="00C71B3B">
        <w:rPr>
          <w:rFonts w:asciiTheme="majorHAnsi" w:hAnsiTheme="majorHAnsi" w:cstheme="majorHAnsi"/>
          <w:i/>
          <w:iCs/>
          <w:color w:val="auto"/>
        </w:rPr>
        <w:t xml:space="preserve"> </w:t>
      </w:r>
      <w:r w:rsidR="00F14ABC" w:rsidRPr="00C71B3B">
        <w:rPr>
          <w:rFonts w:asciiTheme="majorHAnsi" w:hAnsiTheme="majorHAnsi" w:cstheme="majorHAnsi"/>
          <w:color w:val="auto"/>
        </w:rPr>
        <w:t>[now]</w:t>
      </w:r>
      <w:r w:rsidRPr="00C71B3B">
        <w:rPr>
          <w:rFonts w:asciiTheme="majorHAnsi" w:hAnsiTheme="majorHAnsi" w:cstheme="majorHAnsi"/>
          <w:i/>
          <w:iCs/>
          <w:color w:val="auto"/>
        </w:rPr>
        <w:t xml:space="preserve">…I just think that what happens is people become more confident about their ability to do their job. They understand the organisation needs them more. </w:t>
      </w:r>
    </w:p>
    <w:p w14:paraId="6F179FD4" w14:textId="77777777" w:rsidR="00C86B09" w:rsidRPr="00C71B3B" w:rsidRDefault="00C86B09" w:rsidP="005125FC">
      <w:pPr>
        <w:ind w:firstLine="0"/>
        <w:rPr>
          <w:rFonts w:asciiTheme="majorHAnsi" w:hAnsiTheme="majorHAnsi" w:cstheme="majorHAnsi"/>
          <w:color w:val="auto"/>
        </w:rPr>
      </w:pPr>
      <w:r w:rsidRPr="00C71B3B">
        <w:rPr>
          <w:rFonts w:asciiTheme="majorHAnsi" w:hAnsiTheme="majorHAnsi" w:cstheme="majorHAnsi"/>
          <w:color w:val="auto"/>
        </w:rPr>
        <w:t xml:space="preserve">However, participants’ accounts focused more on an untypical resistance involving faking positivity, as discussed next. </w:t>
      </w:r>
    </w:p>
    <w:p w14:paraId="785B84C5" w14:textId="77777777" w:rsidR="00C86B09" w:rsidRPr="00C71B3B" w:rsidRDefault="00C86B09" w:rsidP="005125FC">
      <w:pPr>
        <w:rPr>
          <w:rFonts w:asciiTheme="majorHAnsi" w:hAnsiTheme="majorHAnsi" w:cstheme="majorHAnsi"/>
          <w:color w:val="auto"/>
        </w:rPr>
      </w:pPr>
      <w:r w:rsidRPr="00C71B3B">
        <w:rPr>
          <w:rFonts w:asciiTheme="majorHAnsi" w:hAnsiTheme="majorHAnsi" w:cstheme="majorHAnsi"/>
          <w:b/>
          <w:bCs/>
          <w:color w:val="auto"/>
        </w:rPr>
        <w:t xml:space="preserve">Faking positivity  </w:t>
      </w:r>
      <w:r w:rsidRPr="00C71B3B">
        <w:rPr>
          <w:rFonts w:asciiTheme="majorHAnsi" w:hAnsiTheme="majorHAnsi" w:cstheme="majorHAnsi"/>
          <w:color w:val="auto"/>
        </w:rPr>
        <w:t xml:space="preserve"> </w:t>
      </w:r>
    </w:p>
    <w:p w14:paraId="6A01640A" w14:textId="2A6C8475" w:rsidR="00C86B09" w:rsidRPr="00C71B3B" w:rsidRDefault="00C86B09" w:rsidP="005125FC">
      <w:pPr>
        <w:rPr>
          <w:rFonts w:asciiTheme="majorHAnsi" w:hAnsiTheme="majorHAnsi" w:cstheme="majorHAnsi"/>
          <w:color w:val="auto"/>
        </w:rPr>
      </w:pPr>
      <w:r w:rsidRPr="00C71B3B">
        <w:rPr>
          <w:rFonts w:asciiTheme="majorHAnsi" w:hAnsiTheme="majorHAnsi" w:cstheme="majorHAnsi"/>
          <w:color w:val="auto"/>
        </w:rPr>
        <w:t>Faking positivity involved taking a deliberate effort to demonstrate exaggerated positivity, for instance, enthusiasm or confidence, without experiencing it, and hiding negative reactions. The theme appeared in accounts of both employees and managers from different geographic locations, with the ways they spoke about it varying from ironical to explicitly critical and their reactions ranging from pragmatic acceptance to mental struggle. Both employees and managers reported engaging in faking, with managers having to do so in interactions with both employees and senior management. Participants believed that senior leaders expect positive responses, thereby one should share solely positive content and refrain from disclosing the real state of things. When we followed up on Yvonne’s understanding of positivity</w:t>
      </w:r>
      <w:r w:rsidR="00E752CC" w:rsidRPr="00C71B3B">
        <w:rPr>
          <w:rFonts w:asciiTheme="majorHAnsi" w:hAnsiTheme="majorHAnsi" w:cstheme="majorHAnsi"/>
          <w:color w:val="auto"/>
        </w:rPr>
        <w:t xml:space="preserve"> and it meant being </w:t>
      </w:r>
      <w:r w:rsidR="004B7276" w:rsidRPr="00C71B3B">
        <w:rPr>
          <w:rFonts w:asciiTheme="majorHAnsi" w:hAnsiTheme="majorHAnsi" w:cstheme="majorHAnsi"/>
          <w:color w:val="auto"/>
        </w:rPr>
        <w:t>honest and open</w:t>
      </w:r>
      <w:r w:rsidRPr="00C71B3B">
        <w:rPr>
          <w:rFonts w:asciiTheme="majorHAnsi" w:hAnsiTheme="majorHAnsi" w:cstheme="majorHAnsi"/>
          <w:color w:val="auto"/>
        </w:rPr>
        <w:t xml:space="preserve">, she clarified that demonstrating positivity can </w:t>
      </w:r>
      <w:r w:rsidRPr="00C71B3B">
        <w:rPr>
          <w:rFonts w:asciiTheme="majorHAnsi" w:hAnsiTheme="majorHAnsi" w:cstheme="majorHAnsi"/>
          <w:color w:val="auto"/>
        </w:rPr>
        <w:lastRenderedPageBreak/>
        <w:t xml:space="preserve">imply </w:t>
      </w:r>
      <w:bookmarkStart w:id="0" w:name="_Hlk74572299"/>
      <w:r w:rsidRPr="00C71B3B">
        <w:rPr>
          <w:rFonts w:asciiTheme="majorHAnsi" w:hAnsiTheme="majorHAnsi" w:cstheme="majorHAnsi"/>
          <w:color w:val="auto"/>
        </w:rPr>
        <w:t>communicating positive messages up the hierarchy</w:t>
      </w:r>
      <w:bookmarkEnd w:id="0"/>
      <w:r w:rsidRPr="00C71B3B">
        <w:rPr>
          <w:rFonts w:asciiTheme="majorHAnsi" w:hAnsiTheme="majorHAnsi" w:cstheme="majorHAnsi"/>
          <w:color w:val="auto"/>
        </w:rPr>
        <w:t xml:space="preserve"> as expressing concerns may be disadvantageous for the person:</w:t>
      </w:r>
    </w:p>
    <w:p w14:paraId="6F1D8520" w14:textId="1CA52324" w:rsidR="00C86B09" w:rsidRPr="00C71B3B" w:rsidRDefault="00C86B09" w:rsidP="005125FC">
      <w:pPr>
        <w:ind w:left="720" w:firstLine="0"/>
        <w:rPr>
          <w:rFonts w:asciiTheme="majorHAnsi" w:hAnsiTheme="majorHAnsi" w:cstheme="majorHAnsi"/>
          <w:i/>
          <w:iCs/>
          <w:color w:val="auto"/>
        </w:rPr>
      </w:pPr>
      <w:r w:rsidRPr="00C71B3B">
        <w:rPr>
          <w:rFonts w:asciiTheme="majorHAnsi" w:hAnsiTheme="majorHAnsi" w:cstheme="majorHAnsi"/>
          <w:i/>
          <w:iCs/>
          <w:color w:val="auto"/>
        </w:rPr>
        <w:t>Not always, it depends on what situation you're managing.. Sometimes… you recognise it's in your interest to be seen positive… you might not want to dump all your concerns on someone senior because in reality, they're up there. If you are a more junior person, what they want from you is ‘Yes’, a lot of the time.</w:t>
      </w:r>
    </w:p>
    <w:p w14:paraId="32B339BD" w14:textId="722769BB" w:rsidR="001D3017" w:rsidRPr="00C71B3B" w:rsidRDefault="00C86B09" w:rsidP="004B35B8">
      <w:pPr>
        <w:rPr>
          <w:rFonts w:asciiTheme="majorHAnsi" w:hAnsiTheme="majorHAnsi" w:cstheme="majorHAnsi"/>
          <w:color w:val="auto"/>
        </w:rPr>
      </w:pPr>
      <w:r w:rsidRPr="00C71B3B">
        <w:rPr>
          <w:rFonts w:asciiTheme="majorHAnsi" w:hAnsiTheme="majorHAnsi" w:cstheme="majorHAnsi"/>
          <w:color w:val="auto"/>
        </w:rPr>
        <w:t>Managers viewed positivity as an element of inspirational leadership and reported faking to motivate followers (captured by the Perceived leader duty to motivate category in Figure 1) , which involved delivering messages with confidence, demonstrating enthusiasm, or hiding concerns as part of work-persona role playing. Thus, Rose spoke about controversial situations when she had to convey positivity to employees for the sake of the team’s performance despite feeling demotivated due to insufficient support from her own management</w:t>
      </w:r>
      <w:r w:rsidRPr="00C71B3B">
        <w:rPr>
          <w:rFonts w:asciiTheme="majorHAnsi" w:hAnsiTheme="majorHAnsi" w:cstheme="majorHAnsi"/>
          <w:i/>
          <w:iCs/>
          <w:color w:val="auto"/>
        </w:rPr>
        <w:t>.</w:t>
      </w:r>
      <w:r w:rsidR="004B35B8" w:rsidRPr="00C71B3B">
        <w:rPr>
          <w:rFonts w:asciiTheme="majorHAnsi" w:hAnsiTheme="majorHAnsi" w:cstheme="majorHAnsi"/>
          <w:i/>
          <w:iCs/>
          <w:color w:val="auto"/>
        </w:rPr>
        <w:t xml:space="preserve"> </w:t>
      </w:r>
      <w:r w:rsidRPr="00C71B3B">
        <w:rPr>
          <w:rFonts w:asciiTheme="majorHAnsi" w:hAnsiTheme="majorHAnsi" w:cstheme="majorHAnsi"/>
          <w:color w:val="auto"/>
        </w:rPr>
        <w:t xml:space="preserve">Ralph acknowledged resorting to faking to drive performance of employees in commercial roles, encouraging them to pursue deal opportunities and secure revenues </w:t>
      </w:r>
      <w:r w:rsidR="001D3017" w:rsidRPr="00C71B3B">
        <w:rPr>
          <w:rFonts w:asciiTheme="majorHAnsi" w:hAnsiTheme="majorHAnsi" w:cstheme="majorHAnsi"/>
          <w:color w:val="auto"/>
        </w:rPr>
        <w:t>despite doubts about their direction, aiming to maintain morale and drive performance without revealing his true concerns.</w:t>
      </w:r>
    </w:p>
    <w:p w14:paraId="1491F47D" w14:textId="77777777" w:rsidR="00C86B09" w:rsidRPr="00C71B3B" w:rsidRDefault="00C86B09" w:rsidP="005125FC">
      <w:pPr>
        <w:rPr>
          <w:rFonts w:asciiTheme="majorHAnsi" w:hAnsiTheme="majorHAnsi" w:cstheme="majorHAnsi"/>
          <w:color w:val="auto"/>
        </w:rPr>
      </w:pPr>
      <w:r w:rsidRPr="00C71B3B">
        <w:rPr>
          <w:rFonts w:asciiTheme="majorHAnsi" w:hAnsiTheme="majorHAnsi" w:cstheme="majorHAnsi"/>
          <w:color w:val="auto"/>
        </w:rPr>
        <w:t>Faking by</w:t>
      </w:r>
      <w:r w:rsidRPr="00C71B3B">
        <w:rPr>
          <w:rFonts w:asciiTheme="majorHAnsi" w:hAnsiTheme="majorHAnsi" w:cstheme="majorHAnsi"/>
          <w:b/>
          <w:bCs/>
          <w:color w:val="auto"/>
        </w:rPr>
        <w:t xml:space="preserve"> </w:t>
      </w:r>
      <w:r w:rsidRPr="00C71B3B">
        <w:rPr>
          <w:rFonts w:asciiTheme="majorHAnsi" w:hAnsiTheme="majorHAnsi" w:cstheme="majorHAnsi"/>
          <w:color w:val="auto"/>
        </w:rPr>
        <w:t xml:space="preserve">employees involved self-censoring to behaviours that would secure gaining acceptance and avoiding mistreatment (reflected in the motives of social acceptance and benefits in Figure 1). It manifested in expressing positive affect and enthusiasm when receiving tasks and workload and hiding negative reactions to make an impression of a positive and committed employee. To exemplify, Norman recognised the importance of avoiding a negative image and acknowledged feigning enthusiasm despite feeling down due to a forthcoming downsizing: </w:t>
      </w:r>
    </w:p>
    <w:p w14:paraId="3E5D23D2" w14:textId="77777777" w:rsidR="00C86B09" w:rsidRPr="00C71B3B" w:rsidRDefault="00C86B09" w:rsidP="005125FC">
      <w:pPr>
        <w:ind w:left="720" w:firstLine="0"/>
        <w:rPr>
          <w:rFonts w:asciiTheme="majorHAnsi" w:hAnsiTheme="majorHAnsi" w:cstheme="majorHAnsi"/>
          <w:i/>
          <w:iCs/>
          <w:color w:val="auto"/>
        </w:rPr>
      </w:pPr>
      <w:r w:rsidRPr="00C71B3B">
        <w:rPr>
          <w:rFonts w:asciiTheme="majorHAnsi" w:hAnsiTheme="majorHAnsi" w:cstheme="majorHAnsi"/>
          <w:i/>
          <w:iCs/>
          <w:color w:val="auto"/>
        </w:rPr>
        <w:t xml:space="preserve">I try not to be negative in the team… you don’t want to be seen to be a negative person. So you might pretend that you are enthusiastic and that you've been positive about it all </w:t>
      </w:r>
      <w:r w:rsidRPr="00C71B3B">
        <w:rPr>
          <w:rFonts w:asciiTheme="majorHAnsi" w:hAnsiTheme="majorHAnsi" w:cstheme="majorHAnsi"/>
          <w:i/>
          <w:iCs/>
          <w:color w:val="auto"/>
        </w:rPr>
        <w:lastRenderedPageBreak/>
        <w:t xml:space="preserve">just to make other people believe that… you are still keen to do whatever is asked to do even though perhaps you're not… I feel pretty negative about being asked to do work now when I’m not in that positive thinking frame of mind but I try to be enthusiastic. </w:t>
      </w:r>
    </w:p>
    <w:p w14:paraId="299780DD" w14:textId="0680B868" w:rsidR="00C86B09" w:rsidRPr="00C71B3B" w:rsidRDefault="00C86B09" w:rsidP="004F38D3">
      <w:pPr>
        <w:rPr>
          <w:rFonts w:asciiTheme="majorHAnsi" w:hAnsiTheme="majorHAnsi" w:cstheme="majorHAnsi"/>
          <w:color w:val="auto"/>
        </w:rPr>
      </w:pPr>
      <w:r w:rsidRPr="00C71B3B">
        <w:rPr>
          <w:rFonts w:asciiTheme="majorHAnsi" w:hAnsiTheme="majorHAnsi" w:cstheme="majorHAnsi"/>
          <w:color w:val="auto"/>
        </w:rPr>
        <w:t>This resonated with the finding about perceived undesirability of the negative in organisations, leading one to refrain from exhibiting behaviours that could be interpreted as negative</w:t>
      </w:r>
      <w:r w:rsidR="005B5EAA" w:rsidRPr="00C71B3B">
        <w:rPr>
          <w:rFonts w:asciiTheme="majorHAnsi" w:hAnsiTheme="majorHAnsi" w:cstheme="majorHAnsi"/>
          <w:color w:val="auto"/>
        </w:rPr>
        <w:t xml:space="preserve">, such as expressing dissent or </w:t>
      </w:r>
      <w:r w:rsidR="00FC628E" w:rsidRPr="00C71B3B">
        <w:rPr>
          <w:rFonts w:asciiTheme="majorHAnsi" w:hAnsiTheme="majorHAnsi" w:cstheme="majorHAnsi"/>
          <w:color w:val="auto"/>
        </w:rPr>
        <w:t xml:space="preserve">raising </w:t>
      </w:r>
      <w:r w:rsidR="005B5EAA" w:rsidRPr="00C71B3B">
        <w:rPr>
          <w:rFonts w:asciiTheme="majorHAnsi" w:hAnsiTheme="majorHAnsi" w:cstheme="majorHAnsi"/>
          <w:color w:val="auto"/>
        </w:rPr>
        <w:t>concerns</w:t>
      </w:r>
      <w:r w:rsidR="00FC628E" w:rsidRPr="00C71B3B">
        <w:rPr>
          <w:rFonts w:asciiTheme="majorHAnsi" w:hAnsiTheme="majorHAnsi" w:cstheme="majorHAnsi"/>
          <w:color w:val="auto"/>
        </w:rPr>
        <w:t xml:space="preserve">. </w:t>
      </w:r>
      <w:r w:rsidR="00D82CDD" w:rsidRPr="00C71B3B">
        <w:rPr>
          <w:rFonts w:asciiTheme="majorHAnsi" w:hAnsiTheme="majorHAnsi" w:cstheme="majorHAnsi"/>
          <w:color w:val="auto"/>
        </w:rPr>
        <w:t>For instance, Yasmin concealed her pessimistic tendencies and internal worries, presenting a more optimistic front to avoid burdening or stressing others,</w:t>
      </w:r>
      <w:r w:rsidR="00BF7199" w:rsidRPr="00C71B3B">
        <w:rPr>
          <w:rFonts w:asciiTheme="majorHAnsi" w:hAnsiTheme="majorHAnsi" w:cstheme="majorHAnsi"/>
          <w:color w:val="auto"/>
        </w:rPr>
        <w:t xml:space="preserve"> while </w:t>
      </w:r>
      <w:r w:rsidR="00D82CDD" w:rsidRPr="00C71B3B">
        <w:rPr>
          <w:rFonts w:asciiTheme="majorHAnsi" w:hAnsiTheme="majorHAnsi" w:cstheme="majorHAnsi"/>
          <w:color w:val="auto"/>
        </w:rPr>
        <w:t>handling her concerns privately.</w:t>
      </w:r>
      <w:r w:rsidR="00BF7199" w:rsidRPr="00C71B3B">
        <w:rPr>
          <w:rFonts w:asciiTheme="majorHAnsi" w:hAnsiTheme="majorHAnsi" w:cstheme="majorHAnsi"/>
          <w:color w:val="auto"/>
        </w:rPr>
        <w:t xml:space="preserve"> </w:t>
      </w:r>
      <w:r w:rsidRPr="00C71B3B">
        <w:rPr>
          <w:rFonts w:asciiTheme="majorHAnsi" w:hAnsiTheme="majorHAnsi" w:cstheme="majorHAnsi"/>
          <w:color w:val="auto"/>
        </w:rPr>
        <w:t xml:space="preserve">In addition, employees faked positivity to demonstrate team-playing as not conforming to positivity expectations could be interpreted as opposing the team, leading to lessened acceptance in the future. Reflecting on why people may display positivity without internalising it, </w:t>
      </w:r>
      <w:r w:rsidR="004F38D3" w:rsidRPr="00C71B3B">
        <w:rPr>
          <w:rFonts w:asciiTheme="majorHAnsi" w:hAnsiTheme="majorHAnsi" w:cstheme="majorHAnsi"/>
          <w:color w:val="auto"/>
        </w:rPr>
        <w:t xml:space="preserve">Olivia described the pressure to conform to a positive norm to avoid being marginalised, indicating that dissent could be perceived as negativity or lack of teamwork, compelling her to suppress her true feelings to fit in. </w:t>
      </w:r>
      <w:r w:rsidRPr="00C71B3B">
        <w:rPr>
          <w:rFonts w:asciiTheme="majorHAnsi" w:hAnsiTheme="majorHAnsi" w:cstheme="majorHAnsi"/>
          <w:color w:val="auto"/>
        </w:rPr>
        <w:t xml:space="preserve">The intertwining motives of avoiding a negative image and projecting a positive team-player one echoed the finding about teams with a predominantly positive environment alienating </w:t>
      </w:r>
      <w:r w:rsidR="0068191A" w:rsidRPr="00C71B3B">
        <w:rPr>
          <w:rFonts w:asciiTheme="majorHAnsi" w:hAnsiTheme="majorHAnsi" w:cstheme="majorHAnsi"/>
          <w:color w:val="auto"/>
        </w:rPr>
        <w:t>‘</w:t>
      </w:r>
      <w:r w:rsidRPr="00C71B3B">
        <w:rPr>
          <w:rFonts w:asciiTheme="majorHAnsi" w:hAnsiTheme="majorHAnsi" w:cstheme="majorHAnsi"/>
          <w:color w:val="auto"/>
        </w:rPr>
        <w:t>non-positive</w:t>
      </w:r>
      <w:r w:rsidR="0068191A" w:rsidRPr="00C71B3B">
        <w:rPr>
          <w:rFonts w:asciiTheme="majorHAnsi" w:hAnsiTheme="majorHAnsi" w:cstheme="majorHAnsi"/>
          <w:color w:val="auto"/>
        </w:rPr>
        <w:t>’</w:t>
      </w:r>
      <w:r w:rsidRPr="00C71B3B">
        <w:rPr>
          <w:rFonts w:asciiTheme="majorHAnsi" w:hAnsiTheme="majorHAnsi" w:cstheme="majorHAnsi"/>
          <w:color w:val="auto"/>
        </w:rPr>
        <w:t xml:space="preserve"> individuals. As Ralph </w:t>
      </w:r>
      <w:r w:rsidR="009C77C3" w:rsidRPr="00C71B3B">
        <w:rPr>
          <w:rFonts w:asciiTheme="majorHAnsi" w:hAnsiTheme="majorHAnsi" w:cstheme="majorHAnsi"/>
          <w:color w:val="auto"/>
        </w:rPr>
        <w:t>noted</w:t>
      </w:r>
      <w:r w:rsidR="00656E8D" w:rsidRPr="00C71B3B">
        <w:rPr>
          <w:rFonts w:asciiTheme="majorHAnsi" w:hAnsiTheme="majorHAnsi" w:cstheme="majorHAnsi"/>
          <w:color w:val="auto"/>
        </w:rPr>
        <w:t>,</w:t>
      </w:r>
      <w:r w:rsidRPr="00C71B3B">
        <w:rPr>
          <w:rFonts w:asciiTheme="majorHAnsi" w:hAnsiTheme="majorHAnsi" w:cstheme="majorHAnsi"/>
          <w:color w:val="auto"/>
        </w:rPr>
        <w:t xml:space="preserve"> when reflecting on why it may be good to be positive</w:t>
      </w:r>
      <w:r w:rsidR="00656E8D" w:rsidRPr="00C71B3B">
        <w:rPr>
          <w:rFonts w:asciiTheme="majorHAnsi" w:hAnsiTheme="majorHAnsi" w:cstheme="majorHAnsi"/>
          <w:color w:val="auto"/>
        </w:rPr>
        <w:t>,</w:t>
      </w:r>
      <w:r w:rsidR="009424C1" w:rsidRPr="00C71B3B">
        <w:rPr>
          <w:rFonts w:asciiTheme="majorHAnsi" w:hAnsiTheme="majorHAnsi" w:cstheme="majorHAnsi"/>
          <w:color w:val="auto"/>
        </w:rPr>
        <w:t xml:space="preserve"> </w:t>
      </w:r>
      <w:r w:rsidR="00776476" w:rsidRPr="00C71B3B">
        <w:rPr>
          <w:rFonts w:asciiTheme="majorHAnsi" w:hAnsiTheme="majorHAnsi" w:cstheme="majorHAnsi"/>
          <w:color w:val="auto"/>
        </w:rPr>
        <w:t>that if others view</w:t>
      </w:r>
      <w:r w:rsidR="0068191A" w:rsidRPr="00C71B3B">
        <w:rPr>
          <w:rFonts w:asciiTheme="majorHAnsi" w:hAnsiTheme="majorHAnsi" w:cstheme="majorHAnsi"/>
          <w:color w:val="auto"/>
        </w:rPr>
        <w:t xml:space="preserve"> one as ‘negative’, they tend to eventually exclude them. </w:t>
      </w:r>
      <w:r w:rsidRPr="00C71B3B">
        <w:rPr>
          <w:rFonts w:asciiTheme="majorHAnsi" w:hAnsiTheme="majorHAnsi" w:cstheme="majorHAnsi"/>
          <w:color w:val="auto"/>
        </w:rPr>
        <w:t>Finally, participants associated the positive image with rewards and benefits, mirroring the organisational discourse. In particular, managerial accounts suggested that positivity should be reflected in the selection and appraisal processes as a good behaviour element.</w:t>
      </w:r>
    </w:p>
    <w:p w14:paraId="34376ACA" w14:textId="77777777" w:rsidR="00C86B09" w:rsidRPr="00C71B3B" w:rsidRDefault="00C86B09" w:rsidP="005125FC">
      <w:pPr>
        <w:rPr>
          <w:rFonts w:asciiTheme="majorHAnsi" w:hAnsiTheme="majorHAnsi" w:cstheme="majorHAnsi"/>
          <w:b/>
          <w:bCs/>
          <w:color w:val="auto"/>
        </w:rPr>
      </w:pPr>
      <w:r w:rsidRPr="00C71B3B">
        <w:rPr>
          <w:rFonts w:asciiTheme="majorHAnsi" w:hAnsiTheme="majorHAnsi" w:cstheme="majorHAnsi"/>
          <w:b/>
          <w:bCs/>
          <w:color w:val="auto"/>
        </w:rPr>
        <w:t xml:space="preserve">Consequences of faking positivity </w:t>
      </w:r>
    </w:p>
    <w:p w14:paraId="3FA8ABB8" w14:textId="222D4F4D" w:rsidR="00C86B09" w:rsidRPr="00C71B3B" w:rsidRDefault="00C86B09" w:rsidP="00D77E83">
      <w:pPr>
        <w:rPr>
          <w:rFonts w:asciiTheme="majorHAnsi" w:hAnsiTheme="majorHAnsi" w:cstheme="majorHAnsi"/>
          <w:color w:val="auto"/>
        </w:rPr>
      </w:pPr>
      <w:r w:rsidRPr="00C71B3B">
        <w:rPr>
          <w:rFonts w:asciiTheme="majorHAnsi" w:hAnsiTheme="majorHAnsi" w:cstheme="majorHAnsi"/>
          <w:color w:val="auto"/>
        </w:rPr>
        <w:t xml:space="preserve">Effects of faking positivity extended to others’ perceptions about the faking person and wellbeing of the faking person. Mainly, faking was counterproductive for the actor’s reputation. </w:t>
      </w:r>
      <w:r w:rsidRPr="00C71B3B">
        <w:rPr>
          <w:rFonts w:asciiTheme="majorHAnsi" w:hAnsiTheme="majorHAnsi" w:cstheme="majorHAnsi"/>
          <w:color w:val="auto"/>
        </w:rPr>
        <w:lastRenderedPageBreak/>
        <w:t>For example, Emma portrayed people faking positivity as not genuine and uneasy to be in the company of, while Yasmin interpreted faking as shallowness, which prompted disregard for the actor</w:t>
      </w:r>
      <w:r w:rsidR="008204DE" w:rsidRPr="00C71B3B">
        <w:rPr>
          <w:rFonts w:asciiTheme="majorHAnsi" w:hAnsiTheme="majorHAnsi" w:cstheme="majorHAnsi"/>
          <w:color w:val="auto"/>
        </w:rPr>
        <w:t>, suggesting that overly positive people might be perceived as insubstantial or inauthentic, focusing on appearance over action.</w:t>
      </w:r>
      <w:r w:rsidR="00D20D0A" w:rsidRPr="00C71B3B">
        <w:rPr>
          <w:rFonts w:asciiTheme="majorHAnsi" w:hAnsiTheme="majorHAnsi" w:cstheme="majorHAnsi"/>
          <w:color w:val="auto"/>
        </w:rPr>
        <w:t xml:space="preserve"> </w:t>
      </w:r>
      <w:r w:rsidRPr="00C71B3B">
        <w:rPr>
          <w:rFonts w:asciiTheme="majorHAnsi" w:hAnsiTheme="majorHAnsi" w:cstheme="majorHAnsi"/>
          <w:color w:val="auto"/>
        </w:rPr>
        <w:t>This was especially relevant if the faking person was a leader, as the failure to reflect positivity in actions compromised behavioural integrity, undermining the credibility of the positive narrative. Participants viewed such leaders as acting to impress senior management</w:t>
      </w:r>
      <w:r w:rsidR="00D77E83" w:rsidRPr="00C71B3B">
        <w:rPr>
          <w:rFonts w:asciiTheme="majorHAnsi" w:hAnsiTheme="majorHAnsi" w:cstheme="majorHAnsi"/>
          <w:color w:val="auto"/>
        </w:rPr>
        <w:t xml:space="preserve">, </w:t>
      </w:r>
      <w:r w:rsidR="00E76EF9" w:rsidRPr="00E76EF9">
        <w:rPr>
          <w:rFonts w:asciiTheme="majorHAnsi" w:hAnsiTheme="majorHAnsi" w:cstheme="majorHAnsi"/>
          <w:color w:val="auto"/>
        </w:rPr>
        <w:t>with Ralph noting this superficiality undermines genuine leadership and respect.</w:t>
      </w:r>
      <w:r w:rsidR="00D77E83" w:rsidRPr="00C71B3B">
        <w:rPr>
          <w:rFonts w:asciiTheme="majorHAnsi" w:hAnsiTheme="majorHAnsi" w:cstheme="majorHAnsi"/>
          <w:color w:val="auto"/>
        </w:rPr>
        <w:t xml:space="preserve"> </w:t>
      </w:r>
      <w:r w:rsidRPr="00C71B3B">
        <w:rPr>
          <w:rFonts w:asciiTheme="majorHAnsi" w:hAnsiTheme="majorHAnsi" w:cstheme="majorHAnsi"/>
          <w:color w:val="auto"/>
        </w:rPr>
        <w:t>Finally, participants acknowledged that faking felt like a psychological challenge. Norman, who at the time of the interview was waiting for results of his company’s downsizing, admitted that maintaining a façade of positivity was uneasy. Despite believing that pretending would help him get through the hardship of impending redundancy, he felt a mental struggle trying to remain upbeat:</w:t>
      </w:r>
    </w:p>
    <w:p w14:paraId="44D08889" w14:textId="77777777" w:rsidR="00C86B09" w:rsidRPr="00C71B3B" w:rsidRDefault="00C86B09" w:rsidP="005125FC">
      <w:pPr>
        <w:ind w:left="720" w:firstLine="0"/>
        <w:rPr>
          <w:rFonts w:asciiTheme="majorHAnsi" w:hAnsiTheme="majorHAnsi" w:cstheme="majorHAnsi"/>
          <w:i/>
          <w:iCs/>
          <w:color w:val="auto"/>
        </w:rPr>
      </w:pPr>
      <w:r w:rsidRPr="00C71B3B">
        <w:rPr>
          <w:rFonts w:asciiTheme="majorHAnsi" w:hAnsiTheme="majorHAnsi" w:cstheme="majorHAnsi"/>
          <w:i/>
          <w:iCs/>
          <w:color w:val="auto"/>
        </w:rPr>
        <w:t>sometimes I'm kind of outwardly positive when inwardly I'm kind of not so much… I'm generally seen as a kind of happy-go-lucky kind of person even though perhaps I'm not, trying to pretend that I am… it seems to be working so far but it’s tough… but I try and be enthusiastic. So you're actually just, on the surface you look like you're positive but inwardly you're not.</w:t>
      </w:r>
    </w:p>
    <w:p w14:paraId="4E9C16C1" w14:textId="77777777" w:rsidR="007551A5" w:rsidRPr="00C71B3B" w:rsidRDefault="007551A5" w:rsidP="005125FC">
      <w:pPr>
        <w:ind w:firstLine="0"/>
        <w:jc w:val="center"/>
        <w:rPr>
          <w:rFonts w:asciiTheme="majorHAnsi" w:eastAsiaTheme="minorHAnsi" w:hAnsiTheme="majorHAnsi" w:cstheme="majorHAnsi"/>
          <w:b/>
          <w:bCs/>
          <w:color w:val="auto"/>
          <w:lang w:eastAsia="en-US"/>
        </w:rPr>
      </w:pPr>
      <w:r w:rsidRPr="00C71B3B">
        <w:rPr>
          <w:rFonts w:asciiTheme="majorHAnsi" w:eastAsiaTheme="minorHAnsi" w:hAnsiTheme="majorHAnsi" w:cstheme="majorHAnsi"/>
          <w:b/>
          <w:bCs/>
          <w:color w:val="auto"/>
          <w:lang w:eastAsia="en-US"/>
        </w:rPr>
        <w:t>Discussion</w:t>
      </w:r>
    </w:p>
    <w:p w14:paraId="5521DC4E" w14:textId="66A27BAC" w:rsidR="007551A5" w:rsidRPr="00C71B3B" w:rsidRDefault="00C90D3B" w:rsidP="005125FC">
      <w:pPr>
        <w:rPr>
          <w:rFonts w:asciiTheme="majorHAnsi" w:hAnsiTheme="majorHAnsi" w:cstheme="majorHAnsi"/>
          <w:color w:val="auto"/>
        </w:rPr>
      </w:pPr>
      <w:r w:rsidRPr="00C71B3B">
        <w:rPr>
          <w:rFonts w:asciiTheme="majorHAnsi" w:hAnsiTheme="majorHAnsi" w:cstheme="majorHAnsi"/>
          <w:color w:val="auto"/>
        </w:rPr>
        <w:t>We</w:t>
      </w:r>
      <w:r w:rsidR="007551A5" w:rsidRPr="00C71B3B">
        <w:rPr>
          <w:rFonts w:asciiTheme="majorHAnsi" w:hAnsiTheme="majorHAnsi" w:cstheme="majorHAnsi"/>
          <w:color w:val="auto"/>
        </w:rPr>
        <w:t xml:space="preserve"> investigated manifestations, mechanisms, and consequences of imposing positivity in organisations through an identity regulation lens. Based on the analysis of interview, vignette discussion, and organisational document data, we developed a conceptual model capturing the processes and consequences of imposing positivity in the workplace (Figure 2). Grounded in theoretical sampling, it suggests that the top-down imposition of positivity for identity regulation </w:t>
      </w:r>
      <w:r w:rsidR="007551A5" w:rsidRPr="00C71B3B">
        <w:rPr>
          <w:rFonts w:asciiTheme="majorHAnsi" w:hAnsiTheme="majorHAnsi" w:cstheme="majorHAnsi"/>
          <w:color w:val="auto"/>
        </w:rPr>
        <w:lastRenderedPageBreak/>
        <w:t>can incite emotional distress and create the belief of obligation to demonstrate positivity, which we refer to as positivity display pressure, subsequently resulting in resistance. Specifically, we found that positivity is imposed in organisations through organisational discourse and in workplace interactions, although not necessarily intentionally and often in subtle ways. Organisational documents revealed</w:t>
      </w:r>
      <w:r w:rsidR="007551A5" w:rsidRPr="00C71B3B">
        <w:rPr>
          <w:rFonts w:asciiTheme="majorHAnsi" w:eastAsiaTheme="minorHAnsi" w:hAnsiTheme="majorHAnsi" w:cstheme="majorHAnsi"/>
          <w:color w:val="auto"/>
          <w:lang w:eastAsia="en-US"/>
        </w:rPr>
        <w:t xml:space="preserve"> the abundance of appeals to demonstrate positive affect and confidence, linking them with reward and selection, without clear guidance on how to achieve them. There was a difference in perceptions in interview data as managers did not recognise they forced positivity upon employees although they experienced the pressure themselves, whereas employees saw it coming from both the organisational discourse and management. Some accounts pointed to the perceived undesirability of the negative when individuals preferred to conceal reactions that could be interpreted as negative and felt necessary to challenge the notion of “negativity” due to reputational concerns. </w:t>
      </w:r>
    </w:p>
    <w:p w14:paraId="0F0D6F49" w14:textId="77777777" w:rsidR="007551A5" w:rsidRPr="00C71B3B" w:rsidRDefault="007551A5" w:rsidP="005125FC">
      <w:pPr>
        <w:rPr>
          <w:rFonts w:asciiTheme="majorHAnsi" w:hAnsiTheme="majorHAnsi" w:cstheme="majorHAnsi"/>
          <w:color w:val="auto"/>
        </w:rPr>
      </w:pPr>
      <w:r w:rsidRPr="00C71B3B">
        <w:rPr>
          <w:rFonts w:asciiTheme="majorHAnsi" w:hAnsiTheme="majorHAnsi" w:cstheme="majorHAnsi"/>
          <w:color w:val="auto"/>
        </w:rPr>
        <w:t xml:space="preserve">Second, rather than fostering genuine positivity, imposing often induced scepticism, created unfavourable perceptions of the imposer, and lead to emotional distress, contributing to the sense of obligation to display positivity and provoking resistance. Thus, participants did not internalise positivity when it felt imposed and contrasted it with guiding with clear communication and explanation. Resistance to positivity display pressure involved either explicitly challenging where enabled by efficacy beliefs, or, more commonly, faking positivity. Middle-level managers were in the most vulnerable position as they believed they had to demonstrate positivity to both motivate subordinates and express support to senior management. Faking, in turn, was detrimental for the actor’s reputation, particularly, for leaders, and their wellbeing, as it felt like a psychological struggle. </w:t>
      </w:r>
    </w:p>
    <w:p w14:paraId="4F76E2C6" w14:textId="77777777" w:rsidR="0000199A" w:rsidRDefault="0000199A" w:rsidP="005125FC">
      <w:pPr>
        <w:ind w:firstLine="0"/>
        <w:rPr>
          <w:rFonts w:asciiTheme="majorHAnsi" w:hAnsiTheme="majorHAnsi" w:cstheme="majorHAnsi"/>
          <w:b/>
          <w:bCs/>
          <w:color w:val="auto"/>
        </w:rPr>
      </w:pPr>
    </w:p>
    <w:p w14:paraId="1172F9EC" w14:textId="5B6BBE78" w:rsidR="007551A5" w:rsidRPr="00C71B3B" w:rsidRDefault="007551A5" w:rsidP="005125FC">
      <w:pPr>
        <w:ind w:firstLine="0"/>
        <w:rPr>
          <w:rFonts w:asciiTheme="majorHAnsi" w:hAnsiTheme="majorHAnsi" w:cstheme="majorHAnsi"/>
          <w:b/>
          <w:bCs/>
          <w:color w:val="auto"/>
        </w:rPr>
      </w:pPr>
      <w:r w:rsidRPr="00C71B3B">
        <w:rPr>
          <w:rFonts w:asciiTheme="majorHAnsi" w:hAnsiTheme="majorHAnsi" w:cstheme="majorHAnsi"/>
          <w:b/>
          <w:bCs/>
          <w:color w:val="auto"/>
        </w:rPr>
        <w:lastRenderedPageBreak/>
        <w:t xml:space="preserve">Theoretical implications </w:t>
      </w:r>
    </w:p>
    <w:p w14:paraId="02EA8145" w14:textId="5DDF7BDD" w:rsidR="007551A5" w:rsidRPr="00C71B3B" w:rsidRDefault="007551A5" w:rsidP="005125FC">
      <w:pPr>
        <w:rPr>
          <w:rFonts w:asciiTheme="majorHAnsi" w:hAnsiTheme="majorHAnsi" w:cstheme="majorHAnsi"/>
          <w:color w:val="auto"/>
        </w:rPr>
      </w:pPr>
      <w:r w:rsidRPr="00C71B3B">
        <w:rPr>
          <w:rFonts w:asciiTheme="majorHAnsi" w:hAnsiTheme="majorHAnsi" w:cstheme="majorHAnsi"/>
          <w:color w:val="auto"/>
        </w:rPr>
        <w:t xml:space="preserve">Our findings contribute to positive organisational scholarship and integrate the literatures on identity regulation, display rules, resistance, and emotional labour by providing evidence on positive identity promotion in organisations, eliciting negative reactions and resulting in imitating, not internalising positivity. First, we challenge the predominant view of positivity as inherently beneficial (Ciarrochi et al., 2022; Wong &amp; Roy, 2018). Specifically, we found that imposing positivity in the intra-organisational context can create distress and negative perceptions, putting pressure on employees. The perceived need to communicate solely positive messages up the hierarchy resonates with the documented underreporting of safety incidents and symptoms in organisational and healthcare contexts (e.g., Collinson’s, 1999; McCreaddie et al., 2010). Identifying the unintended consequences of organisational positivity expectations lends empirical support to the criticism of its unreflective promotion in organisations (Collinson, 2012; Ehrenreich, 2009; Fineman, 2006). </w:t>
      </w:r>
    </w:p>
    <w:p w14:paraId="796DDFD2" w14:textId="77777777" w:rsidR="007551A5" w:rsidRPr="00C71B3B" w:rsidRDefault="007551A5" w:rsidP="005125FC">
      <w:pPr>
        <w:rPr>
          <w:rFonts w:asciiTheme="majorHAnsi" w:hAnsiTheme="majorHAnsi" w:cstheme="majorHAnsi"/>
          <w:color w:val="auto"/>
        </w:rPr>
      </w:pPr>
      <w:r w:rsidRPr="00C71B3B">
        <w:rPr>
          <w:rFonts w:asciiTheme="majorHAnsi" w:hAnsiTheme="majorHAnsi" w:cstheme="majorHAnsi"/>
          <w:color w:val="auto"/>
        </w:rPr>
        <w:t>The particular emphasis on positive affect in the discourse, possibly grounded in its potential to signal immediate compliance (Jorgensen, 1996; Venus et al., 2013), resonated with the concerns on the encouragement to demonstrate enthusiasm and infectious optimism raised in previous research and popular literature (e.g., Collinson, 2010; 2012; Orwell, 1949). It indicates the relevance of organisational emotional display rules, commonly studied in the customer service context as guidelines on the appropriate emotions and expressions (Ekman, 1973; Hochschild, 1983), to the intra-organisational context. The rules often pose positive affect as desirable and negative affect as improper (</w:t>
      </w:r>
      <w:r w:rsidRPr="00C71B3B">
        <w:rPr>
          <w:rFonts w:asciiTheme="majorHAnsi" w:hAnsiTheme="majorHAnsi" w:cstheme="majorHAnsi"/>
          <w:color w:val="auto"/>
          <w:shd w:val="clear" w:color="auto" w:fill="FFFFFF"/>
        </w:rPr>
        <w:t xml:space="preserve">Edwards et al., 2017), which reflected in our data indicating deliberate efforts to display positivity and </w:t>
      </w:r>
      <w:r w:rsidRPr="00C71B3B">
        <w:rPr>
          <w:rFonts w:asciiTheme="majorHAnsi" w:eastAsiaTheme="minorHAnsi" w:hAnsiTheme="majorHAnsi" w:cstheme="majorHAnsi"/>
          <w:color w:val="auto"/>
          <w:lang w:eastAsia="en-US"/>
        </w:rPr>
        <w:t>conceal non-positive reactions. T</w:t>
      </w:r>
      <w:r w:rsidRPr="00C71B3B">
        <w:rPr>
          <w:rFonts w:asciiTheme="majorHAnsi" w:hAnsiTheme="majorHAnsi" w:cstheme="majorHAnsi"/>
          <w:color w:val="auto"/>
        </w:rPr>
        <w:t xml:space="preserve">he finding </w:t>
      </w:r>
      <w:r w:rsidRPr="00C71B3B">
        <w:rPr>
          <w:rFonts w:asciiTheme="majorHAnsi" w:hAnsiTheme="majorHAnsi" w:cstheme="majorHAnsi"/>
          <w:color w:val="auto"/>
        </w:rPr>
        <w:lastRenderedPageBreak/>
        <w:t xml:space="preserve">that negative reactions can be withheld due to perceived inappropriateness supports the argument of negative affect’s radicalisation in the public discourse (e.g., Forgas, 2013). </w:t>
      </w:r>
    </w:p>
    <w:p w14:paraId="07307E7F" w14:textId="77777777" w:rsidR="007551A5" w:rsidRPr="00C71B3B" w:rsidRDefault="007551A5" w:rsidP="005125FC">
      <w:pPr>
        <w:rPr>
          <w:rFonts w:asciiTheme="majorHAnsi" w:hAnsiTheme="majorHAnsi" w:cstheme="majorHAnsi"/>
          <w:color w:val="auto"/>
        </w:rPr>
      </w:pPr>
      <w:r w:rsidRPr="00C71B3B">
        <w:rPr>
          <w:rFonts w:asciiTheme="majorHAnsi" w:hAnsiTheme="majorHAnsi" w:cstheme="majorHAnsi"/>
          <w:color w:val="auto"/>
        </w:rPr>
        <w:t xml:space="preserve">We further show that a strong focus on positivity can be perceived by employees as a coercive norm. Employee and managerial accounts aligned in viewing positivity imposition as a way of employee identity regulation to secure better performance. Normative control elements were ingrained into the discourse and organisational systems to construct, maintain, and cultivate a positive identity by shaping employee cognition, affect, and behaviours (Alvesson et. al., 2000) and rewarding positivity displays (Paring et al., 2017). This identity matched the description of someone “hardworking, flexible, and docile…who breaks easily into a smile” (Gabriel, 1999, p.180). Yet, we found that imposing was not necessarily deliberate, for instance, when thrown as a causal comment meaning no harm but also unrecognising potential adverse effects. Further, managerial expectations aligned closely with the organisational discourse as managers did not recognise they may impose positivity although they suggested linking it with selection and reward systems and reported experiencing positivity display pressure themselves. An explanation could lie in the normalisation of imposing at a broader, societal level, where the positivity discourse is rarely challenged and has become naturalised (Held, 2018; Salerno, 2009). </w:t>
      </w:r>
    </w:p>
    <w:p w14:paraId="6A717446" w14:textId="77777777" w:rsidR="007551A5" w:rsidRPr="00C71B3B" w:rsidRDefault="007551A5" w:rsidP="005125FC">
      <w:pPr>
        <w:rPr>
          <w:rFonts w:asciiTheme="majorHAnsi" w:hAnsiTheme="majorHAnsi" w:cstheme="majorHAnsi"/>
          <w:color w:val="auto"/>
        </w:rPr>
      </w:pPr>
      <w:bookmarkStart w:id="1" w:name="_Hlk67322737"/>
      <w:r w:rsidRPr="00C71B3B">
        <w:rPr>
          <w:rFonts w:asciiTheme="majorHAnsi" w:hAnsiTheme="majorHAnsi" w:cstheme="majorHAnsi"/>
          <w:color w:val="auto"/>
        </w:rPr>
        <w:t xml:space="preserve">With the evidence on ineffectiveness of imposing positivity we extend the literature on the failure of control attempts when employees do not identify with the promoted identity (Alvesson &amp; Willmott, 2002). Our study revealed that individuals largely did not internalise the imposed content, likely because positivity display pressure indicated the thwarting of autonomy (Deci &amp; Ryan, 2012), prompting them to regain it through non-compliance (Brehm, 1966). Alternatively, this could be because employees did not share the meanings attached to positivity </w:t>
      </w:r>
      <w:r w:rsidRPr="00C71B3B">
        <w:rPr>
          <w:rFonts w:asciiTheme="majorHAnsi" w:hAnsiTheme="majorHAnsi" w:cstheme="majorHAnsi"/>
          <w:color w:val="auto"/>
        </w:rPr>
        <w:lastRenderedPageBreak/>
        <w:t xml:space="preserve">by managers and the organisational discourse, such as agreeableness, resulting in cognitive dissonance reduced by rejecting the imposed identity and its meanings (Festinger, 1957). </w:t>
      </w:r>
    </w:p>
    <w:p w14:paraId="1D868CBB" w14:textId="26B7D79F" w:rsidR="007551A5" w:rsidRPr="00C71B3B" w:rsidRDefault="007551A5" w:rsidP="005125FC">
      <w:pPr>
        <w:rPr>
          <w:rFonts w:asciiTheme="majorHAnsi" w:hAnsiTheme="majorHAnsi" w:cstheme="majorHAnsi"/>
          <w:color w:val="auto"/>
        </w:rPr>
      </w:pPr>
      <w:r w:rsidRPr="00C71B3B">
        <w:rPr>
          <w:rFonts w:asciiTheme="majorHAnsi" w:hAnsiTheme="majorHAnsi" w:cstheme="majorHAnsi"/>
          <w:color w:val="auto"/>
        </w:rPr>
        <w:t xml:space="preserve">Employee resistance to imposed positivity manifesting in self-censoring to meet positivity expectations without internalising, falls under the individual infrapolitics category (Mumby et al., 2017). It can be interpreted as “decaf resistance” offering symbolic autonomy (Contu, 2008) and thus acting as a coping strategy but often failing to challenge normative control (Mumby et al., 2017). </w:t>
      </w:r>
      <w:bookmarkEnd w:id="1"/>
      <w:r w:rsidRPr="00C71B3B">
        <w:rPr>
          <w:rFonts w:asciiTheme="majorHAnsi" w:hAnsiTheme="majorHAnsi" w:cstheme="majorHAnsi"/>
          <w:color w:val="auto"/>
        </w:rPr>
        <w:t xml:space="preserve">When imposing focused on the affective component of positivity, faking fit the description of surface acting, which implies modifying one’s emotional expressions to display organisationally expected positive emotions and hide negative ones without changing beliefs (Grandey, 2015). </w:t>
      </w:r>
      <w:r w:rsidR="00D4651D" w:rsidRPr="00C71B3B">
        <w:rPr>
          <w:rFonts w:asciiTheme="majorHAnsi" w:hAnsiTheme="majorHAnsi" w:cstheme="majorHAnsi"/>
          <w:color w:val="auto"/>
        </w:rPr>
        <w:t>By</w:t>
      </w:r>
      <w:r w:rsidRPr="00C71B3B">
        <w:rPr>
          <w:rFonts w:asciiTheme="majorHAnsi" w:hAnsiTheme="majorHAnsi" w:cstheme="majorHAnsi"/>
          <w:color w:val="auto"/>
        </w:rPr>
        <w:t xml:space="preserve"> identifying surface acting as an atypical strategic form of resistance</w:t>
      </w:r>
      <w:r w:rsidR="00D4651D" w:rsidRPr="00C71B3B">
        <w:rPr>
          <w:rFonts w:asciiTheme="majorHAnsi" w:hAnsiTheme="majorHAnsi" w:cstheme="majorHAnsi"/>
          <w:color w:val="auto"/>
        </w:rPr>
        <w:t>, we</w:t>
      </w:r>
      <w:r w:rsidRPr="00C71B3B">
        <w:rPr>
          <w:rFonts w:asciiTheme="majorHAnsi" w:hAnsiTheme="majorHAnsi" w:cstheme="majorHAnsi"/>
          <w:color w:val="auto"/>
        </w:rPr>
        <w:t xml:space="preserve"> add to the knowledge about its underlying motives in interorganisational interactions (Gabriel et al., 2023). </w:t>
      </w:r>
    </w:p>
    <w:p w14:paraId="138E2177" w14:textId="593002A2" w:rsidR="00765779" w:rsidRPr="00C71B3B" w:rsidRDefault="007551A5" w:rsidP="005125FC">
      <w:pPr>
        <w:rPr>
          <w:rFonts w:asciiTheme="majorHAnsi" w:hAnsiTheme="majorHAnsi" w:cstheme="majorHAnsi"/>
          <w:color w:val="auto"/>
        </w:rPr>
      </w:pPr>
      <w:r w:rsidRPr="00C71B3B">
        <w:rPr>
          <w:rFonts w:asciiTheme="majorHAnsi" w:hAnsiTheme="majorHAnsi" w:cstheme="majorHAnsi"/>
          <w:color w:val="auto"/>
        </w:rPr>
        <w:t xml:space="preserve">Additionally, complying superficially (Gill, 2019) by creating the “right” impression and communicating only the positive up the hierarchy protected employees from aversive outcomes including </w:t>
      </w:r>
      <w:bookmarkStart w:id="2" w:name="_Hlk67322883"/>
      <w:bookmarkStart w:id="3" w:name="_Hlk67322808"/>
      <w:r w:rsidRPr="00C71B3B">
        <w:rPr>
          <w:rFonts w:asciiTheme="majorHAnsi" w:hAnsiTheme="majorHAnsi" w:cstheme="majorHAnsi"/>
          <w:color w:val="auto"/>
        </w:rPr>
        <w:t xml:space="preserve">the “negative” label, managerial disapproval, and social exclusion, consistent with stigma theory (Goffman, 1968). </w:t>
      </w:r>
      <w:bookmarkEnd w:id="2"/>
      <w:r w:rsidRPr="00C71B3B">
        <w:rPr>
          <w:rFonts w:asciiTheme="majorHAnsi" w:hAnsiTheme="majorHAnsi" w:cstheme="majorHAnsi"/>
          <w:color w:val="auto"/>
        </w:rPr>
        <w:t xml:space="preserve">In this sense, faking may have provided autonomy and a safe personal space “less accessible to the controlling gaze” (Gabriel, 1999, p. 197) of the organisation and helped regain control. </w:t>
      </w:r>
      <w:r w:rsidR="00C27EC9" w:rsidRPr="00C71B3B">
        <w:rPr>
          <w:rFonts w:asciiTheme="majorHAnsi" w:hAnsiTheme="majorHAnsi" w:cstheme="majorHAnsi"/>
          <w:color w:val="auto"/>
        </w:rPr>
        <w:t xml:space="preserve">For both groups, faking felt like a psychological struggle, which was akin to negative effects of surface acting on wellbeing including stress and strain (Hülsheger &amp; Schewe, 2011; Kammeyer-Mueller et al, 2013), exposing faking as hurtful resistance (Fa et al., 2022). </w:t>
      </w:r>
      <w:r w:rsidRPr="00C71B3B">
        <w:rPr>
          <w:rFonts w:asciiTheme="majorHAnsi" w:hAnsiTheme="majorHAnsi" w:cstheme="majorHAnsi"/>
          <w:color w:val="auto"/>
        </w:rPr>
        <w:t xml:space="preserve">However, higher levels of confidence and awareness of one’s strengths and expertise decreased the perceived need to fake, which suggests a protective influence of efficacy beliefs against positivity display pressure. </w:t>
      </w:r>
    </w:p>
    <w:p w14:paraId="7CFEA792" w14:textId="6EEE7687" w:rsidR="007551A5" w:rsidRPr="00C71B3B" w:rsidRDefault="007551A5" w:rsidP="005125FC">
      <w:pPr>
        <w:ind w:firstLine="0"/>
        <w:rPr>
          <w:rFonts w:asciiTheme="majorHAnsi" w:hAnsiTheme="majorHAnsi" w:cstheme="majorHAnsi"/>
          <w:b/>
          <w:bCs/>
          <w:color w:val="auto"/>
        </w:rPr>
      </w:pPr>
      <w:bookmarkStart w:id="4" w:name="_Hlk67322849"/>
      <w:bookmarkEnd w:id="3"/>
      <w:r w:rsidRPr="00C71B3B">
        <w:rPr>
          <w:rFonts w:asciiTheme="majorHAnsi" w:hAnsiTheme="majorHAnsi" w:cstheme="majorHAnsi"/>
          <w:b/>
          <w:bCs/>
          <w:color w:val="auto"/>
        </w:rPr>
        <w:lastRenderedPageBreak/>
        <w:t xml:space="preserve">Practical implications </w:t>
      </w:r>
    </w:p>
    <w:p w14:paraId="506F8B31" w14:textId="77777777" w:rsidR="007551A5" w:rsidRPr="00C71B3B" w:rsidRDefault="007551A5" w:rsidP="005125FC">
      <w:pPr>
        <w:rPr>
          <w:rFonts w:asciiTheme="majorHAnsi" w:hAnsiTheme="majorHAnsi" w:cstheme="majorHAnsi"/>
          <w:color w:val="auto"/>
        </w:rPr>
      </w:pPr>
      <w:r w:rsidRPr="00C71B3B">
        <w:rPr>
          <w:rFonts w:asciiTheme="majorHAnsi" w:hAnsiTheme="majorHAnsi" w:cstheme="majorHAnsi"/>
          <w:color w:val="auto"/>
        </w:rPr>
        <w:t xml:space="preserve">On a practical level, our findings that the organisational focus on the positive in communications and interactions generates unintended consequences support critique of the unreflective promotion of positivity in organisations and emphasise the importance of facilitating it in intelligent and strategic ways. In addition, our findings suggest that the enforcement may suppress legitimate concerns that misalign with the positive discourse, whereas challenging compulsory positivity can be risky for one’s career and reputation. This can eventually discourage speaking up and undermine psychological safety (Edmondson &amp; Bransby, 2023). Further, coercing employees to positivity may trigger maladaptive emotion regulation strategies (Ciarrochi et al., 2016). We therefore recommend lessening the calls for demonstrating “passion, relentless drive, and enthusiasm” in organisational documents and communications and instead creating climates conducive to positivity (Grandey et al., 2015). We recommend delinking demonstrations of positivity and rewards in organisational documents as such a connection can shift the focus away from work efforts to meeting the behavioural expectations (Ferris et al., 1989). As faking by leaders was detectable, detrimental for follower perceptions of leaders, and, harmful to the actor’s wellbeing, it is to be discouraged, which can largely be achieved via reducing imposing in the organisational discourse. Finally, as participants engaged with vignettes, similar tools could be used by practitioners to facilitate positivity through encouraging reflection. </w:t>
      </w:r>
    </w:p>
    <w:p w14:paraId="623BBA14" w14:textId="77777777" w:rsidR="007551A5" w:rsidRPr="00C71B3B" w:rsidRDefault="007551A5" w:rsidP="005125FC">
      <w:pPr>
        <w:ind w:firstLine="0"/>
        <w:rPr>
          <w:rFonts w:asciiTheme="majorHAnsi" w:hAnsiTheme="majorHAnsi" w:cstheme="majorHAnsi"/>
          <w:b/>
          <w:bCs/>
          <w:color w:val="auto"/>
        </w:rPr>
      </w:pPr>
      <w:r w:rsidRPr="00C71B3B">
        <w:rPr>
          <w:rFonts w:asciiTheme="majorHAnsi" w:hAnsiTheme="majorHAnsi" w:cstheme="majorHAnsi"/>
          <w:b/>
          <w:bCs/>
          <w:color w:val="auto"/>
        </w:rPr>
        <w:t>Limitations and future research suggestions</w:t>
      </w:r>
    </w:p>
    <w:p w14:paraId="285E84F5" w14:textId="393281BB" w:rsidR="007551A5" w:rsidRPr="00C71B3B" w:rsidRDefault="007551A5" w:rsidP="005125FC">
      <w:pPr>
        <w:rPr>
          <w:rFonts w:asciiTheme="majorHAnsi" w:hAnsiTheme="majorHAnsi" w:cstheme="majorHAnsi"/>
          <w:color w:val="auto"/>
        </w:rPr>
      </w:pPr>
      <w:r w:rsidRPr="00C71B3B">
        <w:rPr>
          <w:rFonts w:asciiTheme="majorHAnsi" w:hAnsiTheme="majorHAnsi" w:cstheme="majorHAnsi"/>
          <w:color w:val="auto"/>
        </w:rPr>
        <w:t>Our findings must be interpreted in the light of several limitations of the study. While vignette discussions provided rich insights and complemented data acquired through interview questions, they may not encapsulate the complexities of real-life experiences</w:t>
      </w:r>
      <w:r w:rsidR="00A34A90" w:rsidRPr="00C71B3B">
        <w:rPr>
          <w:rFonts w:asciiTheme="majorHAnsi" w:hAnsiTheme="majorHAnsi" w:cstheme="majorHAnsi"/>
          <w:color w:val="auto"/>
        </w:rPr>
        <w:t xml:space="preserve"> </w:t>
      </w:r>
      <w:r w:rsidRPr="00C71B3B">
        <w:rPr>
          <w:rFonts w:asciiTheme="majorHAnsi" w:hAnsiTheme="majorHAnsi" w:cstheme="majorHAnsi"/>
          <w:color w:val="auto"/>
        </w:rPr>
        <w:t xml:space="preserve">(Hughes &amp; Huby, </w:t>
      </w:r>
      <w:r w:rsidRPr="00C71B3B">
        <w:rPr>
          <w:rFonts w:asciiTheme="majorHAnsi" w:hAnsiTheme="majorHAnsi" w:cstheme="majorHAnsi"/>
          <w:color w:val="auto"/>
        </w:rPr>
        <w:lastRenderedPageBreak/>
        <w:t xml:space="preserve">2004). However, our primary interest was in their ability to elicit detailed, reflective responses, allowing for a focused exploration of participants’ perceptions and experiences of imposed positivity which the vignette discussions contributed to. Future research could investigate imposed positivity using interviews alone or in combination with observations in specific organisational contexts and professional fields to enrich our findings derived from a global diverse sample. It could specifically focus on identifying mechanisms and boundary conditions for why and when imposing positivity may create negative perceptions and emotional distress contributing to perceived pressure for positivity. </w:t>
      </w:r>
    </w:p>
    <w:p w14:paraId="4D1F6FDD" w14:textId="52370C4B" w:rsidR="007551A5" w:rsidRPr="00C71B3B" w:rsidRDefault="007551A5" w:rsidP="005125FC">
      <w:pPr>
        <w:rPr>
          <w:rFonts w:asciiTheme="majorHAnsi" w:hAnsiTheme="majorHAnsi" w:cstheme="majorHAnsi"/>
          <w:color w:val="auto"/>
        </w:rPr>
      </w:pPr>
      <w:r w:rsidRPr="00C71B3B">
        <w:rPr>
          <w:rFonts w:asciiTheme="majorHAnsi" w:hAnsiTheme="majorHAnsi" w:cstheme="majorHAnsi"/>
          <w:color w:val="auto"/>
        </w:rPr>
        <w:t>To extend our focus on conceptual understanding of compulsory positivity at work, future studies can explore phenomenological and discoursal aspects of the phenomenon to obtain a holistic understanding. Further, it will be interesting to expand on employee/managerial perspective differences, as well as differences on organic, naturally occurring positivity and imposed one and what impedes the former. In addition, future research can explore the disparity between employee perceptions of corporate communications aimed at promoting positivity and the intended impressions sought by the communication creators. The indications that people not appearing positive may be excluded require further investigation. Future research could also consider questions of the disconnects between promoted positive and actual identities</w:t>
      </w:r>
      <w:r w:rsidR="00B4703B" w:rsidRPr="00C71B3B">
        <w:rPr>
          <w:rFonts w:asciiTheme="majorHAnsi" w:hAnsiTheme="majorHAnsi" w:cstheme="majorHAnsi"/>
          <w:color w:val="auto"/>
        </w:rPr>
        <w:t xml:space="preserve"> and</w:t>
      </w:r>
      <w:r w:rsidRPr="00C71B3B">
        <w:rPr>
          <w:rFonts w:asciiTheme="majorHAnsi" w:hAnsiTheme="majorHAnsi" w:cstheme="majorHAnsi"/>
          <w:color w:val="auto"/>
        </w:rPr>
        <w:t xml:space="preserve"> adopt alternative theoretical lenses to establish the underlying motives of unintended imposing not entirely captured by the identity regulation perspective</w:t>
      </w:r>
      <w:r w:rsidR="00B4703B" w:rsidRPr="00C71B3B">
        <w:rPr>
          <w:rFonts w:asciiTheme="majorHAnsi" w:hAnsiTheme="majorHAnsi" w:cstheme="majorHAnsi"/>
          <w:color w:val="auto"/>
        </w:rPr>
        <w:t xml:space="preserve">. </w:t>
      </w:r>
    </w:p>
    <w:bookmarkEnd w:id="4"/>
    <w:p w14:paraId="4A13485A" w14:textId="77777777" w:rsidR="007551A5" w:rsidRPr="00C71B3B" w:rsidRDefault="007551A5" w:rsidP="005125FC">
      <w:pPr>
        <w:ind w:firstLine="0"/>
        <w:rPr>
          <w:rFonts w:asciiTheme="majorHAnsi" w:eastAsiaTheme="minorHAnsi" w:hAnsiTheme="majorHAnsi" w:cstheme="majorHAnsi"/>
          <w:b/>
          <w:bCs/>
          <w:color w:val="auto"/>
          <w:lang w:eastAsia="en-US"/>
        </w:rPr>
      </w:pPr>
      <w:r w:rsidRPr="00C71B3B">
        <w:rPr>
          <w:rFonts w:asciiTheme="majorHAnsi" w:eastAsiaTheme="minorHAnsi" w:hAnsiTheme="majorHAnsi" w:cstheme="majorHAnsi"/>
          <w:b/>
          <w:bCs/>
          <w:color w:val="auto"/>
          <w:lang w:eastAsia="en-US"/>
        </w:rPr>
        <w:t xml:space="preserve">Conclusion </w:t>
      </w:r>
    </w:p>
    <w:p w14:paraId="1D83C31B" w14:textId="60E3DD59" w:rsidR="00427447" w:rsidRPr="00C71B3B" w:rsidRDefault="007551A5" w:rsidP="00427447">
      <w:pPr>
        <w:rPr>
          <w:rFonts w:asciiTheme="majorHAnsi" w:hAnsiTheme="majorHAnsi" w:cstheme="majorHAnsi"/>
          <w:color w:val="auto"/>
        </w:rPr>
      </w:pPr>
      <w:r w:rsidRPr="00C71B3B">
        <w:rPr>
          <w:rFonts w:asciiTheme="majorHAnsi" w:eastAsiaTheme="minorHAnsi" w:hAnsiTheme="majorHAnsi" w:cstheme="majorHAnsi"/>
          <w:color w:val="auto"/>
          <w:lang w:eastAsia="en-US"/>
        </w:rPr>
        <w:t xml:space="preserve">We explored </w:t>
      </w:r>
      <w:r w:rsidR="00604423" w:rsidRPr="00C71B3B">
        <w:rPr>
          <w:rFonts w:asciiTheme="majorHAnsi" w:eastAsiaTheme="minorHAnsi" w:hAnsiTheme="majorHAnsi" w:cstheme="majorHAnsi"/>
          <w:color w:val="auto"/>
          <w:lang w:eastAsia="en-US"/>
        </w:rPr>
        <w:t>how positivity is imposed</w:t>
      </w:r>
      <w:r w:rsidRPr="00C71B3B">
        <w:rPr>
          <w:rFonts w:asciiTheme="majorHAnsi" w:eastAsiaTheme="minorHAnsi" w:hAnsiTheme="majorHAnsi" w:cstheme="majorHAnsi"/>
          <w:color w:val="auto"/>
          <w:lang w:eastAsia="en-US"/>
        </w:rPr>
        <w:t xml:space="preserve"> on employees</w:t>
      </w:r>
      <w:r w:rsidR="005F5C91" w:rsidRPr="00C71B3B">
        <w:rPr>
          <w:rFonts w:asciiTheme="majorHAnsi" w:eastAsiaTheme="minorHAnsi" w:hAnsiTheme="majorHAnsi" w:cstheme="majorHAnsi"/>
          <w:color w:val="auto"/>
          <w:lang w:eastAsia="en-US"/>
        </w:rPr>
        <w:t>,</w:t>
      </w:r>
      <w:r w:rsidRPr="00C71B3B">
        <w:rPr>
          <w:rFonts w:asciiTheme="majorHAnsi" w:eastAsiaTheme="minorHAnsi" w:hAnsiTheme="majorHAnsi" w:cstheme="majorHAnsi"/>
          <w:color w:val="auto"/>
          <w:lang w:eastAsia="en-US"/>
        </w:rPr>
        <w:t xml:space="preserve"> using interview, vignette discussion, and document data</w:t>
      </w:r>
      <w:r w:rsidR="005F5C91" w:rsidRPr="00C71B3B">
        <w:rPr>
          <w:rFonts w:asciiTheme="majorHAnsi" w:eastAsiaTheme="minorHAnsi" w:hAnsiTheme="majorHAnsi" w:cstheme="majorHAnsi"/>
          <w:color w:val="auto"/>
          <w:lang w:eastAsia="en-US"/>
        </w:rPr>
        <w:t xml:space="preserve"> to create</w:t>
      </w:r>
      <w:r w:rsidRPr="00C71B3B">
        <w:rPr>
          <w:rFonts w:asciiTheme="majorHAnsi" w:eastAsiaTheme="minorHAnsi" w:hAnsiTheme="majorHAnsi" w:cstheme="majorHAnsi"/>
          <w:color w:val="auto"/>
          <w:lang w:eastAsia="en-US"/>
        </w:rPr>
        <w:t xml:space="preserve"> </w:t>
      </w:r>
      <w:r w:rsidR="005F5C91" w:rsidRPr="00C71B3B">
        <w:rPr>
          <w:rFonts w:asciiTheme="majorHAnsi" w:eastAsiaTheme="minorHAnsi" w:hAnsiTheme="majorHAnsi" w:cstheme="majorHAnsi"/>
          <w:color w:val="auto"/>
          <w:lang w:eastAsia="en-US"/>
        </w:rPr>
        <w:t xml:space="preserve">a </w:t>
      </w:r>
      <w:r w:rsidRPr="00C71B3B">
        <w:rPr>
          <w:rFonts w:asciiTheme="majorHAnsi" w:eastAsiaTheme="minorHAnsi" w:hAnsiTheme="majorHAnsi" w:cstheme="majorHAnsi"/>
          <w:color w:val="auto"/>
          <w:lang w:eastAsia="en-US"/>
        </w:rPr>
        <w:t xml:space="preserve">typology </w:t>
      </w:r>
      <w:r w:rsidR="00CF09F4" w:rsidRPr="00C71B3B">
        <w:rPr>
          <w:rFonts w:asciiTheme="majorHAnsi" w:eastAsiaTheme="minorHAnsi" w:hAnsiTheme="majorHAnsi" w:cstheme="majorHAnsi"/>
          <w:color w:val="auto"/>
          <w:lang w:eastAsia="en-US"/>
        </w:rPr>
        <w:t xml:space="preserve">and </w:t>
      </w:r>
      <w:r w:rsidRPr="00C71B3B">
        <w:rPr>
          <w:rFonts w:asciiTheme="majorHAnsi" w:eastAsiaTheme="minorHAnsi" w:hAnsiTheme="majorHAnsi" w:cstheme="majorHAnsi"/>
          <w:color w:val="auto"/>
          <w:lang w:eastAsia="en-US"/>
        </w:rPr>
        <w:t>conceptual model</w:t>
      </w:r>
      <w:r w:rsidR="00CF09F4" w:rsidRPr="00C71B3B">
        <w:rPr>
          <w:rFonts w:asciiTheme="majorHAnsi" w:eastAsiaTheme="minorHAnsi" w:hAnsiTheme="majorHAnsi" w:cstheme="majorHAnsi"/>
          <w:color w:val="auto"/>
          <w:lang w:eastAsia="en-US"/>
        </w:rPr>
        <w:t xml:space="preserve"> detailing</w:t>
      </w:r>
      <w:r w:rsidRPr="00C71B3B">
        <w:rPr>
          <w:rFonts w:asciiTheme="majorHAnsi" w:eastAsiaTheme="minorHAnsi" w:hAnsiTheme="majorHAnsi" w:cstheme="majorHAnsi"/>
          <w:color w:val="auto"/>
          <w:lang w:eastAsia="en-US"/>
        </w:rPr>
        <w:t xml:space="preserve"> its cognitive, affective, and behavioural outcomes, including faking. Our paper advances the knowledge about </w:t>
      </w:r>
      <w:r w:rsidRPr="00C71B3B">
        <w:rPr>
          <w:rFonts w:asciiTheme="majorHAnsi" w:eastAsiaTheme="minorHAnsi" w:hAnsiTheme="majorHAnsi" w:cstheme="majorHAnsi"/>
          <w:color w:val="auto"/>
          <w:lang w:eastAsia="en-US"/>
        </w:rPr>
        <w:lastRenderedPageBreak/>
        <w:t xml:space="preserve">positivity at work by shedding light on the unintended effects of imposing positivity, framed as a control form but potentially contributing to perceived obligation to demonstrate positivity, and identifies emotional labour as individual resistance to this form of identity regulation. We </w:t>
      </w:r>
      <w:r w:rsidR="009E59CF" w:rsidRPr="00C71B3B">
        <w:rPr>
          <w:rFonts w:asciiTheme="majorHAnsi" w:eastAsiaTheme="minorHAnsi" w:hAnsiTheme="majorHAnsi" w:cstheme="majorHAnsi"/>
          <w:color w:val="auto"/>
          <w:lang w:eastAsia="en-US"/>
        </w:rPr>
        <w:t>demonstrate the potential harm of enforced positivity and</w:t>
      </w:r>
      <w:r w:rsidRPr="00C71B3B">
        <w:rPr>
          <w:rFonts w:asciiTheme="majorHAnsi" w:hAnsiTheme="majorHAnsi" w:cstheme="majorHAnsi"/>
          <w:color w:val="auto"/>
        </w:rPr>
        <w:t xml:space="preserve"> provide practical recommendations concerning the unreflective promotion of positivity at work. </w:t>
      </w:r>
    </w:p>
    <w:p w14:paraId="2BFBF16B" w14:textId="77777777" w:rsidR="00DE48D5" w:rsidRPr="00C71B3B" w:rsidRDefault="00DE48D5">
      <w:pPr>
        <w:rPr>
          <w:rFonts w:asciiTheme="majorHAnsi" w:hAnsiTheme="majorHAnsi" w:cstheme="majorHAnsi"/>
          <w:b/>
          <w:bCs/>
          <w:color w:val="auto"/>
        </w:rPr>
      </w:pPr>
      <w:r w:rsidRPr="00C71B3B">
        <w:rPr>
          <w:rFonts w:asciiTheme="majorHAnsi" w:hAnsiTheme="majorHAnsi" w:cstheme="majorHAnsi"/>
          <w:b/>
          <w:bCs/>
          <w:color w:val="auto"/>
        </w:rPr>
        <w:br w:type="page"/>
      </w:r>
    </w:p>
    <w:p w14:paraId="1BD34D2D" w14:textId="4BA5A01A" w:rsidR="00D938DE" w:rsidRPr="00103556" w:rsidRDefault="00D938DE" w:rsidP="00427447">
      <w:pPr>
        <w:jc w:val="center"/>
        <w:rPr>
          <w:rFonts w:asciiTheme="majorHAnsi" w:hAnsiTheme="majorHAnsi" w:cstheme="majorHAnsi"/>
          <w:b/>
          <w:bCs/>
          <w:color w:val="auto"/>
        </w:rPr>
      </w:pPr>
      <w:r w:rsidRPr="00103556">
        <w:rPr>
          <w:rFonts w:asciiTheme="majorHAnsi" w:hAnsiTheme="majorHAnsi" w:cstheme="majorHAnsi"/>
          <w:b/>
          <w:bCs/>
          <w:color w:val="auto"/>
        </w:rPr>
        <w:lastRenderedPageBreak/>
        <w:t>References</w:t>
      </w:r>
    </w:p>
    <w:p w14:paraId="14447517" w14:textId="77777777" w:rsidR="00D938DE" w:rsidRPr="00103556" w:rsidRDefault="00D938DE" w:rsidP="007F3AB4">
      <w:pPr>
        <w:ind w:firstLine="0"/>
        <w:rPr>
          <w:rFonts w:asciiTheme="majorHAnsi" w:hAnsiTheme="majorHAnsi" w:cstheme="majorHAnsi"/>
          <w:color w:val="auto"/>
          <w:shd w:val="clear" w:color="auto" w:fill="FFFFFF"/>
        </w:rPr>
      </w:pPr>
      <w:r w:rsidRPr="00103556">
        <w:rPr>
          <w:rFonts w:asciiTheme="majorHAnsi" w:hAnsiTheme="majorHAnsi" w:cstheme="majorHAnsi"/>
          <w:color w:val="auto"/>
          <w:shd w:val="clear" w:color="auto" w:fill="FFFFFF"/>
        </w:rPr>
        <w:t xml:space="preserve">Alvesson, M. (2000). Social identity and the problem of loyalty in knowledge‐intensive </w:t>
      </w:r>
    </w:p>
    <w:p w14:paraId="214CC09C" w14:textId="77777777" w:rsidR="00D938DE" w:rsidRPr="00103556" w:rsidRDefault="00D938DE" w:rsidP="007F3AB4">
      <w:pPr>
        <w:ind w:left="720" w:firstLine="0"/>
        <w:rPr>
          <w:rStyle w:val="Hyperlink"/>
          <w:rFonts w:asciiTheme="majorHAnsi" w:eastAsia="Times New Roman" w:hAnsiTheme="majorHAnsi" w:cstheme="majorHAnsi"/>
          <w:color w:val="auto"/>
          <w:lang w:eastAsia="en-GB"/>
        </w:rPr>
      </w:pPr>
      <w:r w:rsidRPr="00103556">
        <w:rPr>
          <w:rFonts w:asciiTheme="majorHAnsi" w:hAnsiTheme="majorHAnsi" w:cstheme="majorHAnsi"/>
          <w:color w:val="auto"/>
          <w:shd w:val="clear" w:color="auto" w:fill="FFFFFF"/>
        </w:rPr>
        <w:t>companies. </w:t>
      </w:r>
      <w:r w:rsidRPr="00103556">
        <w:rPr>
          <w:rFonts w:asciiTheme="majorHAnsi" w:hAnsiTheme="majorHAnsi" w:cstheme="majorHAnsi"/>
          <w:i/>
          <w:iCs/>
          <w:color w:val="auto"/>
          <w:shd w:val="clear" w:color="auto" w:fill="FFFFFF"/>
        </w:rPr>
        <w:t>Journal of management studies</w:t>
      </w:r>
      <w:r w:rsidRPr="00103556">
        <w:rPr>
          <w:rFonts w:asciiTheme="majorHAnsi" w:hAnsiTheme="majorHAnsi" w:cstheme="majorHAnsi"/>
          <w:color w:val="auto"/>
          <w:shd w:val="clear" w:color="auto" w:fill="FFFFFF"/>
        </w:rPr>
        <w:t>, </w:t>
      </w:r>
      <w:r w:rsidRPr="00103556">
        <w:rPr>
          <w:rFonts w:asciiTheme="majorHAnsi" w:hAnsiTheme="majorHAnsi" w:cstheme="majorHAnsi"/>
          <w:i/>
          <w:iCs/>
          <w:color w:val="auto"/>
          <w:shd w:val="clear" w:color="auto" w:fill="FFFFFF"/>
        </w:rPr>
        <w:t>37</w:t>
      </w:r>
      <w:r w:rsidRPr="00103556">
        <w:rPr>
          <w:rFonts w:asciiTheme="majorHAnsi" w:hAnsiTheme="majorHAnsi" w:cstheme="majorHAnsi"/>
          <w:color w:val="auto"/>
          <w:shd w:val="clear" w:color="auto" w:fill="FFFFFF"/>
        </w:rPr>
        <w:t xml:space="preserve">(8), 1101-1124. </w:t>
      </w:r>
      <w:hyperlink r:id="rId13" w:history="1">
        <w:r w:rsidRPr="00103556">
          <w:rPr>
            <w:rStyle w:val="Hyperlink"/>
            <w:rFonts w:asciiTheme="majorHAnsi" w:eastAsia="Times New Roman" w:hAnsiTheme="majorHAnsi" w:cstheme="majorHAnsi"/>
            <w:color w:val="auto"/>
            <w:shd w:val="clear" w:color="auto" w:fill="FFFFFF"/>
            <w:lang w:eastAsia="en-GB"/>
          </w:rPr>
          <w:t>https://doi.org/10.1111/1467-6486.00218</w:t>
        </w:r>
      </w:hyperlink>
      <w:r w:rsidRPr="00103556">
        <w:rPr>
          <w:rStyle w:val="Hyperlink"/>
          <w:rFonts w:asciiTheme="majorHAnsi" w:eastAsia="Times New Roman" w:hAnsiTheme="majorHAnsi" w:cstheme="majorHAnsi"/>
          <w:color w:val="auto"/>
          <w:lang w:eastAsia="en-GB"/>
        </w:rPr>
        <w:t xml:space="preserve"> </w:t>
      </w:r>
    </w:p>
    <w:p w14:paraId="1885DE91" w14:textId="77777777" w:rsidR="00D938DE" w:rsidRPr="00103556" w:rsidRDefault="00D938DE" w:rsidP="007F3AB4">
      <w:pPr>
        <w:ind w:firstLine="0"/>
        <w:rPr>
          <w:rFonts w:asciiTheme="majorHAnsi" w:hAnsiTheme="majorHAnsi" w:cstheme="majorHAnsi"/>
          <w:color w:val="auto"/>
          <w:shd w:val="clear" w:color="auto" w:fill="FFFFFF"/>
        </w:rPr>
      </w:pPr>
      <w:r w:rsidRPr="00103556">
        <w:rPr>
          <w:rFonts w:asciiTheme="majorHAnsi" w:hAnsiTheme="majorHAnsi" w:cstheme="majorHAnsi"/>
          <w:color w:val="auto"/>
          <w:shd w:val="clear" w:color="auto" w:fill="FFFFFF"/>
        </w:rPr>
        <w:t xml:space="preserve">Alvesson, M., Lee Ashcraft, K., &amp; Thomas, R. (2008). Identity matters: Reflections on the </w:t>
      </w:r>
    </w:p>
    <w:p w14:paraId="62B81580" w14:textId="77777777" w:rsidR="00D938DE" w:rsidRPr="00103556" w:rsidRDefault="00D938DE" w:rsidP="007F3AB4">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shd w:val="clear" w:color="auto" w:fill="FFFFFF"/>
        </w:rPr>
        <w:t>construction of identity scholarship in organization studies. </w:t>
      </w:r>
      <w:r w:rsidRPr="00103556">
        <w:rPr>
          <w:rFonts w:asciiTheme="majorHAnsi" w:hAnsiTheme="majorHAnsi" w:cstheme="majorHAnsi"/>
          <w:i/>
          <w:iCs/>
          <w:color w:val="auto"/>
          <w:shd w:val="clear" w:color="auto" w:fill="FFFFFF"/>
        </w:rPr>
        <w:t>Organization</w:t>
      </w:r>
      <w:r w:rsidRPr="00103556">
        <w:rPr>
          <w:rFonts w:asciiTheme="majorHAnsi" w:hAnsiTheme="majorHAnsi" w:cstheme="majorHAnsi"/>
          <w:color w:val="auto"/>
          <w:shd w:val="clear" w:color="auto" w:fill="FFFFFF"/>
        </w:rPr>
        <w:t>, </w:t>
      </w:r>
      <w:r w:rsidRPr="00103556">
        <w:rPr>
          <w:rFonts w:asciiTheme="majorHAnsi" w:hAnsiTheme="majorHAnsi" w:cstheme="majorHAnsi"/>
          <w:i/>
          <w:iCs/>
          <w:color w:val="auto"/>
          <w:shd w:val="clear" w:color="auto" w:fill="FFFFFF"/>
        </w:rPr>
        <w:t>15</w:t>
      </w:r>
      <w:r w:rsidRPr="00103556">
        <w:rPr>
          <w:rFonts w:asciiTheme="majorHAnsi" w:hAnsiTheme="majorHAnsi" w:cstheme="majorHAnsi"/>
          <w:color w:val="auto"/>
          <w:shd w:val="clear" w:color="auto" w:fill="FFFFFF"/>
        </w:rPr>
        <w:t xml:space="preserve">(1), 5-28. </w:t>
      </w:r>
      <w:hyperlink r:id="rId14" w:history="1">
        <w:r w:rsidRPr="00103556">
          <w:rPr>
            <w:rStyle w:val="Hyperlink"/>
            <w:rFonts w:asciiTheme="majorHAnsi" w:eastAsia="Times New Roman" w:hAnsiTheme="majorHAnsi" w:cstheme="majorHAnsi"/>
            <w:color w:val="auto"/>
            <w:shd w:val="clear" w:color="auto" w:fill="FFFFFF"/>
            <w:lang w:eastAsia="en-GB"/>
          </w:rPr>
          <w:t>https://doi.org/10.1177/1350508407084426</w:t>
        </w:r>
      </w:hyperlink>
      <w:r w:rsidRPr="00103556">
        <w:rPr>
          <w:rStyle w:val="Hyperlink"/>
          <w:rFonts w:asciiTheme="majorHAnsi" w:eastAsia="Times New Roman" w:hAnsiTheme="majorHAnsi" w:cstheme="majorHAnsi"/>
          <w:color w:val="auto"/>
          <w:lang w:eastAsia="en-GB"/>
        </w:rPr>
        <w:t xml:space="preserve"> </w:t>
      </w:r>
    </w:p>
    <w:p w14:paraId="4B1DAB83" w14:textId="77777777" w:rsidR="00D938DE" w:rsidRPr="00103556" w:rsidRDefault="00D938DE" w:rsidP="007F3AB4">
      <w:pPr>
        <w:ind w:firstLine="0"/>
        <w:rPr>
          <w:rFonts w:asciiTheme="majorHAnsi" w:hAnsiTheme="majorHAnsi" w:cstheme="majorHAnsi"/>
          <w:color w:val="auto"/>
        </w:rPr>
      </w:pPr>
      <w:r w:rsidRPr="00103556">
        <w:rPr>
          <w:rFonts w:asciiTheme="majorHAnsi" w:hAnsiTheme="majorHAnsi" w:cstheme="majorHAnsi"/>
          <w:color w:val="auto"/>
        </w:rPr>
        <w:t xml:space="preserve">Alvesson, M., &amp; Willmott, H. (2002). Identity regulation as organizational control: Producing </w:t>
      </w:r>
    </w:p>
    <w:p w14:paraId="4C499C87" w14:textId="77777777" w:rsidR="00D938DE" w:rsidRPr="00103556" w:rsidRDefault="00D938DE" w:rsidP="007F3AB4">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rPr>
        <w:t xml:space="preserve">the appropriate individual. </w:t>
      </w:r>
      <w:r w:rsidRPr="00103556">
        <w:rPr>
          <w:rFonts w:asciiTheme="majorHAnsi" w:hAnsiTheme="majorHAnsi" w:cstheme="majorHAnsi"/>
          <w:i/>
          <w:iCs/>
          <w:color w:val="auto"/>
        </w:rPr>
        <w:t>Journal of management studies, 39</w:t>
      </w:r>
      <w:r w:rsidRPr="00103556">
        <w:rPr>
          <w:rFonts w:asciiTheme="majorHAnsi" w:hAnsiTheme="majorHAnsi" w:cstheme="majorHAnsi"/>
          <w:color w:val="auto"/>
        </w:rPr>
        <w:t xml:space="preserve">(5), 619-644. </w:t>
      </w:r>
      <w:hyperlink r:id="rId15" w:history="1">
        <w:r w:rsidRPr="00103556">
          <w:rPr>
            <w:rStyle w:val="Hyperlink"/>
            <w:rFonts w:asciiTheme="majorHAnsi" w:eastAsia="Times New Roman" w:hAnsiTheme="majorHAnsi" w:cstheme="majorHAnsi"/>
            <w:color w:val="auto"/>
            <w:shd w:val="clear" w:color="auto" w:fill="FFFFFF"/>
            <w:lang w:eastAsia="en-GB"/>
          </w:rPr>
          <w:t>https://doi.org/10.1111/1467-6486.00305</w:t>
        </w:r>
      </w:hyperlink>
      <w:r w:rsidRPr="00103556">
        <w:rPr>
          <w:rStyle w:val="Hyperlink"/>
          <w:rFonts w:asciiTheme="majorHAnsi" w:eastAsia="Times New Roman" w:hAnsiTheme="majorHAnsi" w:cstheme="majorHAnsi"/>
          <w:color w:val="auto"/>
          <w:shd w:val="clear" w:color="auto" w:fill="FFFFFF"/>
          <w:lang w:eastAsia="en-GB"/>
        </w:rPr>
        <w:t xml:space="preserve"> </w:t>
      </w:r>
    </w:p>
    <w:p w14:paraId="3F06BC03" w14:textId="77777777" w:rsidR="00D938DE" w:rsidRPr="00103556" w:rsidRDefault="00D938DE" w:rsidP="007F3AB4">
      <w:pPr>
        <w:ind w:firstLine="0"/>
        <w:rPr>
          <w:rFonts w:asciiTheme="majorHAnsi" w:hAnsiTheme="majorHAnsi" w:cstheme="majorHAnsi"/>
          <w:color w:val="auto"/>
        </w:rPr>
      </w:pPr>
      <w:r w:rsidRPr="00103556">
        <w:rPr>
          <w:rFonts w:asciiTheme="majorHAnsi" w:hAnsiTheme="majorHAnsi" w:cstheme="majorHAnsi"/>
          <w:color w:val="auto"/>
        </w:rPr>
        <w:t xml:space="preserve">Bennett, O. (2015). </w:t>
      </w:r>
      <w:r w:rsidRPr="00103556">
        <w:rPr>
          <w:rFonts w:asciiTheme="majorHAnsi" w:hAnsiTheme="majorHAnsi" w:cstheme="majorHAnsi"/>
          <w:i/>
          <w:iCs/>
          <w:color w:val="auto"/>
        </w:rPr>
        <w:t>Cultures of Optimism</w:t>
      </w:r>
      <w:r w:rsidRPr="00103556">
        <w:rPr>
          <w:rFonts w:asciiTheme="majorHAnsi" w:hAnsiTheme="majorHAnsi" w:cstheme="majorHAnsi"/>
          <w:color w:val="auto"/>
        </w:rPr>
        <w:t>. London: Palgrave Macmillan.</w:t>
      </w:r>
    </w:p>
    <w:p w14:paraId="0067982F" w14:textId="77777777" w:rsidR="00D938DE" w:rsidRPr="00103556" w:rsidRDefault="00D938DE" w:rsidP="007F3AB4">
      <w:pPr>
        <w:ind w:firstLine="0"/>
        <w:rPr>
          <w:rFonts w:asciiTheme="majorHAnsi" w:hAnsiTheme="majorHAnsi" w:cstheme="majorHAnsi"/>
          <w:i/>
          <w:iCs/>
          <w:color w:val="auto"/>
        </w:rPr>
      </w:pPr>
      <w:r w:rsidRPr="00103556">
        <w:rPr>
          <w:rFonts w:asciiTheme="majorHAnsi" w:hAnsiTheme="majorHAnsi" w:cstheme="majorHAnsi"/>
          <w:color w:val="auto"/>
        </w:rPr>
        <w:t xml:space="preserve">Bowen, G. A. (2009). Document analysis as a qualitative research method. </w:t>
      </w:r>
      <w:r w:rsidRPr="00103556">
        <w:rPr>
          <w:rFonts w:asciiTheme="majorHAnsi" w:hAnsiTheme="majorHAnsi" w:cstheme="majorHAnsi"/>
          <w:i/>
          <w:iCs/>
          <w:color w:val="auto"/>
        </w:rPr>
        <w:t xml:space="preserve">Qualitative research </w:t>
      </w:r>
    </w:p>
    <w:p w14:paraId="2145F56E" w14:textId="77777777" w:rsidR="00D938DE" w:rsidRPr="00103556" w:rsidRDefault="00D938DE" w:rsidP="007F3AB4">
      <w:pPr>
        <w:rPr>
          <w:rStyle w:val="Hyperlink"/>
          <w:rFonts w:asciiTheme="majorHAnsi" w:eastAsia="Times New Roman" w:hAnsiTheme="majorHAnsi" w:cstheme="majorHAnsi"/>
          <w:color w:val="auto"/>
          <w:lang w:eastAsia="en-GB"/>
        </w:rPr>
      </w:pPr>
      <w:r w:rsidRPr="00103556">
        <w:rPr>
          <w:rFonts w:asciiTheme="majorHAnsi" w:hAnsiTheme="majorHAnsi" w:cstheme="majorHAnsi"/>
          <w:i/>
          <w:iCs/>
          <w:color w:val="auto"/>
        </w:rPr>
        <w:t>journal, 9</w:t>
      </w:r>
      <w:r w:rsidRPr="00103556">
        <w:rPr>
          <w:rFonts w:asciiTheme="majorHAnsi" w:hAnsiTheme="majorHAnsi" w:cstheme="majorHAnsi"/>
          <w:color w:val="auto"/>
        </w:rPr>
        <w:t xml:space="preserve">(2), 27-40. </w:t>
      </w:r>
      <w:hyperlink r:id="rId16" w:history="1">
        <w:r w:rsidRPr="00103556">
          <w:rPr>
            <w:rStyle w:val="Hyperlink"/>
            <w:rFonts w:asciiTheme="majorHAnsi" w:eastAsia="Times New Roman" w:hAnsiTheme="majorHAnsi" w:cstheme="majorHAnsi"/>
            <w:color w:val="auto"/>
            <w:shd w:val="clear" w:color="auto" w:fill="FFFFFF"/>
            <w:lang w:eastAsia="en-GB"/>
          </w:rPr>
          <w:t>https://doi.org/10.3316/qrj0902027</w:t>
        </w:r>
      </w:hyperlink>
      <w:r w:rsidRPr="00103556">
        <w:rPr>
          <w:rStyle w:val="Hyperlink"/>
          <w:rFonts w:asciiTheme="majorHAnsi" w:eastAsia="Times New Roman" w:hAnsiTheme="majorHAnsi" w:cstheme="majorHAnsi"/>
          <w:color w:val="auto"/>
          <w:shd w:val="clear" w:color="auto" w:fill="FFFFFF"/>
          <w:lang w:eastAsia="en-GB"/>
        </w:rPr>
        <w:t xml:space="preserve"> </w:t>
      </w:r>
    </w:p>
    <w:p w14:paraId="13E532D7" w14:textId="77777777" w:rsidR="00D938DE" w:rsidRPr="00103556" w:rsidRDefault="00D938DE" w:rsidP="007F3AB4">
      <w:pPr>
        <w:ind w:firstLine="0"/>
        <w:rPr>
          <w:rFonts w:asciiTheme="majorHAnsi" w:hAnsiTheme="majorHAnsi" w:cstheme="majorHAnsi"/>
          <w:color w:val="auto"/>
          <w:shd w:val="clear" w:color="auto" w:fill="FFFFFF"/>
        </w:rPr>
      </w:pPr>
      <w:r w:rsidRPr="00103556">
        <w:rPr>
          <w:rFonts w:asciiTheme="majorHAnsi" w:hAnsiTheme="majorHAnsi" w:cstheme="majorHAnsi"/>
          <w:color w:val="auto"/>
        </w:rPr>
        <w:t xml:space="preserve">Brehm, J.W. (1966). </w:t>
      </w:r>
      <w:r w:rsidRPr="00103556">
        <w:rPr>
          <w:rFonts w:asciiTheme="majorHAnsi" w:hAnsiTheme="majorHAnsi" w:cstheme="majorHAnsi"/>
          <w:i/>
          <w:iCs/>
          <w:color w:val="auto"/>
        </w:rPr>
        <w:t>A theory of psychological reactance.</w:t>
      </w:r>
      <w:r w:rsidRPr="00103556">
        <w:rPr>
          <w:rFonts w:asciiTheme="majorHAnsi" w:hAnsiTheme="majorHAnsi" w:cstheme="majorHAnsi"/>
          <w:color w:val="auto"/>
        </w:rPr>
        <w:t xml:space="preserve"> New York: Academic Press.</w:t>
      </w:r>
    </w:p>
    <w:p w14:paraId="5ADC149B" w14:textId="77777777" w:rsidR="00D938DE" w:rsidRPr="00103556" w:rsidRDefault="00D938DE" w:rsidP="007F3AB4">
      <w:pPr>
        <w:ind w:firstLine="0"/>
        <w:rPr>
          <w:rFonts w:asciiTheme="majorHAnsi" w:hAnsiTheme="majorHAnsi" w:cstheme="majorHAnsi"/>
          <w:color w:val="auto"/>
        </w:rPr>
      </w:pPr>
      <w:r w:rsidRPr="00103556">
        <w:rPr>
          <w:rFonts w:asciiTheme="majorHAnsi" w:hAnsiTheme="majorHAnsi" w:cstheme="majorHAnsi"/>
          <w:color w:val="auto"/>
          <w:shd w:val="clear" w:color="auto" w:fill="FFFFFF"/>
        </w:rPr>
        <w:t>Brinkmann, S. (2017). </w:t>
      </w:r>
      <w:r w:rsidRPr="00103556">
        <w:rPr>
          <w:rFonts w:asciiTheme="majorHAnsi" w:hAnsiTheme="majorHAnsi" w:cstheme="majorHAnsi"/>
          <w:i/>
          <w:iCs/>
          <w:color w:val="auto"/>
          <w:shd w:val="clear" w:color="auto" w:fill="FFFFFF"/>
        </w:rPr>
        <w:t>Stand firm: Resisting the self-improvement craze</w:t>
      </w:r>
      <w:r w:rsidRPr="00103556">
        <w:rPr>
          <w:rFonts w:asciiTheme="majorHAnsi" w:hAnsiTheme="majorHAnsi" w:cstheme="majorHAnsi"/>
          <w:color w:val="auto"/>
          <w:shd w:val="clear" w:color="auto" w:fill="FFFFFF"/>
        </w:rPr>
        <w:t xml:space="preserve">. </w:t>
      </w:r>
      <w:r w:rsidRPr="00103556">
        <w:rPr>
          <w:rFonts w:asciiTheme="majorHAnsi" w:hAnsiTheme="majorHAnsi" w:cstheme="majorHAnsi"/>
          <w:color w:val="auto"/>
        </w:rPr>
        <w:t xml:space="preserve">Cambridge: Polity </w:t>
      </w:r>
    </w:p>
    <w:p w14:paraId="480F687B" w14:textId="77777777" w:rsidR="00D938DE" w:rsidRPr="00103556" w:rsidRDefault="00D938DE" w:rsidP="007F3AB4">
      <w:pPr>
        <w:rPr>
          <w:rStyle w:val="Hyperlink"/>
          <w:rFonts w:asciiTheme="majorHAnsi" w:eastAsia="Times New Roman" w:hAnsiTheme="majorHAnsi" w:cstheme="majorHAnsi"/>
          <w:color w:val="auto"/>
          <w:lang w:eastAsia="en-GB"/>
        </w:rPr>
      </w:pPr>
      <w:r w:rsidRPr="00103556">
        <w:rPr>
          <w:rFonts w:asciiTheme="majorHAnsi" w:hAnsiTheme="majorHAnsi" w:cstheme="majorHAnsi"/>
          <w:color w:val="auto"/>
        </w:rPr>
        <w:t xml:space="preserve">Press. </w:t>
      </w:r>
      <w:hyperlink r:id="rId17" w:history="1">
        <w:r w:rsidRPr="00103556">
          <w:rPr>
            <w:rStyle w:val="Hyperlink"/>
            <w:rFonts w:asciiTheme="majorHAnsi" w:eastAsia="Times New Roman" w:hAnsiTheme="majorHAnsi" w:cstheme="majorHAnsi"/>
            <w:color w:val="auto"/>
            <w:shd w:val="clear" w:color="auto" w:fill="FFFFFF"/>
            <w:lang w:eastAsia="en-GB"/>
          </w:rPr>
          <w:t>https://doi.org/10.1111/bjop.12269</w:t>
        </w:r>
      </w:hyperlink>
      <w:r w:rsidRPr="00103556">
        <w:rPr>
          <w:rStyle w:val="Hyperlink"/>
          <w:rFonts w:asciiTheme="majorHAnsi" w:eastAsia="Times New Roman" w:hAnsiTheme="majorHAnsi" w:cstheme="majorHAnsi"/>
          <w:color w:val="auto"/>
          <w:shd w:val="clear" w:color="auto" w:fill="FFFFFF"/>
          <w:lang w:eastAsia="en-GB"/>
        </w:rPr>
        <w:t xml:space="preserve"> </w:t>
      </w:r>
    </w:p>
    <w:p w14:paraId="12281F49" w14:textId="77777777" w:rsidR="00D938DE" w:rsidRPr="00103556" w:rsidRDefault="00D938DE" w:rsidP="007F3AB4">
      <w:pPr>
        <w:ind w:firstLine="0"/>
        <w:rPr>
          <w:rFonts w:asciiTheme="majorHAnsi" w:hAnsiTheme="majorHAnsi" w:cstheme="majorHAnsi"/>
          <w:color w:val="auto"/>
        </w:rPr>
      </w:pPr>
      <w:r w:rsidRPr="00103556">
        <w:rPr>
          <w:rFonts w:asciiTheme="majorHAnsi" w:hAnsiTheme="majorHAnsi" w:cstheme="majorHAnsi"/>
          <w:color w:val="auto"/>
        </w:rPr>
        <w:t xml:space="preserve">Bristow, A., Robinson, S., &amp; Ratle, O. (2017). “Being an Early-Career CMS Academic in the </w:t>
      </w:r>
    </w:p>
    <w:p w14:paraId="2844FCE0" w14:textId="77777777" w:rsidR="00D938DE" w:rsidRPr="00103556" w:rsidRDefault="00D938DE" w:rsidP="007F3AB4">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rPr>
        <w:t xml:space="preserve">Context of Insecurity and ‘Excellence’: The Dialectics of Resistance and Compliance.” </w:t>
      </w:r>
      <w:r w:rsidRPr="00103556">
        <w:rPr>
          <w:rFonts w:asciiTheme="majorHAnsi" w:hAnsiTheme="majorHAnsi" w:cstheme="majorHAnsi"/>
          <w:i/>
          <w:iCs/>
          <w:color w:val="auto"/>
        </w:rPr>
        <w:t>Organization Studies, 38</w:t>
      </w:r>
      <w:r w:rsidRPr="00103556">
        <w:rPr>
          <w:rFonts w:asciiTheme="majorHAnsi" w:hAnsiTheme="majorHAnsi" w:cstheme="majorHAnsi"/>
          <w:color w:val="auto"/>
        </w:rPr>
        <w:t xml:space="preserve">(9), 1185–1207. </w:t>
      </w:r>
      <w:hyperlink r:id="rId18" w:history="1">
        <w:r w:rsidRPr="00103556">
          <w:rPr>
            <w:rStyle w:val="Hyperlink"/>
            <w:rFonts w:asciiTheme="majorHAnsi" w:eastAsia="Times New Roman" w:hAnsiTheme="majorHAnsi" w:cstheme="majorHAnsi"/>
            <w:color w:val="auto"/>
            <w:shd w:val="clear" w:color="auto" w:fill="FFFFFF"/>
            <w:lang w:eastAsia="en-GB"/>
          </w:rPr>
          <w:t>https://doi.org/10.1177/0170840616685</w:t>
        </w:r>
      </w:hyperlink>
    </w:p>
    <w:p w14:paraId="79A5F08B" w14:textId="77777777" w:rsidR="00D938DE" w:rsidRPr="00103556" w:rsidRDefault="00D938DE" w:rsidP="007F3AB4">
      <w:pPr>
        <w:ind w:firstLine="0"/>
        <w:rPr>
          <w:rFonts w:asciiTheme="majorHAnsi" w:hAnsiTheme="majorHAnsi" w:cstheme="majorHAnsi"/>
          <w:color w:val="auto"/>
          <w:shd w:val="clear" w:color="auto" w:fill="FFFFFF"/>
        </w:rPr>
      </w:pPr>
      <w:r w:rsidRPr="00103556">
        <w:rPr>
          <w:rFonts w:asciiTheme="majorHAnsi" w:hAnsiTheme="majorHAnsi" w:cstheme="majorHAnsi"/>
          <w:color w:val="auto"/>
          <w:shd w:val="clear" w:color="auto" w:fill="FFFFFF"/>
        </w:rPr>
        <w:t>Carlone, D., &amp; Larson, G. S. (2006). Locating possibilities for control and resistance in a self-</w:t>
      </w:r>
    </w:p>
    <w:p w14:paraId="6E09F629" w14:textId="77777777" w:rsidR="00D938DE" w:rsidRPr="00103556" w:rsidRDefault="00D938DE" w:rsidP="007F3AB4">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shd w:val="clear" w:color="auto" w:fill="FFFFFF"/>
        </w:rPr>
        <w:t>help program. </w:t>
      </w:r>
      <w:r w:rsidRPr="00103556">
        <w:rPr>
          <w:rFonts w:asciiTheme="majorHAnsi" w:hAnsiTheme="majorHAnsi" w:cstheme="majorHAnsi"/>
          <w:i/>
          <w:iCs/>
          <w:color w:val="auto"/>
          <w:shd w:val="clear" w:color="auto" w:fill="FFFFFF"/>
        </w:rPr>
        <w:t>Western Journal of Communication</w:t>
      </w:r>
      <w:r w:rsidRPr="00103556">
        <w:rPr>
          <w:rFonts w:asciiTheme="majorHAnsi" w:hAnsiTheme="majorHAnsi" w:cstheme="majorHAnsi"/>
          <w:color w:val="auto"/>
          <w:shd w:val="clear" w:color="auto" w:fill="FFFFFF"/>
        </w:rPr>
        <w:t>, </w:t>
      </w:r>
      <w:r w:rsidRPr="00103556">
        <w:rPr>
          <w:rFonts w:asciiTheme="majorHAnsi" w:hAnsiTheme="majorHAnsi" w:cstheme="majorHAnsi"/>
          <w:i/>
          <w:iCs/>
          <w:color w:val="auto"/>
          <w:shd w:val="clear" w:color="auto" w:fill="FFFFFF"/>
        </w:rPr>
        <w:t>70</w:t>
      </w:r>
      <w:r w:rsidRPr="00103556">
        <w:rPr>
          <w:rFonts w:asciiTheme="majorHAnsi" w:hAnsiTheme="majorHAnsi" w:cstheme="majorHAnsi"/>
          <w:color w:val="auto"/>
          <w:shd w:val="clear" w:color="auto" w:fill="FFFFFF"/>
        </w:rPr>
        <w:t xml:space="preserve">(4), 270-291. </w:t>
      </w:r>
      <w:hyperlink r:id="rId19" w:history="1">
        <w:r w:rsidRPr="00103556">
          <w:rPr>
            <w:rStyle w:val="Hyperlink"/>
            <w:rFonts w:asciiTheme="majorHAnsi" w:eastAsia="Times New Roman" w:hAnsiTheme="majorHAnsi" w:cstheme="majorHAnsi"/>
            <w:color w:val="auto"/>
            <w:shd w:val="clear" w:color="auto" w:fill="FFFFFF"/>
            <w:lang w:eastAsia="en-GB"/>
          </w:rPr>
          <w:t>https://doi.org/10.1080/10570310600992087</w:t>
        </w:r>
      </w:hyperlink>
    </w:p>
    <w:p w14:paraId="0F3571DE" w14:textId="77777777" w:rsidR="00D938DE" w:rsidRPr="00103556" w:rsidRDefault="00D938DE" w:rsidP="007F3AB4">
      <w:pPr>
        <w:ind w:firstLine="0"/>
        <w:rPr>
          <w:rFonts w:asciiTheme="majorHAnsi" w:hAnsiTheme="majorHAnsi" w:cstheme="majorHAnsi"/>
          <w:color w:val="auto"/>
          <w:shd w:val="clear" w:color="auto" w:fill="FFFFFF"/>
        </w:rPr>
      </w:pPr>
      <w:r w:rsidRPr="00103556">
        <w:rPr>
          <w:rFonts w:asciiTheme="majorHAnsi" w:hAnsiTheme="majorHAnsi" w:cstheme="majorHAnsi"/>
          <w:color w:val="auto"/>
          <w:shd w:val="clear" w:color="auto" w:fill="FFFFFF"/>
        </w:rPr>
        <w:t xml:space="preserve">Ciarrochi, J., Atkins, P. W., Hayes, L. L., Sahdra, B. K., &amp; Parker, P. (2016). Contextual positive </w:t>
      </w:r>
    </w:p>
    <w:p w14:paraId="105E0594" w14:textId="77777777" w:rsidR="00D938DE" w:rsidRPr="00103556" w:rsidRDefault="00D938DE" w:rsidP="007F3AB4">
      <w:pPr>
        <w:ind w:left="720" w:firstLine="0"/>
        <w:rPr>
          <w:rStyle w:val="Hyperlink"/>
          <w:rFonts w:asciiTheme="majorHAnsi" w:eastAsia="Times New Roman" w:hAnsiTheme="majorHAnsi" w:cstheme="majorHAnsi"/>
          <w:color w:val="auto"/>
          <w:lang w:val="de-DE" w:eastAsia="en-GB"/>
        </w:rPr>
      </w:pPr>
      <w:r w:rsidRPr="00103556">
        <w:rPr>
          <w:rFonts w:asciiTheme="majorHAnsi" w:hAnsiTheme="majorHAnsi" w:cstheme="majorHAnsi"/>
          <w:color w:val="auto"/>
          <w:shd w:val="clear" w:color="auto" w:fill="FFFFFF"/>
        </w:rPr>
        <w:lastRenderedPageBreak/>
        <w:t>psychology: Policy recommendations for implementing positive psychology into schools. </w:t>
      </w:r>
      <w:r w:rsidRPr="00103556">
        <w:rPr>
          <w:rFonts w:asciiTheme="majorHAnsi" w:hAnsiTheme="majorHAnsi" w:cstheme="majorHAnsi"/>
          <w:i/>
          <w:iCs/>
          <w:color w:val="auto"/>
          <w:shd w:val="clear" w:color="auto" w:fill="FFFFFF"/>
          <w:lang w:val="de-DE"/>
        </w:rPr>
        <w:t>Frontiers in psychology</w:t>
      </w:r>
      <w:r w:rsidRPr="00103556">
        <w:rPr>
          <w:rFonts w:asciiTheme="majorHAnsi" w:hAnsiTheme="majorHAnsi" w:cstheme="majorHAnsi"/>
          <w:color w:val="auto"/>
          <w:shd w:val="clear" w:color="auto" w:fill="FFFFFF"/>
          <w:lang w:val="de-DE"/>
        </w:rPr>
        <w:t xml:space="preserve">, 1561. </w:t>
      </w:r>
      <w:hyperlink r:id="rId20" w:history="1">
        <w:r w:rsidRPr="00103556">
          <w:rPr>
            <w:rStyle w:val="Hyperlink"/>
            <w:rFonts w:asciiTheme="majorHAnsi" w:eastAsia="Times New Roman" w:hAnsiTheme="majorHAnsi" w:cstheme="majorHAnsi"/>
            <w:color w:val="auto"/>
            <w:shd w:val="clear" w:color="auto" w:fill="FFFFFF"/>
            <w:lang w:val="de-DE" w:eastAsia="en-GB"/>
          </w:rPr>
          <w:t>https://doi.org/10.3389/fpsyg.2016.01561</w:t>
        </w:r>
      </w:hyperlink>
    </w:p>
    <w:p w14:paraId="0208AD86" w14:textId="77777777" w:rsidR="00D938DE" w:rsidRPr="00103556" w:rsidRDefault="00D938DE" w:rsidP="007F3AB4">
      <w:pPr>
        <w:ind w:firstLine="0"/>
        <w:rPr>
          <w:rFonts w:asciiTheme="majorHAnsi" w:hAnsiTheme="majorHAnsi" w:cstheme="majorHAnsi"/>
          <w:color w:val="auto"/>
          <w:shd w:val="clear" w:color="auto" w:fill="FFFFFF"/>
        </w:rPr>
      </w:pPr>
      <w:r w:rsidRPr="00103556">
        <w:rPr>
          <w:rFonts w:asciiTheme="majorHAnsi" w:hAnsiTheme="majorHAnsi" w:cstheme="majorHAnsi"/>
          <w:color w:val="auto"/>
          <w:shd w:val="clear" w:color="auto" w:fill="FFFFFF"/>
          <w:lang w:val="de-DE"/>
        </w:rPr>
        <w:t xml:space="preserve">Ciarrochi, J., Hayes, S. C., Oades, L. G., &amp; Hofmann, S. G. (2022). </w:t>
      </w:r>
      <w:r w:rsidRPr="00103556">
        <w:rPr>
          <w:rFonts w:asciiTheme="majorHAnsi" w:hAnsiTheme="majorHAnsi" w:cstheme="majorHAnsi"/>
          <w:color w:val="auto"/>
          <w:shd w:val="clear" w:color="auto" w:fill="FFFFFF"/>
        </w:rPr>
        <w:t xml:space="preserve">Toward a unified framework </w:t>
      </w:r>
    </w:p>
    <w:p w14:paraId="21F5AE58" w14:textId="77777777" w:rsidR="00D938DE" w:rsidRPr="00103556" w:rsidRDefault="00D938DE" w:rsidP="007F3AB4">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shd w:val="clear" w:color="auto" w:fill="FFFFFF"/>
        </w:rPr>
        <w:t>for positive psychology interventions: Evidence-based processes of change in coaching, prevention, and training. </w:t>
      </w:r>
      <w:r w:rsidRPr="00103556">
        <w:rPr>
          <w:rFonts w:asciiTheme="majorHAnsi" w:hAnsiTheme="majorHAnsi" w:cstheme="majorHAnsi"/>
          <w:i/>
          <w:iCs/>
          <w:color w:val="auto"/>
          <w:shd w:val="clear" w:color="auto" w:fill="FFFFFF"/>
        </w:rPr>
        <w:t>Frontiers in psychology</w:t>
      </w:r>
      <w:r w:rsidRPr="00103556">
        <w:rPr>
          <w:rFonts w:asciiTheme="majorHAnsi" w:hAnsiTheme="majorHAnsi" w:cstheme="majorHAnsi"/>
          <w:color w:val="auto"/>
          <w:shd w:val="clear" w:color="auto" w:fill="FFFFFF"/>
        </w:rPr>
        <w:t>, 6374.</w:t>
      </w:r>
      <w:r w:rsidRPr="00103556">
        <w:rPr>
          <w:rFonts w:asciiTheme="majorHAnsi" w:hAnsiTheme="majorHAnsi" w:cstheme="majorHAnsi"/>
          <w:color w:val="auto"/>
        </w:rPr>
        <w:t xml:space="preserve"> </w:t>
      </w:r>
      <w:hyperlink r:id="rId21" w:history="1">
        <w:r w:rsidRPr="00103556">
          <w:rPr>
            <w:rStyle w:val="Hyperlink"/>
            <w:rFonts w:asciiTheme="majorHAnsi" w:eastAsia="Times New Roman" w:hAnsiTheme="majorHAnsi" w:cstheme="majorHAnsi"/>
            <w:color w:val="auto"/>
            <w:shd w:val="clear" w:color="auto" w:fill="FFFFFF"/>
            <w:lang w:eastAsia="en-GB"/>
          </w:rPr>
          <w:t>https://doi.org/10.3389/fpsyg.2021.809362</w:t>
        </w:r>
      </w:hyperlink>
      <w:r w:rsidRPr="00103556">
        <w:rPr>
          <w:rStyle w:val="Hyperlink"/>
          <w:rFonts w:asciiTheme="majorHAnsi" w:eastAsia="Times New Roman" w:hAnsiTheme="majorHAnsi" w:cstheme="majorHAnsi"/>
          <w:color w:val="auto"/>
          <w:shd w:val="clear" w:color="auto" w:fill="FFFFFF"/>
          <w:lang w:eastAsia="en-GB"/>
        </w:rPr>
        <w:t xml:space="preserve"> </w:t>
      </w:r>
    </w:p>
    <w:p w14:paraId="692E3671" w14:textId="77777777" w:rsidR="00D938DE" w:rsidRPr="00103556" w:rsidRDefault="00D938DE" w:rsidP="007F3AB4">
      <w:pPr>
        <w:ind w:firstLine="0"/>
        <w:rPr>
          <w:rFonts w:asciiTheme="majorHAnsi" w:hAnsiTheme="majorHAnsi" w:cstheme="majorHAnsi"/>
          <w:i/>
          <w:iCs/>
          <w:color w:val="auto"/>
        </w:rPr>
      </w:pPr>
      <w:r w:rsidRPr="00103556">
        <w:rPr>
          <w:rFonts w:asciiTheme="majorHAnsi" w:hAnsiTheme="majorHAnsi" w:cstheme="majorHAnsi"/>
          <w:color w:val="auto"/>
        </w:rPr>
        <w:t xml:space="preserve">Coffey, A. (2014). Analysing documents. In U. Flick (Ed.), </w:t>
      </w:r>
      <w:r w:rsidRPr="00103556">
        <w:rPr>
          <w:rFonts w:asciiTheme="majorHAnsi" w:hAnsiTheme="majorHAnsi" w:cstheme="majorHAnsi"/>
          <w:i/>
          <w:iCs/>
          <w:color w:val="auto"/>
        </w:rPr>
        <w:t xml:space="preserve">The SAGE handbook of qualitative </w:t>
      </w:r>
    </w:p>
    <w:p w14:paraId="2CEB810B" w14:textId="77777777" w:rsidR="00D938DE" w:rsidRPr="00103556" w:rsidRDefault="00D938DE" w:rsidP="007F3AB4">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i/>
          <w:iCs/>
          <w:color w:val="auto"/>
        </w:rPr>
        <w:t>data analysis</w:t>
      </w:r>
      <w:r w:rsidRPr="00103556">
        <w:rPr>
          <w:rFonts w:asciiTheme="majorHAnsi" w:hAnsiTheme="majorHAnsi" w:cstheme="majorHAnsi"/>
          <w:color w:val="auto"/>
        </w:rPr>
        <w:t xml:space="preserve"> (pp. 367–379). London, UK: SAGE Publications Ltd. </w:t>
      </w:r>
      <w:hyperlink r:id="rId22" w:history="1">
        <w:r w:rsidRPr="00103556">
          <w:rPr>
            <w:rStyle w:val="Hyperlink"/>
            <w:rFonts w:asciiTheme="majorHAnsi" w:eastAsia="Times New Roman" w:hAnsiTheme="majorHAnsi" w:cstheme="majorHAnsi"/>
            <w:color w:val="auto"/>
            <w:shd w:val="clear" w:color="auto" w:fill="FFFFFF"/>
            <w:lang w:eastAsia="en-GB"/>
          </w:rPr>
          <w:t>https://doi.org/10.4135/9781446282243.n25</w:t>
        </w:r>
      </w:hyperlink>
      <w:r w:rsidRPr="00103556">
        <w:rPr>
          <w:rStyle w:val="Hyperlink"/>
          <w:rFonts w:asciiTheme="majorHAnsi" w:eastAsia="Times New Roman" w:hAnsiTheme="majorHAnsi" w:cstheme="majorHAnsi"/>
          <w:color w:val="auto"/>
          <w:shd w:val="clear" w:color="auto" w:fill="FFFFFF"/>
          <w:lang w:eastAsia="en-GB"/>
        </w:rPr>
        <w:t xml:space="preserve"> </w:t>
      </w:r>
    </w:p>
    <w:p w14:paraId="61C23D5D" w14:textId="77777777" w:rsidR="00D938DE" w:rsidRPr="00103556" w:rsidRDefault="00D938DE" w:rsidP="007F3AB4">
      <w:pPr>
        <w:ind w:firstLine="0"/>
        <w:rPr>
          <w:rFonts w:asciiTheme="majorHAnsi" w:hAnsiTheme="majorHAnsi" w:cstheme="majorHAnsi"/>
          <w:color w:val="auto"/>
        </w:rPr>
      </w:pPr>
      <w:r w:rsidRPr="00103556">
        <w:rPr>
          <w:rFonts w:asciiTheme="majorHAnsi" w:hAnsiTheme="majorHAnsi" w:cstheme="majorHAnsi"/>
          <w:color w:val="auto"/>
        </w:rPr>
        <w:t xml:space="preserve">Collinson , D. (1994). Strategies of resistance: Power, knowledge and subjectivity in the </w:t>
      </w:r>
    </w:p>
    <w:p w14:paraId="73B905BA" w14:textId="77777777" w:rsidR="00D938DE" w:rsidRPr="00103556" w:rsidRDefault="00D938DE" w:rsidP="007F3AB4">
      <w:pPr>
        <w:ind w:left="720" w:firstLine="0"/>
        <w:rPr>
          <w:rFonts w:asciiTheme="majorHAnsi" w:hAnsiTheme="majorHAnsi" w:cstheme="majorHAnsi"/>
          <w:color w:val="auto"/>
        </w:rPr>
      </w:pPr>
      <w:r w:rsidRPr="00103556">
        <w:rPr>
          <w:rFonts w:asciiTheme="majorHAnsi" w:hAnsiTheme="majorHAnsi" w:cstheme="majorHAnsi"/>
          <w:color w:val="auto"/>
        </w:rPr>
        <w:t>workplace . In J. M. Jermier , D. Knights , &amp; W. R. Nord (Eds.), </w:t>
      </w:r>
      <w:r w:rsidRPr="00103556">
        <w:rPr>
          <w:rFonts w:asciiTheme="majorHAnsi" w:hAnsiTheme="majorHAnsi" w:cstheme="majorHAnsi"/>
          <w:i/>
          <w:iCs/>
          <w:color w:val="auto"/>
        </w:rPr>
        <w:t>Resistance and power in organizations</w:t>
      </w:r>
      <w:r w:rsidRPr="00103556">
        <w:rPr>
          <w:rFonts w:asciiTheme="majorHAnsi" w:hAnsiTheme="majorHAnsi" w:cstheme="majorHAnsi"/>
          <w:color w:val="auto"/>
        </w:rPr>
        <w:t> (pp. 25 – 68 ). London : Routledge.</w:t>
      </w:r>
    </w:p>
    <w:p w14:paraId="1C1DB4D2" w14:textId="77777777" w:rsidR="00D938DE" w:rsidRPr="00103556" w:rsidRDefault="00D938DE" w:rsidP="007F3AB4">
      <w:pPr>
        <w:ind w:firstLine="0"/>
        <w:rPr>
          <w:rFonts w:asciiTheme="majorHAnsi" w:hAnsiTheme="majorHAnsi" w:cstheme="majorHAnsi"/>
          <w:color w:val="auto"/>
        </w:rPr>
      </w:pPr>
      <w:r w:rsidRPr="00103556">
        <w:rPr>
          <w:rFonts w:asciiTheme="majorHAnsi" w:hAnsiTheme="majorHAnsi" w:cstheme="majorHAnsi"/>
          <w:color w:val="auto"/>
        </w:rPr>
        <w:t xml:space="preserve">Collinson, D. L. (1999). Surviving the rigs': safety and surveillance on North Sea oil </w:t>
      </w:r>
    </w:p>
    <w:p w14:paraId="3AAEA6B2" w14:textId="77777777" w:rsidR="00D938DE" w:rsidRPr="00103556" w:rsidRDefault="00D938DE" w:rsidP="007F3AB4">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rPr>
        <w:t xml:space="preserve">installations. </w:t>
      </w:r>
      <w:r w:rsidRPr="00103556">
        <w:rPr>
          <w:rFonts w:asciiTheme="majorHAnsi" w:hAnsiTheme="majorHAnsi" w:cstheme="majorHAnsi"/>
          <w:i/>
          <w:iCs/>
          <w:color w:val="auto"/>
        </w:rPr>
        <w:t>Organization studies, 20</w:t>
      </w:r>
      <w:r w:rsidRPr="00103556">
        <w:rPr>
          <w:rFonts w:asciiTheme="majorHAnsi" w:hAnsiTheme="majorHAnsi" w:cstheme="majorHAnsi"/>
          <w:color w:val="auto"/>
        </w:rPr>
        <w:t xml:space="preserve">(4), 579-600. </w:t>
      </w:r>
      <w:hyperlink r:id="rId23" w:history="1">
        <w:r w:rsidRPr="00103556">
          <w:rPr>
            <w:rStyle w:val="Hyperlink"/>
            <w:rFonts w:asciiTheme="majorHAnsi" w:eastAsia="Times New Roman" w:hAnsiTheme="majorHAnsi" w:cstheme="majorHAnsi"/>
            <w:color w:val="auto"/>
            <w:shd w:val="clear" w:color="auto" w:fill="FFFFFF"/>
            <w:lang w:eastAsia="en-GB"/>
          </w:rPr>
          <w:t>https://doi.org/10.1177/0170840699204003 </w:t>
        </w:r>
      </w:hyperlink>
    </w:p>
    <w:p w14:paraId="593DBC4D" w14:textId="77777777" w:rsidR="00D938DE" w:rsidRPr="00103556" w:rsidRDefault="00D938DE" w:rsidP="007F3AB4">
      <w:pPr>
        <w:ind w:firstLine="0"/>
        <w:rPr>
          <w:rFonts w:asciiTheme="majorHAnsi" w:hAnsiTheme="majorHAnsi" w:cstheme="majorHAnsi"/>
          <w:i/>
          <w:iCs/>
          <w:color w:val="auto"/>
        </w:rPr>
      </w:pPr>
      <w:r w:rsidRPr="00103556">
        <w:rPr>
          <w:rFonts w:asciiTheme="majorHAnsi" w:hAnsiTheme="majorHAnsi" w:cstheme="majorHAnsi"/>
          <w:color w:val="auto"/>
        </w:rPr>
        <w:t xml:space="preserve">Collinson, D. L. (2010) Satire, humour and leadership. In: Couto R (ed.) </w:t>
      </w:r>
      <w:r w:rsidRPr="00103556">
        <w:rPr>
          <w:rFonts w:asciiTheme="majorHAnsi" w:hAnsiTheme="majorHAnsi" w:cstheme="majorHAnsi"/>
          <w:i/>
          <w:iCs/>
          <w:color w:val="auto"/>
        </w:rPr>
        <w:t xml:space="preserve">Political and Civic </w:t>
      </w:r>
    </w:p>
    <w:p w14:paraId="306DB44F" w14:textId="77777777" w:rsidR="00D938DE" w:rsidRPr="00103556" w:rsidRDefault="00D938DE" w:rsidP="007F3AB4">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i/>
          <w:iCs/>
          <w:color w:val="auto"/>
        </w:rPr>
        <w:t>Leadership: A Sage Reference Handbook</w:t>
      </w:r>
      <w:r w:rsidRPr="00103556">
        <w:rPr>
          <w:rFonts w:asciiTheme="majorHAnsi" w:hAnsiTheme="majorHAnsi" w:cstheme="majorHAnsi"/>
          <w:color w:val="auto"/>
        </w:rPr>
        <w:t xml:space="preserve"> (pp.1071-1080). Thousand Oaks, CA: Sage. </w:t>
      </w:r>
      <w:hyperlink r:id="rId24" w:history="1">
        <w:r w:rsidRPr="00103556">
          <w:rPr>
            <w:rStyle w:val="Hyperlink"/>
            <w:rFonts w:asciiTheme="majorHAnsi" w:eastAsia="Times New Roman" w:hAnsiTheme="majorHAnsi" w:cstheme="majorHAnsi"/>
            <w:color w:val="auto"/>
            <w:shd w:val="clear" w:color="auto" w:fill="FFFFFF"/>
            <w:lang w:eastAsia="en-GB"/>
          </w:rPr>
          <w:t>https://doi.org/10.4135/9781412979337.n120</w:t>
        </w:r>
      </w:hyperlink>
    </w:p>
    <w:p w14:paraId="7BAB0879" w14:textId="77777777" w:rsidR="00D938DE" w:rsidRPr="00103556" w:rsidRDefault="00D938DE" w:rsidP="007F3AB4">
      <w:pPr>
        <w:ind w:firstLine="0"/>
        <w:rPr>
          <w:rFonts w:asciiTheme="majorHAnsi" w:hAnsiTheme="majorHAnsi" w:cstheme="majorHAnsi"/>
          <w:color w:val="auto"/>
          <w:shd w:val="clear" w:color="auto" w:fill="FFFFFF"/>
        </w:rPr>
      </w:pPr>
      <w:r w:rsidRPr="00103556">
        <w:rPr>
          <w:rFonts w:asciiTheme="majorHAnsi" w:hAnsiTheme="majorHAnsi" w:cstheme="majorHAnsi"/>
          <w:color w:val="auto"/>
          <w:shd w:val="clear" w:color="auto" w:fill="FFFFFF"/>
        </w:rPr>
        <w:t>Collinson, D. (2012). Prozac leadership and the limits of positive thinking. </w:t>
      </w:r>
      <w:r w:rsidRPr="00103556">
        <w:rPr>
          <w:rFonts w:asciiTheme="majorHAnsi" w:hAnsiTheme="majorHAnsi" w:cstheme="majorHAnsi"/>
          <w:i/>
          <w:color w:val="auto"/>
          <w:shd w:val="clear" w:color="auto" w:fill="FFFFFF"/>
        </w:rPr>
        <w:t>Leadership, 8</w:t>
      </w:r>
      <w:r w:rsidRPr="00103556">
        <w:rPr>
          <w:rFonts w:asciiTheme="majorHAnsi" w:hAnsiTheme="majorHAnsi" w:cstheme="majorHAnsi"/>
          <w:color w:val="auto"/>
          <w:shd w:val="clear" w:color="auto" w:fill="FFFFFF"/>
        </w:rPr>
        <w:t>(2), 87-</w:t>
      </w:r>
    </w:p>
    <w:p w14:paraId="6B70F8A0" w14:textId="77777777" w:rsidR="00D938DE" w:rsidRPr="00103556" w:rsidRDefault="00D938DE" w:rsidP="007F3AB4">
      <w:pPr>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shd w:val="clear" w:color="auto" w:fill="FFFFFF"/>
        </w:rPr>
        <w:t xml:space="preserve">107. </w:t>
      </w:r>
      <w:hyperlink r:id="rId25" w:history="1">
        <w:r w:rsidRPr="00103556">
          <w:rPr>
            <w:rStyle w:val="Hyperlink"/>
            <w:rFonts w:asciiTheme="majorHAnsi" w:eastAsia="Times New Roman" w:hAnsiTheme="majorHAnsi" w:cstheme="majorHAnsi"/>
            <w:color w:val="auto"/>
            <w:shd w:val="clear" w:color="auto" w:fill="FFFFFF"/>
            <w:lang w:eastAsia="en-GB"/>
          </w:rPr>
          <w:t>https://doi.org/10.1177/1742715011434738</w:t>
        </w:r>
      </w:hyperlink>
    </w:p>
    <w:p w14:paraId="67FEF6E7" w14:textId="77777777" w:rsidR="00D938DE" w:rsidRPr="00103556" w:rsidRDefault="00D938DE" w:rsidP="007F3AB4">
      <w:pPr>
        <w:ind w:firstLine="0"/>
        <w:rPr>
          <w:rFonts w:asciiTheme="majorHAnsi" w:hAnsiTheme="majorHAnsi" w:cstheme="majorHAnsi"/>
          <w:color w:val="auto"/>
          <w:shd w:val="clear" w:color="auto" w:fill="FFFFFF"/>
        </w:rPr>
      </w:pPr>
      <w:r w:rsidRPr="00103556">
        <w:rPr>
          <w:rFonts w:asciiTheme="majorHAnsi" w:hAnsiTheme="majorHAnsi" w:cstheme="majorHAnsi"/>
          <w:color w:val="auto"/>
          <w:shd w:val="clear" w:color="auto" w:fill="FFFFFF"/>
        </w:rPr>
        <w:t xml:space="preserve">Contu, A. (2008). Decaf resistance: On misbehavior, cynicism, and desire in liberal </w:t>
      </w:r>
    </w:p>
    <w:p w14:paraId="3B52E199" w14:textId="77777777" w:rsidR="00D938DE" w:rsidRPr="00103556" w:rsidRDefault="00D938DE" w:rsidP="007F3AB4">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shd w:val="clear" w:color="auto" w:fill="FFFFFF"/>
        </w:rPr>
        <w:t>workplaces. </w:t>
      </w:r>
      <w:r w:rsidRPr="00103556">
        <w:rPr>
          <w:rFonts w:asciiTheme="majorHAnsi" w:hAnsiTheme="majorHAnsi" w:cstheme="majorHAnsi"/>
          <w:i/>
          <w:iCs/>
          <w:color w:val="auto"/>
          <w:shd w:val="clear" w:color="auto" w:fill="FFFFFF"/>
        </w:rPr>
        <w:t>Management communication quarterly</w:t>
      </w:r>
      <w:r w:rsidRPr="00103556">
        <w:rPr>
          <w:rFonts w:asciiTheme="majorHAnsi" w:hAnsiTheme="majorHAnsi" w:cstheme="majorHAnsi"/>
          <w:color w:val="auto"/>
          <w:shd w:val="clear" w:color="auto" w:fill="FFFFFF"/>
        </w:rPr>
        <w:t>, </w:t>
      </w:r>
      <w:r w:rsidRPr="00103556">
        <w:rPr>
          <w:rFonts w:asciiTheme="majorHAnsi" w:hAnsiTheme="majorHAnsi" w:cstheme="majorHAnsi"/>
          <w:i/>
          <w:iCs/>
          <w:color w:val="auto"/>
          <w:shd w:val="clear" w:color="auto" w:fill="FFFFFF"/>
        </w:rPr>
        <w:t>21</w:t>
      </w:r>
      <w:r w:rsidRPr="00103556">
        <w:rPr>
          <w:rFonts w:asciiTheme="majorHAnsi" w:hAnsiTheme="majorHAnsi" w:cstheme="majorHAnsi"/>
          <w:color w:val="auto"/>
          <w:shd w:val="clear" w:color="auto" w:fill="FFFFFF"/>
        </w:rPr>
        <w:t xml:space="preserve">(3), 364-379. </w:t>
      </w:r>
      <w:hyperlink r:id="rId26" w:history="1">
        <w:r w:rsidRPr="00103556">
          <w:rPr>
            <w:rStyle w:val="Hyperlink"/>
            <w:rFonts w:asciiTheme="majorHAnsi" w:eastAsia="Times New Roman" w:hAnsiTheme="majorHAnsi" w:cstheme="majorHAnsi"/>
            <w:color w:val="auto"/>
            <w:shd w:val="clear" w:color="auto" w:fill="FFFFFF"/>
            <w:lang w:eastAsia="en-GB"/>
          </w:rPr>
          <w:t>https://doi.org/10.1177/0893318907310941</w:t>
        </w:r>
      </w:hyperlink>
    </w:p>
    <w:p w14:paraId="75A570B6" w14:textId="77777777" w:rsidR="00D938DE" w:rsidRPr="00103556" w:rsidRDefault="00D938DE" w:rsidP="007F3AB4">
      <w:pPr>
        <w:ind w:firstLine="0"/>
        <w:rPr>
          <w:rFonts w:asciiTheme="majorHAnsi" w:hAnsiTheme="majorHAnsi" w:cstheme="majorHAnsi"/>
          <w:i/>
          <w:iCs/>
          <w:color w:val="auto"/>
        </w:rPr>
      </w:pPr>
      <w:r w:rsidRPr="00103556">
        <w:rPr>
          <w:rFonts w:asciiTheme="majorHAnsi" w:hAnsiTheme="majorHAnsi" w:cstheme="majorHAnsi"/>
          <w:color w:val="auto"/>
        </w:rPr>
        <w:lastRenderedPageBreak/>
        <w:t xml:space="preserve">Corbin, J., &amp; Strauss, A. (2015). </w:t>
      </w:r>
      <w:r w:rsidRPr="00103556">
        <w:rPr>
          <w:rFonts w:asciiTheme="majorHAnsi" w:hAnsiTheme="majorHAnsi" w:cstheme="majorHAnsi"/>
          <w:i/>
          <w:iCs/>
          <w:color w:val="auto"/>
        </w:rPr>
        <w:t xml:space="preserve">Basics of qualitative research: Techniques and procedures for </w:t>
      </w:r>
    </w:p>
    <w:p w14:paraId="66E1F6EB" w14:textId="77777777" w:rsidR="00D938DE" w:rsidRPr="00103556" w:rsidRDefault="00D938DE" w:rsidP="007F3AB4">
      <w:pPr>
        <w:rPr>
          <w:rStyle w:val="Hyperlink"/>
          <w:rFonts w:asciiTheme="majorHAnsi" w:hAnsiTheme="majorHAnsi" w:cstheme="majorHAnsi"/>
          <w:color w:val="auto"/>
        </w:rPr>
      </w:pPr>
      <w:r w:rsidRPr="00103556">
        <w:rPr>
          <w:rFonts w:asciiTheme="majorHAnsi" w:hAnsiTheme="majorHAnsi" w:cstheme="majorHAnsi"/>
          <w:i/>
          <w:iCs/>
          <w:color w:val="auto"/>
        </w:rPr>
        <w:t>developing grounded theory</w:t>
      </w:r>
      <w:r w:rsidRPr="00103556">
        <w:rPr>
          <w:rFonts w:asciiTheme="majorHAnsi" w:hAnsiTheme="majorHAnsi" w:cstheme="majorHAnsi"/>
          <w:color w:val="auto"/>
        </w:rPr>
        <w:t xml:space="preserve"> (4</w:t>
      </w:r>
      <w:r w:rsidRPr="00103556">
        <w:rPr>
          <w:rFonts w:asciiTheme="majorHAnsi" w:hAnsiTheme="majorHAnsi" w:cstheme="majorHAnsi"/>
          <w:color w:val="auto"/>
          <w:vertAlign w:val="superscript"/>
        </w:rPr>
        <w:t>th</w:t>
      </w:r>
      <w:r w:rsidRPr="00103556">
        <w:rPr>
          <w:rFonts w:asciiTheme="majorHAnsi" w:hAnsiTheme="majorHAnsi" w:cstheme="majorHAnsi"/>
          <w:color w:val="auto"/>
        </w:rPr>
        <w:t xml:space="preserve"> ed.). Thousand Oaks, CA: Sage.</w:t>
      </w:r>
    </w:p>
    <w:p w14:paraId="05CA7881" w14:textId="77777777" w:rsidR="00D938DE" w:rsidRPr="00103556" w:rsidRDefault="00D938DE" w:rsidP="007F3AB4">
      <w:pPr>
        <w:ind w:firstLine="0"/>
        <w:rPr>
          <w:rFonts w:asciiTheme="majorHAnsi" w:hAnsiTheme="majorHAnsi" w:cstheme="majorHAnsi"/>
          <w:i/>
          <w:iCs/>
          <w:color w:val="auto"/>
          <w:shd w:val="clear" w:color="auto" w:fill="FFFFFF"/>
        </w:rPr>
      </w:pPr>
      <w:r w:rsidRPr="00103556">
        <w:rPr>
          <w:rFonts w:asciiTheme="majorHAnsi" w:hAnsiTheme="majorHAnsi" w:cstheme="majorHAnsi"/>
          <w:color w:val="auto"/>
          <w:shd w:val="clear" w:color="auto" w:fill="FFFFFF"/>
        </w:rPr>
        <w:t>De St Croix, T. (2013). ‘I just love youth work!’ Emotional labour, passion and resistance. </w:t>
      </w:r>
      <w:r w:rsidRPr="00103556">
        <w:rPr>
          <w:rFonts w:asciiTheme="majorHAnsi" w:hAnsiTheme="majorHAnsi" w:cstheme="majorHAnsi"/>
          <w:i/>
          <w:iCs/>
          <w:color w:val="auto"/>
          <w:shd w:val="clear" w:color="auto" w:fill="FFFFFF"/>
        </w:rPr>
        <w:t xml:space="preserve">Youth </w:t>
      </w:r>
    </w:p>
    <w:p w14:paraId="437DAC41" w14:textId="77777777" w:rsidR="00D938DE" w:rsidRPr="00103556" w:rsidRDefault="00D938DE" w:rsidP="007F3AB4">
      <w:pPr>
        <w:rPr>
          <w:rFonts w:asciiTheme="majorHAnsi" w:hAnsiTheme="majorHAnsi" w:cstheme="majorHAnsi"/>
          <w:color w:val="auto"/>
          <w:shd w:val="clear" w:color="auto" w:fill="FFFFFF"/>
        </w:rPr>
      </w:pPr>
      <w:r w:rsidRPr="00103556">
        <w:rPr>
          <w:rFonts w:asciiTheme="majorHAnsi" w:hAnsiTheme="majorHAnsi" w:cstheme="majorHAnsi"/>
          <w:i/>
          <w:iCs/>
          <w:color w:val="auto"/>
          <w:shd w:val="clear" w:color="auto" w:fill="FFFFFF"/>
        </w:rPr>
        <w:t>&amp; Policy</w:t>
      </w:r>
      <w:r w:rsidRPr="00103556">
        <w:rPr>
          <w:rFonts w:asciiTheme="majorHAnsi" w:hAnsiTheme="majorHAnsi" w:cstheme="majorHAnsi"/>
          <w:color w:val="auto"/>
          <w:shd w:val="clear" w:color="auto" w:fill="FFFFFF"/>
        </w:rPr>
        <w:t>, </w:t>
      </w:r>
      <w:r w:rsidRPr="00103556">
        <w:rPr>
          <w:rFonts w:asciiTheme="majorHAnsi" w:hAnsiTheme="majorHAnsi" w:cstheme="majorHAnsi"/>
          <w:i/>
          <w:iCs/>
          <w:color w:val="auto"/>
          <w:shd w:val="clear" w:color="auto" w:fill="FFFFFF"/>
        </w:rPr>
        <w:t>110</w:t>
      </w:r>
      <w:r w:rsidRPr="00103556">
        <w:rPr>
          <w:rFonts w:asciiTheme="majorHAnsi" w:hAnsiTheme="majorHAnsi" w:cstheme="majorHAnsi"/>
          <w:color w:val="auto"/>
          <w:shd w:val="clear" w:color="auto" w:fill="FFFFFF"/>
        </w:rPr>
        <w:t>, 33-51.</w:t>
      </w:r>
    </w:p>
    <w:p w14:paraId="474606B7" w14:textId="77777777" w:rsidR="00D938DE" w:rsidRPr="00103556" w:rsidRDefault="00D938DE" w:rsidP="007F3AB4">
      <w:pPr>
        <w:ind w:firstLine="0"/>
        <w:rPr>
          <w:rFonts w:asciiTheme="majorHAnsi" w:hAnsiTheme="majorHAnsi" w:cstheme="majorHAnsi"/>
          <w:i/>
          <w:iCs/>
          <w:color w:val="auto"/>
          <w:shd w:val="clear" w:color="auto" w:fill="FFFFFF"/>
        </w:rPr>
      </w:pPr>
      <w:r w:rsidRPr="00103556">
        <w:rPr>
          <w:rFonts w:asciiTheme="majorHAnsi" w:hAnsiTheme="majorHAnsi" w:cstheme="majorHAnsi"/>
          <w:color w:val="auto"/>
          <w:shd w:val="clear" w:color="auto" w:fill="FFFFFF"/>
        </w:rPr>
        <w:t>Deci, E. L., &amp; Ryan, R. M. (2012). Self-determination theory. </w:t>
      </w:r>
      <w:r w:rsidRPr="00103556">
        <w:rPr>
          <w:rFonts w:asciiTheme="majorHAnsi" w:hAnsiTheme="majorHAnsi" w:cstheme="majorHAnsi"/>
          <w:i/>
          <w:iCs/>
          <w:color w:val="auto"/>
          <w:shd w:val="clear" w:color="auto" w:fill="FFFFFF"/>
        </w:rPr>
        <w:t xml:space="preserve">Handbook of theories of social </w:t>
      </w:r>
    </w:p>
    <w:p w14:paraId="647C70CC" w14:textId="77777777" w:rsidR="00D938DE" w:rsidRPr="00103556" w:rsidRDefault="00D938DE" w:rsidP="007F3AB4">
      <w:pPr>
        <w:rPr>
          <w:rFonts w:asciiTheme="majorHAnsi" w:hAnsiTheme="majorHAnsi" w:cstheme="majorHAnsi"/>
          <w:color w:val="auto"/>
          <w:shd w:val="clear" w:color="auto" w:fill="FFFFFF"/>
        </w:rPr>
      </w:pPr>
      <w:r w:rsidRPr="00103556">
        <w:rPr>
          <w:rFonts w:asciiTheme="majorHAnsi" w:hAnsiTheme="majorHAnsi" w:cstheme="majorHAnsi"/>
          <w:i/>
          <w:iCs/>
          <w:color w:val="auto"/>
          <w:shd w:val="clear" w:color="auto" w:fill="FFFFFF"/>
        </w:rPr>
        <w:t>psychology</w:t>
      </w:r>
      <w:r w:rsidRPr="00103556">
        <w:rPr>
          <w:rFonts w:asciiTheme="majorHAnsi" w:hAnsiTheme="majorHAnsi" w:cstheme="majorHAnsi"/>
          <w:color w:val="auto"/>
          <w:shd w:val="clear" w:color="auto" w:fill="FFFFFF"/>
        </w:rPr>
        <w:t>, </w:t>
      </w:r>
      <w:r w:rsidRPr="00103556">
        <w:rPr>
          <w:rFonts w:asciiTheme="majorHAnsi" w:hAnsiTheme="majorHAnsi" w:cstheme="majorHAnsi"/>
          <w:i/>
          <w:iCs/>
          <w:color w:val="auto"/>
          <w:shd w:val="clear" w:color="auto" w:fill="FFFFFF"/>
        </w:rPr>
        <w:t>1</w:t>
      </w:r>
      <w:r w:rsidRPr="00103556">
        <w:rPr>
          <w:rFonts w:asciiTheme="majorHAnsi" w:hAnsiTheme="majorHAnsi" w:cstheme="majorHAnsi"/>
          <w:color w:val="auto"/>
          <w:shd w:val="clear" w:color="auto" w:fill="FFFFFF"/>
        </w:rPr>
        <w:t>(20), 416-436.</w:t>
      </w:r>
    </w:p>
    <w:p w14:paraId="1500258B" w14:textId="77777777" w:rsidR="00D938DE" w:rsidRPr="00103556" w:rsidRDefault="00D938DE" w:rsidP="007F3AB4">
      <w:pPr>
        <w:ind w:firstLine="0"/>
        <w:rPr>
          <w:rFonts w:asciiTheme="majorHAnsi" w:hAnsiTheme="majorHAnsi" w:cstheme="majorHAnsi"/>
          <w:color w:val="auto"/>
          <w:shd w:val="clear" w:color="auto" w:fill="FFFFFF"/>
        </w:rPr>
      </w:pPr>
      <w:r w:rsidRPr="00103556">
        <w:rPr>
          <w:rFonts w:asciiTheme="majorHAnsi" w:hAnsiTheme="majorHAnsi" w:cstheme="majorHAnsi"/>
          <w:color w:val="auto"/>
          <w:shd w:val="clear" w:color="auto" w:fill="FFFFFF"/>
        </w:rPr>
        <w:t xml:space="preserve">Delbridge, R., &amp; Ezzamel, M. (2005). The strength of difference: Contemporary conceptions of </w:t>
      </w:r>
    </w:p>
    <w:p w14:paraId="41ACFA65" w14:textId="77777777" w:rsidR="00D938DE" w:rsidRPr="00103556" w:rsidRDefault="00D938DE" w:rsidP="007F3AB4">
      <w:pPr>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shd w:val="clear" w:color="auto" w:fill="FFFFFF"/>
        </w:rPr>
        <w:t>control. </w:t>
      </w:r>
      <w:r w:rsidRPr="00103556">
        <w:rPr>
          <w:rFonts w:asciiTheme="majorHAnsi" w:hAnsiTheme="majorHAnsi" w:cstheme="majorHAnsi"/>
          <w:i/>
          <w:iCs/>
          <w:color w:val="auto"/>
          <w:shd w:val="clear" w:color="auto" w:fill="FFFFFF"/>
        </w:rPr>
        <w:t>Organization</w:t>
      </w:r>
      <w:r w:rsidRPr="00103556">
        <w:rPr>
          <w:rFonts w:asciiTheme="majorHAnsi" w:hAnsiTheme="majorHAnsi" w:cstheme="majorHAnsi"/>
          <w:color w:val="auto"/>
          <w:shd w:val="clear" w:color="auto" w:fill="FFFFFF"/>
        </w:rPr>
        <w:t>, </w:t>
      </w:r>
      <w:r w:rsidRPr="00103556">
        <w:rPr>
          <w:rFonts w:asciiTheme="majorHAnsi" w:hAnsiTheme="majorHAnsi" w:cstheme="majorHAnsi"/>
          <w:i/>
          <w:iCs/>
          <w:color w:val="auto"/>
          <w:shd w:val="clear" w:color="auto" w:fill="FFFFFF"/>
        </w:rPr>
        <w:t>12</w:t>
      </w:r>
      <w:r w:rsidRPr="00103556">
        <w:rPr>
          <w:rFonts w:asciiTheme="majorHAnsi" w:hAnsiTheme="majorHAnsi" w:cstheme="majorHAnsi"/>
          <w:color w:val="auto"/>
          <w:shd w:val="clear" w:color="auto" w:fill="FFFFFF"/>
        </w:rPr>
        <w:t xml:space="preserve">(5), 603-618. </w:t>
      </w:r>
      <w:hyperlink r:id="rId27" w:history="1">
        <w:r w:rsidRPr="00103556">
          <w:rPr>
            <w:rStyle w:val="Hyperlink"/>
            <w:rFonts w:asciiTheme="majorHAnsi" w:eastAsia="Times New Roman" w:hAnsiTheme="majorHAnsi" w:cstheme="majorHAnsi"/>
            <w:color w:val="auto"/>
            <w:shd w:val="clear" w:color="auto" w:fill="FFFFFF"/>
            <w:lang w:eastAsia="en-GB"/>
          </w:rPr>
          <w:t>https://doi.org/10.1177/1350508405055937</w:t>
        </w:r>
      </w:hyperlink>
      <w:r w:rsidRPr="00103556">
        <w:rPr>
          <w:rStyle w:val="Hyperlink"/>
          <w:rFonts w:asciiTheme="majorHAnsi" w:eastAsia="Times New Roman" w:hAnsiTheme="majorHAnsi" w:cstheme="majorHAnsi"/>
          <w:color w:val="auto"/>
          <w:shd w:val="clear" w:color="auto" w:fill="FFFFFF"/>
          <w:lang w:eastAsia="en-GB"/>
        </w:rPr>
        <w:t xml:space="preserve"> </w:t>
      </w:r>
    </w:p>
    <w:p w14:paraId="60F59450" w14:textId="77777777" w:rsidR="00D938DE" w:rsidRPr="00103556" w:rsidRDefault="00D938DE" w:rsidP="007F3AB4">
      <w:pPr>
        <w:ind w:firstLine="0"/>
        <w:rPr>
          <w:rFonts w:asciiTheme="majorHAnsi" w:hAnsiTheme="majorHAnsi" w:cstheme="majorHAnsi"/>
          <w:color w:val="auto"/>
        </w:rPr>
      </w:pPr>
      <w:r w:rsidRPr="00103556">
        <w:rPr>
          <w:rFonts w:asciiTheme="majorHAnsi" w:hAnsiTheme="majorHAnsi" w:cstheme="majorHAnsi"/>
          <w:color w:val="auto"/>
        </w:rPr>
        <w:t xml:space="preserve">Diefendorff, J. M., &amp; Richard, E. M. (2003). Antecedents and consequences of emotional display </w:t>
      </w:r>
    </w:p>
    <w:p w14:paraId="4847BCFE" w14:textId="77777777" w:rsidR="00D938DE" w:rsidRPr="00103556" w:rsidRDefault="00D938DE" w:rsidP="007F3AB4">
      <w:pPr>
        <w:ind w:left="720" w:firstLine="0"/>
        <w:rPr>
          <w:rFonts w:asciiTheme="majorHAnsi" w:hAnsiTheme="majorHAnsi" w:cstheme="majorHAnsi"/>
          <w:color w:val="auto"/>
          <w:lang w:eastAsia="en-GB"/>
        </w:rPr>
      </w:pPr>
      <w:r w:rsidRPr="00103556">
        <w:rPr>
          <w:rFonts w:asciiTheme="majorHAnsi" w:hAnsiTheme="majorHAnsi" w:cstheme="majorHAnsi"/>
          <w:color w:val="auto"/>
        </w:rPr>
        <w:t xml:space="preserve">rule perceptions. Journal of Applied Psychology, 88(2), 284–294. </w:t>
      </w:r>
      <w:r w:rsidRPr="00103556">
        <w:rPr>
          <w:rStyle w:val="Hyperlink"/>
          <w:rFonts w:asciiTheme="majorHAnsi" w:eastAsia="Times New Roman" w:hAnsiTheme="majorHAnsi" w:cstheme="majorHAnsi"/>
          <w:color w:val="auto"/>
          <w:shd w:val="clear" w:color="auto" w:fill="FFFFFF"/>
          <w:lang w:eastAsia="en-GB"/>
        </w:rPr>
        <w:t>https://doi.org/10.1037/0021-9010.88.2.284</w:t>
      </w:r>
    </w:p>
    <w:p w14:paraId="032A46C0" w14:textId="77777777" w:rsidR="00D938DE" w:rsidRPr="00103556" w:rsidRDefault="00D938DE" w:rsidP="007F3AB4">
      <w:pPr>
        <w:ind w:firstLine="0"/>
        <w:rPr>
          <w:rFonts w:asciiTheme="majorHAnsi" w:hAnsiTheme="majorHAnsi" w:cstheme="majorHAnsi"/>
          <w:color w:val="auto"/>
          <w:shd w:val="clear" w:color="auto" w:fill="FFFFFF"/>
        </w:rPr>
      </w:pPr>
      <w:r w:rsidRPr="00103556">
        <w:rPr>
          <w:rFonts w:asciiTheme="majorHAnsi" w:hAnsiTheme="majorHAnsi" w:cstheme="majorHAnsi"/>
          <w:color w:val="auto"/>
          <w:shd w:val="clear" w:color="auto" w:fill="FFFFFF"/>
        </w:rPr>
        <w:t xml:space="preserve">Dutton, J. E., Roberts, L. M., &amp; Bednar, J. (2010). Pathways for positive identity construction at </w:t>
      </w:r>
    </w:p>
    <w:p w14:paraId="07E8EB80" w14:textId="77777777" w:rsidR="00D938DE" w:rsidRPr="00103556" w:rsidRDefault="00D938DE" w:rsidP="007F3AB4">
      <w:pPr>
        <w:ind w:left="720" w:firstLine="0"/>
        <w:rPr>
          <w:rFonts w:asciiTheme="majorHAnsi" w:hAnsiTheme="majorHAnsi" w:cstheme="majorHAnsi"/>
          <w:color w:val="auto"/>
        </w:rPr>
      </w:pPr>
      <w:r w:rsidRPr="00103556">
        <w:rPr>
          <w:rFonts w:asciiTheme="majorHAnsi" w:hAnsiTheme="majorHAnsi" w:cstheme="majorHAnsi"/>
          <w:color w:val="auto"/>
          <w:shd w:val="clear" w:color="auto" w:fill="FFFFFF"/>
        </w:rPr>
        <w:t>work: Four types of positive identity and the building of social resources. </w:t>
      </w:r>
      <w:r w:rsidRPr="00103556">
        <w:rPr>
          <w:rFonts w:asciiTheme="majorHAnsi" w:hAnsiTheme="majorHAnsi" w:cstheme="majorHAnsi"/>
          <w:i/>
          <w:iCs/>
          <w:color w:val="auto"/>
          <w:shd w:val="clear" w:color="auto" w:fill="FFFFFF"/>
        </w:rPr>
        <w:t>Academy of management review</w:t>
      </w:r>
      <w:r w:rsidRPr="00103556">
        <w:rPr>
          <w:rFonts w:asciiTheme="majorHAnsi" w:hAnsiTheme="majorHAnsi" w:cstheme="majorHAnsi"/>
          <w:color w:val="auto"/>
          <w:shd w:val="clear" w:color="auto" w:fill="FFFFFF"/>
        </w:rPr>
        <w:t>, </w:t>
      </w:r>
      <w:r w:rsidRPr="00103556">
        <w:rPr>
          <w:rFonts w:asciiTheme="majorHAnsi" w:hAnsiTheme="majorHAnsi" w:cstheme="majorHAnsi"/>
          <w:i/>
          <w:iCs/>
          <w:color w:val="auto"/>
          <w:shd w:val="clear" w:color="auto" w:fill="FFFFFF"/>
        </w:rPr>
        <w:t>35</w:t>
      </w:r>
      <w:r w:rsidRPr="00103556">
        <w:rPr>
          <w:rFonts w:asciiTheme="majorHAnsi" w:hAnsiTheme="majorHAnsi" w:cstheme="majorHAnsi"/>
          <w:color w:val="auto"/>
          <w:shd w:val="clear" w:color="auto" w:fill="FFFFFF"/>
        </w:rPr>
        <w:t xml:space="preserve">(2), 265-293. </w:t>
      </w:r>
      <w:hyperlink r:id="rId28" w:tgtFrame="_blank" w:history="1">
        <w:r w:rsidRPr="00103556">
          <w:rPr>
            <w:rStyle w:val="Hyperlink"/>
            <w:rFonts w:asciiTheme="majorHAnsi" w:eastAsia="Times New Roman" w:hAnsiTheme="majorHAnsi" w:cstheme="majorHAnsi"/>
            <w:color w:val="auto"/>
            <w:shd w:val="clear" w:color="auto" w:fill="FFFFFF"/>
            <w:lang w:eastAsia="en-GB"/>
          </w:rPr>
          <w:t>https://doi.org/10.5465/amr.2010.48463334</w:t>
        </w:r>
      </w:hyperlink>
    </w:p>
    <w:p w14:paraId="0D9F4660" w14:textId="77777777" w:rsidR="00D938DE" w:rsidRPr="00103556" w:rsidRDefault="00D938DE" w:rsidP="007F3AB4">
      <w:pPr>
        <w:ind w:firstLine="0"/>
        <w:rPr>
          <w:rFonts w:asciiTheme="majorHAnsi" w:hAnsiTheme="majorHAnsi" w:cstheme="majorHAnsi"/>
          <w:color w:val="auto"/>
          <w:shd w:val="clear" w:color="auto" w:fill="FFFFFF"/>
        </w:rPr>
      </w:pPr>
      <w:r w:rsidRPr="00103556">
        <w:rPr>
          <w:rFonts w:asciiTheme="majorHAnsi" w:hAnsiTheme="majorHAnsi" w:cstheme="majorHAnsi"/>
          <w:color w:val="auto"/>
          <w:shd w:val="clear" w:color="auto" w:fill="FFFFFF"/>
        </w:rPr>
        <w:t xml:space="preserve">D’Cruz, P., &amp; Noronha, E. (2015). Ambivalence: Employee responses to depersonalized </w:t>
      </w:r>
    </w:p>
    <w:p w14:paraId="325B962D" w14:textId="77777777" w:rsidR="00D938DE" w:rsidRPr="00103556" w:rsidRDefault="00D938DE" w:rsidP="007F3AB4">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shd w:val="clear" w:color="auto" w:fill="FFFFFF"/>
        </w:rPr>
        <w:t>bullying at work. </w:t>
      </w:r>
      <w:r w:rsidRPr="00103556">
        <w:rPr>
          <w:rFonts w:asciiTheme="majorHAnsi" w:hAnsiTheme="majorHAnsi" w:cstheme="majorHAnsi"/>
          <w:i/>
          <w:iCs/>
          <w:color w:val="auto"/>
          <w:shd w:val="clear" w:color="auto" w:fill="FFFFFF"/>
        </w:rPr>
        <w:t>Economic and Industrial Democracy</w:t>
      </w:r>
      <w:r w:rsidRPr="00103556">
        <w:rPr>
          <w:rFonts w:asciiTheme="majorHAnsi" w:hAnsiTheme="majorHAnsi" w:cstheme="majorHAnsi"/>
          <w:color w:val="auto"/>
          <w:shd w:val="clear" w:color="auto" w:fill="FFFFFF"/>
        </w:rPr>
        <w:t>, </w:t>
      </w:r>
      <w:r w:rsidRPr="00103556">
        <w:rPr>
          <w:rFonts w:asciiTheme="majorHAnsi" w:hAnsiTheme="majorHAnsi" w:cstheme="majorHAnsi"/>
          <w:i/>
          <w:iCs/>
          <w:color w:val="auto"/>
          <w:shd w:val="clear" w:color="auto" w:fill="FFFFFF"/>
        </w:rPr>
        <w:t>36</w:t>
      </w:r>
      <w:r w:rsidRPr="00103556">
        <w:rPr>
          <w:rFonts w:asciiTheme="majorHAnsi" w:hAnsiTheme="majorHAnsi" w:cstheme="majorHAnsi"/>
          <w:color w:val="auto"/>
          <w:shd w:val="clear" w:color="auto" w:fill="FFFFFF"/>
        </w:rPr>
        <w:t xml:space="preserve">(1), 123-145. </w:t>
      </w:r>
      <w:hyperlink r:id="rId29" w:history="1">
        <w:r w:rsidRPr="00103556">
          <w:rPr>
            <w:rStyle w:val="Hyperlink"/>
            <w:rFonts w:asciiTheme="majorHAnsi" w:eastAsia="Times New Roman" w:hAnsiTheme="majorHAnsi" w:cstheme="majorHAnsi"/>
            <w:color w:val="auto"/>
            <w:shd w:val="clear" w:color="auto" w:fill="FFFFFF"/>
            <w:lang w:eastAsia="en-GB"/>
          </w:rPr>
          <w:t>https://doi.org/10.1177/0143831x13501001</w:t>
        </w:r>
      </w:hyperlink>
    </w:p>
    <w:p w14:paraId="7E9D079C" w14:textId="77777777" w:rsidR="00D938DE" w:rsidRPr="00103556" w:rsidRDefault="00D938DE" w:rsidP="007F3AB4">
      <w:pPr>
        <w:ind w:firstLine="0"/>
        <w:rPr>
          <w:rFonts w:asciiTheme="majorHAnsi" w:hAnsiTheme="majorHAnsi" w:cstheme="majorHAnsi"/>
          <w:color w:val="auto"/>
        </w:rPr>
      </w:pPr>
      <w:r w:rsidRPr="00103556">
        <w:rPr>
          <w:rFonts w:asciiTheme="majorHAnsi" w:hAnsiTheme="majorHAnsi" w:cstheme="majorHAnsi"/>
          <w:color w:val="auto"/>
        </w:rPr>
        <w:t xml:space="preserve">Edmondson, A. C., &amp; Bransby, D. P. (2023). Psychological Safety Comes of Age: Observed </w:t>
      </w:r>
    </w:p>
    <w:p w14:paraId="2002A786" w14:textId="0145BF51" w:rsidR="00192859" w:rsidRPr="00103556" w:rsidRDefault="00D938DE" w:rsidP="00192859">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rPr>
        <w:t xml:space="preserve">Themes in an Established Literature. </w:t>
      </w:r>
      <w:r w:rsidRPr="00103556">
        <w:rPr>
          <w:rFonts w:asciiTheme="majorHAnsi" w:hAnsiTheme="majorHAnsi" w:cstheme="majorHAnsi"/>
          <w:i/>
          <w:iCs/>
          <w:color w:val="auto"/>
        </w:rPr>
        <w:t>Annual Review of Organizational Psychology and Organizational Behavior, 10</w:t>
      </w:r>
      <w:r w:rsidRPr="00103556">
        <w:rPr>
          <w:rFonts w:asciiTheme="majorHAnsi" w:hAnsiTheme="majorHAnsi" w:cstheme="majorHAnsi"/>
          <w:color w:val="auto"/>
        </w:rPr>
        <w:t xml:space="preserve">(1), 55–78. </w:t>
      </w:r>
      <w:hyperlink r:id="rId30" w:history="1">
        <w:r w:rsidR="00192859" w:rsidRPr="00103556">
          <w:rPr>
            <w:rStyle w:val="Hyperlink"/>
            <w:rFonts w:asciiTheme="majorHAnsi" w:eastAsia="Times New Roman" w:hAnsiTheme="majorHAnsi" w:cstheme="majorHAnsi"/>
            <w:color w:val="auto"/>
            <w:shd w:val="clear" w:color="auto" w:fill="FFFFFF"/>
            <w:lang w:eastAsia="en-GB"/>
          </w:rPr>
          <w:t>https://doi.org/10.1146/annurev-orgpsych-120920-055217</w:t>
        </w:r>
      </w:hyperlink>
    </w:p>
    <w:p w14:paraId="713A07D2" w14:textId="77777777" w:rsidR="00E17017" w:rsidRPr="00103556" w:rsidRDefault="00D938DE" w:rsidP="00192859">
      <w:pPr>
        <w:ind w:firstLine="0"/>
        <w:rPr>
          <w:rFonts w:asciiTheme="majorHAnsi" w:hAnsiTheme="majorHAnsi" w:cstheme="majorHAnsi"/>
          <w:color w:val="auto"/>
        </w:rPr>
      </w:pPr>
      <w:r w:rsidRPr="00103556">
        <w:rPr>
          <w:rFonts w:asciiTheme="majorHAnsi" w:hAnsiTheme="majorHAnsi" w:cstheme="majorHAnsi"/>
          <w:color w:val="auto"/>
        </w:rPr>
        <w:t xml:space="preserve">Edwards, E. R., Micek, A., Mottarella, K., &amp; Wupperman, P. (2017). Emotion ideology mediates </w:t>
      </w:r>
    </w:p>
    <w:p w14:paraId="6CABE32D" w14:textId="77777777" w:rsidR="00E17017" w:rsidRPr="00103556" w:rsidRDefault="00D938DE" w:rsidP="00E17017">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rPr>
        <w:lastRenderedPageBreak/>
        <w:t xml:space="preserve">effects of risk factors on alexithymia development. </w:t>
      </w:r>
      <w:r w:rsidRPr="00103556">
        <w:rPr>
          <w:rFonts w:asciiTheme="majorHAnsi" w:hAnsiTheme="majorHAnsi" w:cstheme="majorHAnsi"/>
          <w:i/>
          <w:iCs/>
          <w:color w:val="auto"/>
        </w:rPr>
        <w:t>Journal of Rational-Emotive &amp; Cognitive-Behavior Therapy, 35</w:t>
      </w:r>
      <w:r w:rsidRPr="00103556">
        <w:rPr>
          <w:rFonts w:asciiTheme="majorHAnsi" w:hAnsiTheme="majorHAnsi" w:cstheme="majorHAnsi"/>
          <w:color w:val="auto"/>
        </w:rPr>
        <w:t xml:space="preserve">(3), 254-277. </w:t>
      </w:r>
      <w:hyperlink r:id="rId31" w:history="1">
        <w:r w:rsidRPr="00103556">
          <w:rPr>
            <w:rStyle w:val="Hyperlink"/>
            <w:rFonts w:asciiTheme="majorHAnsi" w:eastAsia="Times New Roman" w:hAnsiTheme="majorHAnsi" w:cstheme="majorHAnsi"/>
            <w:color w:val="auto"/>
            <w:shd w:val="clear" w:color="auto" w:fill="FFFFFF"/>
            <w:lang w:eastAsia="en-GB"/>
          </w:rPr>
          <w:t>https://doi.org/10.1007/s10942-016-0254-y</w:t>
        </w:r>
      </w:hyperlink>
      <w:r w:rsidR="00E17017" w:rsidRPr="00103556">
        <w:rPr>
          <w:rStyle w:val="Hyperlink"/>
          <w:rFonts w:asciiTheme="majorHAnsi" w:eastAsia="Times New Roman" w:hAnsiTheme="majorHAnsi" w:cstheme="majorHAnsi"/>
          <w:color w:val="auto"/>
          <w:shd w:val="clear" w:color="auto" w:fill="FFFFFF"/>
          <w:lang w:eastAsia="en-GB"/>
        </w:rPr>
        <w:t xml:space="preserve"> </w:t>
      </w:r>
    </w:p>
    <w:p w14:paraId="3E704FB6" w14:textId="58B32C00" w:rsidR="00D938DE" w:rsidRPr="00103556" w:rsidRDefault="00D938DE" w:rsidP="00E17017">
      <w:pPr>
        <w:ind w:firstLine="0"/>
        <w:rPr>
          <w:rFonts w:asciiTheme="majorHAnsi" w:hAnsiTheme="majorHAnsi" w:cstheme="majorHAnsi"/>
          <w:i/>
          <w:iCs/>
          <w:color w:val="auto"/>
        </w:rPr>
      </w:pPr>
      <w:r w:rsidRPr="00103556">
        <w:rPr>
          <w:rFonts w:asciiTheme="majorHAnsi" w:hAnsiTheme="majorHAnsi" w:cstheme="majorHAnsi"/>
          <w:color w:val="auto"/>
        </w:rPr>
        <w:t>Ehrenreich, B. (2009) </w:t>
      </w:r>
      <w:r w:rsidRPr="00103556">
        <w:rPr>
          <w:rFonts w:asciiTheme="majorHAnsi" w:hAnsiTheme="majorHAnsi" w:cstheme="majorHAnsi"/>
          <w:i/>
          <w:iCs/>
          <w:color w:val="auto"/>
        </w:rPr>
        <w:t xml:space="preserve">Bright-Sided: How the Relentless Promotion of Positive Thinking Has </w:t>
      </w:r>
    </w:p>
    <w:p w14:paraId="1D4A1D2A" w14:textId="77777777" w:rsidR="00E17017" w:rsidRPr="00103556" w:rsidRDefault="00D938DE" w:rsidP="00E17017">
      <w:pPr>
        <w:rPr>
          <w:rFonts w:asciiTheme="majorHAnsi" w:hAnsiTheme="majorHAnsi" w:cstheme="majorHAnsi"/>
          <w:color w:val="auto"/>
        </w:rPr>
      </w:pPr>
      <w:r w:rsidRPr="00103556">
        <w:rPr>
          <w:rFonts w:asciiTheme="majorHAnsi" w:hAnsiTheme="majorHAnsi" w:cstheme="majorHAnsi"/>
          <w:i/>
          <w:iCs/>
          <w:color w:val="auto"/>
        </w:rPr>
        <w:t>Undermined America</w:t>
      </w:r>
      <w:r w:rsidRPr="00103556">
        <w:rPr>
          <w:rFonts w:asciiTheme="majorHAnsi" w:hAnsiTheme="majorHAnsi" w:cstheme="majorHAnsi"/>
          <w:color w:val="auto"/>
        </w:rPr>
        <w:t>. New York: Metropolitan Books.</w:t>
      </w:r>
      <w:r w:rsidR="00E17017" w:rsidRPr="00103556">
        <w:rPr>
          <w:rFonts w:asciiTheme="majorHAnsi" w:hAnsiTheme="majorHAnsi" w:cstheme="majorHAnsi"/>
          <w:color w:val="auto"/>
        </w:rPr>
        <w:t xml:space="preserve"> </w:t>
      </w:r>
    </w:p>
    <w:p w14:paraId="4EBA745B" w14:textId="65EBAC9E" w:rsidR="00D938DE" w:rsidRPr="00103556" w:rsidRDefault="00D938DE" w:rsidP="00E17017">
      <w:pPr>
        <w:ind w:firstLine="0"/>
        <w:rPr>
          <w:rFonts w:asciiTheme="majorHAnsi" w:hAnsiTheme="majorHAnsi" w:cstheme="majorHAnsi"/>
          <w:i/>
          <w:iCs/>
          <w:color w:val="auto"/>
        </w:rPr>
      </w:pPr>
      <w:r w:rsidRPr="00103556">
        <w:rPr>
          <w:rFonts w:asciiTheme="majorHAnsi" w:hAnsiTheme="majorHAnsi" w:cstheme="majorHAnsi"/>
          <w:color w:val="auto"/>
        </w:rPr>
        <w:t xml:space="preserve">Ekman, P. (1973). Cross-culture studies of facial expression. In P. Ekman (Ed.), </w:t>
      </w:r>
      <w:r w:rsidRPr="00103556">
        <w:rPr>
          <w:rFonts w:asciiTheme="majorHAnsi" w:hAnsiTheme="majorHAnsi" w:cstheme="majorHAnsi"/>
          <w:i/>
          <w:iCs/>
          <w:color w:val="auto"/>
        </w:rPr>
        <w:t xml:space="preserve">Darwin and </w:t>
      </w:r>
    </w:p>
    <w:p w14:paraId="5FEE2E1B" w14:textId="77777777" w:rsidR="00E17017" w:rsidRPr="00103556" w:rsidRDefault="00D938DE" w:rsidP="00E17017">
      <w:pPr>
        <w:ind w:left="720" w:firstLine="0"/>
        <w:rPr>
          <w:rFonts w:asciiTheme="majorHAnsi" w:hAnsiTheme="majorHAnsi" w:cstheme="majorHAnsi"/>
          <w:color w:val="auto"/>
        </w:rPr>
      </w:pPr>
      <w:r w:rsidRPr="00103556">
        <w:rPr>
          <w:rFonts w:asciiTheme="majorHAnsi" w:hAnsiTheme="majorHAnsi" w:cstheme="majorHAnsi"/>
          <w:i/>
          <w:iCs/>
          <w:color w:val="auto"/>
        </w:rPr>
        <w:t>facial expression: A century of research in review</w:t>
      </w:r>
      <w:r w:rsidRPr="00103556">
        <w:rPr>
          <w:rFonts w:asciiTheme="majorHAnsi" w:hAnsiTheme="majorHAnsi" w:cstheme="majorHAnsi"/>
          <w:color w:val="auto"/>
        </w:rPr>
        <w:t xml:space="preserve"> (pp.169-222). New York: Academic Press.</w:t>
      </w:r>
    </w:p>
    <w:p w14:paraId="68788F9E" w14:textId="0491942D" w:rsidR="00D938DE" w:rsidRPr="00103556" w:rsidRDefault="00D938DE" w:rsidP="00E17017">
      <w:pPr>
        <w:ind w:firstLine="0"/>
        <w:rPr>
          <w:rFonts w:asciiTheme="majorHAnsi" w:hAnsiTheme="majorHAnsi" w:cstheme="majorHAnsi"/>
          <w:color w:val="auto"/>
          <w:shd w:val="clear" w:color="auto" w:fill="FFFFFF"/>
        </w:rPr>
      </w:pPr>
      <w:r w:rsidRPr="00103556">
        <w:rPr>
          <w:rFonts w:asciiTheme="majorHAnsi" w:hAnsiTheme="majorHAnsi" w:cstheme="majorHAnsi"/>
          <w:color w:val="auto"/>
          <w:shd w:val="clear" w:color="auto" w:fill="FFFFFF"/>
        </w:rPr>
        <w:t xml:space="preserve">Fa, S. D., Boivin, G., Boily, A. S., &amp; Leclair, È. (2022). Thinking communicatively and </w:t>
      </w:r>
    </w:p>
    <w:p w14:paraId="6181C0A9" w14:textId="77777777" w:rsidR="00BD4A8A" w:rsidRPr="00103556" w:rsidRDefault="00D938DE" w:rsidP="00BD4A8A">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shd w:val="clear" w:color="auto" w:fill="FFFFFF"/>
        </w:rPr>
        <w:t>relationally about practices of resistances. </w:t>
      </w:r>
      <w:r w:rsidRPr="00103556">
        <w:rPr>
          <w:rFonts w:asciiTheme="majorHAnsi" w:hAnsiTheme="majorHAnsi" w:cstheme="majorHAnsi"/>
          <w:i/>
          <w:iCs/>
          <w:color w:val="auto"/>
          <w:shd w:val="clear" w:color="auto" w:fill="FFFFFF"/>
        </w:rPr>
        <w:t>Journal of Resistance Studies</w:t>
      </w:r>
      <w:r w:rsidRPr="00103556">
        <w:rPr>
          <w:rFonts w:asciiTheme="majorHAnsi" w:hAnsiTheme="majorHAnsi" w:cstheme="majorHAnsi"/>
          <w:color w:val="auto"/>
          <w:shd w:val="clear" w:color="auto" w:fill="FFFFFF"/>
        </w:rPr>
        <w:t>, </w:t>
      </w:r>
      <w:r w:rsidRPr="00103556">
        <w:rPr>
          <w:rFonts w:asciiTheme="majorHAnsi" w:hAnsiTheme="majorHAnsi" w:cstheme="majorHAnsi"/>
          <w:i/>
          <w:iCs/>
          <w:color w:val="auto"/>
          <w:shd w:val="clear" w:color="auto" w:fill="FFFFFF"/>
        </w:rPr>
        <w:t>8</w:t>
      </w:r>
      <w:r w:rsidRPr="00103556">
        <w:rPr>
          <w:rFonts w:asciiTheme="majorHAnsi" w:hAnsiTheme="majorHAnsi" w:cstheme="majorHAnsi"/>
          <w:color w:val="auto"/>
          <w:shd w:val="clear" w:color="auto" w:fill="FFFFFF"/>
        </w:rPr>
        <w:t xml:space="preserve">(2). </w:t>
      </w:r>
      <w:hyperlink r:id="rId32" w:history="1">
        <w:r w:rsidRPr="00103556">
          <w:rPr>
            <w:rStyle w:val="Hyperlink"/>
            <w:rFonts w:asciiTheme="majorHAnsi" w:eastAsia="Times New Roman" w:hAnsiTheme="majorHAnsi" w:cstheme="majorHAnsi"/>
            <w:color w:val="auto"/>
            <w:shd w:val="clear" w:color="auto" w:fill="FFFFFF"/>
            <w:lang w:eastAsia="en-GB"/>
          </w:rPr>
          <w:t>http://hdl.handle.net/2078.1/271301</w:t>
        </w:r>
      </w:hyperlink>
      <w:r w:rsidR="00BD4A8A" w:rsidRPr="00103556">
        <w:rPr>
          <w:rStyle w:val="Hyperlink"/>
          <w:rFonts w:asciiTheme="majorHAnsi" w:eastAsia="Times New Roman" w:hAnsiTheme="majorHAnsi" w:cstheme="majorHAnsi"/>
          <w:color w:val="auto"/>
          <w:shd w:val="clear" w:color="auto" w:fill="FFFFFF"/>
          <w:lang w:eastAsia="en-GB"/>
        </w:rPr>
        <w:t xml:space="preserve"> </w:t>
      </w:r>
    </w:p>
    <w:p w14:paraId="20C2183E" w14:textId="3AE79667" w:rsidR="00D938DE" w:rsidRPr="00103556" w:rsidRDefault="00D938DE" w:rsidP="00BD4A8A">
      <w:pPr>
        <w:ind w:firstLine="0"/>
        <w:rPr>
          <w:rFonts w:asciiTheme="majorHAnsi" w:hAnsiTheme="majorHAnsi" w:cstheme="majorHAnsi"/>
          <w:color w:val="auto"/>
          <w:shd w:val="clear" w:color="auto" w:fill="FFFFFF"/>
        </w:rPr>
      </w:pPr>
      <w:r w:rsidRPr="00103556">
        <w:rPr>
          <w:rFonts w:asciiTheme="majorHAnsi" w:hAnsiTheme="majorHAnsi" w:cstheme="majorHAnsi"/>
          <w:color w:val="auto"/>
          <w:shd w:val="clear" w:color="auto" w:fill="FFFFFF"/>
        </w:rPr>
        <w:t xml:space="preserve">Fairclough, N. (2001). Critical discourse analysis as a method in social scientific </w:t>
      </w:r>
    </w:p>
    <w:p w14:paraId="3E8AE557" w14:textId="77777777" w:rsidR="00BD4A8A" w:rsidRPr="00103556" w:rsidRDefault="00D938DE" w:rsidP="00BD4A8A">
      <w:pPr>
        <w:ind w:left="720" w:firstLine="0"/>
        <w:rPr>
          <w:rStyle w:val="Hyperlink"/>
          <w:rFonts w:asciiTheme="majorHAnsi" w:eastAsia="Times New Roman" w:hAnsiTheme="majorHAnsi" w:cstheme="majorHAnsi"/>
          <w:color w:val="auto"/>
          <w:lang w:eastAsia="en-GB"/>
        </w:rPr>
      </w:pPr>
      <w:r w:rsidRPr="00103556">
        <w:rPr>
          <w:rFonts w:asciiTheme="majorHAnsi" w:hAnsiTheme="majorHAnsi" w:cstheme="majorHAnsi"/>
          <w:color w:val="auto"/>
          <w:shd w:val="clear" w:color="auto" w:fill="FFFFFF"/>
        </w:rPr>
        <w:t>research. </w:t>
      </w:r>
      <w:r w:rsidRPr="00103556">
        <w:rPr>
          <w:rFonts w:asciiTheme="majorHAnsi" w:hAnsiTheme="majorHAnsi" w:cstheme="majorHAnsi"/>
          <w:i/>
          <w:iCs/>
          <w:color w:val="auto"/>
          <w:shd w:val="clear" w:color="auto" w:fill="FFFFFF"/>
        </w:rPr>
        <w:t>Methods of critical discourse analysis</w:t>
      </w:r>
      <w:r w:rsidRPr="00103556">
        <w:rPr>
          <w:rFonts w:asciiTheme="majorHAnsi" w:hAnsiTheme="majorHAnsi" w:cstheme="majorHAnsi"/>
          <w:color w:val="auto"/>
          <w:shd w:val="clear" w:color="auto" w:fill="FFFFFF"/>
        </w:rPr>
        <w:t>, </w:t>
      </w:r>
      <w:r w:rsidRPr="00103556">
        <w:rPr>
          <w:rFonts w:asciiTheme="majorHAnsi" w:hAnsiTheme="majorHAnsi" w:cstheme="majorHAnsi"/>
          <w:i/>
          <w:iCs/>
          <w:color w:val="auto"/>
          <w:shd w:val="clear" w:color="auto" w:fill="FFFFFF"/>
        </w:rPr>
        <w:t>5</w:t>
      </w:r>
      <w:r w:rsidRPr="00103556">
        <w:rPr>
          <w:rFonts w:asciiTheme="majorHAnsi" w:hAnsiTheme="majorHAnsi" w:cstheme="majorHAnsi"/>
          <w:color w:val="auto"/>
          <w:shd w:val="clear" w:color="auto" w:fill="FFFFFF"/>
        </w:rPr>
        <w:t xml:space="preserve">(11), 121-138. </w:t>
      </w:r>
      <w:hyperlink r:id="rId33" w:history="1">
        <w:r w:rsidRPr="00103556">
          <w:rPr>
            <w:rStyle w:val="Hyperlink"/>
            <w:rFonts w:asciiTheme="majorHAnsi" w:eastAsia="Times New Roman" w:hAnsiTheme="majorHAnsi" w:cstheme="majorHAnsi"/>
            <w:color w:val="auto"/>
            <w:shd w:val="clear" w:color="auto" w:fill="FFFFFF"/>
            <w:lang w:eastAsia="en-GB"/>
          </w:rPr>
          <w:t>https://doi.org/10.4135/9780857028020.n6</w:t>
        </w:r>
      </w:hyperlink>
      <w:r w:rsidRPr="00103556">
        <w:rPr>
          <w:rStyle w:val="Hyperlink"/>
          <w:rFonts w:asciiTheme="majorHAnsi" w:eastAsia="Times New Roman" w:hAnsiTheme="majorHAnsi" w:cstheme="majorHAnsi"/>
          <w:color w:val="auto"/>
          <w:lang w:eastAsia="en-GB"/>
        </w:rPr>
        <w:t xml:space="preserve"> </w:t>
      </w:r>
    </w:p>
    <w:p w14:paraId="24815127" w14:textId="6469811B" w:rsidR="00D938DE" w:rsidRPr="00103556" w:rsidRDefault="00D938DE" w:rsidP="00BD4A8A">
      <w:pPr>
        <w:ind w:firstLine="0"/>
        <w:rPr>
          <w:rFonts w:asciiTheme="majorHAnsi" w:hAnsiTheme="majorHAnsi" w:cstheme="majorHAnsi"/>
          <w:color w:val="auto"/>
        </w:rPr>
      </w:pPr>
      <w:r w:rsidRPr="00103556">
        <w:rPr>
          <w:rFonts w:asciiTheme="majorHAnsi" w:hAnsiTheme="majorHAnsi" w:cstheme="majorHAnsi"/>
          <w:color w:val="auto"/>
        </w:rPr>
        <w:t xml:space="preserve">Ferris, G. R., Fedor, D. B., Chachere, J. G., &amp; Pondy, L. R. (1989). Myths and politics in </w:t>
      </w:r>
    </w:p>
    <w:p w14:paraId="0E8B125F" w14:textId="77777777" w:rsidR="00BD4A8A" w:rsidRPr="00103556" w:rsidRDefault="00D938DE" w:rsidP="00BD4A8A">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rPr>
        <w:t xml:space="preserve">organizational contexts. </w:t>
      </w:r>
      <w:r w:rsidRPr="00103556">
        <w:rPr>
          <w:rFonts w:asciiTheme="majorHAnsi" w:hAnsiTheme="majorHAnsi" w:cstheme="majorHAnsi"/>
          <w:i/>
          <w:iCs/>
          <w:color w:val="auto"/>
        </w:rPr>
        <w:t>Group &amp; Organization Studies, 14</w:t>
      </w:r>
      <w:r w:rsidRPr="00103556">
        <w:rPr>
          <w:rFonts w:asciiTheme="majorHAnsi" w:hAnsiTheme="majorHAnsi" w:cstheme="majorHAnsi"/>
          <w:color w:val="auto"/>
        </w:rPr>
        <w:t xml:space="preserve">(1), 83-103. </w:t>
      </w:r>
      <w:hyperlink r:id="rId34" w:history="1">
        <w:r w:rsidRPr="00103556">
          <w:rPr>
            <w:rStyle w:val="Hyperlink"/>
            <w:rFonts w:asciiTheme="majorHAnsi" w:eastAsia="Times New Roman" w:hAnsiTheme="majorHAnsi" w:cstheme="majorHAnsi"/>
            <w:color w:val="auto"/>
            <w:shd w:val="clear" w:color="auto" w:fill="FFFFFF"/>
            <w:lang w:eastAsia="en-GB"/>
          </w:rPr>
          <w:t>https://doi.org/10.1177/105960118901400108</w:t>
        </w:r>
      </w:hyperlink>
      <w:r w:rsidRPr="00103556">
        <w:rPr>
          <w:rStyle w:val="Hyperlink"/>
          <w:rFonts w:asciiTheme="majorHAnsi" w:eastAsia="Times New Roman" w:hAnsiTheme="majorHAnsi" w:cstheme="majorHAnsi"/>
          <w:color w:val="auto"/>
          <w:shd w:val="clear" w:color="auto" w:fill="FFFFFF"/>
          <w:lang w:eastAsia="en-GB"/>
        </w:rPr>
        <w:t xml:space="preserve"> </w:t>
      </w:r>
    </w:p>
    <w:p w14:paraId="4682B974" w14:textId="38938611" w:rsidR="00D938DE" w:rsidRPr="00103556" w:rsidRDefault="00D938DE" w:rsidP="00BD4A8A">
      <w:pPr>
        <w:ind w:firstLine="0"/>
        <w:rPr>
          <w:rFonts w:asciiTheme="majorHAnsi" w:hAnsiTheme="majorHAnsi" w:cstheme="majorHAnsi"/>
          <w:color w:val="auto"/>
          <w:shd w:val="clear" w:color="auto" w:fill="FFFFFF"/>
        </w:rPr>
      </w:pPr>
      <w:r w:rsidRPr="00103556">
        <w:rPr>
          <w:rFonts w:asciiTheme="majorHAnsi" w:hAnsiTheme="majorHAnsi" w:cstheme="majorHAnsi"/>
          <w:color w:val="auto"/>
          <w:shd w:val="clear" w:color="auto" w:fill="FFFFFF"/>
        </w:rPr>
        <w:t xml:space="preserve">Festinger, L. (1957). </w:t>
      </w:r>
      <w:r w:rsidRPr="00103556">
        <w:rPr>
          <w:rFonts w:asciiTheme="majorHAnsi" w:hAnsiTheme="majorHAnsi" w:cstheme="majorHAnsi"/>
          <w:i/>
          <w:iCs/>
          <w:color w:val="auto"/>
          <w:shd w:val="clear" w:color="auto" w:fill="FFFFFF"/>
        </w:rPr>
        <w:t>A Theory of Cognitive Dissonance</w:t>
      </w:r>
      <w:r w:rsidRPr="00103556">
        <w:rPr>
          <w:rFonts w:asciiTheme="majorHAnsi" w:hAnsiTheme="majorHAnsi" w:cstheme="majorHAnsi"/>
          <w:color w:val="auto"/>
          <w:shd w:val="clear" w:color="auto" w:fill="FFFFFF"/>
        </w:rPr>
        <w:t xml:space="preserve">. Stanford University Press. </w:t>
      </w:r>
    </w:p>
    <w:p w14:paraId="356F245E" w14:textId="77777777" w:rsidR="00BD4A8A" w:rsidRPr="00103556" w:rsidRDefault="0000199A" w:rsidP="00BD4A8A">
      <w:pPr>
        <w:ind w:left="720" w:firstLine="0"/>
        <w:rPr>
          <w:rStyle w:val="Hyperlink"/>
          <w:rFonts w:asciiTheme="majorHAnsi" w:eastAsia="Times New Roman" w:hAnsiTheme="majorHAnsi" w:cstheme="majorHAnsi"/>
          <w:color w:val="auto"/>
          <w:lang w:eastAsia="en-GB"/>
        </w:rPr>
      </w:pPr>
      <w:hyperlink r:id="rId35" w:history="1">
        <w:r w:rsidR="00BD4A8A" w:rsidRPr="00103556">
          <w:rPr>
            <w:rStyle w:val="Hyperlink"/>
            <w:rFonts w:asciiTheme="majorHAnsi" w:eastAsia="Times New Roman" w:hAnsiTheme="majorHAnsi" w:cstheme="majorHAnsi"/>
            <w:color w:val="auto"/>
            <w:shd w:val="clear" w:color="auto" w:fill="FFFFFF"/>
            <w:lang w:eastAsia="en-GB"/>
          </w:rPr>
          <w:t>https://doi.org/10.1515/9781503620766</w:t>
        </w:r>
      </w:hyperlink>
      <w:r w:rsidR="00BD4A8A" w:rsidRPr="00103556">
        <w:rPr>
          <w:rStyle w:val="Hyperlink"/>
          <w:rFonts w:asciiTheme="majorHAnsi" w:eastAsia="Times New Roman" w:hAnsiTheme="majorHAnsi" w:cstheme="majorHAnsi"/>
          <w:color w:val="auto"/>
          <w:lang w:eastAsia="en-GB"/>
        </w:rPr>
        <w:t xml:space="preserve"> </w:t>
      </w:r>
    </w:p>
    <w:p w14:paraId="57FA20EC" w14:textId="5E6DCD70" w:rsidR="00D938DE" w:rsidRPr="00103556" w:rsidRDefault="00D938DE" w:rsidP="00BD4A8A">
      <w:pPr>
        <w:ind w:firstLine="0"/>
        <w:rPr>
          <w:rFonts w:asciiTheme="majorHAnsi" w:hAnsiTheme="majorHAnsi" w:cstheme="majorHAnsi"/>
          <w:i/>
          <w:color w:val="auto"/>
          <w:shd w:val="clear" w:color="auto" w:fill="FFFFFF"/>
        </w:rPr>
      </w:pPr>
      <w:r w:rsidRPr="00103556">
        <w:rPr>
          <w:rFonts w:asciiTheme="majorHAnsi" w:hAnsiTheme="majorHAnsi" w:cstheme="majorHAnsi"/>
          <w:color w:val="auto"/>
          <w:shd w:val="clear" w:color="auto" w:fill="FFFFFF"/>
        </w:rPr>
        <w:t>Fineman, S. (2006). On being positive: Concerns and counterpoints. </w:t>
      </w:r>
      <w:r w:rsidRPr="00103556">
        <w:rPr>
          <w:rFonts w:asciiTheme="majorHAnsi" w:hAnsiTheme="majorHAnsi" w:cstheme="majorHAnsi"/>
          <w:i/>
          <w:color w:val="auto"/>
          <w:shd w:val="clear" w:color="auto" w:fill="FFFFFF"/>
        </w:rPr>
        <w:t xml:space="preserve">Academy of management </w:t>
      </w:r>
    </w:p>
    <w:p w14:paraId="53CFBC30" w14:textId="77777777" w:rsidR="00BD4A8A" w:rsidRPr="00103556" w:rsidRDefault="00D938DE" w:rsidP="00BD4A8A">
      <w:pPr>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i/>
          <w:color w:val="auto"/>
          <w:shd w:val="clear" w:color="auto" w:fill="FFFFFF"/>
        </w:rPr>
        <w:t>review, 31</w:t>
      </w:r>
      <w:r w:rsidRPr="00103556">
        <w:rPr>
          <w:rFonts w:asciiTheme="majorHAnsi" w:hAnsiTheme="majorHAnsi" w:cstheme="majorHAnsi"/>
          <w:color w:val="auto"/>
          <w:shd w:val="clear" w:color="auto" w:fill="FFFFFF"/>
        </w:rPr>
        <w:t xml:space="preserve">(2), 270-291. </w:t>
      </w:r>
      <w:hyperlink r:id="rId36" w:history="1">
        <w:r w:rsidRPr="00103556">
          <w:rPr>
            <w:rStyle w:val="Hyperlink"/>
            <w:rFonts w:asciiTheme="majorHAnsi" w:eastAsia="Times New Roman" w:hAnsiTheme="majorHAnsi" w:cstheme="majorHAnsi"/>
            <w:color w:val="auto"/>
            <w:shd w:val="clear" w:color="auto" w:fill="FFFFFF"/>
            <w:lang w:eastAsia="en-GB"/>
          </w:rPr>
          <w:t>https://doi.org/10.5465/amr.2006.20208680</w:t>
        </w:r>
      </w:hyperlink>
      <w:r w:rsidR="00BD4A8A" w:rsidRPr="00103556">
        <w:rPr>
          <w:rStyle w:val="Hyperlink"/>
          <w:rFonts w:asciiTheme="majorHAnsi" w:eastAsia="Times New Roman" w:hAnsiTheme="majorHAnsi" w:cstheme="majorHAnsi"/>
          <w:color w:val="auto"/>
          <w:shd w:val="clear" w:color="auto" w:fill="FFFFFF"/>
          <w:lang w:eastAsia="en-GB"/>
        </w:rPr>
        <w:t xml:space="preserve"> </w:t>
      </w:r>
    </w:p>
    <w:p w14:paraId="44E48542" w14:textId="0C09174E" w:rsidR="00D938DE" w:rsidRPr="00103556" w:rsidRDefault="00D938DE" w:rsidP="00BD4A8A">
      <w:pPr>
        <w:ind w:firstLine="0"/>
        <w:rPr>
          <w:rFonts w:asciiTheme="majorHAnsi" w:hAnsiTheme="majorHAnsi" w:cstheme="majorHAnsi"/>
          <w:color w:val="auto"/>
          <w:shd w:val="clear" w:color="auto" w:fill="FFFFFF"/>
        </w:rPr>
      </w:pPr>
      <w:r w:rsidRPr="00103556">
        <w:rPr>
          <w:rFonts w:asciiTheme="majorHAnsi" w:hAnsiTheme="majorHAnsi" w:cstheme="majorHAnsi"/>
          <w:color w:val="auto"/>
          <w:shd w:val="clear" w:color="auto" w:fill="FFFFFF"/>
        </w:rPr>
        <w:t xml:space="preserve">Fleming, P., &amp; Sturdy, A. (2011). ‘Being yourself’ in the electronic sweatshop: New forms of </w:t>
      </w:r>
    </w:p>
    <w:p w14:paraId="238736C7" w14:textId="77777777" w:rsidR="00BD4A8A" w:rsidRPr="00103556" w:rsidRDefault="00D938DE" w:rsidP="00BD4A8A">
      <w:pPr>
        <w:ind w:left="720" w:firstLine="0"/>
        <w:rPr>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shd w:val="clear" w:color="auto" w:fill="FFFFFF"/>
        </w:rPr>
        <w:t>normative control. </w:t>
      </w:r>
      <w:r w:rsidRPr="00103556">
        <w:rPr>
          <w:rFonts w:asciiTheme="majorHAnsi" w:hAnsiTheme="majorHAnsi" w:cstheme="majorHAnsi"/>
          <w:i/>
          <w:iCs/>
          <w:color w:val="auto"/>
          <w:shd w:val="clear" w:color="auto" w:fill="FFFFFF"/>
        </w:rPr>
        <w:t>Human relations</w:t>
      </w:r>
      <w:r w:rsidRPr="00103556">
        <w:rPr>
          <w:rFonts w:asciiTheme="majorHAnsi" w:hAnsiTheme="majorHAnsi" w:cstheme="majorHAnsi"/>
          <w:color w:val="auto"/>
          <w:shd w:val="clear" w:color="auto" w:fill="FFFFFF"/>
        </w:rPr>
        <w:t>, </w:t>
      </w:r>
      <w:r w:rsidRPr="00103556">
        <w:rPr>
          <w:rFonts w:asciiTheme="majorHAnsi" w:hAnsiTheme="majorHAnsi" w:cstheme="majorHAnsi"/>
          <w:i/>
          <w:iCs/>
          <w:color w:val="auto"/>
          <w:shd w:val="clear" w:color="auto" w:fill="FFFFFF"/>
        </w:rPr>
        <w:t>64</w:t>
      </w:r>
      <w:r w:rsidRPr="00103556">
        <w:rPr>
          <w:rFonts w:asciiTheme="majorHAnsi" w:hAnsiTheme="majorHAnsi" w:cstheme="majorHAnsi"/>
          <w:color w:val="auto"/>
          <w:shd w:val="clear" w:color="auto" w:fill="FFFFFF"/>
        </w:rPr>
        <w:t xml:space="preserve">(2), 177-200. </w:t>
      </w:r>
      <w:hyperlink r:id="rId37" w:history="1">
        <w:r w:rsidR="00BD4A8A" w:rsidRPr="00103556">
          <w:rPr>
            <w:rStyle w:val="Hyperlink"/>
            <w:rFonts w:asciiTheme="majorHAnsi" w:eastAsia="Times New Roman" w:hAnsiTheme="majorHAnsi" w:cstheme="majorHAnsi"/>
            <w:color w:val="auto"/>
            <w:shd w:val="clear" w:color="auto" w:fill="FFFFFF"/>
            <w:lang w:eastAsia="en-GB"/>
          </w:rPr>
          <w:t>https://doi.org/10.1177/0018726710375481</w:t>
        </w:r>
      </w:hyperlink>
      <w:r w:rsidR="00BD4A8A" w:rsidRPr="00103556">
        <w:rPr>
          <w:rStyle w:val="Hyperlink"/>
          <w:color w:val="auto"/>
        </w:rPr>
        <w:t xml:space="preserve"> </w:t>
      </w:r>
    </w:p>
    <w:p w14:paraId="5BAFB2DF" w14:textId="30896F7F" w:rsidR="00D938DE" w:rsidRPr="00103556" w:rsidRDefault="00D938DE" w:rsidP="00BD4A8A">
      <w:pPr>
        <w:ind w:firstLine="0"/>
        <w:rPr>
          <w:rFonts w:asciiTheme="majorHAnsi" w:hAnsiTheme="majorHAnsi" w:cstheme="majorHAnsi"/>
          <w:color w:val="auto"/>
          <w:shd w:val="clear" w:color="auto" w:fill="FFFFFF"/>
        </w:rPr>
      </w:pPr>
      <w:r w:rsidRPr="00103556">
        <w:rPr>
          <w:rFonts w:asciiTheme="majorHAnsi" w:hAnsiTheme="majorHAnsi" w:cstheme="majorHAnsi"/>
          <w:color w:val="auto"/>
          <w:shd w:val="clear" w:color="auto" w:fill="FFFFFF"/>
        </w:rPr>
        <w:lastRenderedPageBreak/>
        <w:t xml:space="preserve">Friedli, L., &amp; Stearn, R. (2015). Positive affect as coercive strategy: conditionality, activation </w:t>
      </w:r>
    </w:p>
    <w:p w14:paraId="7E6DFE48" w14:textId="77777777" w:rsidR="00D938DE" w:rsidRPr="00103556" w:rsidRDefault="00D938DE" w:rsidP="007F3AB4">
      <w:pPr>
        <w:ind w:left="720" w:firstLine="0"/>
        <w:rPr>
          <w:rFonts w:asciiTheme="majorHAnsi" w:hAnsiTheme="majorHAnsi" w:cstheme="majorHAnsi"/>
          <w:b/>
          <w:bCs/>
          <w:color w:val="auto"/>
        </w:rPr>
      </w:pPr>
      <w:r w:rsidRPr="00103556">
        <w:rPr>
          <w:rFonts w:asciiTheme="majorHAnsi" w:hAnsiTheme="majorHAnsi" w:cstheme="majorHAnsi"/>
          <w:color w:val="auto"/>
          <w:shd w:val="clear" w:color="auto" w:fill="FFFFFF"/>
        </w:rPr>
        <w:t>and the role of psychology in UK government workfare programmes. </w:t>
      </w:r>
      <w:r w:rsidRPr="00103556">
        <w:rPr>
          <w:rFonts w:asciiTheme="majorHAnsi" w:hAnsiTheme="majorHAnsi" w:cstheme="majorHAnsi"/>
          <w:i/>
          <w:iCs/>
          <w:color w:val="auto"/>
          <w:shd w:val="clear" w:color="auto" w:fill="FFFFFF"/>
        </w:rPr>
        <w:t>Medical humanities</w:t>
      </w:r>
      <w:r w:rsidRPr="00103556">
        <w:rPr>
          <w:rFonts w:asciiTheme="majorHAnsi" w:hAnsiTheme="majorHAnsi" w:cstheme="majorHAnsi"/>
          <w:color w:val="auto"/>
          <w:shd w:val="clear" w:color="auto" w:fill="FFFFFF"/>
        </w:rPr>
        <w:t>, </w:t>
      </w:r>
      <w:r w:rsidRPr="00103556">
        <w:rPr>
          <w:rFonts w:asciiTheme="majorHAnsi" w:hAnsiTheme="majorHAnsi" w:cstheme="majorHAnsi"/>
          <w:i/>
          <w:iCs/>
          <w:color w:val="auto"/>
          <w:shd w:val="clear" w:color="auto" w:fill="FFFFFF"/>
        </w:rPr>
        <w:t>41</w:t>
      </w:r>
      <w:r w:rsidRPr="00103556">
        <w:rPr>
          <w:rFonts w:asciiTheme="majorHAnsi" w:hAnsiTheme="majorHAnsi" w:cstheme="majorHAnsi"/>
          <w:color w:val="auto"/>
          <w:shd w:val="clear" w:color="auto" w:fill="FFFFFF"/>
        </w:rPr>
        <w:t xml:space="preserve">(1), 40-47. </w:t>
      </w:r>
      <w:hyperlink r:id="rId38" w:tgtFrame="_new" w:history="1">
        <w:r w:rsidRPr="00103556">
          <w:rPr>
            <w:rStyle w:val="Hyperlink"/>
            <w:rFonts w:asciiTheme="majorHAnsi" w:eastAsia="Times New Roman" w:hAnsiTheme="majorHAnsi" w:cstheme="majorHAnsi"/>
            <w:color w:val="auto"/>
            <w:shd w:val="clear" w:color="auto" w:fill="FFFFFF"/>
            <w:lang w:eastAsia="en-GB"/>
          </w:rPr>
          <w:t>http://dx.doi.org/10.1136/medhum-2014-010622</w:t>
        </w:r>
      </w:hyperlink>
    </w:p>
    <w:p w14:paraId="5CC11839" w14:textId="77777777" w:rsidR="00D938DE" w:rsidRPr="00103556" w:rsidRDefault="00D938DE" w:rsidP="007F3AB4">
      <w:pPr>
        <w:ind w:firstLine="0"/>
        <w:rPr>
          <w:rFonts w:asciiTheme="majorHAnsi" w:hAnsiTheme="majorHAnsi" w:cstheme="majorHAnsi"/>
          <w:color w:val="auto"/>
          <w:shd w:val="clear" w:color="auto" w:fill="FFFFFF"/>
        </w:rPr>
      </w:pPr>
      <w:r w:rsidRPr="00103556">
        <w:rPr>
          <w:rFonts w:asciiTheme="majorHAnsi" w:hAnsiTheme="majorHAnsi" w:cstheme="majorHAnsi"/>
          <w:color w:val="auto"/>
          <w:shd w:val="clear" w:color="auto" w:fill="FFFFFF"/>
        </w:rPr>
        <w:t xml:space="preserve">Gabriel, A. S., Diefendorff, J. M., &amp; Grandey, A. A. (2023). The acceleration of emotional labor </w:t>
      </w:r>
    </w:p>
    <w:p w14:paraId="34E45CE9" w14:textId="77777777" w:rsidR="00BD4A8A" w:rsidRPr="00103556" w:rsidRDefault="00D938DE" w:rsidP="00BD4A8A">
      <w:pPr>
        <w:ind w:left="720" w:firstLine="0"/>
        <w:rPr>
          <w:rStyle w:val="Hyperlink"/>
          <w:rFonts w:asciiTheme="majorHAnsi" w:eastAsia="Times New Roman" w:hAnsiTheme="majorHAnsi" w:cstheme="majorHAnsi"/>
          <w:color w:val="auto"/>
          <w:lang w:eastAsia="en-GB"/>
        </w:rPr>
      </w:pPr>
      <w:r w:rsidRPr="00103556">
        <w:rPr>
          <w:rFonts w:asciiTheme="majorHAnsi" w:hAnsiTheme="majorHAnsi" w:cstheme="majorHAnsi"/>
          <w:color w:val="auto"/>
          <w:shd w:val="clear" w:color="auto" w:fill="FFFFFF"/>
        </w:rPr>
        <w:t xml:space="preserve">research: Navigating the past and steering toward the future. </w:t>
      </w:r>
      <w:r w:rsidRPr="00103556">
        <w:rPr>
          <w:rFonts w:asciiTheme="majorHAnsi" w:hAnsiTheme="majorHAnsi" w:cstheme="majorHAnsi"/>
          <w:i/>
          <w:iCs/>
          <w:color w:val="auto"/>
          <w:shd w:val="clear" w:color="auto" w:fill="FFFFFF"/>
        </w:rPr>
        <w:t>Personnel Psychology, 76</w:t>
      </w:r>
      <w:r w:rsidRPr="00103556">
        <w:rPr>
          <w:rFonts w:asciiTheme="majorHAnsi" w:hAnsiTheme="majorHAnsi" w:cstheme="majorHAnsi"/>
          <w:color w:val="auto"/>
          <w:shd w:val="clear" w:color="auto" w:fill="FFFFFF"/>
        </w:rPr>
        <w:t xml:space="preserve">(2), 511–545. </w:t>
      </w:r>
      <w:hyperlink r:id="rId39" w:history="1">
        <w:r w:rsidR="00BD4A8A" w:rsidRPr="00103556">
          <w:rPr>
            <w:rStyle w:val="Hyperlink"/>
            <w:rFonts w:asciiTheme="majorHAnsi" w:eastAsia="Times New Roman" w:hAnsiTheme="majorHAnsi" w:cstheme="majorHAnsi"/>
            <w:color w:val="auto"/>
            <w:shd w:val="clear" w:color="auto" w:fill="FFFFFF"/>
            <w:lang w:eastAsia="en-GB"/>
          </w:rPr>
          <w:t>https://doi.org/10.1111/peps.12576</w:t>
        </w:r>
      </w:hyperlink>
      <w:r w:rsidR="00BD4A8A" w:rsidRPr="00103556">
        <w:rPr>
          <w:rStyle w:val="Hyperlink"/>
          <w:rFonts w:asciiTheme="majorHAnsi" w:eastAsia="Times New Roman" w:hAnsiTheme="majorHAnsi" w:cstheme="majorHAnsi"/>
          <w:color w:val="auto"/>
          <w:shd w:val="clear" w:color="auto" w:fill="FFFFFF"/>
          <w:lang w:eastAsia="en-GB"/>
        </w:rPr>
        <w:t xml:space="preserve"> </w:t>
      </w:r>
    </w:p>
    <w:p w14:paraId="6E03BFA0" w14:textId="24A6FA7D" w:rsidR="00D938DE" w:rsidRPr="00103556" w:rsidRDefault="00D938DE" w:rsidP="00BD4A8A">
      <w:pPr>
        <w:ind w:firstLine="0"/>
        <w:rPr>
          <w:rFonts w:asciiTheme="majorHAnsi" w:hAnsiTheme="majorHAnsi" w:cstheme="majorHAnsi"/>
          <w:color w:val="auto"/>
        </w:rPr>
      </w:pPr>
      <w:r w:rsidRPr="00103556">
        <w:rPr>
          <w:rFonts w:asciiTheme="majorHAnsi" w:hAnsiTheme="majorHAnsi" w:cstheme="majorHAnsi"/>
          <w:color w:val="auto"/>
        </w:rPr>
        <w:t>Gabriel, Y. (1999). Beyond happy families: A critical reevaluation of the control-resistance-</w:t>
      </w:r>
    </w:p>
    <w:p w14:paraId="20DB52D7" w14:textId="6CD4C9B3" w:rsidR="00D938DE" w:rsidRPr="00103556" w:rsidRDefault="00D938DE" w:rsidP="007F3AB4">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rPr>
        <w:t xml:space="preserve">identity triangle. </w:t>
      </w:r>
      <w:r w:rsidRPr="00103556">
        <w:rPr>
          <w:rFonts w:asciiTheme="majorHAnsi" w:hAnsiTheme="majorHAnsi" w:cstheme="majorHAnsi"/>
          <w:i/>
          <w:iCs/>
          <w:color w:val="auto"/>
        </w:rPr>
        <w:t>Human Relations, 52</w:t>
      </w:r>
      <w:r w:rsidRPr="00103556">
        <w:rPr>
          <w:rFonts w:asciiTheme="majorHAnsi" w:hAnsiTheme="majorHAnsi" w:cstheme="majorHAnsi"/>
          <w:color w:val="auto"/>
        </w:rPr>
        <w:t xml:space="preserve">(2), 179-203. </w:t>
      </w:r>
      <w:hyperlink r:id="rId40" w:history="1">
        <w:r w:rsidR="00BD4A8A" w:rsidRPr="00103556">
          <w:rPr>
            <w:rStyle w:val="Hyperlink"/>
            <w:rFonts w:asciiTheme="majorHAnsi" w:eastAsia="Times New Roman" w:hAnsiTheme="majorHAnsi" w:cstheme="majorHAnsi"/>
            <w:color w:val="auto"/>
            <w:shd w:val="clear" w:color="auto" w:fill="FFFFFF"/>
            <w:lang w:eastAsia="en-GB"/>
          </w:rPr>
          <w:t>https://doi.org/10.1177/001872679905200201</w:t>
        </w:r>
      </w:hyperlink>
      <w:r w:rsidRPr="00103556">
        <w:rPr>
          <w:rStyle w:val="Hyperlink"/>
          <w:rFonts w:asciiTheme="majorHAnsi" w:eastAsia="Times New Roman" w:hAnsiTheme="majorHAnsi" w:cstheme="majorHAnsi"/>
          <w:color w:val="auto"/>
          <w:shd w:val="clear" w:color="auto" w:fill="FFFFFF"/>
          <w:lang w:eastAsia="en-GB"/>
        </w:rPr>
        <w:t xml:space="preserve"> </w:t>
      </w:r>
    </w:p>
    <w:p w14:paraId="58263BBE" w14:textId="77777777" w:rsidR="00D938DE" w:rsidRPr="00103556" w:rsidRDefault="00D938DE" w:rsidP="007F3AB4">
      <w:pPr>
        <w:ind w:firstLine="0"/>
        <w:rPr>
          <w:rFonts w:asciiTheme="majorHAnsi" w:hAnsiTheme="majorHAnsi" w:cstheme="majorHAnsi"/>
          <w:color w:val="auto"/>
        </w:rPr>
      </w:pPr>
      <w:r w:rsidRPr="00103556">
        <w:rPr>
          <w:rFonts w:asciiTheme="majorHAnsi" w:hAnsiTheme="majorHAnsi" w:cstheme="majorHAnsi"/>
          <w:color w:val="auto"/>
          <w:shd w:val="clear" w:color="auto" w:fill="FFFFFF"/>
        </w:rPr>
        <w:t>Gibson, M. (2019). </w:t>
      </w:r>
      <w:r w:rsidRPr="00103556">
        <w:rPr>
          <w:rFonts w:asciiTheme="majorHAnsi" w:hAnsiTheme="majorHAnsi" w:cstheme="majorHAnsi"/>
          <w:i/>
          <w:iCs/>
          <w:color w:val="auto"/>
          <w:shd w:val="clear" w:color="auto" w:fill="FFFFFF"/>
        </w:rPr>
        <w:t>Pride and shame in child and family social work</w:t>
      </w:r>
      <w:r w:rsidRPr="00103556">
        <w:rPr>
          <w:rFonts w:asciiTheme="majorHAnsi" w:hAnsiTheme="majorHAnsi" w:cstheme="majorHAnsi"/>
          <w:color w:val="auto"/>
          <w:shd w:val="clear" w:color="auto" w:fill="FFFFFF"/>
        </w:rPr>
        <w:t>. Bristol, UK: Policy Press.</w:t>
      </w:r>
    </w:p>
    <w:p w14:paraId="4DCED4D2" w14:textId="77777777" w:rsidR="00D938DE" w:rsidRPr="00103556" w:rsidRDefault="00D938DE" w:rsidP="007F3AB4">
      <w:pPr>
        <w:ind w:firstLine="0"/>
        <w:rPr>
          <w:rFonts w:asciiTheme="majorHAnsi" w:hAnsiTheme="majorHAnsi" w:cstheme="majorHAnsi"/>
          <w:color w:val="auto"/>
        </w:rPr>
      </w:pPr>
      <w:r w:rsidRPr="00103556">
        <w:rPr>
          <w:rFonts w:asciiTheme="majorHAnsi" w:hAnsiTheme="majorHAnsi" w:cstheme="majorHAnsi"/>
          <w:color w:val="auto"/>
        </w:rPr>
        <w:t xml:space="preserve">Gill, M. J. (2019). The significance of suffering in organizations: Understanding variation in </w:t>
      </w:r>
    </w:p>
    <w:p w14:paraId="12C74C3E" w14:textId="77777777" w:rsidR="00D938DE" w:rsidRPr="00103556" w:rsidRDefault="00D938DE" w:rsidP="007F3AB4">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rPr>
        <w:t xml:space="preserve">workers’ responses to multiple modes of control. </w:t>
      </w:r>
      <w:r w:rsidRPr="00103556">
        <w:rPr>
          <w:rFonts w:asciiTheme="majorHAnsi" w:hAnsiTheme="majorHAnsi" w:cstheme="majorHAnsi"/>
          <w:i/>
          <w:iCs/>
          <w:color w:val="auto"/>
        </w:rPr>
        <w:t>Academy of Management Review, 44</w:t>
      </w:r>
      <w:r w:rsidRPr="00103556">
        <w:rPr>
          <w:rFonts w:asciiTheme="majorHAnsi" w:hAnsiTheme="majorHAnsi" w:cstheme="majorHAnsi"/>
          <w:color w:val="auto"/>
        </w:rPr>
        <w:t xml:space="preserve">(2), 377- 404. </w:t>
      </w:r>
      <w:hyperlink r:id="rId41" w:history="1">
        <w:r w:rsidRPr="00103556">
          <w:rPr>
            <w:rStyle w:val="Hyperlink"/>
            <w:rFonts w:asciiTheme="majorHAnsi" w:eastAsia="Times New Roman" w:hAnsiTheme="majorHAnsi" w:cstheme="majorHAnsi"/>
            <w:color w:val="auto"/>
            <w:shd w:val="clear" w:color="auto" w:fill="FFFFFF"/>
            <w:lang w:eastAsia="en-GB"/>
          </w:rPr>
          <w:t>https://doi.org/10.5465/amr.2016.0378</w:t>
        </w:r>
      </w:hyperlink>
      <w:r w:rsidRPr="00103556">
        <w:rPr>
          <w:rStyle w:val="Hyperlink"/>
          <w:rFonts w:asciiTheme="majorHAnsi" w:eastAsia="Times New Roman" w:hAnsiTheme="majorHAnsi" w:cstheme="majorHAnsi"/>
          <w:color w:val="auto"/>
          <w:shd w:val="clear" w:color="auto" w:fill="FFFFFF"/>
          <w:lang w:eastAsia="en-GB"/>
        </w:rPr>
        <w:t xml:space="preserve"> </w:t>
      </w:r>
    </w:p>
    <w:p w14:paraId="02C492BC" w14:textId="77777777" w:rsidR="00D938DE" w:rsidRPr="00103556" w:rsidRDefault="00D938DE" w:rsidP="007F3AB4">
      <w:pPr>
        <w:ind w:firstLine="0"/>
        <w:rPr>
          <w:rFonts w:asciiTheme="majorHAnsi" w:hAnsiTheme="majorHAnsi" w:cstheme="majorHAnsi"/>
          <w:color w:val="auto"/>
          <w:shd w:val="clear" w:color="auto" w:fill="FFFFFF"/>
        </w:rPr>
      </w:pPr>
      <w:r w:rsidRPr="00103556">
        <w:rPr>
          <w:rFonts w:asciiTheme="majorHAnsi" w:hAnsiTheme="majorHAnsi" w:cstheme="majorHAnsi"/>
          <w:color w:val="auto"/>
          <w:shd w:val="clear" w:color="auto" w:fill="FFFFFF"/>
        </w:rPr>
        <w:t xml:space="preserve">Gioia, D. A., Corley, K. G., &amp; Hamilton, A. L. (2013). Seeking qualitative rigor in inductive </w:t>
      </w:r>
    </w:p>
    <w:p w14:paraId="4A3DF037" w14:textId="77777777" w:rsidR="00D938DE" w:rsidRPr="00103556" w:rsidRDefault="00D938DE" w:rsidP="007F3AB4">
      <w:pPr>
        <w:ind w:left="720" w:firstLine="0"/>
        <w:rPr>
          <w:rFonts w:asciiTheme="majorHAnsi" w:hAnsiTheme="majorHAnsi" w:cstheme="majorHAnsi"/>
          <w:color w:val="auto"/>
        </w:rPr>
      </w:pPr>
      <w:r w:rsidRPr="00103556">
        <w:rPr>
          <w:rFonts w:asciiTheme="majorHAnsi" w:hAnsiTheme="majorHAnsi" w:cstheme="majorHAnsi"/>
          <w:color w:val="auto"/>
          <w:shd w:val="clear" w:color="auto" w:fill="FFFFFF"/>
        </w:rPr>
        <w:t>research: Notes on the Gioia methodology. </w:t>
      </w:r>
      <w:r w:rsidRPr="00103556">
        <w:rPr>
          <w:rFonts w:asciiTheme="majorHAnsi" w:hAnsiTheme="majorHAnsi" w:cstheme="majorHAnsi"/>
          <w:i/>
          <w:iCs/>
          <w:color w:val="auto"/>
          <w:shd w:val="clear" w:color="auto" w:fill="FFFFFF"/>
        </w:rPr>
        <w:t>Organizational research methods</w:t>
      </w:r>
      <w:r w:rsidRPr="00103556">
        <w:rPr>
          <w:rFonts w:asciiTheme="majorHAnsi" w:hAnsiTheme="majorHAnsi" w:cstheme="majorHAnsi"/>
          <w:color w:val="auto"/>
          <w:shd w:val="clear" w:color="auto" w:fill="FFFFFF"/>
        </w:rPr>
        <w:t>, </w:t>
      </w:r>
      <w:r w:rsidRPr="00103556">
        <w:rPr>
          <w:rFonts w:asciiTheme="majorHAnsi" w:hAnsiTheme="majorHAnsi" w:cstheme="majorHAnsi"/>
          <w:i/>
          <w:iCs/>
          <w:color w:val="auto"/>
          <w:shd w:val="clear" w:color="auto" w:fill="FFFFFF"/>
        </w:rPr>
        <w:t>16</w:t>
      </w:r>
      <w:r w:rsidRPr="00103556">
        <w:rPr>
          <w:rFonts w:asciiTheme="majorHAnsi" w:hAnsiTheme="majorHAnsi" w:cstheme="majorHAnsi"/>
          <w:color w:val="auto"/>
          <w:shd w:val="clear" w:color="auto" w:fill="FFFFFF"/>
        </w:rPr>
        <w:t xml:space="preserve">(1), 15-31. </w:t>
      </w:r>
      <w:hyperlink r:id="rId42" w:tgtFrame="_blank" w:history="1">
        <w:r w:rsidRPr="00103556">
          <w:rPr>
            <w:rStyle w:val="Hyperlink"/>
            <w:rFonts w:asciiTheme="majorHAnsi" w:eastAsia="Times New Roman" w:hAnsiTheme="majorHAnsi" w:cstheme="majorHAnsi"/>
            <w:color w:val="auto"/>
            <w:shd w:val="clear" w:color="auto" w:fill="FFFFFF"/>
            <w:lang w:eastAsia="en-GB"/>
          </w:rPr>
          <w:t>https://doi.org/10.1177/1094428112452151</w:t>
        </w:r>
      </w:hyperlink>
    </w:p>
    <w:p w14:paraId="4535577B" w14:textId="77777777" w:rsidR="00D938DE" w:rsidRPr="00103556" w:rsidRDefault="00D938DE" w:rsidP="007F3AB4">
      <w:pPr>
        <w:ind w:firstLine="0"/>
        <w:rPr>
          <w:rFonts w:asciiTheme="majorHAnsi" w:hAnsiTheme="majorHAnsi" w:cstheme="majorHAnsi"/>
          <w:color w:val="auto"/>
        </w:rPr>
      </w:pPr>
      <w:r w:rsidRPr="00103556">
        <w:rPr>
          <w:rFonts w:asciiTheme="majorHAnsi" w:hAnsiTheme="majorHAnsi" w:cstheme="majorHAnsi"/>
          <w:color w:val="auto"/>
        </w:rPr>
        <w:t xml:space="preserve">Goffman, E. (1968). </w:t>
      </w:r>
      <w:r w:rsidRPr="00103556">
        <w:rPr>
          <w:rFonts w:asciiTheme="majorHAnsi" w:hAnsiTheme="majorHAnsi" w:cstheme="majorHAnsi"/>
          <w:i/>
          <w:iCs/>
          <w:color w:val="auto"/>
        </w:rPr>
        <w:t>Stigma: Notes on the management of spoiled identity</w:t>
      </w:r>
      <w:r w:rsidRPr="00103556">
        <w:rPr>
          <w:rFonts w:asciiTheme="majorHAnsi" w:hAnsiTheme="majorHAnsi" w:cstheme="majorHAnsi"/>
          <w:color w:val="auto"/>
        </w:rPr>
        <w:t xml:space="preserve">. Middlesex: Penguin </w:t>
      </w:r>
    </w:p>
    <w:p w14:paraId="2A69F0F0" w14:textId="77777777" w:rsidR="00D938DE" w:rsidRPr="00103556" w:rsidRDefault="00D938DE" w:rsidP="007F3AB4">
      <w:pPr>
        <w:rPr>
          <w:rFonts w:asciiTheme="majorHAnsi" w:hAnsiTheme="majorHAnsi" w:cstheme="majorHAnsi"/>
          <w:color w:val="auto"/>
        </w:rPr>
      </w:pPr>
      <w:r w:rsidRPr="00103556">
        <w:rPr>
          <w:rFonts w:asciiTheme="majorHAnsi" w:hAnsiTheme="majorHAnsi" w:cstheme="majorHAnsi"/>
          <w:color w:val="auto"/>
        </w:rPr>
        <w:t>Books.</w:t>
      </w:r>
    </w:p>
    <w:p w14:paraId="3D4CE634" w14:textId="77777777" w:rsidR="00D938DE" w:rsidRPr="00103556" w:rsidRDefault="00D938DE" w:rsidP="007F3AB4">
      <w:pPr>
        <w:ind w:firstLine="0"/>
        <w:rPr>
          <w:rFonts w:asciiTheme="majorHAnsi" w:hAnsiTheme="majorHAnsi" w:cstheme="majorHAnsi"/>
          <w:color w:val="auto"/>
        </w:rPr>
      </w:pPr>
      <w:r w:rsidRPr="00103556">
        <w:rPr>
          <w:rFonts w:asciiTheme="majorHAnsi" w:hAnsiTheme="majorHAnsi" w:cstheme="majorHAnsi"/>
          <w:color w:val="auto"/>
        </w:rPr>
        <w:t xml:space="preserve">Grandey, A. A. (2015). Smiling for a wage: What emotional labor teaches us about emotion </w:t>
      </w:r>
    </w:p>
    <w:p w14:paraId="4A282983" w14:textId="77777777" w:rsidR="00D938DE" w:rsidRPr="00103556" w:rsidRDefault="00D938DE" w:rsidP="007F3AB4">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rPr>
        <w:t xml:space="preserve">regulation. </w:t>
      </w:r>
      <w:r w:rsidRPr="00103556">
        <w:rPr>
          <w:rFonts w:asciiTheme="majorHAnsi" w:hAnsiTheme="majorHAnsi" w:cstheme="majorHAnsi"/>
          <w:i/>
          <w:iCs/>
          <w:color w:val="auto"/>
        </w:rPr>
        <w:t>Psychological Inquiry, 26</w:t>
      </w:r>
      <w:r w:rsidRPr="00103556">
        <w:rPr>
          <w:rFonts w:asciiTheme="majorHAnsi" w:hAnsiTheme="majorHAnsi" w:cstheme="majorHAnsi"/>
          <w:color w:val="auto"/>
        </w:rPr>
        <w:t xml:space="preserve">(1), 54-60. </w:t>
      </w:r>
      <w:hyperlink r:id="rId43" w:history="1">
        <w:r w:rsidRPr="00103556">
          <w:rPr>
            <w:rStyle w:val="Hyperlink"/>
            <w:rFonts w:asciiTheme="majorHAnsi" w:eastAsia="Times New Roman" w:hAnsiTheme="majorHAnsi" w:cstheme="majorHAnsi"/>
            <w:color w:val="auto"/>
            <w:shd w:val="clear" w:color="auto" w:fill="FFFFFF"/>
            <w:lang w:eastAsia="en-GB"/>
          </w:rPr>
          <w:t>https://doi.org/10.1080/1047840x.2015.962444 </w:t>
        </w:r>
      </w:hyperlink>
    </w:p>
    <w:p w14:paraId="01CD7184" w14:textId="77777777" w:rsidR="00D938DE" w:rsidRPr="00103556" w:rsidRDefault="00D938DE" w:rsidP="007F3AB4">
      <w:pPr>
        <w:ind w:firstLine="0"/>
        <w:rPr>
          <w:rFonts w:asciiTheme="majorHAnsi" w:hAnsiTheme="majorHAnsi" w:cstheme="majorHAnsi"/>
          <w:color w:val="auto"/>
        </w:rPr>
      </w:pPr>
      <w:r w:rsidRPr="00103556">
        <w:rPr>
          <w:rFonts w:asciiTheme="majorHAnsi" w:hAnsiTheme="majorHAnsi" w:cstheme="majorHAnsi"/>
          <w:color w:val="auto"/>
        </w:rPr>
        <w:t xml:space="preserve">Grandey, A. A., Rupp, D., &amp; Brice, W. N. (2015). Emotional labor threatens decent work: A </w:t>
      </w:r>
    </w:p>
    <w:p w14:paraId="41889026" w14:textId="77777777" w:rsidR="00D938DE" w:rsidRPr="00103556" w:rsidRDefault="00D938DE" w:rsidP="007F3AB4">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rPr>
        <w:lastRenderedPageBreak/>
        <w:t xml:space="preserve">proposal to eradicate emotional display rules. </w:t>
      </w:r>
      <w:r w:rsidRPr="00103556">
        <w:rPr>
          <w:rFonts w:asciiTheme="majorHAnsi" w:hAnsiTheme="majorHAnsi" w:cstheme="majorHAnsi"/>
          <w:i/>
          <w:iCs/>
          <w:color w:val="auto"/>
        </w:rPr>
        <w:t>Journal of Organizational Behavior, 36</w:t>
      </w:r>
      <w:r w:rsidRPr="00103556">
        <w:rPr>
          <w:rFonts w:asciiTheme="majorHAnsi" w:hAnsiTheme="majorHAnsi" w:cstheme="majorHAnsi"/>
          <w:color w:val="auto"/>
        </w:rPr>
        <w:t xml:space="preserve">(6), 770–785. </w:t>
      </w:r>
      <w:hyperlink r:id="rId44" w:tgtFrame="_blank" w:history="1">
        <w:r w:rsidRPr="00103556">
          <w:rPr>
            <w:rStyle w:val="Hyperlink"/>
            <w:rFonts w:asciiTheme="majorHAnsi" w:eastAsia="Times New Roman" w:hAnsiTheme="majorHAnsi" w:cstheme="majorHAnsi"/>
            <w:color w:val="auto"/>
            <w:shd w:val="clear" w:color="auto" w:fill="FFFFFF"/>
            <w:lang w:eastAsia="en-GB"/>
          </w:rPr>
          <w:t>https://doi.org/10.1002/job.2020 </w:t>
        </w:r>
      </w:hyperlink>
    </w:p>
    <w:p w14:paraId="2F0EC851" w14:textId="77777777" w:rsidR="00D938DE" w:rsidRPr="00103556" w:rsidRDefault="00D938DE" w:rsidP="007F3AB4">
      <w:pPr>
        <w:ind w:firstLine="0"/>
        <w:rPr>
          <w:rFonts w:asciiTheme="majorHAnsi" w:hAnsiTheme="majorHAnsi" w:cstheme="majorHAnsi"/>
          <w:color w:val="auto"/>
          <w:shd w:val="clear" w:color="auto" w:fill="FFFFFF"/>
        </w:rPr>
      </w:pPr>
      <w:r w:rsidRPr="00103556">
        <w:rPr>
          <w:rFonts w:asciiTheme="majorHAnsi" w:hAnsiTheme="majorHAnsi" w:cstheme="majorHAnsi"/>
          <w:color w:val="auto"/>
          <w:shd w:val="clear" w:color="auto" w:fill="FFFFFF"/>
        </w:rPr>
        <w:t xml:space="preserve">Guiamet, J. (2019). Workplace Theory: An anthropological approach to emotional labour, </w:t>
      </w:r>
    </w:p>
    <w:p w14:paraId="5EF14190" w14:textId="77777777" w:rsidR="003C339B" w:rsidRPr="00103556" w:rsidRDefault="00D938DE" w:rsidP="003C339B">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shd w:val="clear" w:color="auto" w:fill="FFFFFF"/>
        </w:rPr>
        <w:t>subjectivity and control/resistance processes. </w:t>
      </w:r>
      <w:r w:rsidRPr="00103556">
        <w:rPr>
          <w:rFonts w:asciiTheme="majorHAnsi" w:hAnsiTheme="majorHAnsi" w:cstheme="majorHAnsi"/>
          <w:i/>
          <w:iCs/>
          <w:color w:val="auto"/>
          <w:shd w:val="clear" w:color="auto" w:fill="FFFFFF"/>
        </w:rPr>
        <w:t>Anthropological Theory</w:t>
      </w:r>
      <w:r w:rsidRPr="00103556">
        <w:rPr>
          <w:rFonts w:asciiTheme="majorHAnsi" w:hAnsiTheme="majorHAnsi" w:cstheme="majorHAnsi"/>
          <w:color w:val="auto"/>
          <w:shd w:val="clear" w:color="auto" w:fill="FFFFFF"/>
        </w:rPr>
        <w:t>, </w:t>
      </w:r>
      <w:r w:rsidRPr="00103556">
        <w:rPr>
          <w:rFonts w:asciiTheme="majorHAnsi" w:hAnsiTheme="majorHAnsi" w:cstheme="majorHAnsi"/>
          <w:i/>
          <w:iCs/>
          <w:color w:val="auto"/>
          <w:shd w:val="clear" w:color="auto" w:fill="FFFFFF"/>
        </w:rPr>
        <w:t>19</w:t>
      </w:r>
      <w:r w:rsidRPr="00103556">
        <w:rPr>
          <w:rFonts w:asciiTheme="majorHAnsi" w:hAnsiTheme="majorHAnsi" w:cstheme="majorHAnsi"/>
          <w:color w:val="auto"/>
          <w:shd w:val="clear" w:color="auto" w:fill="FFFFFF"/>
        </w:rPr>
        <w:t xml:space="preserve">(4), 470-488. </w:t>
      </w:r>
      <w:hyperlink r:id="rId45" w:history="1">
        <w:r w:rsidRPr="00103556">
          <w:rPr>
            <w:rStyle w:val="Hyperlink"/>
            <w:rFonts w:asciiTheme="majorHAnsi" w:eastAsia="Times New Roman" w:hAnsiTheme="majorHAnsi" w:cstheme="majorHAnsi"/>
            <w:color w:val="auto"/>
            <w:shd w:val="clear" w:color="auto" w:fill="FFFFFF"/>
            <w:lang w:eastAsia="en-GB"/>
          </w:rPr>
          <w:t>https://doi.org/10.1177/1463499619835328</w:t>
        </w:r>
      </w:hyperlink>
      <w:r w:rsidR="003C339B" w:rsidRPr="00103556">
        <w:rPr>
          <w:rStyle w:val="Hyperlink"/>
          <w:rFonts w:asciiTheme="majorHAnsi" w:eastAsia="Times New Roman" w:hAnsiTheme="majorHAnsi" w:cstheme="majorHAnsi"/>
          <w:color w:val="auto"/>
          <w:shd w:val="clear" w:color="auto" w:fill="FFFFFF"/>
          <w:lang w:eastAsia="en-GB"/>
        </w:rPr>
        <w:t xml:space="preserve"> </w:t>
      </w:r>
    </w:p>
    <w:p w14:paraId="3A3E92EE" w14:textId="3C1724F3" w:rsidR="00D938DE" w:rsidRPr="00103556" w:rsidRDefault="00D938DE" w:rsidP="003C339B">
      <w:pPr>
        <w:ind w:firstLine="0"/>
        <w:rPr>
          <w:rFonts w:asciiTheme="majorHAnsi" w:hAnsiTheme="majorHAnsi" w:cstheme="majorHAnsi"/>
          <w:i/>
          <w:iCs/>
          <w:color w:val="auto"/>
        </w:rPr>
      </w:pPr>
      <w:r w:rsidRPr="00103556">
        <w:rPr>
          <w:rFonts w:asciiTheme="majorHAnsi" w:hAnsiTheme="majorHAnsi" w:cstheme="majorHAnsi"/>
          <w:color w:val="auto"/>
        </w:rPr>
        <w:t xml:space="preserve">Held, B. S. (2018). Positive psychology’s a priori problem. </w:t>
      </w:r>
      <w:r w:rsidRPr="00103556">
        <w:rPr>
          <w:rFonts w:asciiTheme="majorHAnsi" w:hAnsiTheme="majorHAnsi" w:cstheme="majorHAnsi"/>
          <w:i/>
          <w:iCs/>
          <w:color w:val="auto"/>
        </w:rPr>
        <w:t xml:space="preserve">Journal of Humanistic Psychology, </w:t>
      </w:r>
    </w:p>
    <w:p w14:paraId="012D14B0" w14:textId="77777777" w:rsidR="003C339B" w:rsidRPr="00103556" w:rsidRDefault="00D938DE" w:rsidP="003C339B">
      <w:pPr>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i/>
          <w:iCs/>
          <w:color w:val="auto"/>
        </w:rPr>
        <w:t>58</w:t>
      </w:r>
      <w:r w:rsidRPr="00103556">
        <w:rPr>
          <w:rFonts w:asciiTheme="majorHAnsi" w:hAnsiTheme="majorHAnsi" w:cstheme="majorHAnsi"/>
          <w:color w:val="auto"/>
        </w:rPr>
        <w:t xml:space="preserve">(3), 313-342. </w:t>
      </w:r>
      <w:hyperlink r:id="rId46" w:history="1">
        <w:r w:rsidRPr="00103556">
          <w:rPr>
            <w:rStyle w:val="Hyperlink"/>
            <w:rFonts w:asciiTheme="majorHAnsi" w:eastAsia="Times New Roman" w:hAnsiTheme="majorHAnsi" w:cstheme="majorHAnsi"/>
            <w:color w:val="auto"/>
            <w:shd w:val="clear" w:color="auto" w:fill="FFFFFF"/>
            <w:lang w:eastAsia="en-GB"/>
          </w:rPr>
          <w:t>https://doi.org/10.1177/0022167817739409</w:t>
        </w:r>
      </w:hyperlink>
      <w:r w:rsidR="003C339B" w:rsidRPr="00103556">
        <w:rPr>
          <w:rStyle w:val="Hyperlink"/>
          <w:rFonts w:asciiTheme="majorHAnsi" w:eastAsia="Times New Roman" w:hAnsiTheme="majorHAnsi" w:cstheme="majorHAnsi"/>
          <w:color w:val="auto"/>
          <w:shd w:val="clear" w:color="auto" w:fill="FFFFFF"/>
          <w:lang w:eastAsia="en-GB"/>
        </w:rPr>
        <w:t xml:space="preserve"> </w:t>
      </w:r>
    </w:p>
    <w:p w14:paraId="039C37DB" w14:textId="77777777" w:rsidR="006C7E9F" w:rsidRPr="00103556" w:rsidRDefault="00D938DE" w:rsidP="006C7E9F">
      <w:pPr>
        <w:ind w:firstLine="0"/>
        <w:rPr>
          <w:rFonts w:asciiTheme="majorHAnsi" w:hAnsiTheme="majorHAnsi" w:cstheme="majorHAnsi"/>
          <w:color w:val="auto"/>
        </w:rPr>
      </w:pPr>
      <w:r w:rsidRPr="00103556">
        <w:rPr>
          <w:rFonts w:asciiTheme="majorHAnsi" w:hAnsiTheme="majorHAnsi" w:cstheme="majorHAnsi"/>
          <w:color w:val="auto"/>
        </w:rPr>
        <w:t xml:space="preserve">Hochschild, A. R. (1983). </w:t>
      </w:r>
      <w:r w:rsidRPr="00103556">
        <w:rPr>
          <w:rFonts w:asciiTheme="majorHAnsi" w:hAnsiTheme="majorHAnsi" w:cstheme="majorHAnsi"/>
          <w:i/>
          <w:iCs/>
          <w:color w:val="auto"/>
        </w:rPr>
        <w:t>The managed heart</w:t>
      </w:r>
      <w:r w:rsidRPr="00103556">
        <w:rPr>
          <w:rFonts w:asciiTheme="majorHAnsi" w:hAnsiTheme="majorHAnsi" w:cstheme="majorHAnsi"/>
          <w:color w:val="auto"/>
        </w:rPr>
        <w:t>. Berkeley, CA: University of California Press.</w:t>
      </w:r>
      <w:r w:rsidR="003C339B" w:rsidRPr="00103556">
        <w:rPr>
          <w:rFonts w:asciiTheme="majorHAnsi" w:hAnsiTheme="majorHAnsi" w:cstheme="majorHAnsi"/>
          <w:color w:val="auto"/>
        </w:rPr>
        <w:t xml:space="preserve"> </w:t>
      </w:r>
      <w:r w:rsidRPr="00103556">
        <w:rPr>
          <w:rFonts w:asciiTheme="majorHAnsi" w:hAnsiTheme="majorHAnsi" w:cstheme="majorHAnsi"/>
          <w:color w:val="auto"/>
        </w:rPr>
        <w:t xml:space="preserve">Hughes, R., &amp; Huby, M. (2004). The construction and interpretation of vignettes in social </w:t>
      </w:r>
    </w:p>
    <w:p w14:paraId="4F459F0D" w14:textId="77777777" w:rsidR="006C7E9F" w:rsidRPr="00103556" w:rsidRDefault="00D938DE" w:rsidP="006C7E9F">
      <w:pPr>
        <w:ind w:left="720" w:firstLine="0"/>
        <w:rPr>
          <w:rStyle w:val="Hyperlink"/>
          <w:rFonts w:asciiTheme="majorHAnsi" w:eastAsia="Times New Roman" w:hAnsiTheme="majorHAnsi" w:cstheme="majorHAnsi"/>
          <w:color w:val="auto"/>
          <w:shd w:val="clear" w:color="auto" w:fill="FFFFFF"/>
          <w:lang w:val="de-DE" w:eastAsia="en-GB"/>
        </w:rPr>
      </w:pPr>
      <w:r w:rsidRPr="00103556">
        <w:rPr>
          <w:rFonts w:asciiTheme="majorHAnsi" w:hAnsiTheme="majorHAnsi" w:cstheme="majorHAnsi"/>
          <w:color w:val="auto"/>
        </w:rPr>
        <w:t xml:space="preserve">research. </w:t>
      </w:r>
      <w:r w:rsidRPr="00103556">
        <w:rPr>
          <w:rFonts w:asciiTheme="majorHAnsi" w:hAnsiTheme="majorHAnsi" w:cstheme="majorHAnsi"/>
          <w:i/>
          <w:iCs/>
          <w:color w:val="auto"/>
        </w:rPr>
        <w:t>Social work and social sciences review, 11</w:t>
      </w:r>
      <w:r w:rsidRPr="00103556">
        <w:rPr>
          <w:rFonts w:asciiTheme="majorHAnsi" w:hAnsiTheme="majorHAnsi" w:cstheme="majorHAnsi"/>
          <w:color w:val="auto"/>
        </w:rPr>
        <w:t xml:space="preserve">(1), 36-51. </w:t>
      </w:r>
      <w:hyperlink r:id="rId47" w:history="1">
        <w:r w:rsidRPr="00103556">
          <w:rPr>
            <w:rStyle w:val="Hyperlink"/>
            <w:rFonts w:asciiTheme="majorHAnsi" w:eastAsia="Times New Roman" w:hAnsiTheme="majorHAnsi" w:cstheme="majorHAnsi"/>
            <w:color w:val="auto"/>
            <w:shd w:val="clear" w:color="auto" w:fill="FFFFFF"/>
            <w:lang w:val="de-DE" w:eastAsia="en-GB"/>
          </w:rPr>
          <w:t>https://doi.org/10.1921/17466105.11.1.36</w:t>
        </w:r>
      </w:hyperlink>
      <w:r w:rsidR="006C7E9F" w:rsidRPr="00103556">
        <w:rPr>
          <w:rStyle w:val="Hyperlink"/>
          <w:rFonts w:asciiTheme="majorHAnsi" w:eastAsia="Times New Roman" w:hAnsiTheme="majorHAnsi" w:cstheme="majorHAnsi"/>
          <w:color w:val="auto"/>
          <w:shd w:val="clear" w:color="auto" w:fill="FFFFFF"/>
          <w:lang w:val="de-DE" w:eastAsia="en-GB"/>
        </w:rPr>
        <w:t xml:space="preserve"> </w:t>
      </w:r>
    </w:p>
    <w:p w14:paraId="5D3FFDC0" w14:textId="5703FE74" w:rsidR="00D938DE" w:rsidRPr="00103556" w:rsidRDefault="00D938DE" w:rsidP="006C7E9F">
      <w:pPr>
        <w:ind w:firstLine="0"/>
        <w:rPr>
          <w:rFonts w:asciiTheme="majorHAnsi" w:hAnsiTheme="majorHAnsi" w:cstheme="majorHAnsi"/>
          <w:color w:val="auto"/>
        </w:rPr>
      </w:pPr>
      <w:r w:rsidRPr="00103556">
        <w:rPr>
          <w:rFonts w:asciiTheme="majorHAnsi" w:hAnsiTheme="majorHAnsi" w:cstheme="majorHAnsi"/>
          <w:color w:val="auto"/>
          <w:lang w:val="de-DE"/>
        </w:rPr>
        <w:t xml:space="preserve">Hülsheger, U. R., &amp; Schewe, A. F. (2011). </w:t>
      </w:r>
      <w:r w:rsidRPr="00103556">
        <w:rPr>
          <w:rFonts w:asciiTheme="majorHAnsi" w:hAnsiTheme="majorHAnsi" w:cstheme="majorHAnsi"/>
          <w:color w:val="auto"/>
        </w:rPr>
        <w:t xml:space="preserve">On the costs and benefits of emotional labor: a </w:t>
      </w:r>
    </w:p>
    <w:p w14:paraId="1AC10614" w14:textId="77777777" w:rsidR="006C7E9F" w:rsidRPr="00103556" w:rsidRDefault="00D938DE" w:rsidP="006C7E9F">
      <w:pPr>
        <w:ind w:left="720" w:firstLine="0"/>
        <w:rPr>
          <w:rFonts w:asciiTheme="majorHAnsi" w:hAnsiTheme="majorHAnsi" w:cstheme="majorHAnsi"/>
          <w:color w:val="auto"/>
        </w:rPr>
      </w:pPr>
      <w:r w:rsidRPr="00103556">
        <w:rPr>
          <w:rFonts w:asciiTheme="majorHAnsi" w:hAnsiTheme="majorHAnsi" w:cstheme="majorHAnsi"/>
          <w:color w:val="auto"/>
        </w:rPr>
        <w:t xml:space="preserve">meta-analysis of three decades of research. </w:t>
      </w:r>
      <w:r w:rsidRPr="00103556">
        <w:rPr>
          <w:rFonts w:asciiTheme="majorHAnsi" w:hAnsiTheme="majorHAnsi" w:cstheme="majorHAnsi"/>
          <w:i/>
          <w:iCs/>
          <w:color w:val="auto"/>
        </w:rPr>
        <w:t>Journal of occupational health psychology, 16</w:t>
      </w:r>
      <w:r w:rsidRPr="00103556">
        <w:rPr>
          <w:rFonts w:asciiTheme="majorHAnsi" w:hAnsiTheme="majorHAnsi" w:cstheme="majorHAnsi"/>
          <w:color w:val="auto"/>
        </w:rPr>
        <w:t xml:space="preserve">(3), 361. </w:t>
      </w:r>
      <w:hyperlink r:id="rId48" w:history="1">
        <w:r w:rsidRPr="00103556">
          <w:rPr>
            <w:rStyle w:val="Hyperlink"/>
            <w:rFonts w:asciiTheme="majorHAnsi" w:eastAsia="Times New Roman" w:hAnsiTheme="majorHAnsi" w:cstheme="majorHAnsi"/>
            <w:color w:val="auto"/>
            <w:shd w:val="clear" w:color="auto" w:fill="FFFFFF"/>
            <w:lang w:eastAsia="en-GB"/>
          </w:rPr>
          <w:t>https://doi.org/10.1037/a0022876</w:t>
        </w:r>
      </w:hyperlink>
      <w:r w:rsidRPr="00103556">
        <w:rPr>
          <w:rFonts w:asciiTheme="majorHAnsi" w:hAnsiTheme="majorHAnsi" w:cstheme="majorHAnsi"/>
          <w:color w:val="auto"/>
        </w:rPr>
        <w:t xml:space="preserve"> </w:t>
      </w:r>
    </w:p>
    <w:p w14:paraId="5E7B5F2E" w14:textId="2005D4CA" w:rsidR="00D938DE" w:rsidRPr="00103556" w:rsidRDefault="00D938DE" w:rsidP="006C7E9F">
      <w:pPr>
        <w:ind w:firstLine="0"/>
        <w:rPr>
          <w:rFonts w:asciiTheme="majorHAnsi" w:hAnsiTheme="majorHAnsi" w:cstheme="majorHAnsi"/>
          <w:color w:val="auto"/>
          <w:shd w:val="clear" w:color="auto" w:fill="FFFFFF"/>
        </w:rPr>
      </w:pPr>
      <w:r w:rsidRPr="00103556">
        <w:rPr>
          <w:rFonts w:asciiTheme="majorHAnsi" w:hAnsiTheme="majorHAnsi" w:cstheme="majorHAnsi"/>
          <w:color w:val="auto"/>
          <w:shd w:val="clear" w:color="auto" w:fill="FFFFFF"/>
        </w:rPr>
        <w:t xml:space="preserve">James, E. P., Zanin, A. C., &amp; Damon, Z. (2023). Blue-Collar and Healthy Worker Identities: </w:t>
      </w:r>
    </w:p>
    <w:p w14:paraId="2A4E97B7" w14:textId="77777777" w:rsidR="006C7E9F" w:rsidRPr="00103556" w:rsidRDefault="00D938DE" w:rsidP="006C7E9F">
      <w:pPr>
        <w:ind w:left="720" w:firstLine="0"/>
        <w:rPr>
          <w:rStyle w:val="Hyperlink"/>
          <w:rFonts w:asciiTheme="majorHAnsi" w:eastAsia="Times New Roman" w:hAnsiTheme="majorHAnsi" w:cstheme="majorHAnsi"/>
          <w:color w:val="auto"/>
          <w:lang w:eastAsia="en-GB"/>
        </w:rPr>
      </w:pPr>
      <w:r w:rsidRPr="00103556">
        <w:rPr>
          <w:rFonts w:asciiTheme="majorHAnsi" w:hAnsiTheme="majorHAnsi" w:cstheme="majorHAnsi"/>
          <w:color w:val="auto"/>
          <w:shd w:val="clear" w:color="auto" w:fill="FFFFFF"/>
        </w:rPr>
        <w:t>How Parallel Ideal Worker Identities Sustain Unobtrusive Control on the Shop-Floor. </w:t>
      </w:r>
      <w:r w:rsidRPr="00103556">
        <w:rPr>
          <w:rFonts w:asciiTheme="majorHAnsi" w:hAnsiTheme="majorHAnsi" w:cstheme="majorHAnsi"/>
          <w:i/>
          <w:iCs/>
          <w:color w:val="auto"/>
          <w:shd w:val="clear" w:color="auto" w:fill="FFFFFF"/>
        </w:rPr>
        <w:t>Management Communication Quarterly</w:t>
      </w:r>
      <w:r w:rsidRPr="00103556">
        <w:rPr>
          <w:rFonts w:asciiTheme="majorHAnsi" w:hAnsiTheme="majorHAnsi" w:cstheme="majorHAnsi"/>
          <w:color w:val="auto"/>
          <w:shd w:val="clear" w:color="auto" w:fill="FFFFFF"/>
        </w:rPr>
        <w:t>, </w:t>
      </w:r>
      <w:r w:rsidRPr="00103556">
        <w:rPr>
          <w:rFonts w:asciiTheme="majorHAnsi" w:hAnsiTheme="majorHAnsi" w:cstheme="majorHAnsi"/>
          <w:i/>
          <w:iCs/>
          <w:color w:val="auto"/>
          <w:shd w:val="clear" w:color="auto" w:fill="FFFFFF"/>
        </w:rPr>
        <w:t>37</w:t>
      </w:r>
      <w:r w:rsidRPr="00103556">
        <w:rPr>
          <w:rFonts w:asciiTheme="majorHAnsi" w:hAnsiTheme="majorHAnsi" w:cstheme="majorHAnsi"/>
          <w:color w:val="auto"/>
          <w:shd w:val="clear" w:color="auto" w:fill="FFFFFF"/>
        </w:rPr>
        <w:t xml:space="preserve">(3), 542-571. </w:t>
      </w:r>
      <w:hyperlink r:id="rId49" w:history="1">
        <w:r w:rsidR="006C7E9F" w:rsidRPr="00103556">
          <w:rPr>
            <w:rStyle w:val="Hyperlink"/>
            <w:rFonts w:asciiTheme="majorHAnsi" w:eastAsia="Times New Roman" w:hAnsiTheme="majorHAnsi" w:cstheme="majorHAnsi"/>
            <w:color w:val="auto"/>
            <w:shd w:val="clear" w:color="auto" w:fill="FFFFFF"/>
            <w:lang w:eastAsia="en-GB"/>
          </w:rPr>
          <w:t>https://doi.org/10.1177/08933189221134116</w:t>
        </w:r>
      </w:hyperlink>
      <w:r w:rsidR="006C7E9F" w:rsidRPr="00103556">
        <w:rPr>
          <w:rStyle w:val="Hyperlink"/>
          <w:rFonts w:asciiTheme="majorHAnsi" w:eastAsia="Times New Roman" w:hAnsiTheme="majorHAnsi" w:cstheme="majorHAnsi"/>
          <w:color w:val="auto"/>
          <w:lang w:eastAsia="en-GB"/>
        </w:rPr>
        <w:t xml:space="preserve"> </w:t>
      </w:r>
    </w:p>
    <w:p w14:paraId="097356FF" w14:textId="6DCB4623" w:rsidR="00D938DE" w:rsidRPr="00103556" w:rsidRDefault="00D938DE" w:rsidP="006C7E9F">
      <w:pPr>
        <w:ind w:firstLine="0"/>
        <w:rPr>
          <w:rFonts w:asciiTheme="majorHAnsi" w:hAnsiTheme="majorHAnsi" w:cstheme="majorHAnsi"/>
          <w:color w:val="auto"/>
          <w:shd w:val="clear" w:color="auto" w:fill="FFFFFF"/>
        </w:rPr>
      </w:pPr>
      <w:r w:rsidRPr="00103556">
        <w:rPr>
          <w:rFonts w:asciiTheme="majorHAnsi" w:hAnsiTheme="majorHAnsi" w:cstheme="majorHAnsi"/>
          <w:color w:val="auto"/>
          <w:shd w:val="clear" w:color="auto" w:fill="FFFFFF"/>
        </w:rPr>
        <w:t xml:space="preserve">Jammaers, E., &amp; Zanoni, P. (2021). The identity regulation of disabled employees: Unveiling the </w:t>
      </w:r>
    </w:p>
    <w:p w14:paraId="28DD1D79" w14:textId="77777777" w:rsidR="00D938DE" w:rsidRPr="00103556" w:rsidRDefault="00D938DE" w:rsidP="007F3AB4">
      <w:pPr>
        <w:ind w:left="720" w:firstLine="0"/>
        <w:rPr>
          <w:rStyle w:val="Hyperlink"/>
          <w:rFonts w:asciiTheme="majorHAnsi" w:eastAsia="Times New Roman" w:hAnsiTheme="majorHAnsi" w:cstheme="majorHAnsi"/>
          <w:color w:val="auto"/>
          <w:lang w:eastAsia="en-GB"/>
        </w:rPr>
      </w:pPr>
      <w:r w:rsidRPr="00103556">
        <w:rPr>
          <w:rFonts w:asciiTheme="majorHAnsi" w:hAnsiTheme="majorHAnsi" w:cstheme="majorHAnsi"/>
          <w:color w:val="auto"/>
          <w:shd w:val="clear" w:color="auto" w:fill="FFFFFF"/>
        </w:rPr>
        <w:t>‘varieties of ableism’in employers’ socio-ideological control. </w:t>
      </w:r>
      <w:r w:rsidRPr="00103556">
        <w:rPr>
          <w:rFonts w:asciiTheme="majorHAnsi" w:hAnsiTheme="majorHAnsi" w:cstheme="majorHAnsi"/>
          <w:i/>
          <w:iCs/>
          <w:color w:val="auto"/>
          <w:shd w:val="clear" w:color="auto" w:fill="FFFFFF"/>
        </w:rPr>
        <w:t>Organization Studies</w:t>
      </w:r>
      <w:r w:rsidRPr="00103556">
        <w:rPr>
          <w:rFonts w:asciiTheme="majorHAnsi" w:hAnsiTheme="majorHAnsi" w:cstheme="majorHAnsi"/>
          <w:color w:val="auto"/>
          <w:shd w:val="clear" w:color="auto" w:fill="FFFFFF"/>
        </w:rPr>
        <w:t>, </w:t>
      </w:r>
      <w:r w:rsidRPr="00103556">
        <w:rPr>
          <w:rFonts w:asciiTheme="majorHAnsi" w:hAnsiTheme="majorHAnsi" w:cstheme="majorHAnsi"/>
          <w:i/>
          <w:iCs/>
          <w:color w:val="auto"/>
          <w:shd w:val="clear" w:color="auto" w:fill="FFFFFF"/>
        </w:rPr>
        <w:t>42</w:t>
      </w:r>
      <w:r w:rsidRPr="00103556">
        <w:rPr>
          <w:rFonts w:asciiTheme="majorHAnsi" w:hAnsiTheme="majorHAnsi" w:cstheme="majorHAnsi"/>
          <w:color w:val="auto"/>
          <w:shd w:val="clear" w:color="auto" w:fill="FFFFFF"/>
        </w:rPr>
        <w:t xml:space="preserve">(3), 429-452. </w:t>
      </w:r>
      <w:hyperlink r:id="rId50" w:history="1">
        <w:r w:rsidRPr="00103556">
          <w:rPr>
            <w:rStyle w:val="Hyperlink"/>
            <w:rFonts w:asciiTheme="majorHAnsi" w:eastAsia="Times New Roman" w:hAnsiTheme="majorHAnsi" w:cstheme="majorHAnsi"/>
            <w:color w:val="auto"/>
            <w:shd w:val="clear" w:color="auto" w:fill="FFFFFF"/>
            <w:lang w:eastAsia="en-GB"/>
          </w:rPr>
          <w:t>https://doi.org/10.1177/0170840619900292</w:t>
        </w:r>
      </w:hyperlink>
      <w:r w:rsidRPr="00103556">
        <w:rPr>
          <w:rStyle w:val="Hyperlink"/>
          <w:rFonts w:asciiTheme="majorHAnsi" w:eastAsia="Times New Roman" w:hAnsiTheme="majorHAnsi" w:cstheme="majorHAnsi"/>
          <w:color w:val="auto"/>
          <w:lang w:eastAsia="en-GB"/>
        </w:rPr>
        <w:t xml:space="preserve"> </w:t>
      </w:r>
    </w:p>
    <w:p w14:paraId="45C08492" w14:textId="77777777" w:rsidR="00D938DE" w:rsidRPr="00103556" w:rsidRDefault="00D938DE" w:rsidP="007F3AB4">
      <w:pPr>
        <w:ind w:firstLine="0"/>
        <w:rPr>
          <w:rFonts w:asciiTheme="majorHAnsi" w:hAnsiTheme="majorHAnsi" w:cstheme="majorHAnsi"/>
          <w:i/>
          <w:iCs/>
          <w:color w:val="auto"/>
          <w:shd w:val="clear" w:color="auto" w:fill="FFFFFF"/>
        </w:rPr>
      </w:pPr>
      <w:r w:rsidRPr="00103556">
        <w:rPr>
          <w:rFonts w:asciiTheme="majorHAnsi" w:hAnsiTheme="majorHAnsi" w:cstheme="majorHAnsi"/>
          <w:color w:val="auto"/>
          <w:shd w:val="clear" w:color="auto" w:fill="FFFFFF"/>
        </w:rPr>
        <w:t>Jorgensen, P. F. (1996). Affect, persuasion, and communication processes. In </w:t>
      </w:r>
      <w:r w:rsidRPr="00103556">
        <w:rPr>
          <w:rFonts w:asciiTheme="majorHAnsi" w:hAnsiTheme="majorHAnsi" w:cstheme="majorHAnsi"/>
          <w:i/>
          <w:iCs/>
          <w:color w:val="auto"/>
          <w:shd w:val="clear" w:color="auto" w:fill="FFFFFF"/>
        </w:rPr>
        <w:t xml:space="preserve">Handbook of </w:t>
      </w:r>
    </w:p>
    <w:p w14:paraId="59B0918E" w14:textId="77777777" w:rsidR="00497300" w:rsidRPr="00103556" w:rsidRDefault="00D938DE" w:rsidP="00497300">
      <w:pPr>
        <w:rPr>
          <w:rFonts w:asciiTheme="majorHAnsi" w:hAnsiTheme="majorHAnsi" w:cstheme="majorHAnsi"/>
          <w:color w:val="auto"/>
          <w:shd w:val="clear" w:color="auto" w:fill="FFFFFF"/>
        </w:rPr>
      </w:pPr>
      <w:r w:rsidRPr="00103556">
        <w:rPr>
          <w:rFonts w:asciiTheme="majorHAnsi" w:hAnsiTheme="majorHAnsi" w:cstheme="majorHAnsi"/>
          <w:i/>
          <w:iCs/>
          <w:color w:val="auto"/>
          <w:shd w:val="clear" w:color="auto" w:fill="FFFFFF"/>
        </w:rPr>
        <w:t>communication and emotion</w:t>
      </w:r>
      <w:r w:rsidRPr="00103556">
        <w:rPr>
          <w:rFonts w:asciiTheme="majorHAnsi" w:hAnsiTheme="majorHAnsi" w:cstheme="majorHAnsi"/>
          <w:color w:val="auto"/>
          <w:shd w:val="clear" w:color="auto" w:fill="FFFFFF"/>
        </w:rPr>
        <w:t xml:space="preserve"> (pp. 403-422). Academic Press. </w:t>
      </w:r>
    </w:p>
    <w:p w14:paraId="01682F61" w14:textId="0B2D08A0" w:rsidR="00D938DE" w:rsidRPr="00103556" w:rsidRDefault="00D938DE" w:rsidP="00497300">
      <w:pPr>
        <w:ind w:firstLine="0"/>
        <w:rPr>
          <w:rFonts w:asciiTheme="majorHAnsi" w:hAnsiTheme="majorHAnsi" w:cstheme="majorHAnsi"/>
          <w:color w:val="auto"/>
          <w:lang w:val="de-DE"/>
        </w:rPr>
      </w:pPr>
      <w:r w:rsidRPr="00103556">
        <w:rPr>
          <w:rFonts w:asciiTheme="majorHAnsi" w:hAnsiTheme="majorHAnsi" w:cstheme="majorHAnsi"/>
          <w:color w:val="auto"/>
          <w:lang w:val="de-DE"/>
        </w:rPr>
        <w:lastRenderedPageBreak/>
        <w:t xml:space="preserve">Kammeyer‐Mueller, J. D., Rubenstein, A. L., Long, D. M., Odio, M. A., Buckman, B. R., Zhang, </w:t>
      </w:r>
    </w:p>
    <w:p w14:paraId="14EE42FB" w14:textId="77777777" w:rsidR="00D938DE" w:rsidRPr="00103556" w:rsidRDefault="00D938DE" w:rsidP="007F3AB4">
      <w:pPr>
        <w:ind w:left="720" w:firstLine="0"/>
        <w:rPr>
          <w:rStyle w:val="Hyperlink"/>
          <w:rFonts w:asciiTheme="majorHAnsi" w:eastAsia="Times New Roman" w:hAnsiTheme="majorHAnsi" w:cstheme="majorHAnsi"/>
          <w:color w:val="auto"/>
          <w:shd w:val="clear" w:color="auto" w:fill="FFFFFF"/>
          <w:lang w:val="de-DE" w:eastAsia="en-GB"/>
        </w:rPr>
      </w:pPr>
      <w:r w:rsidRPr="00103556">
        <w:rPr>
          <w:rFonts w:asciiTheme="majorHAnsi" w:hAnsiTheme="majorHAnsi" w:cstheme="majorHAnsi"/>
          <w:color w:val="auto"/>
          <w:lang w:val="de-DE"/>
        </w:rPr>
        <w:t xml:space="preserve">Y., &amp; Halvorsen‐Ganepola, M. D. (2013). </w:t>
      </w:r>
      <w:r w:rsidRPr="00103556">
        <w:rPr>
          <w:rFonts w:asciiTheme="majorHAnsi" w:hAnsiTheme="majorHAnsi" w:cstheme="majorHAnsi"/>
          <w:color w:val="auto"/>
        </w:rPr>
        <w:t xml:space="preserve">A meta‐analytic structural model of dispositonal affectivity and emotional labor. </w:t>
      </w:r>
      <w:r w:rsidRPr="00103556">
        <w:rPr>
          <w:rFonts w:asciiTheme="majorHAnsi" w:hAnsiTheme="majorHAnsi" w:cstheme="majorHAnsi"/>
          <w:i/>
          <w:iCs/>
          <w:color w:val="auto"/>
          <w:lang w:val="de-DE"/>
        </w:rPr>
        <w:t>Personnel Psychology, 66</w:t>
      </w:r>
      <w:r w:rsidRPr="00103556">
        <w:rPr>
          <w:rFonts w:asciiTheme="majorHAnsi" w:hAnsiTheme="majorHAnsi" w:cstheme="majorHAnsi"/>
          <w:color w:val="auto"/>
          <w:lang w:val="de-DE"/>
        </w:rPr>
        <w:t xml:space="preserve">(1), 47-90. </w:t>
      </w:r>
      <w:hyperlink r:id="rId51" w:history="1">
        <w:r w:rsidRPr="00103556">
          <w:rPr>
            <w:rStyle w:val="Hyperlink"/>
            <w:rFonts w:asciiTheme="majorHAnsi" w:eastAsia="Times New Roman" w:hAnsiTheme="majorHAnsi" w:cstheme="majorHAnsi"/>
            <w:color w:val="auto"/>
            <w:shd w:val="clear" w:color="auto" w:fill="FFFFFF"/>
            <w:lang w:val="de-DE" w:eastAsia="en-GB"/>
          </w:rPr>
          <w:t>https://doi.org/10.1111/peps.12009</w:t>
        </w:r>
      </w:hyperlink>
      <w:r w:rsidRPr="00103556">
        <w:rPr>
          <w:rStyle w:val="Hyperlink"/>
          <w:rFonts w:asciiTheme="majorHAnsi" w:eastAsia="Times New Roman" w:hAnsiTheme="majorHAnsi" w:cstheme="majorHAnsi"/>
          <w:color w:val="auto"/>
          <w:shd w:val="clear" w:color="auto" w:fill="FFFFFF"/>
          <w:lang w:val="de-DE" w:eastAsia="en-GB"/>
        </w:rPr>
        <w:t xml:space="preserve"> </w:t>
      </w:r>
    </w:p>
    <w:p w14:paraId="138C4724" w14:textId="77777777" w:rsidR="00D938DE" w:rsidRPr="00103556" w:rsidRDefault="00D938DE" w:rsidP="007F3AB4">
      <w:pPr>
        <w:ind w:firstLine="0"/>
        <w:rPr>
          <w:rFonts w:asciiTheme="majorHAnsi" w:hAnsiTheme="majorHAnsi" w:cstheme="majorHAnsi"/>
          <w:color w:val="auto"/>
        </w:rPr>
      </w:pPr>
      <w:r w:rsidRPr="00103556">
        <w:rPr>
          <w:rFonts w:asciiTheme="majorHAnsi" w:hAnsiTheme="majorHAnsi" w:cstheme="majorHAnsi"/>
          <w:color w:val="auto"/>
          <w:lang w:val="de-DE"/>
        </w:rPr>
        <w:t xml:space="preserve">Kandemir, A. &amp; Budd, R. (2018). </w:t>
      </w:r>
      <w:r w:rsidRPr="00103556">
        <w:rPr>
          <w:rFonts w:asciiTheme="majorHAnsi" w:hAnsiTheme="majorHAnsi" w:cstheme="majorHAnsi"/>
          <w:color w:val="auto"/>
        </w:rPr>
        <w:t xml:space="preserve">Using vignettes to explore reality and values with young </w:t>
      </w:r>
    </w:p>
    <w:p w14:paraId="0791F8A6" w14:textId="77777777" w:rsidR="00D938DE" w:rsidRPr="00103556" w:rsidRDefault="00D938DE" w:rsidP="007F3AB4">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rPr>
        <w:t xml:space="preserve">people. </w:t>
      </w:r>
      <w:r w:rsidRPr="00103556">
        <w:rPr>
          <w:rFonts w:asciiTheme="majorHAnsi" w:hAnsiTheme="majorHAnsi" w:cstheme="majorHAnsi"/>
          <w:i/>
          <w:iCs/>
          <w:color w:val="auto"/>
        </w:rPr>
        <w:t>Forum: Qualitative Social Research, 19</w:t>
      </w:r>
      <w:r w:rsidRPr="00103556">
        <w:rPr>
          <w:rFonts w:asciiTheme="majorHAnsi" w:hAnsiTheme="majorHAnsi" w:cstheme="majorHAnsi"/>
          <w:color w:val="auto"/>
        </w:rPr>
        <w:t xml:space="preserve">(2), 1-16. </w:t>
      </w:r>
      <w:hyperlink r:id="rId52" w:history="1">
        <w:r w:rsidRPr="00103556">
          <w:rPr>
            <w:rStyle w:val="Hyperlink"/>
            <w:rFonts w:asciiTheme="majorHAnsi" w:eastAsia="Times New Roman" w:hAnsiTheme="majorHAnsi" w:cstheme="majorHAnsi"/>
            <w:color w:val="auto"/>
            <w:shd w:val="clear" w:color="auto" w:fill="FFFFFF"/>
            <w:lang w:eastAsia="en-GB"/>
          </w:rPr>
          <w:t>https://doi.org/10.17169 /fqs-19.2.2914</w:t>
        </w:r>
      </w:hyperlink>
      <w:r w:rsidRPr="00103556">
        <w:rPr>
          <w:rStyle w:val="Hyperlink"/>
          <w:rFonts w:asciiTheme="majorHAnsi" w:eastAsia="Times New Roman" w:hAnsiTheme="majorHAnsi" w:cstheme="majorHAnsi"/>
          <w:color w:val="auto"/>
          <w:shd w:val="clear" w:color="auto" w:fill="FFFFFF"/>
          <w:lang w:eastAsia="en-GB"/>
        </w:rPr>
        <w:t xml:space="preserve"> </w:t>
      </w:r>
    </w:p>
    <w:p w14:paraId="05FCBBDB" w14:textId="77777777" w:rsidR="00D938DE" w:rsidRPr="00103556" w:rsidRDefault="00D938DE" w:rsidP="007F3AB4">
      <w:pPr>
        <w:ind w:firstLine="0"/>
        <w:rPr>
          <w:rFonts w:asciiTheme="majorHAnsi" w:hAnsiTheme="majorHAnsi" w:cstheme="majorHAnsi"/>
          <w:i/>
          <w:iCs/>
          <w:color w:val="auto"/>
        </w:rPr>
      </w:pPr>
      <w:r w:rsidRPr="00103556">
        <w:rPr>
          <w:rFonts w:asciiTheme="majorHAnsi" w:hAnsiTheme="majorHAnsi" w:cstheme="majorHAnsi"/>
          <w:color w:val="auto"/>
        </w:rPr>
        <w:t xml:space="preserve">Kelly, G. A. (1970). A brief introduction to personal construct theory. </w:t>
      </w:r>
      <w:r w:rsidRPr="00103556">
        <w:rPr>
          <w:rFonts w:asciiTheme="majorHAnsi" w:hAnsiTheme="majorHAnsi" w:cstheme="majorHAnsi"/>
          <w:i/>
          <w:iCs/>
          <w:color w:val="auto"/>
        </w:rPr>
        <w:t xml:space="preserve">Perspectives in personal </w:t>
      </w:r>
    </w:p>
    <w:p w14:paraId="4BBF7D96" w14:textId="77777777" w:rsidR="00D938DE" w:rsidRPr="00103556" w:rsidRDefault="00D938DE" w:rsidP="007F3AB4">
      <w:pPr>
        <w:rPr>
          <w:rFonts w:asciiTheme="majorHAnsi" w:hAnsiTheme="majorHAnsi" w:cstheme="majorHAnsi"/>
          <w:color w:val="auto"/>
          <w:shd w:val="clear" w:color="auto" w:fill="FFFFFF"/>
        </w:rPr>
      </w:pPr>
      <w:r w:rsidRPr="00103556">
        <w:rPr>
          <w:rFonts w:asciiTheme="majorHAnsi" w:hAnsiTheme="majorHAnsi" w:cstheme="majorHAnsi"/>
          <w:i/>
          <w:iCs/>
          <w:color w:val="auto"/>
        </w:rPr>
        <w:t>construct theory, 1</w:t>
      </w:r>
      <w:r w:rsidRPr="00103556">
        <w:rPr>
          <w:rFonts w:asciiTheme="majorHAnsi" w:hAnsiTheme="majorHAnsi" w:cstheme="majorHAnsi"/>
          <w:color w:val="auto"/>
        </w:rPr>
        <w:t>, 29.</w:t>
      </w:r>
    </w:p>
    <w:p w14:paraId="0C41CE75" w14:textId="77777777" w:rsidR="00D938DE" w:rsidRPr="00103556" w:rsidRDefault="00D938DE" w:rsidP="007F3AB4">
      <w:pPr>
        <w:ind w:firstLine="0"/>
        <w:rPr>
          <w:rFonts w:asciiTheme="majorHAnsi" w:hAnsiTheme="majorHAnsi" w:cstheme="majorHAnsi"/>
          <w:color w:val="auto"/>
          <w:shd w:val="clear" w:color="auto" w:fill="FFFFFF"/>
        </w:rPr>
      </w:pPr>
      <w:r w:rsidRPr="00103556">
        <w:rPr>
          <w:rFonts w:asciiTheme="majorHAnsi" w:hAnsiTheme="majorHAnsi" w:cstheme="majorHAnsi"/>
          <w:color w:val="auto"/>
          <w:shd w:val="clear" w:color="auto" w:fill="FFFFFF"/>
        </w:rPr>
        <w:t xml:space="preserve">Koppman, S., Mattarelli, E., &amp; Gupta, A. (2016). Third-world “sloggers” or elite global </w:t>
      </w:r>
    </w:p>
    <w:p w14:paraId="0DD5C62B" w14:textId="77777777" w:rsidR="00821963" w:rsidRPr="00103556" w:rsidRDefault="00D938DE" w:rsidP="00821963">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shd w:val="clear" w:color="auto" w:fill="FFFFFF"/>
        </w:rPr>
        <w:t>professionals? Using organizational toolkits to redefine work identity in information technology offshore outsourcing. </w:t>
      </w:r>
      <w:r w:rsidRPr="00103556">
        <w:rPr>
          <w:rFonts w:asciiTheme="majorHAnsi" w:hAnsiTheme="majorHAnsi" w:cstheme="majorHAnsi"/>
          <w:i/>
          <w:iCs/>
          <w:color w:val="auto"/>
          <w:shd w:val="clear" w:color="auto" w:fill="FFFFFF"/>
        </w:rPr>
        <w:t>Organization Science</w:t>
      </w:r>
      <w:r w:rsidRPr="00103556">
        <w:rPr>
          <w:rFonts w:asciiTheme="majorHAnsi" w:hAnsiTheme="majorHAnsi" w:cstheme="majorHAnsi"/>
          <w:color w:val="auto"/>
          <w:shd w:val="clear" w:color="auto" w:fill="FFFFFF"/>
        </w:rPr>
        <w:t>, </w:t>
      </w:r>
      <w:r w:rsidRPr="00103556">
        <w:rPr>
          <w:rFonts w:asciiTheme="majorHAnsi" w:hAnsiTheme="majorHAnsi" w:cstheme="majorHAnsi"/>
          <w:i/>
          <w:iCs/>
          <w:color w:val="auto"/>
          <w:shd w:val="clear" w:color="auto" w:fill="FFFFFF"/>
        </w:rPr>
        <w:t>27</w:t>
      </w:r>
      <w:r w:rsidRPr="00103556">
        <w:rPr>
          <w:rFonts w:asciiTheme="majorHAnsi" w:hAnsiTheme="majorHAnsi" w:cstheme="majorHAnsi"/>
          <w:color w:val="auto"/>
          <w:shd w:val="clear" w:color="auto" w:fill="FFFFFF"/>
        </w:rPr>
        <w:t>(4), 825-845.</w:t>
      </w:r>
      <w:r w:rsidRPr="00103556">
        <w:rPr>
          <w:rFonts w:asciiTheme="majorHAnsi" w:hAnsiTheme="majorHAnsi" w:cstheme="majorHAnsi"/>
          <w:color w:val="auto"/>
        </w:rPr>
        <w:t xml:space="preserve"> </w:t>
      </w:r>
      <w:hyperlink r:id="rId53" w:tgtFrame="_blank" w:history="1">
        <w:r w:rsidRPr="00103556">
          <w:rPr>
            <w:rStyle w:val="Hyperlink"/>
            <w:rFonts w:asciiTheme="majorHAnsi" w:eastAsia="Times New Roman" w:hAnsiTheme="majorHAnsi" w:cstheme="majorHAnsi"/>
            <w:color w:val="auto"/>
            <w:shd w:val="clear" w:color="auto" w:fill="FFFFFF"/>
            <w:lang w:eastAsia="en-GB"/>
          </w:rPr>
          <w:t>https://doi.org/10.1287/orsc.2016.1068</w:t>
        </w:r>
      </w:hyperlink>
    </w:p>
    <w:p w14:paraId="577D09B1" w14:textId="08465920" w:rsidR="00D938DE" w:rsidRPr="00103556" w:rsidRDefault="00D938DE" w:rsidP="002E6854">
      <w:pPr>
        <w:ind w:firstLine="0"/>
        <w:rPr>
          <w:rFonts w:asciiTheme="majorHAnsi" w:hAnsiTheme="majorHAnsi" w:cstheme="majorHAnsi"/>
          <w:color w:val="auto"/>
        </w:rPr>
      </w:pPr>
      <w:r w:rsidRPr="00103556">
        <w:rPr>
          <w:rFonts w:asciiTheme="majorHAnsi" w:hAnsiTheme="majorHAnsi" w:cstheme="majorHAnsi"/>
          <w:color w:val="auto"/>
        </w:rPr>
        <w:t xml:space="preserve">Lindebaum, D., &amp; Jordan, P. J. (2014). When it can be good to feel bad and bad to feel good: </w:t>
      </w:r>
    </w:p>
    <w:p w14:paraId="67863469" w14:textId="77777777" w:rsidR="007147EE" w:rsidRPr="00103556" w:rsidRDefault="00D938DE" w:rsidP="00067829">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shd w:val="clear" w:color="auto" w:fill="FFFFFF"/>
        </w:rPr>
        <w:t>Exploring asymmetries in workplace emotional outcomes. </w:t>
      </w:r>
      <w:r w:rsidRPr="00103556">
        <w:rPr>
          <w:rFonts w:asciiTheme="majorHAnsi" w:hAnsiTheme="majorHAnsi" w:cstheme="majorHAnsi"/>
          <w:i/>
          <w:iCs/>
          <w:color w:val="auto"/>
          <w:shd w:val="clear" w:color="auto" w:fill="FFFFFF"/>
        </w:rPr>
        <w:t>Human Relations</w:t>
      </w:r>
      <w:r w:rsidRPr="00103556">
        <w:rPr>
          <w:rFonts w:asciiTheme="majorHAnsi" w:hAnsiTheme="majorHAnsi" w:cstheme="majorHAnsi"/>
          <w:color w:val="auto"/>
          <w:shd w:val="clear" w:color="auto" w:fill="FFFFFF"/>
        </w:rPr>
        <w:t>, </w:t>
      </w:r>
      <w:r w:rsidRPr="00103556">
        <w:rPr>
          <w:rFonts w:asciiTheme="majorHAnsi" w:hAnsiTheme="majorHAnsi" w:cstheme="majorHAnsi"/>
          <w:i/>
          <w:iCs/>
          <w:color w:val="auto"/>
          <w:shd w:val="clear" w:color="auto" w:fill="FFFFFF"/>
        </w:rPr>
        <w:t>67</w:t>
      </w:r>
      <w:r w:rsidRPr="00103556">
        <w:rPr>
          <w:rFonts w:asciiTheme="majorHAnsi" w:hAnsiTheme="majorHAnsi" w:cstheme="majorHAnsi"/>
          <w:color w:val="auto"/>
          <w:shd w:val="clear" w:color="auto" w:fill="FFFFFF"/>
        </w:rPr>
        <w:t xml:space="preserve">(9), 1037-1050. </w:t>
      </w:r>
      <w:hyperlink r:id="rId54" w:history="1">
        <w:r w:rsidRPr="00103556">
          <w:rPr>
            <w:rStyle w:val="Hyperlink"/>
            <w:rFonts w:asciiTheme="majorHAnsi" w:eastAsia="Times New Roman" w:hAnsiTheme="majorHAnsi" w:cstheme="majorHAnsi"/>
            <w:color w:val="auto"/>
            <w:shd w:val="clear" w:color="auto" w:fill="FFFFFF"/>
            <w:lang w:eastAsia="en-GB"/>
          </w:rPr>
          <w:t>https://doi.org/10.1177/0018726714535824</w:t>
        </w:r>
      </w:hyperlink>
    </w:p>
    <w:p w14:paraId="1911D743" w14:textId="77777777" w:rsidR="00D938DE" w:rsidRPr="00103556" w:rsidRDefault="00D938DE" w:rsidP="007F3AB4">
      <w:pPr>
        <w:ind w:firstLine="0"/>
        <w:rPr>
          <w:rStyle w:val="cf01"/>
          <w:rFonts w:asciiTheme="majorHAnsi" w:hAnsiTheme="majorHAnsi" w:cstheme="majorHAnsi"/>
          <w:color w:val="auto"/>
          <w:sz w:val="24"/>
          <w:szCs w:val="24"/>
        </w:rPr>
      </w:pPr>
      <w:r w:rsidRPr="00103556">
        <w:rPr>
          <w:rStyle w:val="cf01"/>
          <w:rFonts w:asciiTheme="majorHAnsi" w:hAnsiTheme="majorHAnsi" w:cstheme="majorHAnsi"/>
          <w:color w:val="auto"/>
          <w:sz w:val="24"/>
          <w:szCs w:val="24"/>
        </w:rPr>
        <w:t xml:space="preserve">Mancini, D. P., Neville, S., &amp; Cameron-Chileshe, J. (2022, September 15). Therese Coffey’s ‘be </w:t>
      </w:r>
    </w:p>
    <w:p w14:paraId="36120EA2" w14:textId="77777777" w:rsidR="00304434" w:rsidRPr="00103556" w:rsidRDefault="00D938DE" w:rsidP="00304434">
      <w:pPr>
        <w:ind w:left="720" w:firstLine="0"/>
        <w:rPr>
          <w:rStyle w:val="Hyperlink"/>
          <w:rFonts w:asciiTheme="majorHAnsi" w:eastAsia="Times New Roman" w:hAnsiTheme="majorHAnsi" w:cstheme="majorHAnsi"/>
          <w:color w:val="auto"/>
          <w:shd w:val="clear" w:color="auto" w:fill="FFFFFF"/>
          <w:lang w:eastAsia="en-GB"/>
        </w:rPr>
      </w:pPr>
      <w:r w:rsidRPr="00103556">
        <w:rPr>
          <w:rStyle w:val="cf01"/>
          <w:rFonts w:asciiTheme="majorHAnsi" w:hAnsiTheme="majorHAnsi" w:cstheme="majorHAnsi"/>
          <w:color w:val="auto"/>
          <w:sz w:val="24"/>
          <w:szCs w:val="24"/>
        </w:rPr>
        <w:t xml:space="preserve">positive’ order angers UK health workers. The Financial Times. Retrieved from </w:t>
      </w:r>
      <w:hyperlink r:id="rId55" w:history="1">
        <w:r w:rsidRPr="00103556">
          <w:rPr>
            <w:rStyle w:val="Hyperlink"/>
            <w:rFonts w:asciiTheme="majorHAnsi" w:eastAsia="Times New Roman" w:hAnsiTheme="majorHAnsi" w:cstheme="majorHAnsi"/>
            <w:color w:val="auto"/>
            <w:shd w:val="clear" w:color="auto" w:fill="FFFFFF"/>
            <w:lang w:eastAsia="en-GB"/>
          </w:rPr>
          <w:t>https://www.ft.com/content/daa9976a-3035-47d9-804d-f5c7f52bdf78</w:t>
        </w:r>
      </w:hyperlink>
      <w:r w:rsidRPr="00103556">
        <w:rPr>
          <w:rStyle w:val="Hyperlink"/>
          <w:rFonts w:asciiTheme="majorHAnsi" w:eastAsia="Times New Roman" w:hAnsiTheme="majorHAnsi" w:cstheme="majorHAnsi"/>
          <w:color w:val="auto"/>
          <w:shd w:val="clear" w:color="auto" w:fill="FFFFFF"/>
          <w:lang w:eastAsia="en-GB"/>
        </w:rPr>
        <w:t xml:space="preserve"> </w:t>
      </w:r>
    </w:p>
    <w:p w14:paraId="5A4A13FB" w14:textId="77777777" w:rsidR="004312C8" w:rsidRPr="00103556" w:rsidRDefault="00D938DE" w:rsidP="00304434">
      <w:pPr>
        <w:ind w:firstLine="0"/>
        <w:rPr>
          <w:rStyle w:val="cf01"/>
          <w:rFonts w:asciiTheme="majorHAnsi" w:hAnsiTheme="majorHAnsi" w:cstheme="majorHAnsi"/>
          <w:color w:val="auto"/>
          <w:sz w:val="24"/>
          <w:szCs w:val="24"/>
        </w:rPr>
      </w:pPr>
      <w:r w:rsidRPr="00103556">
        <w:rPr>
          <w:rStyle w:val="cf01"/>
          <w:rFonts w:asciiTheme="majorHAnsi" w:hAnsiTheme="majorHAnsi" w:cstheme="majorHAnsi"/>
          <w:color w:val="auto"/>
          <w:sz w:val="24"/>
          <w:szCs w:val="24"/>
        </w:rPr>
        <w:t xml:space="preserve">McCreaddie, M., Payne, S., &amp; Froggatt, K. (2010). Ensnared by positivity: A constructivist </w:t>
      </w:r>
    </w:p>
    <w:p w14:paraId="7E2BA647" w14:textId="45409968" w:rsidR="00D938DE" w:rsidRPr="00103556" w:rsidRDefault="00D938DE" w:rsidP="004312C8">
      <w:pPr>
        <w:ind w:left="720" w:firstLine="0"/>
        <w:rPr>
          <w:rStyle w:val="Hyperlink"/>
          <w:rFonts w:asciiTheme="majorHAnsi" w:eastAsia="Times New Roman" w:hAnsiTheme="majorHAnsi" w:cstheme="majorHAnsi"/>
          <w:color w:val="auto"/>
          <w:lang w:eastAsia="en-GB"/>
        </w:rPr>
      </w:pPr>
      <w:r w:rsidRPr="00103556">
        <w:rPr>
          <w:rStyle w:val="cf01"/>
          <w:rFonts w:asciiTheme="majorHAnsi" w:hAnsiTheme="majorHAnsi" w:cstheme="majorHAnsi"/>
          <w:color w:val="auto"/>
          <w:sz w:val="24"/>
          <w:szCs w:val="24"/>
        </w:rPr>
        <w:t>perspective on ‘being positive’ in cancer care.</w:t>
      </w:r>
      <w:r w:rsidRPr="00103556">
        <w:rPr>
          <w:rFonts w:asciiTheme="majorHAnsi" w:hAnsiTheme="majorHAnsi" w:cstheme="majorHAnsi"/>
          <w:color w:val="auto"/>
        </w:rPr>
        <w:t xml:space="preserve"> </w:t>
      </w:r>
      <w:r w:rsidRPr="00103556">
        <w:rPr>
          <w:rFonts w:asciiTheme="majorHAnsi" w:hAnsiTheme="majorHAnsi" w:cstheme="majorHAnsi"/>
          <w:i/>
          <w:iCs/>
          <w:color w:val="auto"/>
        </w:rPr>
        <w:t>European Journal of Oncology Nursing, 14(</w:t>
      </w:r>
      <w:r w:rsidRPr="00103556">
        <w:rPr>
          <w:rFonts w:asciiTheme="majorHAnsi" w:hAnsiTheme="majorHAnsi" w:cstheme="majorHAnsi"/>
          <w:color w:val="auto"/>
        </w:rPr>
        <w:t xml:space="preserve">4), 283-290. </w:t>
      </w:r>
      <w:hyperlink r:id="rId56" w:history="1">
        <w:r w:rsidRPr="00103556">
          <w:rPr>
            <w:rStyle w:val="Hyperlink"/>
            <w:rFonts w:asciiTheme="majorHAnsi" w:eastAsia="Times New Roman" w:hAnsiTheme="majorHAnsi" w:cstheme="majorHAnsi"/>
            <w:color w:val="auto"/>
            <w:shd w:val="clear" w:color="auto" w:fill="FFFFFF"/>
            <w:lang w:eastAsia="en-GB"/>
          </w:rPr>
          <w:t>https://doi.org/10.1016/j.ejon.2010.03.002</w:t>
        </w:r>
      </w:hyperlink>
      <w:r w:rsidRPr="00103556">
        <w:rPr>
          <w:rStyle w:val="Hyperlink"/>
          <w:rFonts w:asciiTheme="majorHAnsi" w:eastAsia="Times New Roman" w:hAnsiTheme="majorHAnsi" w:cstheme="majorHAnsi"/>
          <w:color w:val="auto"/>
          <w:shd w:val="clear" w:color="auto" w:fill="FFFFFF"/>
          <w:lang w:eastAsia="en-GB"/>
        </w:rPr>
        <w:t xml:space="preserve"> </w:t>
      </w:r>
    </w:p>
    <w:p w14:paraId="6B96F045" w14:textId="77777777" w:rsidR="00D938DE" w:rsidRPr="00103556" w:rsidRDefault="00D938DE" w:rsidP="007F3AB4">
      <w:pPr>
        <w:ind w:firstLine="0"/>
        <w:rPr>
          <w:rFonts w:asciiTheme="majorHAnsi" w:hAnsiTheme="majorHAnsi" w:cstheme="majorHAnsi"/>
          <w:color w:val="auto"/>
        </w:rPr>
      </w:pPr>
      <w:r w:rsidRPr="00103556">
        <w:rPr>
          <w:rFonts w:asciiTheme="majorHAnsi" w:hAnsiTheme="majorHAnsi" w:cstheme="majorHAnsi"/>
          <w:color w:val="auto"/>
        </w:rPr>
        <w:t xml:space="preserve">McNulty, J. K., &amp; Fincham, F. D. (2012). Beyond positive psychology? Toward a contextual </w:t>
      </w:r>
    </w:p>
    <w:p w14:paraId="7493AA75" w14:textId="77777777" w:rsidR="007B0E57" w:rsidRPr="00103556" w:rsidRDefault="00D938DE" w:rsidP="007B0E57">
      <w:pPr>
        <w:ind w:left="720" w:firstLine="0"/>
        <w:rPr>
          <w:rStyle w:val="Hyperlink"/>
          <w:rFonts w:asciiTheme="majorHAnsi" w:eastAsia="Times New Roman" w:hAnsiTheme="majorHAnsi" w:cstheme="majorHAnsi"/>
          <w:color w:val="auto"/>
          <w:shd w:val="clear" w:color="auto" w:fill="FFFFFF"/>
          <w:lang w:val="de-DE" w:eastAsia="en-GB"/>
        </w:rPr>
      </w:pPr>
      <w:r w:rsidRPr="00103556">
        <w:rPr>
          <w:rFonts w:asciiTheme="majorHAnsi" w:hAnsiTheme="majorHAnsi" w:cstheme="majorHAnsi"/>
          <w:color w:val="auto"/>
        </w:rPr>
        <w:lastRenderedPageBreak/>
        <w:t xml:space="preserve">view of psychological processes and well-being. </w:t>
      </w:r>
      <w:r w:rsidRPr="00103556">
        <w:rPr>
          <w:rFonts w:asciiTheme="majorHAnsi" w:hAnsiTheme="majorHAnsi" w:cstheme="majorHAnsi"/>
          <w:i/>
          <w:iCs/>
          <w:color w:val="auto"/>
          <w:lang w:val="de-DE"/>
        </w:rPr>
        <w:t>American Psychologist, 67</w:t>
      </w:r>
      <w:r w:rsidRPr="00103556">
        <w:rPr>
          <w:rFonts w:asciiTheme="majorHAnsi" w:hAnsiTheme="majorHAnsi" w:cstheme="majorHAnsi"/>
          <w:color w:val="auto"/>
          <w:lang w:val="de-DE"/>
        </w:rPr>
        <w:t xml:space="preserve">(2), 101. </w:t>
      </w:r>
      <w:hyperlink r:id="rId57" w:history="1">
        <w:r w:rsidRPr="00103556">
          <w:rPr>
            <w:rStyle w:val="Hyperlink"/>
            <w:rFonts w:asciiTheme="majorHAnsi" w:eastAsia="Times New Roman" w:hAnsiTheme="majorHAnsi" w:cstheme="majorHAnsi"/>
            <w:color w:val="auto"/>
            <w:shd w:val="clear" w:color="auto" w:fill="FFFFFF"/>
            <w:lang w:val="de-DE" w:eastAsia="en-GB"/>
          </w:rPr>
          <w:t>https://doi.org/10.1037/a0024572</w:t>
        </w:r>
      </w:hyperlink>
      <w:r w:rsidRPr="00103556">
        <w:rPr>
          <w:rStyle w:val="Hyperlink"/>
          <w:rFonts w:asciiTheme="majorHAnsi" w:eastAsia="Times New Roman" w:hAnsiTheme="majorHAnsi" w:cstheme="majorHAnsi"/>
          <w:color w:val="auto"/>
          <w:shd w:val="clear" w:color="auto" w:fill="FFFFFF"/>
          <w:lang w:val="de-DE" w:eastAsia="en-GB"/>
        </w:rPr>
        <w:t xml:space="preserve"> </w:t>
      </w:r>
    </w:p>
    <w:p w14:paraId="5FEF4DAD" w14:textId="1F1B4786" w:rsidR="00D938DE" w:rsidRPr="00103556" w:rsidRDefault="00D938DE" w:rsidP="007B0E57">
      <w:pPr>
        <w:ind w:firstLine="0"/>
        <w:rPr>
          <w:rFonts w:asciiTheme="majorHAnsi" w:hAnsiTheme="majorHAnsi" w:cstheme="majorHAnsi"/>
          <w:color w:val="auto"/>
        </w:rPr>
      </w:pPr>
      <w:r w:rsidRPr="00103556">
        <w:rPr>
          <w:rFonts w:asciiTheme="majorHAnsi" w:hAnsiTheme="majorHAnsi" w:cstheme="majorHAnsi"/>
          <w:color w:val="auto"/>
        </w:rPr>
        <w:t xml:space="preserve">Mumby, D. K. (2019). Work: What is it good for?(Absolutely nothing)—a critical theorist’s </w:t>
      </w:r>
    </w:p>
    <w:p w14:paraId="4EC42924" w14:textId="77777777" w:rsidR="007B0E57" w:rsidRPr="00103556" w:rsidRDefault="00D938DE" w:rsidP="007B0E57">
      <w:pPr>
        <w:ind w:left="720" w:firstLine="0"/>
        <w:rPr>
          <w:rStyle w:val="Hyperlink"/>
          <w:rFonts w:asciiTheme="majorHAnsi" w:eastAsia="Times New Roman" w:hAnsiTheme="majorHAnsi" w:cstheme="majorHAnsi"/>
          <w:color w:val="auto"/>
          <w:shd w:val="clear" w:color="auto" w:fill="FFFFFF"/>
          <w:lang w:val="de-DE" w:eastAsia="en-GB"/>
        </w:rPr>
      </w:pPr>
      <w:r w:rsidRPr="00103556">
        <w:rPr>
          <w:rFonts w:asciiTheme="majorHAnsi" w:hAnsiTheme="majorHAnsi" w:cstheme="majorHAnsi"/>
          <w:color w:val="auto"/>
        </w:rPr>
        <w:t>perspective.</w:t>
      </w:r>
      <w:r w:rsidRPr="00103556">
        <w:rPr>
          <w:rFonts w:asciiTheme="majorHAnsi" w:hAnsiTheme="majorHAnsi" w:cstheme="majorHAnsi"/>
          <w:color w:val="auto"/>
          <w:shd w:val="clear" w:color="auto" w:fill="FFFFFF"/>
        </w:rPr>
        <w:t> </w:t>
      </w:r>
      <w:r w:rsidRPr="00103556">
        <w:rPr>
          <w:rFonts w:asciiTheme="majorHAnsi" w:hAnsiTheme="majorHAnsi" w:cstheme="majorHAnsi"/>
          <w:i/>
          <w:iCs/>
          <w:color w:val="auto"/>
          <w:lang w:val="de-DE"/>
        </w:rPr>
        <w:t>Industrial and Organizational Psychology, 12</w:t>
      </w:r>
      <w:r w:rsidRPr="00103556">
        <w:rPr>
          <w:rFonts w:asciiTheme="majorHAnsi" w:hAnsiTheme="majorHAnsi" w:cstheme="majorHAnsi"/>
          <w:color w:val="auto"/>
          <w:shd w:val="clear" w:color="auto" w:fill="FFFFFF"/>
        </w:rPr>
        <w:t xml:space="preserve">(4), 429-443. </w:t>
      </w:r>
      <w:hyperlink r:id="rId58" w:history="1">
        <w:r w:rsidRPr="00103556">
          <w:rPr>
            <w:rStyle w:val="Hyperlink"/>
            <w:rFonts w:asciiTheme="majorHAnsi" w:eastAsia="Times New Roman" w:hAnsiTheme="majorHAnsi" w:cstheme="majorHAnsi"/>
            <w:color w:val="auto"/>
            <w:shd w:val="clear" w:color="auto" w:fill="FFFFFF"/>
            <w:lang w:val="de-DE" w:eastAsia="en-GB"/>
          </w:rPr>
          <w:t>https://doi.org/10.1017/iop.2019.69</w:t>
        </w:r>
      </w:hyperlink>
    </w:p>
    <w:p w14:paraId="2F208949" w14:textId="61B09800" w:rsidR="00D938DE" w:rsidRPr="00103556" w:rsidRDefault="00D938DE" w:rsidP="007B0E57">
      <w:pPr>
        <w:ind w:firstLine="0"/>
        <w:rPr>
          <w:rFonts w:asciiTheme="majorHAnsi" w:hAnsiTheme="majorHAnsi" w:cstheme="majorHAnsi"/>
          <w:i/>
          <w:iCs/>
          <w:color w:val="auto"/>
          <w:shd w:val="clear" w:color="auto" w:fill="FFFFFF"/>
        </w:rPr>
      </w:pPr>
      <w:r w:rsidRPr="00103556">
        <w:rPr>
          <w:rFonts w:asciiTheme="majorHAnsi" w:hAnsiTheme="majorHAnsi" w:cstheme="majorHAnsi"/>
          <w:color w:val="auto"/>
          <w:shd w:val="clear" w:color="auto" w:fill="FFFFFF"/>
        </w:rPr>
        <w:t>Mumby, D. K., Thomas, R., Martí, I., &amp; Seidl, D. (2017). Resistance redux. </w:t>
      </w:r>
      <w:r w:rsidRPr="00103556">
        <w:rPr>
          <w:rFonts w:asciiTheme="majorHAnsi" w:hAnsiTheme="majorHAnsi" w:cstheme="majorHAnsi"/>
          <w:i/>
          <w:iCs/>
          <w:color w:val="auto"/>
          <w:shd w:val="clear" w:color="auto" w:fill="FFFFFF"/>
        </w:rPr>
        <w:t xml:space="preserve">Organization </w:t>
      </w:r>
    </w:p>
    <w:p w14:paraId="0E3F8F83" w14:textId="77777777" w:rsidR="00D938DE" w:rsidRPr="00103556" w:rsidRDefault="00D938DE" w:rsidP="007F3AB4">
      <w:pPr>
        <w:rPr>
          <w:rStyle w:val="Hyperlink"/>
          <w:rFonts w:asciiTheme="majorHAnsi" w:eastAsia="Times New Roman" w:hAnsiTheme="majorHAnsi" w:cstheme="majorHAnsi"/>
          <w:color w:val="auto"/>
          <w:shd w:val="clear" w:color="auto" w:fill="FFFFFF"/>
          <w:lang w:val="de-DE" w:eastAsia="en-GB"/>
        </w:rPr>
      </w:pPr>
      <w:r w:rsidRPr="00103556">
        <w:rPr>
          <w:rFonts w:asciiTheme="majorHAnsi" w:hAnsiTheme="majorHAnsi" w:cstheme="majorHAnsi"/>
          <w:i/>
          <w:iCs/>
          <w:color w:val="auto"/>
          <w:shd w:val="clear" w:color="auto" w:fill="FFFFFF"/>
        </w:rPr>
        <w:t>Studies</w:t>
      </w:r>
      <w:r w:rsidRPr="00103556">
        <w:rPr>
          <w:rFonts w:asciiTheme="majorHAnsi" w:hAnsiTheme="majorHAnsi" w:cstheme="majorHAnsi"/>
          <w:color w:val="auto"/>
          <w:shd w:val="clear" w:color="auto" w:fill="FFFFFF"/>
        </w:rPr>
        <w:t>, </w:t>
      </w:r>
      <w:r w:rsidRPr="00103556">
        <w:rPr>
          <w:rFonts w:asciiTheme="majorHAnsi" w:hAnsiTheme="majorHAnsi" w:cstheme="majorHAnsi"/>
          <w:i/>
          <w:iCs/>
          <w:color w:val="auto"/>
          <w:shd w:val="clear" w:color="auto" w:fill="FFFFFF"/>
        </w:rPr>
        <w:t>38</w:t>
      </w:r>
      <w:r w:rsidRPr="00103556">
        <w:rPr>
          <w:rFonts w:asciiTheme="majorHAnsi" w:hAnsiTheme="majorHAnsi" w:cstheme="majorHAnsi"/>
          <w:color w:val="auto"/>
          <w:shd w:val="clear" w:color="auto" w:fill="FFFFFF"/>
        </w:rPr>
        <w:t xml:space="preserve">(9), 1157-1183. </w:t>
      </w:r>
      <w:hyperlink r:id="rId59" w:history="1">
        <w:r w:rsidRPr="00103556">
          <w:rPr>
            <w:rStyle w:val="Hyperlink"/>
            <w:rFonts w:asciiTheme="majorHAnsi" w:eastAsia="Times New Roman" w:hAnsiTheme="majorHAnsi" w:cstheme="majorHAnsi"/>
            <w:color w:val="auto"/>
            <w:shd w:val="clear" w:color="auto" w:fill="FFFFFF"/>
            <w:lang w:val="de-DE" w:eastAsia="en-GB"/>
          </w:rPr>
          <w:t>https://doi.org/10.1177/017084061771</w:t>
        </w:r>
      </w:hyperlink>
    </w:p>
    <w:p w14:paraId="37714DD6" w14:textId="77777777" w:rsidR="00D938DE" w:rsidRPr="00103556" w:rsidRDefault="00D938DE" w:rsidP="007F3AB4">
      <w:pPr>
        <w:ind w:firstLine="0"/>
        <w:rPr>
          <w:rFonts w:asciiTheme="majorHAnsi" w:hAnsiTheme="majorHAnsi" w:cstheme="majorHAnsi"/>
          <w:color w:val="auto"/>
        </w:rPr>
      </w:pPr>
      <w:r w:rsidRPr="00103556">
        <w:rPr>
          <w:rFonts w:asciiTheme="majorHAnsi" w:hAnsiTheme="majorHAnsi" w:cstheme="majorHAnsi"/>
          <w:color w:val="auto"/>
        </w:rPr>
        <w:t xml:space="preserve">Orwell, G. (1949). </w:t>
      </w:r>
      <w:r w:rsidRPr="00103556">
        <w:rPr>
          <w:rFonts w:asciiTheme="majorHAnsi" w:hAnsiTheme="majorHAnsi" w:cstheme="majorHAnsi"/>
          <w:i/>
          <w:iCs/>
          <w:color w:val="auto"/>
        </w:rPr>
        <w:t>Nineteen Eighty-Four</w:t>
      </w:r>
      <w:r w:rsidRPr="00103556">
        <w:rPr>
          <w:rFonts w:asciiTheme="majorHAnsi" w:hAnsiTheme="majorHAnsi" w:cstheme="majorHAnsi"/>
          <w:color w:val="auto"/>
        </w:rPr>
        <w:t xml:space="preserve">. London, UK: </w:t>
      </w:r>
      <w:hyperlink r:id="rId60" w:tgtFrame="_blank" w:history="1">
        <w:r w:rsidRPr="00103556">
          <w:rPr>
            <w:rFonts w:asciiTheme="majorHAnsi" w:hAnsiTheme="majorHAnsi" w:cstheme="majorHAnsi"/>
            <w:color w:val="auto"/>
          </w:rPr>
          <w:t>Secker &amp; Warburg</w:t>
        </w:r>
      </w:hyperlink>
    </w:p>
    <w:p w14:paraId="10C3DBE5" w14:textId="77777777" w:rsidR="00D938DE" w:rsidRPr="00103556" w:rsidRDefault="00D938DE" w:rsidP="007F3AB4">
      <w:pPr>
        <w:ind w:firstLine="0"/>
        <w:rPr>
          <w:rFonts w:asciiTheme="majorHAnsi" w:hAnsiTheme="majorHAnsi" w:cstheme="majorHAnsi"/>
          <w:color w:val="auto"/>
        </w:rPr>
      </w:pPr>
      <w:r w:rsidRPr="00103556">
        <w:rPr>
          <w:rFonts w:asciiTheme="majorHAnsi" w:hAnsiTheme="majorHAnsi" w:cstheme="majorHAnsi"/>
          <w:color w:val="auto"/>
        </w:rPr>
        <w:t xml:space="preserve">O’Dell, L., Crafter, S., de Abreu, G., &amp; Cline, T. (2012). The problem of interpretation in </w:t>
      </w:r>
    </w:p>
    <w:p w14:paraId="16D32F5F" w14:textId="77777777" w:rsidR="00497300" w:rsidRPr="00103556" w:rsidRDefault="00D938DE" w:rsidP="00497300">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rPr>
        <w:t xml:space="preserve">vignette methodology in research with young people. </w:t>
      </w:r>
      <w:r w:rsidRPr="00103556">
        <w:rPr>
          <w:rFonts w:asciiTheme="majorHAnsi" w:hAnsiTheme="majorHAnsi" w:cstheme="majorHAnsi"/>
          <w:i/>
          <w:iCs/>
          <w:color w:val="auto"/>
        </w:rPr>
        <w:t>Qualitative Research, 12</w:t>
      </w:r>
      <w:r w:rsidRPr="00103556">
        <w:rPr>
          <w:rFonts w:asciiTheme="majorHAnsi" w:hAnsiTheme="majorHAnsi" w:cstheme="majorHAnsi"/>
          <w:color w:val="auto"/>
        </w:rPr>
        <w:t xml:space="preserve">(6), 702-714. </w:t>
      </w:r>
      <w:hyperlink r:id="rId61" w:history="1">
        <w:r w:rsidRPr="00103556">
          <w:rPr>
            <w:rStyle w:val="Hyperlink"/>
            <w:rFonts w:asciiTheme="majorHAnsi" w:eastAsia="Times New Roman" w:hAnsiTheme="majorHAnsi" w:cstheme="majorHAnsi"/>
            <w:color w:val="auto"/>
            <w:shd w:val="clear" w:color="auto" w:fill="FFFFFF"/>
            <w:lang w:eastAsia="en-GB"/>
          </w:rPr>
          <w:t>https://doi.org/10.1177/1468794112439003</w:t>
        </w:r>
      </w:hyperlink>
      <w:r w:rsidRPr="00103556">
        <w:rPr>
          <w:rStyle w:val="Hyperlink"/>
          <w:rFonts w:asciiTheme="majorHAnsi" w:eastAsia="Times New Roman" w:hAnsiTheme="majorHAnsi" w:cstheme="majorHAnsi"/>
          <w:color w:val="auto"/>
          <w:shd w:val="clear" w:color="auto" w:fill="FFFFFF"/>
          <w:lang w:eastAsia="en-GB"/>
        </w:rPr>
        <w:t xml:space="preserve"> </w:t>
      </w:r>
    </w:p>
    <w:p w14:paraId="1BA80B8C" w14:textId="7001F9A5" w:rsidR="00D938DE" w:rsidRPr="00103556" w:rsidRDefault="00D938DE" w:rsidP="00497300">
      <w:pPr>
        <w:ind w:firstLine="0"/>
        <w:rPr>
          <w:rFonts w:asciiTheme="majorHAnsi" w:hAnsiTheme="majorHAnsi" w:cstheme="majorHAnsi"/>
          <w:color w:val="auto"/>
          <w:shd w:val="clear" w:color="auto" w:fill="FFFFFF"/>
        </w:rPr>
      </w:pPr>
      <w:r w:rsidRPr="00103556">
        <w:rPr>
          <w:rFonts w:asciiTheme="majorHAnsi" w:hAnsiTheme="majorHAnsi" w:cstheme="majorHAnsi"/>
          <w:color w:val="auto"/>
          <w:shd w:val="clear" w:color="auto" w:fill="FFFFFF"/>
        </w:rPr>
        <w:t xml:space="preserve">Paring, G., Pezé, S., &amp; Huault, I. (2017). ‘Welcome to the whiteboard, the new member of the </w:t>
      </w:r>
    </w:p>
    <w:p w14:paraId="1B5705E8" w14:textId="77777777" w:rsidR="007231C4" w:rsidRPr="00103556" w:rsidRDefault="00D938DE" w:rsidP="007231C4">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shd w:val="clear" w:color="auto" w:fill="FFFFFF"/>
        </w:rPr>
        <w:t>team’: Identity regulation as a sociomaterial process. </w:t>
      </w:r>
      <w:r w:rsidRPr="00103556">
        <w:rPr>
          <w:rFonts w:asciiTheme="majorHAnsi" w:hAnsiTheme="majorHAnsi" w:cstheme="majorHAnsi"/>
          <w:i/>
          <w:iCs/>
          <w:color w:val="auto"/>
          <w:shd w:val="clear" w:color="auto" w:fill="FFFFFF"/>
        </w:rPr>
        <w:t>Organization</w:t>
      </w:r>
      <w:r w:rsidRPr="00103556">
        <w:rPr>
          <w:rFonts w:asciiTheme="majorHAnsi" w:hAnsiTheme="majorHAnsi" w:cstheme="majorHAnsi"/>
          <w:color w:val="auto"/>
          <w:shd w:val="clear" w:color="auto" w:fill="FFFFFF"/>
        </w:rPr>
        <w:t>, </w:t>
      </w:r>
      <w:r w:rsidRPr="00103556">
        <w:rPr>
          <w:rFonts w:asciiTheme="majorHAnsi" w:hAnsiTheme="majorHAnsi" w:cstheme="majorHAnsi"/>
          <w:i/>
          <w:iCs/>
          <w:color w:val="auto"/>
          <w:shd w:val="clear" w:color="auto" w:fill="FFFFFF"/>
        </w:rPr>
        <w:t>24</w:t>
      </w:r>
      <w:r w:rsidRPr="00103556">
        <w:rPr>
          <w:rFonts w:asciiTheme="majorHAnsi" w:hAnsiTheme="majorHAnsi" w:cstheme="majorHAnsi"/>
          <w:color w:val="auto"/>
          <w:shd w:val="clear" w:color="auto" w:fill="FFFFFF"/>
        </w:rPr>
        <w:t xml:space="preserve">(6), 844-865. </w:t>
      </w:r>
      <w:hyperlink r:id="rId62" w:history="1">
        <w:r w:rsidRPr="00103556">
          <w:rPr>
            <w:rStyle w:val="Hyperlink"/>
            <w:rFonts w:asciiTheme="majorHAnsi" w:eastAsia="Times New Roman" w:hAnsiTheme="majorHAnsi" w:cstheme="majorHAnsi"/>
            <w:color w:val="auto"/>
            <w:shd w:val="clear" w:color="auto" w:fill="FFFFFF"/>
            <w:lang w:eastAsia="en-GB"/>
          </w:rPr>
          <w:t>https://doi.org/10.1177/1350508416686407</w:t>
        </w:r>
      </w:hyperlink>
      <w:r w:rsidR="007231C4" w:rsidRPr="00103556">
        <w:rPr>
          <w:rStyle w:val="Hyperlink"/>
          <w:rFonts w:asciiTheme="majorHAnsi" w:eastAsia="Times New Roman" w:hAnsiTheme="majorHAnsi" w:cstheme="majorHAnsi"/>
          <w:color w:val="auto"/>
          <w:shd w:val="clear" w:color="auto" w:fill="FFFFFF"/>
          <w:lang w:eastAsia="en-GB"/>
        </w:rPr>
        <w:t xml:space="preserve"> </w:t>
      </w:r>
    </w:p>
    <w:p w14:paraId="75784889" w14:textId="42AA53A0" w:rsidR="00D938DE" w:rsidRPr="00103556" w:rsidRDefault="00D938DE" w:rsidP="007231C4">
      <w:pPr>
        <w:ind w:firstLine="0"/>
        <w:rPr>
          <w:rFonts w:asciiTheme="majorHAnsi" w:hAnsiTheme="majorHAnsi" w:cstheme="majorHAnsi"/>
          <w:i/>
          <w:iCs/>
          <w:color w:val="auto"/>
        </w:rPr>
      </w:pPr>
      <w:r w:rsidRPr="00103556">
        <w:rPr>
          <w:rFonts w:asciiTheme="majorHAnsi" w:hAnsiTheme="majorHAnsi" w:cstheme="majorHAnsi"/>
          <w:color w:val="auto"/>
        </w:rPr>
        <w:t xml:space="preserve">Plester, B.A., Cooper-Thomas, H. and Winquist, J. (2015), “The fun paradox”. </w:t>
      </w:r>
      <w:r w:rsidRPr="00103556">
        <w:rPr>
          <w:rFonts w:asciiTheme="majorHAnsi" w:hAnsiTheme="majorHAnsi" w:cstheme="majorHAnsi"/>
          <w:i/>
          <w:iCs/>
          <w:color w:val="auto"/>
        </w:rPr>
        <w:t xml:space="preserve">Employee </w:t>
      </w:r>
    </w:p>
    <w:p w14:paraId="52E2C303" w14:textId="77777777" w:rsidR="007231C4" w:rsidRPr="00103556" w:rsidRDefault="00D938DE" w:rsidP="007231C4">
      <w:pPr>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i/>
          <w:iCs/>
          <w:color w:val="auto"/>
        </w:rPr>
        <w:t>Relations, 37</w:t>
      </w:r>
      <w:r w:rsidRPr="00103556">
        <w:rPr>
          <w:rFonts w:asciiTheme="majorHAnsi" w:hAnsiTheme="majorHAnsi" w:cstheme="majorHAnsi"/>
          <w:color w:val="auto"/>
        </w:rPr>
        <w:t xml:space="preserve">(3), 293-315. </w:t>
      </w:r>
      <w:hyperlink r:id="rId63" w:history="1">
        <w:r w:rsidRPr="00103556">
          <w:rPr>
            <w:rStyle w:val="Hyperlink"/>
            <w:rFonts w:asciiTheme="majorHAnsi" w:eastAsia="Times New Roman" w:hAnsiTheme="majorHAnsi" w:cstheme="majorHAnsi"/>
            <w:color w:val="auto"/>
            <w:shd w:val="clear" w:color="auto" w:fill="FFFFFF"/>
            <w:lang w:eastAsia="en-GB"/>
          </w:rPr>
          <w:t>https://doi.org/10.1108/er-04-2013-0037</w:t>
        </w:r>
      </w:hyperlink>
      <w:r w:rsidR="007231C4" w:rsidRPr="00103556">
        <w:rPr>
          <w:rStyle w:val="Hyperlink"/>
          <w:rFonts w:asciiTheme="majorHAnsi" w:eastAsia="Times New Roman" w:hAnsiTheme="majorHAnsi" w:cstheme="majorHAnsi"/>
          <w:color w:val="auto"/>
          <w:shd w:val="clear" w:color="auto" w:fill="FFFFFF"/>
          <w:lang w:eastAsia="en-GB"/>
        </w:rPr>
        <w:t xml:space="preserve"> </w:t>
      </w:r>
    </w:p>
    <w:p w14:paraId="30AF5908" w14:textId="5CF58B02" w:rsidR="00D938DE" w:rsidRPr="00103556" w:rsidRDefault="00D938DE" w:rsidP="007231C4">
      <w:pPr>
        <w:ind w:firstLine="0"/>
        <w:rPr>
          <w:rFonts w:asciiTheme="majorHAnsi" w:hAnsiTheme="majorHAnsi" w:cstheme="majorHAnsi"/>
          <w:color w:val="auto"/>
        </w:rPr>
      </w:pPr>
      <w:r w:rsidRPr="00103556">
        <w:rPr>
          <w:rFonts w:asciiTheme="majorHAnsi" w:hAnsiTheme="majorHAnsi" w:cstheme="majorHAnsi"/>
          <w:color w:val="auto"/>
        </w:rPr>
        <w:t xml:space="preserve">Ruthig, J. C., Holfeld, B., &amp; Hanson, B. L. (2012). The role of positive thinking in social </w:t>
      </w:r>
    </w:p>
    <w:p w14:paraId="09506E7A" w14:textId="77777777" w:rsidR="007231C4" w:rsidRPr="00103556" w:rsidRDefault="00D938DE" w:rsidP="007231C4">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rPr>
        <w:t xml:space="preserve">perceptions of cancer outcomes. </w:t>
      </w:r>
      <w:r w:rsidRPr="00103556">
        <w:rPr>
          <w:rFonts w:asciiTheme="majorHAnsi" w:hAnsiTheme="majorHAnsi" w:cstheme="majorHAnsi"/>
          <w:i/>
          <w:iCs/>
          <w:color w:val="auto"/>
        </w:rPr>
        <w:t>Psychology &amp; health, 27</w:t>
      </w:r>
      <w:r w:rsidRPr="00103556">
        <w:rPr>
          <w:rFonts w:asciiTheme="majorHAnsi" w:hAnsiTheme="majorHAnsi" w:cstheme="majorHAnsi"/>
          <w:color w:val="auto"/>
        </w:rPr>
        <w:t xml:space="preserve">(10), 1244-1258. </w:t>
      </w:r>
      <w:hyperlink r:id="rId64" w:history="1">
        <w:r w:rsidRPr="00103556">
          <w:rPr>
            <w:rStyle w:val="Hyperlink"/>
            <w:rFonts w:asciiTheme="majorHAnsi" w:eastAsia="Times New Roman" w:hAnsiTheme="majorHAnsi" w:cstheme="majorHAnsi"/>
            <w:color w:val="auto"/>
            <w:shd w:val="clear" w:color="auto" w:fill="FFFFFF"/>
            <w:lang w:eastAsia="en-GB"/>
          </w:rPr>
          <w:t>https://doi.org/10.1080/08870446.2012.666549</w:t>
        </w:r>
      </w:hyperlink>
      <w:r w:rsidR="00435390" w:rsidRPr="00103556">
        <w:rPr>
          <w:rStyle w:val="Hyperlink"/>
          <w:rFonts w:asciiTheme="majorHAnsi" w:eastAsia="Times New Roman" w:hAnsiTheme="majorHAnsi" w:cstheme="majorHAnsi"/>
          <w:color w:val="auto"/>
          <w:shd w:val="clear" w:color="auto" w:fill="FFFFFF"/>
          <w:lang w:eastAsia="en-GB"/>
        </w:rPr>
        <w:t xml:space="preserve"> </w:t>
      </w:r>
    </w:p>
    <w:p w14:paraId="175CF15E" w14:textId="3B857118" w:rsidR="00D938DE" w:rsidRPr="00103556" w:rsidRDefault="00D938DE" w:rsidP="007231C4">
      <w:pPr>
        <w:ind w:firstLine="0"/>
        <w:rPr>
          <w:rFonts w:asciiTheme="majorHAnsi" w:hAnsiTheme="majorHAnsi" w:cstheme="majorHAnsi"/>
          <w:color w:val="auto"/>
        </w:rPr>
      </w:pPr>
      <w:r w:rsidRPr="00103556">
        <w:rPr>
          <w:rFonts w:asciiTheme="majorHAnsi" w:hAnsiTheme="majorHAnsi" w:cstheme="majorHAnsi"/>
          <w:color w:val="auto"/>
        </w:rPr>
        <w:t xml:space="preserve">Salerno, S. (2009). Positively misguided: the myths and mistakes of the positive thinking </w:t>
      </w:r>
    </w:p>
    <w:p w14:paraId="00492060" w14:textId="77777777" w:rsidR="00E6636E" w:rsidRPr="00103556" w:rsidRDefault="00D938DE" w:rsidP="00E6636E">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rPr>
        <w:t xml:space="preserve">movement. </w:t>
      </w:r>
      <w:r w:rsidRPr="00103556">
        <w:rPr>
          <w:rFonts w:asciiTheme="majorHAnsi" w:hAnsiTheme="majorHAnsi" w:cstheme="majorHAnsi"/>
          <w:i/>
          <w:iCs/>
          <w:color w:val="auto"/>
        </w:rPr>
        <w:t>Skeptic, 14</w:t>
      </w:r>
      <w:r w:rsidRPr="00103556">
        <w:rPr>
          <w:rFonts w:asciiTheme="majorHAnsi" w:hAnsiTheme="majorHAnsi" w:cstheme="majorHAnsi"/>
          <w:color w:val="auto"/>
        </w:rPr>
        <w:t xml:space="preserve">(4), 30-37. Retrieved from </w:t>
      </w:r>
      <w:hyperlink r:id="rId65" w:history="1">
        <w:r w:rsidRPr="00103556">
          <w:rPr>
            <w:rStyle w:val="Hyperlink"/>
            <w:rFonts w:asciiTheme="majorHAnsi" w:eastAsia="Times New Roman" w:hAnsiTheme="majorHAnsi" w:cstheme="majorHAnsi"/>
            <w:color w:val="auto"/>
            <w:shd w:val="clear" w:color="auto" w:fill="FFFFFF"/>
            <w:lang w:eastAsia="en-GB"/>
          </w:rPr>
          <w:t>https://www.skeptic.ca/Positive_Thinking_Mythology.htm</w:t>
        </w:r>
      </w:hyperlink>
      <w:r w:rsidR="00E6636E" w:rsidRPr="00103556">
        <w:rPr>
          <w:rStyle w:val="Hyperlink"/>
          <w:rFonts w:asciiTheme="majorHAnsi" w:eastAsia="Times New Roman" w:hAnsiTheme="majorHAnsi" w:cstheme="majorHAnsi"/>
          <w:color w:val="auto"/>
          <w:shd w:val="clear" w:color="auto" w:fill="FFFFFF"/>
          <w:lang w:eastAsia="en-GB"/>
        </w:rPr>
        <w:t xml:space="preserve"> </w:t>
      </w:r>
    </w:p>
    <w:p w14:paraId="346AD4FA" w14:textId="6A6A04DA" w:rsidR="00D938DE" w:rsidRPr="00103556" w:rsidRDefault="00D938DE" w:rsidP="00E6636E">
      <w:pPr>
        <w:ind w:firstLine="0"/>
        <w:rPr>
          <w:rFonts w:asciiTheme="majorHAnsi" w:hAnsiTheme="majorHAnsi" w:cstheme="majorHAnsi"/>
          <w:color w:val="auto"/>
          <w:shd w:val="clear" w:color="auto" w:fill="FFFFFF"/>
        </w:rPr>
      </w:pPr>
      <w:r w:rsidRPr="00103556">
        <w:rPr>
          <w:rFonts w:asciiTheme="majorHAnsi" w:hAnsiTheme="majorHAnsi" w:cstheme="majorHAnsi"/>
          <w:color w:val="auto"/>
          <w:shd w:val="clear" w:color="auto" w:fill="FFFFFF"/>
        </w:rPr>
        <w:t>Scott, J. C. (1990). </w:t>
      </w:r>
      <w:r w:rsidRPr="00103556">
        <w:rPr>
          <w:rFonts w:asciiTheme="majorHAnsi" w:hAnsiTheme="majorHAnsi" w:cstheme="majorHAnsi"/>
          <w:i/>
          <w:iCs/>
          <w:color w:val="auto"/>
          <w:shd w:val="clear" w:color="auto" w:fill="FFFFFF"/>
        </w:rPr>
        <w:t>Domination and the arts of resistance: Hidden transcripts</w:t>
      </w:r>
      <w:r w:rsidRPr="00103556">
        <w:rPr>
          <w:rFonts w:asciiTheme="majorHAnsi" w:hAnsiTheme="majorHAnsi" w:cstheme="majorHAnsi"/>
          <w:color w:val="auto"/>
          <w:shd w:val="clear" w:color="auto" w:fill="FFFFFF"/>
        </w:rPr>
        <w:t xml:space="preserve">. Yale university </w:t>
      </w:r>
    </w:p>
    <w:p w14:paraId="57E024C5" w14:textId="77777777" w:rsidR="00E6636E" w:rsidRPr="00103556" w:rsidRDefault="00D938DE" w:rsidP="00E6636E">
      <w:pPr>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shd w:val="clear" w:color="auto" w:fill="FFFFFF"/>
        </w:rPr>
        <w:lastRenderedPageBreak/>
        <w:t xml:space="preserve">press. </w:t>
      </w:r>
      <w:hyperlink r:id="rId66" w:tgtFrame="_blank" w:history="1">
        <w:r w:rsidRPr="00103556">
          <w:rPr>
            <w:rStyle w:val="Hyperlink"/>
            <w:rFonts w:asciiTheme="majorHAnsi" w:eastAsia="Times New Roman" w:hAnsiTheme="majorHAnsi" w:cstheme="majorHAnsi"/>
            <w:color w:val="auto"/>
            <w:shd w:val="clear" w:color="auto" w:fill="FFFFFF"/>
            <w:lang w:eastAsia="en-GB"/>
          </w:rPr>
          <w:t>https://doi.org/10.4000/apad.406</w:t>
        </w:r>
      </w:hyperlink>
      <w:r w:rsidR="00435390" w:rsidRPr="00103556">
        <w:rPr>
          <w:rStyle w:val="Hyperlink"/>
          <w:rFonts w:asciiTheme="majorHAnsi" w:eastAsia="Times New Roman" w:hAnsiTheme="majorHAnsi" w:cstheme="majorHAnsi"/>
          <w:color w:val="auto"/>
          <w:shd w:val="clear" w:color="auto" w:fill="FFFFFF"/>
          <w:lang w:eastAsia="en-GB"/>
        </w:rPr>
        <w:t xml:space="preserve"> </w:t>
      </w:r>
    </w:p>
    <w:p w14:paraId="24EE5D5F" w14:textId="4FBB19F8" w:rsidR="00D938DE" w:rsidRPr="00103556" w:rsidRDefault="00D938DE" w:rsidP="00E6636E">
      <w:pPr>
        <w:ind w:firstLine="0"/>
        <w:rPr>
          <w:rFonts w:asciiTheme="majorHAnsi" w:hAnsiTheme="majorHAnsi" w:cstheme="majorHAnsi"/>
          <w:color w:val="auto"/>
        </w:rPr>
      </w:pPr>
      <w:r w:rsidRPr="00103556">
        <w:rPr>
          <w:rFonts w:asciiTheme="majorHAnsi" w:hAnsiTheme="majorHAnsi" w:cstheme="majorHAnsi"/>
          <w:color w:val="auto"/>
        </w:rPr>
        <w:t xml:space="preserve">Smith, C., &amp; Elger, T. (2014). Critical realism and interviewing subjects. In: Edwards, P. K., </w:t>
      </w:r>
    </w:p>
    <w:p w14:paraId="596CC4F4" w14:textId="77777777" w:rsidR="004503FB" w:rsidRPr="00103556" w:rsidRDefault="00D938DE" w:rsidP="004503FB">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rPr>
        <w:t xml:space="preserve">O’Mahoney, J. &amp; Vincent, S. (Eds), </w:t>
      </w:r>
      <w:r w:rsidRPr="00103556">
        <w:rPr>
          <w:rFonts w:asciiTheme="majorHAnsi" w:hAnsiTheme="majorHAnsi" w:cstheme="majorHAnsi"/>
          <w:i/>
          <w:iCs/>
          <w:color w:val="auto"/>
        </w:rPr>
        <w:t>Studying Organizations Using Critical Realism</w:t>
      </w:r>
      <w:r w:rsidRPr="00103556">
        <w:rPr>
          <w:rFonts w:asciiTheme="majorHAnsi" w:hAnsiTheme="majorHAnsi" w:cstheme="majorHAnsi"/>
          <w:color w:val="auto"/>
        </w:rPr>
        <w:t xml:space="preserve"> (pp.109- 131). Oxford: Oxford University Press. </w:t>
      </w:r>
      <w:hyperlink r:id="rId67" w:history="1">
        <w:r w:rsidRPr="00103556">
          <w:rPr>
            <w:rStyle w:val="Hyperlink"/>
            <w:rFonts w:asciiTheme="majorHAnsi" w:eastAsia="Times New Roman" w:hAnsiTheme="majorHAnsi" w:cstheme="majorHAnsi"/>
            <w:color w:val="auto"/>
            <w:shd w:val="clear" w:color="auto" w:fill="FFFFFF"/>
            <w:lang w:eastAsia="en-GB"/>
          </w:rPr>
          <w:t>https://doi.org/10.1093/acprof:oso/9780199665525.003.0006</w:t>
        </w:r>
      </w:hyperlink>
      <w:r w:rsidR="004503FB" w:rsidRPr="00103556">
        <w:rPr>
          <w:rStyle w:val="Hyperlink"/>
          <w:rFonts w:asciiTheme="majorHAnsi" w:eastAsia="Times New Roman" w:hAnsiTheme="majorHAnsi" w:cstheme="majorHAnsi"/>
          <w:color w:val="auto"/>
          <w:shd w:val="clear" w:color="auto" w:fill="FFFFFF"/>
          <w:lang w:eastAsia="en-GB"/>
        </w:rPr>
        <w:t xml:space="preserve"> </w:t>
      </w:r>
    </w:p>
    <w:p w14:paraId="552DC691" w14:textId="7E3BDBD0" w:rsidR="00D938DE" w:rsidRPr="00103556" w:rsidRDefault="00D938DE" w:rsidP="004503FB">
      <w:pPr>
        <w:ind w:firstLine="0"/>
        <w:rPr>
          <w:rFonts w:asciiTheme="majorHAnsi" w:hAnsiTheme="majorHAnsi" w:cstheme="majorHAnsi"/>
          <w:color w:val="auto"/>
        </w:rPr>
      </w:pPr>
      <w:r w:rsidRPr="00103556">
        <w:rPr>
          <w:rFonts w:asciiTheme="majorHAnsi" w:hAnsiTheme="majorHAnsi" w:cstheme="majorHAnsi"/>
          <w:color w:val="auto"/>
        </w:rPr>
        <w:t xml:space="preserve">Tenney, E. R., Poole, J. M., &amp; Diener, E. (2016). Does positivity enhance work performance?: </w:t>
      </w:r>
    </w:p>
    <w:p w14:paraId="5EE6992E" w14:textId="77777777" w:rsidR="004503FB" w:rsidRPr="00103556" w:rsidRDefault="00D938DE" w:rsidP="004503FB">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rPr>
        <w:t xml:space="preserve">Why, when, and what we don’t know. </w:t>
      </w:r>
      <w:r w:rsidRPr="00103556">
        <w:rPr>
          <w:rFonts w:asciiTheme="majorHAnsi" w:hAnsiTheme="majorHAnsi" w:cstheme="majorHAnsi"/>
          <w:i/>
          <w:iCs/>
          <w:color w:val="auto"/>
        </w:rPr>
        <w:t>Research in Organizational Behavior, 36</w:t>
      </w:r>
      <w:r w:rsidRPr="00103556">
        <w:rPr>
          <w:rFonts w:asciiTheme="majorHAnsi" w:hAnsiTheme="majorHAnsi" w:cstheme="majorHAnsi"/>
          <w:color w:val="auto"/>
        </w:rPr>
        <w:t xml:space="preserve">, 27-46. </w:t>
      </w:r>
      <w:hyperlink r:id="rId68" w:history="1">
        <w:r w:rsidRPr="00103556">
          <w:rPr>
            <w:rStyle w:val="Hyperlink"/>
            <w:rFonts w:asciiTheme="majorHAnsi" w:eastAsia="Times New Roman" w:hAnsiTheme="majorHAnsi" w:cstheme="majorHAnsi"/>
            <w:color w:val="auto"/>
            <w:shd w:val="clear" w:color="auto" w:fill="FFFFFF"/>
            <w:lang w:eastAsia="en-GB"/>
          </w:rPr>
          <w:t>https://doi.org/10.1016/j.riob.2016.11.002</w:t>
        </w:r>
      </w:hyperlink>
      <w:r w:rsidR="004503FB" w:rsidRPr="00103556">
        <w:rPr>
          <w:rStyle w:val="Hyperlink"/>
          <w:rFonts w:asciiTheme="majorHAnsi" w:eastAsia="Times New Roman" w:hAnsiTheme="majorHAnsi" w:cstheme="majorHAnsi"/>
          <w:color w:val="auto"/>
          <w:shd w:val="clear" w:color="auto" w:fill="FFFFFF"/>
          <w:lang w:eastAsia="en-GB"/>
        </w:rPr>
        <w:t xml:space="preserve"> </w:t>
      </w:r>
    </w:p>
    <w:p w14:paraId="013C574F" w14:textId="2270DD4D" w:rsidR="00D938DE" w:rsidRPr="00103556" w:rsidRDefault="00D938DE" w:rsidP="004503FB">
      <w:pPr>
        <w:ind w:firstLine="0"/>
        <w:rPr>
          <w:rFonts w:asciiTheme="majorHAnsi" w:hAnsiTheme="majorHAnsi" w:cstheme="majorHAnsi"/>
          <w:color w:val="auto"/>
        </w:rPr>
      </w:pPr>
      <w:r w:rsidRPr="00103556">
        <w:rPr>
          <w:rFonts w:asciiTheme="majorHAnsi" w:hAnsiTheme="majorHAnsi" w:cstheme="majorHAnsi"/>
          <w:color w:val="auto"/>
        </w:rPr>
        <w:t xml:space="preserve">Tod, A., Warnock, C., &amp; Allmark, P. (2011). A critique of positive thinking for patients with </w:t>
      </w:r>
    </w:p>
    <w:p w14:paraId="5100AF7D" w14:textId="77777777" w:rsidR="004503FB" w:rsidRPr="00103556" w:rsidRDefault="00D938DE" w:rsidP="004503FB">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rPr>
        <w:t xml:space="preserve">cancer. </w:t>
      </w:r>
      <w:r w:rsidRPr="00103556">
        <w:rPr>
          <w:rFonts w:asciiTheme="majorHAnsi" w:hAnsiTheme="majorHAnsi" w:cstheme="majorHAnsi"/>
          <w:i/>
          <w:iCs/>
          <w:color w:val="auto"/>
        </w:rPr>
        <w:t>Nursing standard, 25</w:t>
      </w:r>
      <w:r w:rsidRPr="00103556">
        <w:rPr>
          <w:rFonts w:asciiTheme="majorHAnsi" w:hAnsiTheme="majorHAnsi" w:cstheme="majorHAnsi"/>
          <w:color w:val="auto"/>
        </w:rPr>
        <w:t xml:space="preserve">(39), 43-47. </w:t>
      </w:r>
      <w:hyperlink r:id="rId69" w:history="1">
        <w:r w:rsidRPr="00103556">
          <w:rPr>
            <w:rStyle w:val="Hyperlink"/>
            <w:rFonts w:asciiTheme="majorHAnsi" w:eastAsia="Times New Roman" w:hAnsiTheme="majorHAnsi" w:cstheme="majorHAnsi"/>
            <w:color w:val="auto"/>
            <w:shd w:val="clear" w:color="auto" w:fill="FFFFFF"/>
            <w:lang w:eastAsia="en-GB"/>
          </w:rPr>
          <w:t>https://doi.org/10.7748/ns2011.06.25.39.43.c8544</w:t>
        </w:r>
      </w:hyperlink>
      <w:r w:rsidR="00124CA6" w:rsidRPr="00103556">
        <w:rPr>
          <w:rStyle w:val="Hyperlink"/>
          <w:rFonts w:asciiTheme="majorHAnsi" w:eastAsia="Times New Roman" w:hAnsiTheme="majorHAnsi" w:cstheme="majorHAnsi"/>
          <w:color w:val="auto"/>
          <w:shd w:val="clear" w:color="auto" w:fill="FFFFFF"/>
          <w:lang w:eastAsia="en-GB"/>
        </w:rPr>
        <w:t xml:space="preserve"> </w:t>
      </w:r>
    </w:p>
    <w:p w14:paraId="01FE8497" w14:textId="47422E8D" w:rsidR="00D938DE" w:rsidRPr="00103556" w:rsidRDefault="00D938DE" w:rsidP="004503FB">
      <w:pPr>
        <w:ind w:firstLine="0"/>
        <w:rPr>
          <w:rFonts w:asciiTheme="majorHAnsi" w:hAnsiTheme="majorHAnsi" w:cstheme="majorHAnsi"/>
          <w:color w:val="auto"/>
        </w:rPr>
      </w:pPr>
      <w:r w:rsidRPr="00103556">
        <w:rPr>
          <w:rFonts w:asciiTheme="majorHAnsi" w:hAnsiTheme="majorHAnsi" w:cstheme="majorHAnsi"/>
          <w:color w:val="auto"/>
        </w:rPr>
        <w:t xml:space="preserve">Törrönen, J. (2018). Using vignettes in qualitative interviews as clues, microcosms or provokers. </w:t>
      </w:r>
    </w:p>
    <w:p w14:paraId="495D8F90" w14:textId="77777777" w:rsidR="004503FB" w:rsidRPr="00103556" w:rsidRDefault="00D938DE" w:rsidP="004503FB">
      <w:pPr>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i/>
          <w:iCs/>
          <w:color w:val="auto"/>
        </w:rPr>
        <w:t>Qualitative Research Journal, 18</w:t>
      </w:r>
      <w:r w:rsidRPr="00103556">
        <w:rPr>
          <w:rFonts w:asciiTheme="majorHAnsi" w:hAnsiTheme="majorHAnsi" w:cstheme="majorHAnsi"/>
          <w:color w:val="auto"/>
        </w:rPr>
        <w:t xml:space="preserve">(3), 276-286. </w:t>
      </w:r>
      <w:hyperlink r:id="rId70" w:history="1">
        <w:r w:rsidRPr="00103556">
          <w:rPr>
            <w:rStyle w:val="Hyperlink"/>
            <w:rFonts w:asciiTheme="majorHAnsi" w:eastAsia="Times New Roman" w:hAnsiTheme="majorHAnsi" w:cstheme="majorHAnsi"/>
            <w:color w:val="auto"/>
            <w:shd w:val="clear" w:color="auto" w:fill="FFFFFF"/>
            <w:lang w:eastAsia="en-GB"/>
          </w:rPr>
          <w:t>https://doi.org/10.1108/qrj-d-17-00055</w:t>
        </w:r>
      </w:hyperlink>
    </w:p>
    <w:p w14:paraId="28B51AE0" w14:textId="558423C8" w:rsidR="00D938DE" w:rsidRPr="00103556" w:rsidRDefault="00D938DE" w:rsidP="004503FB">
      <w:pPr>
        <w:ind w:firstLine="0"/>
        <w:rPr>
          <w:rFonts w:asciiTheme="majorHAnsi" w:hAnsiTheme="majorHAnsi" w:cstheme="majorHAnsi"/>
          <w:color w:val="auto"/>
          <w:shd w:val="clear" w:color="auto" w:fill="FFFFFF"/>
        </w:rPr>
      </w:pPr>
      <w:r w:rsidRPr="00103556">
        <w:rPr>
          <w:rFonts w:asciiTheme="majorHAnsi" w:hAnsiTheme="majorHAnsi" w:cstheme="majorHAnsi"/>
          <w:color w:val="auto"/>
          <w:shd w:val="clear" w:color="auto" w:fill="FFFFFF"/>
          <w:lang w:val="de-DE"/>
        </w:rPr>
        <w:t xml:space="preserve">Venus, M., Stam, D., &amp; Van Knippenberg, D. (2013). </w:t>
      </w:r>
      <w:r w:rsidRPr="00103556">
        <w:rPr>
          <w:rFonts w:asciiTheme="majorHAnsi" w:hAnsiTheme="majorHAnsi" w:cstheme="majorHAnsi"/>
          <w:color w:val="auto"/>
          <w:shd w:val="clear" w:color="auto" w:fill="FFFFFF"/>
        </w:rPr>
        <w:t xml:space="preserve">Leader emotion as a catalyst of effective </w:t>
      </w:r>
    </w:p>
    <w:p w14:paraId="39CA201B" w14:textId="77777777" w:rsidR="00855999" w:rsidRPr="00103556" w:rsidRDefault="00D938DE" w:rsidP="00855999">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shd w:val="clear" w:color="auto" w:fill="FFFFFF"/>
        </w:rPr>
        <w:t>leader communication of visions, value-laden messages, and goals. </w:t>
      </w:r>
      <w:r w:rsidRPr="00103556">
        <w:rPr>
          <w:rFonts w:asciiTheme="majorHAnsi" w:hAnsiTheme="majorHAnsi" w:cstheme="majorHAnsi"/>
          <w:i/>
          <w:iCs/>
          <w:color w:val="auto"/>
          <w:shd w:val="clear" w:color="auto" w:fill="FFFFFF"/>
        </w:rPr>
        <w:t>Organizational Behavior and Human Decision Processes</w:t>
      </w:r>
      <w:r w:rsidRPr="00103556">
        <w:rPr>
          <w:rFonts w:asciiTheme="majorHAnsi" w:hAnsiTheme="majorHAnsi" w:cstheme="majorHAnsi"/>
          <w:color w:val="auto"/>
          <w:shd w:val="clear" w:color="auto" w:fill="FFFFFF"/>
        </w:rPr>
        <w:t>, </w:t>
      </w:r>
      <w:r w:rsidRPr="00103556">
        <w:rPr>
          <w:rFonts w:asciiTheme="majorHAnsi" w:hAnsiTheme="majorHAnsi" w:cstheme="majorHAnsi"/>
          <w:i/>
          <w:iCs/>
          <w:color w:val="auto"/>
          <w:shd w:val="clear" w:color="auto" w:fill="FFFFFF"/>
        </w:rPr>
        <w:t>122</w:t>
      </w:r>
      <w:r w:rsidRPr="00103556">
        <w:rPr>
          <w:rFonts w:asciiTheme="majorHAnsi" w:hAnsiTheme="majorHAnsi" w:cstheme="majorHAnsi"/>
          <w:color w:val="auto"/>
          <w:shd w:val="clear" w:color="auto" w:fill="FFFFFF"/>
        </w:rPr>
        <w:t xml:space="preserve">(1), 53-68. </w:t>
      </w:r>
      <w:hyperlink r:id="rId71" w:tgtFrame="_blank" w:history="1">
        <w:r w:rsidRPr="00103556">
          <w:rPr>
            <w:rStyle w:val="Hyperlink"/>
            <w:rFonts w:asciiTheme="majorHAnsi" w:eastAsia="Times New Roman" w:hAnsiTheme="majorHAnsi" w:cstheme="majorHAnsi"/>
            <w:color w:val="auto"/>
            <w:shd w:val="clear" w:color="auto" w:fill="FFFFFF"/>
            <w:lang w:eastAsia="en-GB"/>
          </w:rPr>
          <w:t>https://doi.org/10.1016/j.obhdp.2013.03.009</w:t>
        </w:r>
      </w:hyperlink>
      <w:r w:rsidR="00855999" w:rsidRPr="00103556">
        <w:rPr>
          <w:rStyle w:val="Hyperlink"/>
          <w:rFonts w:asciiTheme="majorHAnsi" w:eastAsia="Times New Roman" w:hAnsiTheme="majorHAnsi" w:cstheme="majorHAnsi"/>
          <w:color w:val="auto"/>
          <w:shd w:val="clear" w:color="auto" w:fill="FFFFFF"/>
          <w:lang w:eastAsia="en-GB"/>
        </w:rPr>
        <w:t xml:space="preserve"> </w:t>
      </w:r>
    </w:p>
    <w:p w14:paraId="6C771856" w14:textId="2F325A97" w:rsidR="00D938DE" w:rsidRPr="00103556" w:rsidRDefault="00D938DE" w:rsidP="00855999">
      <w:pPr>
        <w:ind w:firstLine="0"/>
        <w:rPr>
          <w:rFonts w:asciiTheme="majorHAnsi" w:hAnsiTheme="majorHAnsi" w:cstheme="majorHAnsi"/>
          <w:color w:val="auto"/>
        </w:rPr>
      </w:pPr>
      <w:r w:rsidRPr="00103556">
        <w:rPr>
          <w:rFonts w:asciiTheme="majorHAnsi" w:hAnsiTheme="majorHAnsi" w:cstheme="majorHAnsi"/>
          <w:color w:val="auto"/>
        </w:rPr>
        <w:t xml:space="preserve">Whiting, R., &amp; Pritchard, K. (2018). Digital Ethics. In: C. Cassell, A. L. Cunliffe, &amp; G. Grandy </w:t>
      </w:r>
    </w:p>
    <w:p w14:paraId="025094B1" w14:textId="77777777" w:rsidR="00855999" w:rsidRPr="00103556" w:rsidRDefault="00D938DE" w:rsidP="00855999">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rPr>
        <w:t xml:space="preserve">(Eds.), </w:t>
      </w:r>
      <w:r w:rsidRPr="00103556">
        <w:rPr>
          <w:rFonts w:asciiTheme="majorHAnsi" w:hAnsiTheme="majorHAnsi" w:cstheme="majorHAnsi"/>
          <w:i/>
          <w:iCs/>
          <w:color w:val="auto"/>
        </w:rPr>
        <w:t>The SAGE Handbook of Qualitative Business and Management Research Methods</w:t>
      </w:r>
      <w:r w:rsidRPr="00103556">
        <w:rPr>
          <w:rFonts w:asciiTheme="majorHAnsi" w:hAnsiTheme="majorHAnsi" w:cstheme="majorHAnsi"/>
          <w:color w:val="auto"/>
        </w:rPr>
        <w:t xml:space="preserve"> (pp. 562-577). Los Angeles, CA: Sage. </w:t>
      </w:r>
      <w:hyperlink r:id="rId72" w:history="1">
        <w:r w:rsidRPr="00103556">
          <w:rPr>
            <w:rStyle w:val="Hyperlink"/>
            <w:rFonts w:asciiTheme="majorHAnsi" w:eastAsia="Times New Roman" w:hAnsiTheme="majorHAnsi" w:cstheme="majorHAnsi"/>
            <w:color w:val="auto"/>
            <w:shd w:val="clear" w:color="auto" w:fill="FFFFFF"/>
            <w:lang w:eastAsia="en-GB"/>
          </w:rPr>
          <w:t>https://doi.org/10.4135/9781526430212.n33</w:t>
        </w:r>
      </w:hyperlink>
      <w:r w:rsidR="00855999" w:rsidRPr="00103556">
        <w:rPr>
          <w:rStyle w:val="Hyperlink"/>
          <w:rFonts w:asciiTheme="majorHAnsi" w:eastAsia="Times New Roman" w:hAnsiTheme="majorHAnsi" w:cstheme="majorHAnsi"/>
          <w:color w:val="auto"/>
          <w:shd w:val="clear" w:color="auto" w:fill="FFFFFF"/>
          <w:lang w:eastAsia="en-GB"/>
        </w:rPr>
        <w:t xml:space="preserve"> </w:t>
      </w:r>
    </w:p>
    <w:p w14:paraId="4574C3FF" w14:textId="5FC0CBA0" w:rsidR="00D938DE" w:rsidRPr="00103556" w:rsidRDefault="00D938DE" w:rsidP="00855999">
      <w:pPr>
        <w:ind w:firstLine="0"/>
        <w:rPr>
          <w:rFonts w:asciiTheme="majorHAnsi" w:hAnsiTheme="majorHAnsi" w:cstheme="majorHAnsi"/>
          <w:color w:val="auto"/>
        </w:rPr>
      </w:pPr>
      <w:r w:rsidRPr="00103556">
        <w:rPr>
          <w:rFonts w:asciiTheme="majorHAnsi" w:hAnsiTheme="majorHAnsi" w:cstheme="majorHAnsi"/>
          <w:color w:val="auto"/>
        </w:rPr>
        <w:t xml:space="preserve">Wong, P. T. P., &amp; Roy, S. (2018). Critique of positive psychology and positive interventions. In </w:t>
      </w:r>
    </w:p>
    <w:p w14:paraId="7D5115ED" w14:textId="77777777" w:rsidR="00855999" w:rsidRPr="00103556" w:rsidRDefault="00D938DE" w:rsidP="00855999">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rPr>
        <w:lastRenderedPageBreak/>
        <w:t xml:space="preserve">N. J. L. Brown, T. Lomas, &amp; F. J. Eiroa-Orosa (Eds.), </w:t>
      </w:r>
      <w:r w:rsidRPr="00103556">
        <w:rPr>
          <w:rFonts w:asciiTheme="majorHAnsi" w:hAnsiTheme="majorHAnsi" w:cstheme="majorHAnsi"/>
          <w:i/>
          <w:iCs/>
          <w:color w:val="auto"/>
        </w:rPr>
        <w:t>Routledge international handbooks. The Routledge international handbook of critical positive psychology</w:t>
      </w:r>
      <w:r w:rsidRPr="00103556">
        <w:rPr>
          <w:rFonts w:asciiTheme="majorHAnsi" w:hAnsiTheme="majorHAnsi" w:cstheme="majorHAnsi"/>
          <w:color w:val="auto"/>
        </w:rPr>
        <w:t xml:space="preserve"> (pp. 142-160). New York, NY, US: Routledge. </w:t>
      </w:r>
      <w:hyperlink r:id="rId73" w:history="1">
        <w:r w:rsidRPr="00103556">
          <w:rPr>
            <w:rStyle w:val="Hyperlink"/>
            <w:rFonts w:asciiTheme="majorHAnsi" w:eastAsia="Times New Roman" w:hAnsiTheme="majorHAnsi" w:cstheme="majorHAnsi"/>
            <w:color w:val="auto"/>
            <w:shd w:val="clear" w:color="auto" w:fill="FFFFFF"/>
            <w:lang w:eastAsia="en-GB"/>
          </w:rPr>
          <w:t>https://doi.org/10.4324/9781315659794-12</w:t>
        </w:r>
      </w:hyperlink>
      <w:r w:rsidR="00855999" w:rsidRPr="00103556">
        <w:rPr>
          <w:rStyle w:val="Hyperlink"/>
          <w:rFonts w:asciiTheme="majorHAnsi" w:eastAsia="Times New Roman" w:hAnsiTheme="majorHAnsi" w:cstheme="majorHAnsi"/>
          <w:color w:val="auto"/>
          <w:shd w:val="clear" w:color="auto" w:fill="FFFFFF"/>
          <w:lang w:eastAsia="en-GB"/>
        </w:rPr>
        <w:t xml:space="preserve"> </w:t>
      </w:r>
    </w:p>
    <w:p w14:paraId="4B651CD8" w14:textId="1B03D6B8" w:rsidR="00D938DE" w:rsidRPr="00103556" w:rsidRDefault="00D938DE" w:rsidP="00855999">
      <w:pPr>
        <w:ind w:firstLine="0"/>
        <w:rPr>
          <w:rFonts w:asciiTheme="majorHAnsi" w:hAnsiTheme="majorHAnsi" w:cstheme="majorHAnsi"/>
          <w:color w:val="auto"/>
        </w:rPr>
      </w:pPr>
      <w:r w:rsidRPr="00103556">
        <w:rPr>
          <w:rFonts w:asciiTheme="majorHAnsi" w:hAnsiTheme="majorHAnsi" w:cstheme="majorHAnsi"/>
          <w:color w:val="auto"/>
        </w:rPr>
        <w:t xml:space="preserve">Yates, J. (1989). </w:t>
      </w:r>
      <w:r w:rsidRPr="00103556">
        <w:rPr>
          <w:rFonts w:asciiTheme="majorHAnsi" w:hAnsiTheme="majorHAnsi" w:cstheme="majorHAnsi"/>
          <w:i/>
          <w:iCs/>
          <w:color w:val="auto"/>
        </w:rPr>
        <w:t>Control through communication: The rise of system in American management</w:t>
      </w:r>
      <w:r w:rsidRPr="00103556">
        <w:rPr>
          <w:rFonts w:asciiTheme="majorHAnsi" w:hAnsiTheme="majorHAnsi" w:cstheme="majorHAnsi"/>
          <w:color w:val="auto"/>
        </w:rPr>
        <w:t xml:space="preserve">. </w:t>
      </w:r>
    </w:p>
    <w:p w14:paraId="2D47EBF6" w14:textId="77777777" w:rsidR="00B81A92" w:rsidRPr="00103556" w:rsidRDefault="00D938DE" w:rsidP="00B81A92">
      <w:pPr>
        <w:rPr>
          <w:rFonts w:asciiTheme="majorHAnsi" w:hAnsiTheme="majorHAnsi" w:cstheme="majorHAnsi"/>
          <w:color w:val="auto"/>
        </w:rPr>
      </w:pPr>
      <w:r w:rsidRPr="00103556">
        <w:rPr>
          <w:rFonts w:asciiTheme="majorHAnsi" w:hAnsiTheme="majorHAnsi" w:cstheme="majorHAnsi"/>
          <w:color w:val="auto"/>
        </w:rPr>
        <w:t xml:space="preserve">(Vol. 6). </w:t>
      </w:r>
      <w:r w:rsidRPr="00103556">
        <w:rPr>
          <w:rFonts w:asciiTheme="majorHAnsi" w:hAnsiTheme="majorHAnsi" w:cstheme="majorHAnsi"/>
          <w:color w:val="auto"/>
          <w:shd w:val="clear" w:color="auto" w:fill="FFFFFF"/>
        </w:rPr>
        <w:t xml:space="preserve">Baltimore, MD: </w:t>
      </w:r>
      <w:r w:rsidRPr="00103556">
        <w:rPr>
          <w:rFonts w:asciiTheme="majorHAnsi" w:hAnsiTheme="majorHAnsi" w:cstheme="majorHAnsi"/>
          <w:color w:val="auto"/>
        </w:rPr>
        <w:t>Johns Hopkins University Press.</w:t>
      </w:r>
      <w:r w:rsidR="00124CA6" w:rsidRPr="00103556">
        <w:rPr>
          <w:rFonts w:asciiTheme="majorHAnsi" w:hAnsiTheme="majorHAnsi" w:cstheme="majorHAnsi"/>
          <w:color w:val="auto"/>
        </w:rPr>
        <w:t xml:space="preserve"> </w:t>
      </w:r>
    </w:p>
    <w:p w14:paraId="6E29CDC1" w14:textId="40202C15" w:rsidR="00D938DE" w:rsidRPr="00103556" w:rsidRDefault="00D938DE" w:rsidP="00B81A92">
      <w:pPr>
        <w:ind w:firstLine="0"/>
        <w:rPr>
          <w:rFonts w:asciiTheme="majorHAnsi" w:hAnsiTheme="majorHAnsi" w:cstheme="majorHAnsi"/>
          <w:color w:val="auto"/>
        </w:rPr>
      </w:pPr>
      <w:r w:rsidRPr="00103556">
        <w:rPr>
          <w:rFonts w:asciiTheme="majorHAnsi" w:hAnsiTheme="majorHAnsi" w:cstheme="majorHAnsi"/>
          <w:color w:val="auto"/>
        </w:rPr>
        <w:t xml:space="preserve">Ybema, S., &amp; Horvers, M. (2017). Resistance Through Compliance: The Strategic and </w:t>
      </w:r>
    </w:p>
    <w:p w14:paraId="15272DF1" w14:textId="77777777" w:rsidR="00DA2113" w:rsidRPr="00103556" w:rsidRDefault="00D938DE" w:rsidP="00DA2113">
      <w:pPr>
        <w:ind w:left="720" w:firstLine="0"/>
        <w:rPr>
          <w:rStyle w:val="Hyperlink"/>
          <w:rFonts w:asciiTheme="majorHAnsi" w:eastAsia="Times New Roman" w:hAnsiTheme="majorHAnsi" w:cstheme="majorHAnsi"/>
          <w:color w:val="auto"/>
          <w:shd w:val="clear" w:color="auto" w:fill="FFFFFF"/>
          <w:lang w:eastAsia="en-GB"/>
        </w:rPr>
      </w:pPr>
      <w:r w:rsidRPr="00103556">
        <w:rPr>
          <w:rFonts w:asciiTheme="majorHAnsi" w:hAnsiTheme="majorHAnsi" w:cstheme="majorHAnsi"/>
          <w:color w:val="auto"/>
        </w:rPr>
        <w:t xml:space="preserve">Subversive Potential of Frontstage and Backstage Resistance. Organization Studies, 38(9), 1233–1251. </w:t>
      </w:r>
      <w:hyperlink r:id="rId74" w:history="1">
        <w:r w:rsidR="00B81A92" w:rsidRPr="00103556">
          <w:rPr>
            <w:rStyle w:val="Hyperlink"/>
            <w:rFonts w:asciiTheme="majorHAnsi" w:eastAsia="Times New Roman" w:hAnsiTheme="majorHAnsi" w:cstheme="majorHAnsi"/>
            <w:color w:val="auto"/>
            <w:shd w:val="clear" w:color="auto" w:fill="FFFFFF"/>
            <w:lang w:eastAsia="en-GB"/>
          </w:rPr>
          <w:t>https://doi.org/10.1177/0170840617709305</w:t>
        </w:r>
      </w:hyperlink>
      <w:r w:rsidR="00B81A92" w:rsidRPr="00103556">
        <w:rPr>
          <w:rStyle w:val="Hyperlink"/>
          <w:rFonts w:asciiTheme="majorHAnsi" w:eastAsia="Times New Roman" w:hAnsiTheme="majorHAnsi" w:cstheme="majorHAnsi"/>
          <w:color w:val="auto"/>
          <w:shd w:val="clear" w:color="auto" w:fill="FFFFFF"/>
          <w:lang w:eastAsia="en-GB"/>
        </w:rPr>
        <w:t xml:space="preserve"> </w:t>
      </w:r>
    </w:p>
    <w:sectPr w:rsidR="00DA2113" w:rsidRPr="00103556" w:rsidSect="00A87D1C">
      <w:headerReference w:type="default" r:id="rId75"/>
      <w:headerReference w:type="first" r:id="rId76"/>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780018" w14:textId="77777777" w:rsidR="002330AC" w:rsidRDefault="002330AC">
      <w:pPr>
        <w:spacing w:line="240" w:lineRule="auto"/>
      </w:pPr>
      <w:r>
        <w:separator/>
      </w:r>
    </w:p>
    <w:p w14:paraId="27A87901" w14:textId="77777777" w:rsidR="002330AC" w:rsidRDefault="002330AC"/>
  </w:endnote>
  <w:endnote w:type="continuationSeparator" w:id="0">
    <w:p w14:paraId="2502A4C0" w14:textId="77777777" w:rsidR="002330AC" w:rsidRDefault="002330AC">
      <w:pPr>
        <w:spacing w:line="240" w:lineRule="auto"/>
      </w:pPr>
      <w:r>
        <w:continuationSeparator/>
      </w:r>
    </w:p>
    <w:p w14:paraId="717721D4" w14:textId="77777777" w:rsidR="002330AC" w:rsidRDefault="002330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altName w:val="Sylfaen"/>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08B9F4" w14:textId="77777777" w:rsidR="002330AC" w:rsidRDefault="002330AC">
      <w:pPr>
        <w:spacing w:line="240" w:lineRule="auto"/>
      </w:pPr>
      <w:r>
        <w:separator/>
      </w:r>
    </w:p>
    <w:p w14:paraId="00D285C9" w14:textId="77777777" w:rsidR="002330AC" w:rsidRDefault="002330AC"/>
  </w:footnote>
  <w:footnote w:type="continuationSeparator" w:id="0">
    <w:p w14:paraId="1E5EC9F3" w14:textId="77777777" w:rsidR="002330AC" w:rsidRDefault="002330AC">
      <w:pPr>
        <w:spacing w:line="240" w:lineRule="auto"/>
      </w:pPr>
      <w:r>
        <w:continuationSeparator/>
      </w:r>
    </w:p>
    <w:p w14:paraId="35763A3E" w14:textId="77777777" w:rsidR="002330AC" w:rsidRDefault="002330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CellMar>
        <w:left w:w="0" w:type="dxa"/>
        <w:right w:w="0" w:type="dxa"/>
      </w:tblCellMar>
      <w:tblLook w:val="04A0" w:firstRow="1" w:lastRow="0" w:firstColumn="1" w:lastColumn="0" w:noHBand="0" w:noVBand="1"/>
      <w:tblDescription w:val="Header layout table"/>
    </w:tblPr>
    <w:tblGrid>
      <w:gridCol w:w="8280"/>
      <w:gridCol w:w="1080"/>
    </w:tblGrid>
    <w:tr w:rsidR="004D6B86" w14:paraId="0ABE8BF5" w14:textId="77777777">
      <w:tc>
        <w:tcPr>
          <w:tcW w:w="8280" w:type="dxa"/>
        </w:tcPr>
        <w:p w14:paraId="30F17BBC" w14:textId="01FB6507" w:rsidR="004D6B86" w:rsidRPr="00170521" w:rsidRDefault="0000199A" w:rsidP="00170521">
          <w:pPr>
            <w:pStyle w:val="Header"/>
          </w:pPr>
          <w:sdt>
            <w:sdtPr>
              <w:alias w:val="Enter shortened title:"/>
              <w:tag w:val="Enter shortened title:"/>
              <w:id w:val="-582528332"/>
              <w15:dataBinding w:prefixMappings="xmlns:ns0='http://schemas.microsoft.com/temp/samples' " w:xpath="/ns0:employees[1]/ns0:employee[1]/ns0:CustomerName[1]" w:storeItemID="{B98E728A-96FF-4995-885C-5AF887AB0C35}" w16sdtdh:storeItemChecksum="QIrWlQ=="/>
              <w15:appearance w15:val="hidden"/>
            </w:sdtPr>
            <w:sdtEndPr/>
            <w:sdtContent>
              <w:r w:rsidR="00B929CA">
                <w:t>“</w:t>
              </w:r>
              <w:r w:rsidR="00B929CA" w:rsidRPr="00C407CF">
                <w:t>T</w:t>
              </w:r>
              <w:r w:rsidR="00B929CA">
                <w:t>HEY ALMOST FORCE POSITIVE THINKING ON YOU”</w:t>
              </w:r>
            </w:sdtContent>
          </w:sdt>
        </w:p>
      </w:tc>
      <w:tc>
        <w:tcPr>
          <w:tcW w:w="1080" w:type="dxa"/>
        </w:tcPr>
        <w:p w14:paraId="3B24B849" w14:textId="77777777" w:rsidR="004D6B86" w:rsidRDefault="00345333">
          <w:pPr>
            <w:pStyle w:val="Header"/>
            <w:jc w:val="right"/>
          </w:pPr>
          <w:r>
            <w:rPr>
              <w:lang w:val="en-GB" w:bidi="en-GB"/>
            </w:rPr>
            <w:fldChar w:fldCharType="begin"/>
          </w:r>
          <w:r>
            <w:rPr>
              <w:lang w:val="en-GB" w:bidi="en-GB"/>
            </w:rPr>
            <w:instrText xml:space="preserve"> PAGE   \* MERGEFORMAT </w:instrText>
          </w:r>
          <w:r>
            <w:rPr>
              <w:lang w:val="en-GB" w:bidi="en-GB"/>
            </w:rPr>
            <w:fldChar w:fldCharType="separate"/>
          </w:r>
          <w:r w:rsidR="00C925C8">
            <w:rPr>
              <w:noProof/>
              <w:lang w:val="en-GB" w:bidi="en-GB"/>
            </w:rPr>
            <w:t>2</w:t>
          </w:r>
          <w:r>
            <w:rPr>
              <w:noProof/>
              <w:lang w:val="en-GB" w:bidi="en-GB"/>
            </w:rPr>
            <w:fldChar w:fldCharType="end"/>
          </w:r>
        </w:p>
      </w:tc>
    </w:tr>
  </w:tbl>
  <w:p w14:paraId="4B0BFBC3" w14:textId="77777777" w:rsidR="004D6B86" w:rsidRDefault="004D6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EB3520" w14:textId="245F64A8" w:rsidR="004D6B86" w:rsidRPr="00B929CA" w:rsidRDefault="00B929CA" w:rsidP="00B929CA">
    <w:pPr>
      <w:pStyle w:val="Header"/>
    </w:pPr>
    <w:sdt>
      <w:sdtPr>
        <w:alias w:val="Enter shortened title:"/>
        <w:tag w:val="Enter shortened title:"/>
        <w:id w:val="1836026036"/>
        <w15:dataBinding w:prefixMappings="xmlns:ns0='http://schemas.microsoft.com/temp/samples' " w:xpath="/ns0:employees[1]/ns0:employee[1]/ns0:CustomerName[1]" w:storeItemID="{B98E728A-96FF-4995-885C-5AF887AB0C35}" w16sdtdh:storeItemChecksum="QIrWlQ=="/>
        <w15:appearance w15:val="hidden"/>
      </w:sdtPr>
      <w:sdtContent>
        <w:r>
          <w:t>“</w:t>
        </w:r>
        <w:r w:rsidRPr="00C407CF">
          <w:t>T</w:t>
        </w:r>
        <w:r>
          <w:t>HEY ALMOST FORCE POSITIVE THINKING ON YOU”</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16cid:durableId="1644506020">
    <w:abstractNumId w:val="9"/>
  </w:num>
  <w:num w:numId="2" w16cid:durableId="1408069524">
    <w:abstractNumId w:val="7"/>
  </w:num>
  <w:num w:numId="3" w16cid:durableId="833494960">
    <w:abstractNumId w:val="6"/>
  </w:num>
  <w:num w:numId="4" w16cid:durableId="336690678">
    <w:abstractNumId w:val="5"/>
  </w:num>
  <w:num w:numId="5" w16cid:durableId="421223864">
    <w:abstractNumId w:val="4"/>
  </w:num>
  <w:num w:numId="6" w16cid:durableId="1546675870">
    <w:abstractNumId w:val="8"/>
  </w:num>
  <w:num w:numId="7" w16cid:durableId="740912043">
    <w:abstractNumId w:val="3"/>
  </w:num>
  <w:num w:numId="8" w16cid:durableId="295793767">
    <w:abstractNumId w:val="2"/>
  </w:num>
  <w:num w:numId="9" w16cid:durableId="108280719">
    <w:abstractNumId w:val="1"/>
  </w:num>
  <w:num w:numId="10" w16cid:durableId="1402948894">
    <w:abstractNumId w:val="0"/>
  </w:num>
  <w:num w:numId="11" w16cid:durableId="1800488114">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5"/>
  <w:attachedTemplate r:id="rId1"/>
  <w:defaultTabStop w:val="720"/>
  <w:characterSpacingControl w:val="doNotCompress"/>
  <w:hdrShapeDefaults>
    <o:shapedefaults v:ext="edit" spidmax="2050"/>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E75"/>
    <w:rsid w:val="00000745"/>
    <w:rsid w:val="00000E14"/>
    <w:rsid w:val="0000199A"/>
    <w:rsid w:val="00006BBA"/>
    <w:rsid w:val="0001010E"/>
    <w:rsid w:val="000126F2"/>
    <w:rsid w:val="000217F5"/>
    <w:rsid w:val="000228A9"/>
    <w:rsid w:val="000249A5"/>
    <w:rsid w:val="00060993"/>
    <w:rsid w:val="0006646A"/>
    <w:rsid w:val="00067829"/>
    <w:rsid w:val="00077443"/>
    <w:rsid w:val="00081D54"/>
    <w:rsid w:val="00082B34"/>
    <w:rsid w:val="00085B46"/>
    <w:rsid w:val="00086023"/>
    <w:rsid w:val="0009018D"/>
    <w:rsid w:val="000915DA"/>
    <w:rsid w:val="00097169"/>
    <w:rsid w:val="000A7B2E"/>
    <w:rsid w:val="000B1998"/>
    <w:rsid w:val="000D0C31"/>
    <w:rsid w:val="000D59AF"/>
    <w:rsid w:val="000E6BAE"/>
    <w:rsid w:val="000F5C40"/>
    <w:rsid w:val="0010136D"/>
    <w:rsid w:val="00103556"/>
    <w:rsid w:val="00111062"/>
    <w:rsid w:val="00114159"/>
    <w:rsid w:val="00114192"/>
    <w:rsid w:val="00114BFA"/>
    <w:rsid w:val="001160B6"/>
    <w:rsid w:val="00124CA6"/>
    <w:rsid w:val="001333B2"/>
    <w:rsid w:val="0013483B"/>
    <w:rsid w:val="00137942"/>
    <w:rsid w:val="00151BAF"/>
    <w:rsid w:val="001602E3"/>
    <w:rsid w:val="00160C0C"/>
    <w:rsid w:val="001612C7"/>
    <w:rsid w:val="00165823"/>
    <w:rsid w:val="001664A2"/>
    <w:rsid w:val="00170521"/>
    <w:rsid w:val="00176599"/>
    <w:rsid w:val="001808D5"/>
    <w:rsid w:val="00192859"/>
    <w:rsid w:val="00195D08"/>
    <w:rsid w:val="00195F20"/>
    <w:rsid w:val="00196372"/>
    <w:rsid w:val="001A02B5"/>
    <w:rsid w:val="001B3801"/>
    <w:rsid w:val="001B4848"/>
    <w:rsid w:val="001C3FAF"/>
    <w:rsid w:val="001C58E4"/>
    <w:rsid w:val="001D3017"/>
    <w:rsid w:val="001D6E73"/>
    <w:rsid w:val="001E7D76"/>
    <w:rsid w:val="001F1A09"/>
    <w:rsid w:val="001F447A"/>
    <w:rsid w:val="001F4997"/>
    <w:rsid w:val="001F7399"/>
    <w:rsid w:val="002020BA"/>
    <w:rsid w:val="002115B6"/>
    <w:rsid w:val="00211727"/>
    <w:rsid w:val="00212319"/>
    <w:rsid w:val="002163D5"/>
    <w:rsid w:val="00225BE3"/>
    <w:rsid w:val="002330AC"/>
    <w:rsid w:val="002361AE"/>
    <w:rsid w:val="0023660F"/>
    <w:rsid w:val="00265793"/>
    <w:rsid w:val="00265AAE"/>
    <w:rsid w:val="0026747A"/>
    <w:rsid w:val="00272CC1"/>
    <w:rsid w:val="00274E0A"/>
    <w:rsid w:val="0027661F"/>
    <w:rsid w:val="00277B4F"/>
    <w:rsid w:val="002B15CE"/>
    <w:rsid w:val="002B6153"/>
    <w:rsid w:val="002C627C"/>
    <w:rsid w:val="002D73BC"/>
    <w:rsid w:val="002E1929"/>
    <w:rsid w:val="002E6854"/>
    <w:rsid w:val="002F668B"/>
    <w:rsid w:val="00304434"/>
    <w:rsid w:val="00307586"/>
    <w:rsid w:val="003158D7"/>
    <w:rsid w:val="0032553D"/>
    <w:rsid w:val="003262B4"/>
    <w:rsid w:val="00336906"/>
    <w:rsid w:val="00345333"/>
    <w:rsid w:val="003677B6"/>
    <w:rsid w:val="0037396A"/>
    <w:rsid w:val="0039518C"/>
    <w:rsid w:val="00395E8A"/>
    <w:rsid w:val="003A06C6"/>
    <w:rsid w:val="003B33EF"/>
    <w:rsid w:val="003C08A5"/>
    <w:rsid w:val="003C339B"/>
    <w:rsid w:val="003C7614"/>
    <w:rsid w:val="003C7FC7"/>
    <w:rsid w:val="003D27BE"/>
    <w:rsid w:val="003D3656"/>
    <w:rsid w:val="003E36B1"/>
    <w:rsid w:val="003E4162"/>
    <w:rsid w:val="003E4E65"/>
    <w:rsid w:val="003E5C87"/>
    <w:rsid w:val="003F7CBD"/>
    <w:rsid w:val="00400C0E"/>
    <w:rsid w:val="00400EC5"/>
    <w:rsid w:val="00400F21"/>
    <w:rsid w:val="00405337"/>
    <w:rsid w:val="004237F0"/>
    <w:rsid w:val="0042704A"/>
    <w:rsid w:val="00427447"/>
    <w:rsid w:val="004312C8"/>
    <w:rsid w:val="00432ECD"/>
    <w:rsid w:val="00434213"/>
    <w:rsid w:val="00435390"/>
    <w:rsid w:val="00443505"/>
    <w:rsid w:val="004503FB"/>
    <w:rsid w:val="00474D3B"/>
    <w:rsid w:val="00481CF8"/>
    <w:rsid w:val="004832AC"/>
    <w:rsid w:val="0048631C"/>
    <w:rsid w:val="00492C2D"/>
    <w:rsid w:val="00495635"/>
    <w:rsid w:val="00497300"/>
    <w:rsid w:val="004A3D87"/>
    <w:rsid w:val="004A6EB8"/>
    <w:rsid w:val="004B18A9"/>
    <w:rsid w:val="004B1DF3"/>
    <w:rsid w:val="004B35B8"/>
    <w:rsid w:val="004B64A1"/>
    <w:rsid w:val="004B7276"/>
    <w:rsid w:val="004D4F8C"/>
    <w:rsid w:val="004D55C8"/>
    <w:rsid w:val="004D6B86"/>
    <w:rsid w:val="004E20F7"/>
    <w:rsid w:val="004F38D3"/>
    <w:rsid w:val="004F72BC"/>
    <w:rsid w:val="00504F88"/>
    <w:rsid w:val="005125FC"/>
    <w:rsid w:val="0051758C"/>
    <w:rsid w:val="00530296"/>
    <w:rsid w:val="00550A49"/>
    <w:rsid w:val="0055242C"/>
    <w:rsid w:val="00584AF7"/>
    <w:rsid w:val="00595412"/>
    <w:rsid w:val="00595884"/>
    <w:rsid w:val="005A5D2C"/>
    <w:rsid w:val="005A7208"/>
    <w:rsid w:val="005B2397"/>
    <w:rsid w:val="005B47CE"/>
    <w:rsid w:val="005B5AE6"/>
    <w:rsid w:val="005B5EAA"/>
    <w:rsid w:val="005C0073"/>
    <w:rsid w:val="005C2764"/>
    <w:rsid w:val="005C45C9"/>
    <w:rsid w:val="005D1D4B"/>
    <w:rsid w:val="005E6E2F"/>
    <w:rsid w:val="005F5C91"/>
    <w:rsid w:val="006014CC"/>
    <w:rsid w:val="006031BB"/>
    <w:rsid w:val="00604423"/>
    <w:rsid w:val="0061747E"/>
    <w:rsid w:val="00620FF4"/>
    <w:rsid w:val="00641876"/>
    <w:rsid w:val="00641F79"/>
    <w:rsid w:val="00645290"/>
    <w:rsid w:val="00652D6B"/>
    <w:rsid w:val="00656E8D"/>
    <w:rsid w:val="006721E6"/>
    <w:rsid w:val="00672525"/>
    <w:rsid w:val="0068191A"/>
    <w:rsid w:val="00682FF4"/>
    <w:rsid w:val="006A40B3"/>
    <w:rsid w:val="006B015B"/>
    <w:rsid w:val="006B7494"/>
    <w:rsid w:val="006C162F"/>
    <w:rsid w:val="006C3D7E"/>
    <w:rsid w:val="006C7E9F"/>
    <w:rsid w:val="006D19D9"/>
    <w:rsid w:val="006D1CC9"/>
    <w:rsid w:val="006D4D34"/>
    <w:rsid w:val="006D77E1"/>
    <w:rsid w:val="006D7EE9"/>
    <w:rsid w:val="006E1693"/>
    <w:rsid w:val="006E4C1C"/>
    <w:rsid w:val="006E78D5"/>
    <w:rsid w:val="007147EE"/>
    <w:rsid w:val="007231C4"/>
    <w:rsid w:val="007244DE"/>
    <w:rsid w:val="00727156"/>
    <w:rsid w:val="00736823"/>
    <w:rsid w:val="00741B76"/>
    <w:rsid w:val="00750E59"/>
    <w:rsid w:val="007551A5"/>
    <w:rsid w:val="00764879"/>
    <w:rsid w:val="00765779"/>
    <w:rsid w:val="00776469"/>
    <w:rsid w:val="00776476"/>
    <w:rsid w:val="00791C02"/>
    <w:rsid w:val="007A3EEA"/>
    <w:rsid w:val="007B0638"/>
    <w:rsid w:val="007B0E57"/>
    <w:rsid w:val="007E119C"/>
    <w:rsid w:val="007F3AB4"/>
    <w:rsid w:val="007F4BD0"/>
    <w:rsid w:val="008127A3"/>
    <w:rsid w:val="0081390C"/>
    <w:rsid w:val="00816831"/>
    <w:rsid w:val="008204DE"/>
    <w:rsid w:val="00821963"/>
    <w:rsid w:val="00837D67"/>
    <w:rsid w:val="00853D0B"/>
    <w:rsid w:val="00855999"/>
    <w:rsid w:val="00861D0C"/>
    <w:rsid w:val="00867BC8"/>
    <w:rsid w:val="0087234D"/>
    <w:rsid w:val="008747E8"/>
    <w:rsid w:val="008A2A83"/>
    <w:rsid w:val="008A2D97"/>
    <w:rsid w:val="008A6F2B"/>
    <w:rsid w:val="008B6FF8"/>
    <w:rsid w:val="008C7C07"/>
    <w:rsid w:val="008D157A"/>
    <w:rsid w:val="008E7698"/>
    <w:rsid w:val="00906EB2"/>
    <w:rsid w:val="00910F0E"/>
    <w:rsid w:val="00910F82"/>
    <w:rsid w:val="00927203"/>
    <w:rsid w:val="009424C1"/>
    <w:rsid w:val="00961AE5"/>
    <w:rsid w:val="0097162E"/>
    <w:rsid w:val="00972360"/>
    <w:rsid w:val="00973C41"/>
    <w:rsid w:val="0098288C"/>
    <w:rsid w:val="00984325"/>
    <w:rsid w:val="00985B4B"/>
    <w:rsid w:val="00991C60"/>
    <w:rsid w:val="00995EE3"/>
    <w:rsid w:val="009A2386"/>
    <w:rsid w:val="009A2C38"/>
    <w:rsid w:val="009C6D22"/>
    <w:rsid w:val="009C77C3"/>
    <w:rsid w:val="009D0311"/>
    <w:rsid w:val="009D3B95"/>
    <w:rsid w:val="009E59CF"/>
    <w:rsid w:val="009F0414"/>
    <w:rsid w:val="009F06BD"/>
    <w:rsid w:val="00A05D73"/>
    <w:rsid w:val="00A07D7C"/>
    <w:rsid w:val="00A07E36"/>
    <w:rsid w:val="00A205D1"/>
    <w:rsid w:val="00A206AE"/>
    <w:rsid w:val="00A3071E"/>
    <w:rsid w:val="00A3092D"/>
    <w:rsid w:val="00A34A90"/>
    <w:rsid w:val="00A43684"/>
    <w:rsid w:val="00A4757D"/>
    <w:rsid w:val="00A52B62"/>
    <w:rsid w:val="00A54105"/>
    <w:rsid w:val="00A7197C"/>
    <w:rsid w:val="00A75E34"/>
    <w:rsid w:val="00A77F6B"/>
    <w:rsid w:val="00A81BB2"/>
    <w:rsid w:val="00A87D1C"/>
    <w:rsid w:val="00A9440F"/>
    <w:rsid w:val="00AA56A4"/>
    <w:rsid w:val="00AA5C05"/>
    <w:rsid w:val="00AB3066"/>
    <w:rsid w:val="00AB5073"/>
    <w:rsid w:val="00AC1A14"/>
    <w:rsid w:val="00AC483C"/>
    <w:rsid w:val="00AD2E25"/>
    <w:rsid w:val="00AD43B9"/>
    <w:rsid w:val="00AD6675"/>
    <w:rsid w:val="00AE0A23"/>
    <w:rsid w:val="00AF6A5A"/>
    <w:rsid w:val="00B150F2"/>
    <w:rsid w:val="00B24151"/>
    <w:rsid w:val="00B2757D"/>
    <w:rsid w:val="00B27FB4"/>
    <w:rsid w:val="00B410C7"/>
    <w:rsid w:val="00B4703B"/>
    <w:rsid w:val="00B644FF"/>
    <w:rsid w:val="00B67BF5"/>
    <w:rsid w:val="00B7270F"/>
    <w:rsid w:val="00B764E4"/>
    <w:rsid w:val="00B81A92"/>
    <w:rsid w:val="00B8721A"/>
    <w:rsid w:val="00B900BF"/>
    <w:rsid w:val="00B929CA"/>
    <w:rsid w:val="00B951B0"/>
    <w:rsid w:val="00B9576B"/>
    <w:rsid w:val="00B95AF7"/>
    <w:rsid w:val="00BA42AA"/>
    <w:rsid w:val="00BB1C23"/>
    <w:rsid w:val="00BB3900"/>
    <w:rsid w:val="00BB6AF7"/>
    <w:rsid w:val="00BD4A8A"/>
    <w:rsid w:val="00BE7553"/>
    <w:rsid w:val="00BF5C37"/>
    <w:rsid w:val="00BF664A"/>
    <w:rsid w:val="00BF7199"/>
    <w:rsid w:val="00C13A96"/>
    <w:rsid w:val="00C13DA5"/>
    <w:rsid w:val="00C1668B"/>
    <w:rsid w:val="00C2590D"/>
    <w:rsid w:val="00C27EC9"/>
    <w:rsid w:val="00C3438C"/>
    <w:rsid w:val="00C358C5"/>
    <w:rsid w:val="00C407CF"/>
    <w:rsid w:val="00C415B8"/>
    <w:rsid w:val="00C45209"/>
    <w:rsid w:val="00C5200D"/>
    <w:rsid w:val="00C5686B"/>
    <w:rsid w:val="00C6434D"/>
    <w:rsid w:val="00C71B3B"/>
    <w:rsid w:val="00C74024"/>
    <w:rsid w:val="00C83B15"/>
    <w:rsid w:val="00C86B09"/>
    <w:rsid w:val="00C90D3B"/>
    <w:rsid w:val="00C925C8"/>
    <w:rsid w:val="00C947D5"/>
    <w:rsid w:val="00CA2535"/>
    <w:rsid w:val="00CA7797"/>
    <w:rsid w:val="00CB7F84"/>
    <w:rsid w:val="00CC0959"/>
    <w:rsid w:val="00CC4160"/>
    <w:rsid w:val="00CD0CF7"/>
    <w:rsid w:val="00CF09F4"/>
    <w:rsid w:val="00CF1B55"/>
    <w:rsid w:val="00D03F98"/>
    <w:rsid w:val="00D05823"/>
    <w:rsid w:val="00D14754"/>
    <w:rsid w:val="00D20D0A"/>
    <w:rsid w:val="00D23D04"/>
    <w:rsid w:val="00D26865"/>
    <w:rsid w:val="00D30F00"/>
    <w:rsid w:val="00D32896"/>
    <w:rsid w:val="00D376C9"/>
    <w:rsid w:val="00D40CA6"/>
    <w:rsid w:val="00D41560"/>
    <w:rsid w:val="00D4651D"/>
    <w:rsid w:val="00D5632E"/>
    <w:rsid w:val="00D636F7"/>
    <w:rsid w:val="00D75994"/>
    <w:rsid w:val="00D77E83"/>
    <w:rsid w:val="00D82CDD"/>
    <w:rsid w:val="00D9166C"/>
    <w:rsid w:val="00D918F1"/>
    <w:rsid w:val="00D938DE"/>
    <w:rsid w:val="00DA2113"/>
    <w:rsid w:val="00DB2AE0"/>
    <w:rsid w:val="00DB2E59"/>
    <w:rsid w:val="00DB358F"/>
    <w:rsid w:val="00DC44F1"/>
    <w:rsid w:val="00DC4934"/>
    <w:rsid w:val="00DC5A63"/>
    <w:rsid w:val="00DD41E9"/>
    <w:rsid w:val="00DE48D5"/>
    <w:rsid w:val="00DF4E75"/>
    <w:rsid w:val="00DF6D26"/>
    <w:rsid w:val="00DF7454"/>
    <w:rsid w:val="00E054B8"/>
    <w:rsid w:val="00E1067E"/>
    <w:rsid w:val="00E17017"/>
    <w:rsid w:val="00E173BD"/>
    <w:rsid w:val="00E17629"/>
    <w:rsid w:val="00E42BDA"/>
    <w:rsid w:val="00E55843"/>
    <w:rsid w:val="00E577DC"/>
    <w:rsid w:val="00E6636E"/>
    <w:rsid w:val="00E72DFD"/>
    <w:rsid w:val="00E7305D"/>
    <w:rsid w:val="00E752CC"/>
    <w:rsid w:val="00E761C7"/>
    <w:rsid w:val="00E76EF9"/>
    <w:rsid w:val="00E96132"/>
    <w:rsid w:val="00EA7662"/>
    <w:rsid w:val="00EA780C"/>
    <w:rsid w:val="00EB69D3"/>
    <w:rsid w:val="00EB77BE"/>
    <w:rsid w:val="00EC1C9D"/>
    <w:rsid w:val="00F045A8"/>
    <w:rsid w:val="00F14ABC"/>
    <w:rsid w:val="00F15FC0"/>
    <w:rsid w:val="00F31D66"/>
    <w:rsid w:val="00F363EC"/>
    <w:rsid w:val="00F3680A"/>
    <w:rsid w:val="00F413AC"/>
    <w:rsid w:val="00F41EB3"/>
    <w:rsid w:val="00F428A1"/>
    <w:rsid w:val="00F43461"/>
    <w:rsid w:val="00F51A2C"/>
    <w:rsid w:val="00F5245E"/>
    <w:rsid w:val="00F55B83"/>
    <w:rsid w:val="00F62540"/>
    <w:rsid w:val="00F641EE"/>
    <w:rsid w:val="00F7518E"/>
    <w:rsid w:val="00F7623A"/>
    <w:rsid w:val="00FA7207"/>
    <w:rsid w:val="00FC1091"/>
    <w:rsid w:val="00FC628E"/>
    <w:rsid w:val="00FD5722"/>
    <w:rsid w:val="00FE725C"/>
    <w:rsid w:val="00FF1263"/>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85694F"/>
  <w15:chartTrackingRefBased/>
  <w15:docId w15:val="{1A7D6D06-C2CC-47C6-A189-0DABFFE9F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1B0"/>
    <w:rPr>
      <w:lang w:val="en-GB"/>
    </w:rPr>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lang w:val="en-U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lang w:val="en-U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lang w:val="en-U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lang w:val="en-U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lang w:val="en-U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lang w:val="en-US"/>
    </w:rPr>
  </w:style>
  <w:style w:type="paragraph" w:styleId="Header">
    <w:name w:val="header"/>
    <w:basedOn w:val="Normal"/>
    <w:link w:val="HeaderChar"/>
    <w:uiPriority w:val="99"/>
    <w:qFormat/>
    <w:pPr>
      <w:spacing w:line="240" w:lineRule="auto"/>
      <w:ind w:firstLine="0"/>
    </w:pPr>
    <w:rPr>
      <w:lang w:val="en-US"/>
    </w:r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lang w:val="en-US"/>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lang w:val="en-US"/>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rPr>
      <w:lang w:val="en-US"/>
    </w:r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lang w:val="en-US"/>
    </w:rPr>
  </w:style>
  <w:style w:type="paragraph" w:styleId="BodyText">
    <w:name w:val="Body Text"/>
    <w:basedOn w:val="Normal"/>
    <w:link w:val="BodyTextChar"/>
    <w:uiPriority w:val="99"/>
    <w:semiHidden/>
    <w:unhideWhenUsed/>
    <w:pPr>
      <w:spacing w:after="120"/>
      <w:ind w:firstLine="0"/>
    </w:pPr>
    <w:rPr>
      <w:lang w:val="en-US"/>
    </w:r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rPr>
      <w:lang w:val="en-US"/>
    </w:r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lang w:val="en-US"/>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rPr>
      <w:lang w:val="en-US"/>
    </w:r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rPr>
      <w:lang w:val="en-US"/>
    </w:r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lang w:val="en-US"/>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lang w:val="en-US"/>
    </w:rPr>
  </w:style>
  <w:style w:type="paragraph" w:styleId="Closing">
    <w:name w:val="Closing"/>
    <w:basedOn w:val="Normal"/>
    <w:link w:val="ClosingChar"/>
    <w:uiPriority w:val="99"/>
    <w:semiHidden/>
    <w:unhideWhenUsed/>
    <w:pPr>
      <w:spacing w:line="240" w:lineRule="auto"/>
      <w:ind w:left="4320" w:firstLine="0"/>
    </w:pPr>
    <w:rPr>
      <w:lang w:val="en-US"/>
    </w:r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lang w:val="en-US"/>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rPr>
      <w:lang w:val="en-US"/>
    </w:r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lang w:val="en-US"/>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rPr>
      <w:lang w:val="en-US"/>
    </w:r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lang w:val="en-US"/>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lang w:val="en-US"/>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lang w:val="en-U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lang w:val="en-U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lang w:val="en-US"/>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rPr>
      <w:lang w:val="en-US"/>
    </w:rPr>
  </w:style>
  <w:style w:type="paragraph" w:styleId="Index2">
    <w:name w:val="index 2"/>
    <w:basedOn w:val="Normal"/>
    <w:next w:val="Normal"/>
    <w:autoRedefine/>
    <w:uiPriority w:val="99"/>
    <w:semiHidden/>
    <w:unhideWhenUsed/>
    <w:pPr>
      <w:spacing w:line="240" w:lineRule="auto"/>
      <w:ind w:left="480" w:firstLine="0"/>
    </w:pPr>
    <w:rPr>
      <w:lang w:val="en-US"/>
    </w:rPr>
  </w:style>
  <w:style w:type="paragraph" w:styleId="Index3">
    <w:name w:val="index 3"/>
    <w:basedOn w:val="Normal"/>
    <w:next w:val="Normal"/>
    <w:autoRedefine/>
    <w:uiPriority w:val="99"/>
    <w:semiHidden/>
    <w:unhideWhenUsed/>
    <w:pPr>
      <w:spacing w:line="240" w:lineRule="auto"/>
      <w:ind w:left="720" w:firstLine="0"/>
    </w:pPr>
    <w:rPr>
      <w:lang w:val="en-US"/>
    </w:rPr>
  </w:style>
  <w:style w:type="paragraph" w:styleId="Index4">
    <w:name w:val="index 4"/>
    <w:basedOn w:val="Normal"/>
    <w:next w:val="Normal"/>
    <w:autoRedefine/>
    <w:uiPriority w:val="99"/>
    <w:semiHidden/>
    <w:unhideWhenUsed/>
    <w:pPr>
      <w:spacing w:line="240" w:lineRule="auto"/>
      <w:ind w:left="960" w:firstLine="0"/>
    </w:pPr>
    <w:rPr>
      <w:lang w:val="en-US"/>
    </w:rPr>
  </w:style>
  <w:style w:type="paragraph" w:styleId="Index5">
    <w:name w:val="index 5"/>
    <w:basedOn w:val="Normal"/>
    <w:next w:val="Normal"/>
    <w:autoRedefine/>
    <w:uiPriority w:val="99"/>
    <w:semiHidden/>
    <w:unhideWhenUsed/>
    <w:pPr>
      <w:spacing w:line="240" w:lineRule="auto"/>
      <w:ind w:left="1200" w:firstLine="0"/>
    </w:pPr>
    <w:rPr>
      <w:lang w:val="en-US"/>
    </w:rPr>
  </w:style>
  <w:style w:type="paragraph" w:styleId="Index6">
    <w:name w:val="index 6"/>
    <w:basedOn w:val="Normal"/>
    <w:next w:val="Normal"/>
    <w:autoRedefine/>
    <w:uiPriority w:val="99"/>
    <w:semiHidden/>
    <w:unhideWhenUsed/>
    <w:pPr>
      <w:spacing w:line="240" w:lineRule="auto"/>
      <w:ind w:left="1440" w:firstLine="0"/>
    </w:pPr>
    <w:rPr>
      <w:lang w:val="en-US"/>
    </w:rPr>
  </w:style>
  <w:style w:type="paragraph" w:styleId="Index7">
    <w:name w:val="index 7"/>
    <w:basedOn w:val="Normal"/>
    <w:next w:val="Normal"/>
    <w:autoRedefine/>
    <w:uiPriority w:val="99"/>
    <w:semiHidden/>
    <w:unhideWhenUsed/>
    <w:pPr>
      <w:spacing w:line="240" w:lineRule="auto"/>
      <w:ind w:left="1680" w:firstLine="0"/>
    </w:pPr>
    <w:rPr>
      <w:lang w:val="en-US"/>
    </w:rPr>
  </w:style>
  <w:style w:type="paragraph" w:styleId="Index8">
    <w:name w:val="index 8"/>
    <w:basedOn w:val="Normal"/>
    <w:next w:val="Normal"/>
    <w:autoRedefine/>
    <w:uiPriority w:val="99"/>
    <w:semiHidden/>
    <w:unhideWhenUsed/>
    <w:pPr>
      <w:spacing w:line="240" w:lineRule="auto"/>
      <w:ind w:left="1920" w:firstLine="0"/>
    </w:pPr>
    <w:rPr>
      <w:lang w:val="en-US"/>
    </w:rPr>
  </w:style>
  <w:style w:type="paragraph" w:styleId="Index9">
    <w:name w:val="index 9"/>
    <w:basedOn w:val="Normal"/>
    <w:next w:val="Normal"/>
    <w:autoRedefine/>
    <w:uiPriority w:val="99"/>
    <w:semiHidden/>
    <w:unhideWhenUsed/>
    <w:pPr>
      <w:spacing w:line="240" w:lineRule="auto"/>
      <w:ind w:left="2160" w:firstLine="0"/>
    </w:pPr>
    <w:rPr>
      <w:lang w:val="en-US"/>
    </w:r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lang w:val="en-U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lang w:val="en-US"/>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rPr>
      <w:lang w:val="en-US"/>
    </w:rPr>
  </w:style>
  <w:style w:type="paragraph" w:styleId="List2">
    <w:name w:val="List 2"/>
    <w:basedOn w:val="Normal"/>
    <w:uiPriority w:val="99"/>
    <w:semiHidden/>
    <w:unhideWhenUsed/>
    <w:pPr>
      <w:ind w:left="720" w:firstLine="0"/>
      <w:contextualSpacing/>
    </w:pPr>
    <w:rPr>
      <w:lang w:val="en-US"/>
    </w:rPr>
  </w:style>
  <w:style w:type="paragraph" w:styleId="List3">
    <w:name w:val="List 3"/>
    <w:basedOn w:val="Normal"/>
    <w:uiPriority w:val="99"/>
    <w:semiHidden/>
    <w:unhideWhenUsed/>
    <w:pPr>
      <w:ind w:left="1080" w:firstLine="0"/>
      <w:contextualSpacing/>
    </w:pPr>
    <w:rPr>
      <w:lang w:val="en-US"/>
    </w:rPr>
  </w:style>
  <w:style w:type="paragraph" w:styleId="List4">
    <w:name w:val="List 4"/>
    <w:basedOn w:val="Normal"/>
    <w:uiPriority w:val="99"/>
    <w:semiHidden/>
    <w:unhideWhenUsed/>
    <w:pPr>
      <w:ind w:left="1440" w:firstLine="0"/>
      <w:contextualSpacing/>
    </w:pPr>
    <w:rPr>
      <w:lang w:val="en-US"/>
    </w:rPr>
  </w:style>
  <w:style w:type="paragraph" w:styleId="List5">
    <w:name w:val="List 5"/>
    <w:basedOn w:val="Normal"/>
    <w:uiPriority w:val="99"/>
    <w:semiHidden/>
    <w:unhideWhenUsed/>
    <w:pPr>
      <w:ind w:left="1800" w:firstLine="0"/>
      <w:contextualSpacing/>
    </w:pPr>
    <w:rPr>
      <w:lang w:val="en-US"/>
    </w:rPr>
  </w:style>
  <w:style w:type="paragraph" w:styleId="ListBullet">
    <w:name w:val="List Bullet"/>
    <w:basedOn w:val="Normal"/>
    <w:uiPriority w:val="8"/>
    <w:unhideWhenUsed/>
    <w:qFormat/>
    <w:pPr>
      <w:numPr>
        <w:numId w:val="1"/>
      </w:numPr>
      <w:contextualSpacing/>
    </w:pPr>
    <w:rPr>
      <w:lang w:val="en-US"/>
    </w:rPr>
  </w:style>
  <w:style w:type="paragraph" w:styleId="ListBullet2">
    <w:name w:val="List Bullet 2"/>
    <w:basedOn w:val="Normal"/>
    <w:uiPriority w:val="99"/>
    <w:semiHidden/>
    <w:unhideWhenUsed/>
    <w:pPr>
      <w:numPr>
        <w:numId w:val="2"/>
      </w:numPr>
      <w:ind w:firstLine="0"/>
      <w:contextualSpacing/>
    </w:pPr>
    <w:rPr>
      <w:lang w:val="en-US"/>
    </w:rPr>
  </w:style>
  <w:style w:type="paragraph" w:styleId="ListBullet3">
    <w:name w:val="List Bullet 3"/>
    <w:basedOn w:val="Normal"/>
    <w:uiPriority w:val="99"/>
    <w:semiHidden/>
    <w:unhideWhenUsed/>
    <w:pPr>
      <w:numPr>
        <w:numId w:val="3"/>
      </w:numPr>
      <w:ind w:firstLine="0"/>
      <w:contextualSpacing/>
    </w:pPr>
    <w:rPr>
      <w:lang w:val="en-US"/>
    </w:rPr>
  </w:style>
  <w:style w:type="paragraph" w:styleId="ListBullet4">
    <w:name w:val="List Bullet 4"/>
    <w:basedOn w:val="Normal"/>
    <w:uiPriority w:val="99"/>
    <w:semiHidden/>
    <w:unhideWhenUsed/>
    <w:pPr>
      <w:numPr>
        <w:numId w:val="4"/>
      </w:numPr>
      <w:ind w:firstLine="0"/>
      <w:contextualSpacing/>
    </w:pPr>
    <w:rPr>
      <w:lang w:val="en-US"/>
    </w:rPr>
  </w:style>
  <w:style w:type="paragraph" w:styleId="ListBullet5">
    <w:name w:val="List Bullet 5"/>
    <w:basedOn w:val="Normal"/>
    <w:uiPriority w:val="99"/>
    <w:semiHidden/>
    <w:unhideWhenUsed/>
    <w:pPr>
      <w:numPr>
        <w:numId w:val="5"/>
      </w:numPr>
      <w:ind w:firstLine="0"/>
      <w:contextualSpacing/>
    </w:pPr>
    <w:rPr>
      <w:lang w:val="en-US"/>
    </w:rPr>
  </w:style>
  <w:style w:type="paragraph" w:styleId="ListContinue">
    <w:name w:val="List Continue"/>
    <w:basedOn w:val="Normal"/>
    <w:uiPriority w:val="99"/>
    <w:semiHidden/>
    <w:unhideWhenUsed/>
    <w:pPr>
      <w:spacing w:after="120"/>
      <w:ind w:left="360" w:firstLine="0"/>
      <w:contextualSpacing/>
    </w:pPr>
    <w:rPr>
      <w:lang w:val="en-US"/>
    </w:rPr>
  </w:style>
  <w:style w:type="paragraph" w:styleId="ListContinue2">
    <w:name w:val="List Continue 2"/>
    <w:basedOn w:val="Normal"/>
    <w:uiPriority w:val="99"/>
    <w:semiHidden/>
    <w:unhideWhenUsed/>
    <w:pPr>
      <w:spacing w:after="120"/>
      <w:ind w:left="720" w:firstLine="0"/>
      <w:contextualSpacing/>
    </w:pPr>
    <w:rPr>
      <w:lang w:val="en-US"/>
    </w:rPr>
  </w:style>
  <w:style w:type="paragraph" w:styleId="ListContinue3">
    <w:name w:val="List Continue 3"/>
    <w:basedOn w:val="Normal"/>
    <w:uiPriority w:val="99"/>
    <w:semiHidden/>
    <w:unhideWhenUsed/>
    <w:pPr>
      <w:spacing w:after="120"/>
      <w:ind w:left="1080" w:firstLine="0"/>
      <w:contextualSpacing/>
    </w:pPr>
    <w:rPr>
      <w:lang w:val="en-US"/>
    </w:rPr>
  </w:style>
  <w:style w:type="paragraph" w:styleId="ListContinue4">
    <w:name w:val="List Continue 4"/>
    <w:basedOn w:val="Normal"/>
    <w:uiPriority w:val="99"/>
    <w:semiHidden/>
    <w:unhideWhenUsed/>
    <w:pPr>
      <w:spacing w:after="120"/>
      <w:ind w:left="1440" w:firstLine="0"/>
      <w:contextualSpacing/>
    </w:pPr>
    <w:rPr>
      <w:lang w:val="en-US"/>
    </w:rPr>
  </w:style>
  <w:style w:type="paragraph" w:styleId="ListContinue5">
    <w:name w:val="List Continue 5"/>
    <w:basedOn w:val="Normal"/>
    <w:uiPriority w:val="99"/>
    <w:semiHidden/>
    <w:unhideWhenUsed/>
    <w:pPr>
      <w:spacing w:after="120"/>
      <w:ind w:left="1800" w:firstLine="0"/>
      <w:contextualSpacing/>
    </w:pPr>
    <w:rPr>
      <w:lang w:val="en-US"/>
    </w:rPr>
  </w:style>
  <w:style w:type="paragraph" w:styleId="ListNumber">
    <w:name w:val="List Number"/>
    <w:basedOn w:val="Normal"/>
    <w:uiPriority w:val="8"/>
    <w:unhideWhenUsed/>
    <w:qFormat/>
    <w:pPr>
      <w:numPr>
        <w:numId w:val="6"/>
      </w:numPr>
      <w:contextualSpacing/>
    </w:pPr>
    <w:rPr>
      <w:lang w:val="en-US"/>
    </w:rPr>
  </w:style>
  <w:style w:type="paragraph" w:styleId="ListNumber2">
    <w:name w:val="List Number 2"/>
    <w:basedOn w:val="Normal"/>
    <w:uiPriority w:val="99"/>
    <w:semiHidden/>
    <w:unhideWhenUsed/>
    <w:pPr>
      <w:numPr>
        <w:numId w:val="7"/>
      </w:numPr>
      <w:ind w:firstLine="0"/>
      <w:contextualSpacing/>
    </w:pPr>
    <w:rPr>
      <w:lang w:val="en-US"/>
    </w:rPr>
  </w:style>
  <w:style w:type="paragraph" w:styleId="ListNumber3">
    <w:name w:val="List Number 3"/>
    <w:basedOn w:val="Normal"/>
    <w:uiPriority w:val="99"/>
    <w:semiHidden/>
    <w:unhideWhenUsed/>
    <w:pPr>
      <w:numPr>
        <w:numId w:val="8"/>
      </w:numPr>
      <w:ind w:firstLine="0"/>
      <w:contextualSpacing/>
    </w:pPr>
    <w:rPr>
      <w:lang w:val="en-US"/>
    </w:rPr>
  </w:style>
  <w:style w:type="paragraph" w:styleId="ListNumber4">
    <w:name w:val="List Number 4"/>
    <w:basedOn w:val="Normal"/>
    <w:uiPriority w:val="99"/>
    <w:semiHidden/>
    <w:unhideWhenUsed/>
    <w:pPr>
      <w:numPr>
        <w:numId w:val="9"/>
      </w:numPr>
      <w:ind w:firstLine="0"/>
      <w:contextualSpacing/>
    </w:pPr>
    <w:rPr>
      <w:lang w:val="en-US"/>
    </w:rPr>
  </w:style>
  <w:style w:type="paragraph" w:styleId="ListNumber5">
    <w:name w:val="List Number 5"/>
    <w:basedOn w:val="Normal"/>
    <w:uiPriority w:val="99"/>
    <w:semiHidden/>
    <w:unhideWhenUsed/>
    <w:pPr>
      <w:numPr>
        <w:numId w:val="10"/>
      </w:numPr>
      <w:ind w:firstLine="0"/>
      <w:contextualSpacing/>
    </w:pPr>
    <w:rPr>
      <w:lang w:val="en-US"/>
    </w:rPr>
  </w:style>
  <w:style w:type="paragraph" w:styleId="ListParagraph">
    <w:name w:val="List Paragraph"/>
    <w:basedOn w:val="Normal"/>
    <w:uiPriority w:val="34"/>
    <w:semiHidden/>
    <w:unhideWhenUsed/>
    <w:qFormat/>
    <w:pPr>
      <w:ind w:left="720" w:firstLine="0"/>
      <w:contextualSpacing/>
    </w:pPr>
    <w:rPr>
      <w:lang w:val="en-US"/>
    </w:r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lang w:val="en-US"/>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lang w:val="en-US"/>
    </w:rPr>
  </w:style>
  <w:style w:type="paragraph" w:styleId="NormalIndent">
    <w:name w:val="Normal Indent"/>
    <w:basedOn w:val="Normal"/>
    <w:uiPriority w:val="99"/>
    <w:semiHidden/>
    <w:unhideWhenUsed/>
    <w:pPr>
      <w:ind w:left="720" w:firstLine="0"/>
    </w:pPr>
    <w:rPr>
      <w:lang w:val="en-US"/>
    </w:rPr>
  </w:style>
  <w:style w:type="paragraph" w:styleId="NoteHeading">
    <w:name w:val="Note Heading"/>
    <w:basedOn w:val="Normal"/>
    <w:next w:val="Normal"/>
    <w:link w:val="NoteHeadingChar"/>
    <w:uiPriority w:val="99"/>
    <w:semiHidden/>
    <w:unhideWhenUsed/>
    <w:pPr>
      <w:spacing w:line="240" w:lineRule="auto"/>
      <w:ind w:firstLine="0"/>
    </w:pPr>
    <w:rPr>
      <w:lang w:val="en-US"/>
    </w:r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lang w:val="en-US"/>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lang w:val="en-US"/>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rPr>
      <w:lang w:val="en-US"/>
    </w:r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rPr>
      <w:lang w:val="en-US"/>
    </w:r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rPr>
      <w:lang w:val="en-US"/>
    </w:rPr>
  </w:style>
  <w:style w:type="paragraph" w:styleId="TableofAuthorities">
    <w:name w:val="table of authorities"/>
    <w:basedOn w:val="Normal"/>
    <w:next w:val="Normal"/>
    <w:uiPriority w:val="99"/>
    <w:semiHidden/>
    <w:unhideWhenUsed/>
    <w:pPr>
      <w:ind w:left="240" w:firstLine="0"/>
    </w:pPr>
    <w:rPr>
      <w:lang w:val="en-US"/>
    </w:rPr>
  </w:style>
  <w:style w:type="paragraph" w:styleId="TableofFigures">
    <w:name w:val="table of figures"/>
    <w:basedOn w:val="Normal"/>
    <w:next w:val="Normal"/>
    <w:uiPriority w:val="99"/>
    <w:semiHidden/>
    <w:unhideWhenUsed/>
    <w:pPr>
      <w:ind w:firstLine="0"/>
    </w:pPr>
    <w:rPr>
      <w:lang w:val="en-US"/>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lang w:val="en-US"/>
    </w:rPr>
  </w:style>
  <w:style w:type="paragraph" w:styleId="TOC4">
    <w:name w:val="toc 4"/>
    <w:basedOn w:val="Normal"/>
    <w:next w:val="Normal"/>
    <w:autoRedefine/>
    <w:uiPriority w:val="39"/>
    <w:semiHidden/>
    <w:unhideWhenUsed/>
    <w:pPr>
      <w:spacing w:after="100"/>
      <w:ind w:left="720" w:firstLine="0"/>
    </w:pPr>
    <w:rPr>
      <w:lang w:val="en-US"/>
    </w:rPr>
  </w:style>
  <w:style w:type="paragraph" w:styleId="TOC5">
    <w:name w:val="toc 5"/>
    <w:basedOn w:val="Normal"/>
    <w:next w:val="Normal"/>
    <w:autoRedefine/>
    <w:uiPriority w:val="39"/>
    <w:semiHidden/>
    <w:unhideWhenUsed/>
    <w:pPr>
      <w:spacing w:after="100"/>
      <w:ind w:left="960" w:firstLine="0"/>
    </w:pPr>
    <w:rPr>
      <w:lang w:val="en-US"/>
    </w:rPr>
  </w:style>
  <w:style w:type="paragraph" w:styleId="TOC6">
    <w:name w:val="toc 6"/>
    <w:basedOn w:val="Normal"/>
    <w:next w:val="Normal"/>
    <w:autoRedefine/>
    <w:uiPriority w:val="39"/>
    <w:semiHidden/>
    <w:unhideWhenUsed/>
    <w:pPr>
      <w:spacing w:after="100"/>
      <w:ind w:left="1200" w:firstLine="0"/>
    </w:pPr>
    <w:rPr>
      <w:lang w:val="en-US"/>
    </w:rPr>
  </w:style>
  <w:style w:type="paragraph" w:styleId="TOC7">
    <w:name w:val="toc 7"/>
    <w:basedOn w:val="Normal"/>
    <w:next w:val="Normal"/>
    <w:autoRedefine/>
    <w:uiPriority w:val="39"/>
    <w:semiHidden/>
    <w:unhideWhenUsed/>
    <w:pPr>
      <w:spacing w:after="100"/>
      <w:ind w:left="1440" w:firstLine="0"/>
    </w:pPr>
    <w:rPr>
      <w:lang w:val="en-US"/>
    </w:rPr>
  </w:style>
  <w:style w:type="paragraph" w:styleId="TOC8">
    <w:name w:val="toc 8"/>
    <w:basedOn w:val="Normal"/>
    <w:next w:val="Normal"/>
    <w:autoRedefine/>
    <w:uiPriority w:val="39"/>
    <w:semiHidden/>
    <w:unhideWhenUsed/>
    <w:pPr>
      <w:spacing w:after="100"/>
      <w:ind w:left="1680" w:firstLine="0"/>
    </w:pPr>
    <w:rPr>
      <w:lang w:val="en-US"/>
    </w:rPr>
  </w:style>
  <w:style w:type="paragraph" w:styleId="TOC9">
    <w:name w:val="toc 9"/>
    <w:basedOn w:val="Normal"/>
    <w:next w:val="Normal"/>
    <w:autoRedefine/>
    <w:uiPriority w:val="39"/>
    <w:semiHidden/>
    <w:unhideWhenUsed/>
    <w:pPr>
      <w:spacing w:after="100"/>
      <w:ind w:left="1920" w:firstLine="0"/>
    </w:pPr>
    <w:rPr>
      <w:lang w:val="en-US"/>
    </w:r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rPr>
      <w:lang w:val="en-US"/>
    </w:rPr>
  </w:style>
  <w:style w:type="paragraph" w:styleId="Footer">
    <w:name w:val="footer"/>
    <w:basedOn w:val="Normal"/>
    <w:link w:val="FooterChar"/>
    <w:uiPriority w:val="99"/>
    <w:qFormat/>
    <w:pPr>
      <w:tabs>
        <w:tab w:val="center" w:pos="4680"/>
        <w:tab w:val="right" w:pos="9360"/>
      </w:tabs>
      <w:spacing w:line="240" w:lineRule="auto"/>
    </w:pPr>
    <w:rPr>
      <w:lang w:val="en-US"/>
    </w:r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lang w:val="en-US"/>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character" w:styleId="Hyperlink">
    <w:name w:val="Hyperlink"/>
    <w:basedOn w:val="DefaultParagraphFont"/>
    <w:uiPriority w:val="99"/>
    <w:unhideWhenUsed/>
    <w:rsid w:val="00C86B09"/>
    <w:rPr>
      <w:color w:val="5F5F5F" w:themeColor="hyperlink"/>
      <w:u w:val="single"/>
    </w:rPr>
  </w:style>
  <w:style w:type="character" w:customStyle="1" w:styleId="cf01">
    <w:name w:val="cf01"/>
    <w:basedOn w:val="DefaultParagraphFont"/>
    <w:rsid w:val="00D938DE"/>
    <w:rPr>
      <w:rFonts w:ascii="Segoe UI" w:hAnsi="Segoe UI" w:cs="Segoe UI" w:hint="default"/>
      <w:sz w:val="18"/>
      <w:szCs w:val="18"/>
    </w:rPr>
  </w:style>
  <w:style w:type="character" w:styleId="UnresolvedMention">
    <w:name w:val="Unresolved Mention"/>
    <w:basedOn w:val="DefaultParagraphFont"/>
    <w:uiPriority w:val="99"/>
    <w:semiHidden/>
    <w:unhideWhenUsed/>
    <w:rsid w:val="00435390"/>
    <w:rPr>
      <w:color w:val="605E5C"/>
      <w:shd w:val="clear" w:color="auto" w:fill="E1DFDD"/>
    </w:rPr>
  </w:style>
  <w:style w:type="paragraph" w:styleId="z-TopofForm">
    <w:name w:val="HTML Top of Form"/>
    <w:basedOn w:val="Normal"/>
    <w:next w:val="Normal"/>
    <w:link w:val="z-TopofFormChar"/>
    <w:hidden/>
    <w:uiPriority w:val="99"/>
    <w:semiHidden/>
    <w:unhideWhenUsed/>
    <w:rsid w:val="005A5D2C"/>
    <w:pPr>
      <w:pBdr>
        <w:bottom w:val="single" w:sz="6" w:space="1" w:color="auto"/>
      </w:pBdr>
      <w:spacing w:line="240" w:lineRule="auto"/>
      <w:ind w:firstLine="0"/>
      <w:jc w:val="center"/>
    </w:pPr>
    <w:rPr>
      <w:rFonts w:ascii="Arial" w:eastAsia="Times New Roman" w:hAnsi="Arial" w:cs="Arial"/>
      <w:vanish/>
      <w:color w:val="auto"/>
      <w:sz w:val="16"/>
      <w:szCs w:val="16"/>
      <w:lang w:eastAsia="en-GB"/>
    </w:rPr>
  </w:style>
  <w:style w:type="character" w:customStyle="1" w:styleId="z-TopofFormChar">
    <w:name w:val="z-Top of Form Char"/>
    <w:basedOn w:val="DefaultParagraphFont"/>
    <w:link w:val="z-TopofForm"/>
    <w:uiPriority w:val="99"/>
    <w:semiHidden/>
    <w:rsid w:val="005A5D2C"/>
    <w:rPr>
      <w:rFonts w:ascii="Arial" w:eastAsia="Times New Roman" w:hAnsi="Arial" w:cs="Arial"/>
      <w:vanish/>
      <w:color w:val="auto"/>
      <w:sz w:val="16"/>
      <w:szCs w:val="1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161549479">
      <w:bodyDiv w:val="1"/>
      <w:marLeft w:val="0"/>
      <w:marRight w:val="0"/>
      <w:marTop w:val="0"/>
      <w:marBottom w:val="0"/>
      <w:divBdr>
        <w:top w:val="none" w:sz="0" w:space="0" w:color="auto"/>
        <w:left w:val="none" w:sz="0" w:space="0" w:color="auto"/>
        <w:bottom w:val="none" w:sz="0" w:space="0" w:color="auto"/>
        <w:right w:val="none" w:sz="0" w:space="0" w:color="auto"/>
      </w:divBdr>
    </w:div>
    <w:div w:id="183980354">
      <w:bodyDiv w:val="1"/>
      <w:marLeft w:val="0"/>
      <w:marRight w:val="0"/>
      <w:marTop w:val="0"/>
      <w:marBottom w:val="0"/>
      <w:divBdr>
        <w:top w:val="none" w:sz="0" w:space="0" w:color="auto"/>
        <w:left w:val="none" w:sz="0" w:space="0" w:color="auto"/>
        <w:bottom w:val="none" w:sz="0" w:space="0" w:color="auto"/>
        <w:right w:val="none" w:sz="0" w:space="0" w:color="auto"/>
      </w:divBdr>
      <w:divsChild>
        <w:div w:id="540753784">
          <w:marLeft w:val="0"/>
          <w:marRight w:val="0"/>
          <w:marTop w:val="0"/>
          <w:marBottom w:val="0"/>
          <w:divBdr>
            <w:top w:val="single" w:sz="2" w:space="0" w:color="E3E3E3"/>
            <w:left w:val="single" w:sz="2" w:space="0" w:color="E3E3E3"/>
            <w:bottom w:val="single" w:sz="2" w:space="0" w:color="E3E3E3"/>
            <w:right w:val="single" w:sz="2" w:space="0" w:color="E3E3E3"/>
          </w:divBdr>
          <w:divsChild>
            <w:div w:id="1378123022">
              <w:marLeft w:val="0"/>
              <w:marRight w:val="0"/>
              <w:marTop w:val="0"/>
              <w:marBottom w:val="0"/>
              <w:divBdr>
                <w:top w:val="single" w:sz="2" w:space="0" w:color="E3E3E3"/>
                <w:left w:val="single" w:sz="2" w:space="0" w:color="E3E3E3"/>
                <w:bottom w:val="single" w:sz="2" w:space="0" w:color="E3E3E3"/>
                <w:right w:val="single" w:sz="2" w:space="0" w:color="E3E3E3"/>
              </w:divBdr>
              <w:divsChild>
                <w:div w:id="2136633381">
                  <w:marLeft w:val="0"/>
                  <w:marRight w:val="0"/>
                  <w:marTop w:val="0"/>
                  <w:marBottom w:val="0"/>
                  <w:divBdr>
                    <w:top w:val="single" w:sz="2" w:space="0" w:color="E3E3E3"/>
                    <w:left w:val="single" w:sz="2" w:space="0" w:color="E3E3E3"/>
                    <w:bottom w:val="single" w:sz="2" w:space="0" w:color="E3E3E3"/>
                    <w:right w:val="single" w:sz="2" w:space="0" w:color="E3E3E3"/>
                  </w:divBdr>
                  <w:divsChild>
                    <w:div w:id="947204723">
                      <w:marLeft w:val="0"/>
                      <w:marRight w:val="0"/>
                      <w:marTop w:val="0"/>
                      <w:marBottom w:val="0"/>
                      <w:divBdr>
                        <w:top w:val="single" w:sz="2" w:space="0" w:color="E3E3E3"/>
                        <w:left w:val="single" w:sz="2" w:space="0" w:color="E3E3E3"/>
                        <w:bottom w:val="single" w:sz="2" w:space="0" w:color="E3E3E3"/>
                        <w:right w:val="single" w:sz="2" w:space="0" w:color="E3E3E3"/>
                      </w:divBdr>
                      <w:divsChild>
                        <w:div w:id="1863855282">
                          <w:marLeft w:val="0"/>
                          <w:marRight w:val="0"/>
                          <w:marTop w:val="0"/>
                          <w:marBottom w:val="0"/>
                          <w:divBdr>
                            <w:top w:val="single" w:sz="2" w:space="0" w:color="E3E3E3"/>
                            <w:left w:val="single" w:sz="2" w:space="0" w:color="E3E3E3"/>
                            <w:bottom w:val="single" w:sz="2" w:space="0" w:color="E3E3E3"/>
                            <w:right w:val="single" w:sz="2" w:space="0" w:color="E3E3E3"/>
                          </w:divBdr>
                          <w:divsChild>
                            <w:div w:id="1508210092">
                              <w:marLeft w:val="0"/>
                              <w:marRight w:val="0"/>
                              <w:marTop w:val="100"/>
                              <w:marBottom w:val="100"/>
                              <w:divBdr>
                                <w:top w:val="single" w:sz="2" w:space="0" w:color="E3E3E3"/>
                                <w:left w:val="single" w:sz="2" w:space="0" w:color="E3E3E3"/>
                                <w:bottom w:val="single" w:sz="2" w:space="0" w:color="E3E3E3"/>
                                <w:right w:val="single" w:sz="2" w:space="0" w:color="E3E3E3"/>
                              </w:divBdr>
                              <w:divsChild>
                                <w:div w:id="192500751">
                                  <w:marLeft w:val="0"/>
                                  <w:marRight w:val="0"/>
                                  <w:marTop w:val="0"/>
                                  <w:marBottom w:val="0"/>
                                  <w:divBdr>
                                    <w:top w:val="single" w:sz="2" w:space="0" w:color="E3E3E3"/>
                                    <w:left w:val="single" w:sz="2" w:space="0" w:color="E3E3E3"/>
                                    <w:bottom w:val="single" w:sz="2" w:space="0" w:color="E3E3E3"/>
                                    <w:right w:val="single" w:sz="2" w:space="0" w:color="E3E3E3"/>
                                  </w:divBdr>
                                  <w:divsChild>
                                    <w:div w:id="1526408879">
                                      <w:marLeft w:val="0"/>
                                      <w:marRight w:val="0"/>
                                      <w:marTop w:val="0"/>
                                      <w:marBottom w:val="0"/>
                                      <w:divBdr>
                                        <w:top w:val="single" w:sz="2" w:space="0" w:color="E3E3E3"/>
                                        <w:left w:val="single" w:sz="2" w:space="0" w:color="E3E3E3"/>
                                        <w:bottom w:val="single" w:sz="2" w:space="0" w:color="E3E3E3"/>
                                        <w:right w:val="single" w:sz="2" w:space="0" w:color="E3E3E3"/>
                                      </w:divBdr>
                                      <w:divsChild>
                                        <w:div w:id="1960604599">
                                          <w:marLeft w:val="0"/>
                                          <w:marRight w:val="0"/>
                                          <w:marTop w:val="0"/>
                                          <w:marBottom w:val="0"/>
                                          <w:divBdr>
                                            <w:top w:val="single" w:sz="2" w:space="0" w:color="E3E3E3"/>
                                            <w:left w:val="single" w:sz="2" w:space="0" w:color="E3E3E3"/>
                                            <w:bottom w:val="single" w:sz="2" w:space="0" w:color="E3E3E3"/>
                                            <w:right w:val="single" w:sz="2" w:space="0" w:color="E3E3E3"/>
                                          </w:divBdr>
                                          <w:divsChild>
                                            <w:div w:id="683746563">
                                              <w:marLeft w:val="0"/>
                                              <w:marRight w:val="0"/>
                                              <w:marTop w:val="0"/>
                                              <w:marBottom w:val="0"/>
                                              <w:divBdr>
                                                <w:top w:val="single" w:sz="2" w:space="0" w:color="E3E3E3"/>
                                                <w:left w:val="single" w:sz="2" w:space="0" w:color="E3E3E3"/>
                                                <w:bottom w:val="single" w:sz="2" w:space="0" w:color="E3E3E3"/>
                                                <w:right w:val="single" w:sz="2" w:space="0" w:color="E3E3E3"/>
                                              </w:divBdr>
                                              <w:divsChild>
                                                <w:div w:id="92097149">
                                                  <w:marLeft w:val="0"/>
                                                  <w:marRight w:val="0"/>
                                                  <w:marTop w:val="0"/>
                                                  <w:marBottom w:val="0"/>
                                                  <w:divBdr>
                                                    <w:top w:val="single" w:sz="2" w:space="0" w:color="E3E3E3"/>
                                                    <w:left w:val="single" w:sz="2" w:space="0" w:color="E3E3E3"/>
                                                    <w:bottom w:val="single" w:sz="2" w:space="0" w:color="E3E3E3"/>
                                                    <w:right w:val="single" w:sz="2" w:space="0" w:color="E3E3E3"/>
                                                  </w:divBdr>
                                                  <w:divsChild>
                                                    <w:div w:id="13140773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344018430">
          <w:marLeft w:val="0"/>
          <w:marRight w:val="0"/>
          <w:marTop w:val="0"/>
          <w:marBottom w:val="0"/>
          <w:divBdr>
            <w:top w:val="none" w:sz="0" w:space="0" w:color="auto"/>
            <w:left w:val="none" w:sz="0" w:space="0" w:color="auto"/>
            <w:bottom w:val="none" w:sz="0" w:space="0" w:color="auto"/>
            <w:right w:val="none" w:sz="0" w:space="0" w:color="auto"/>
          </w:divBdr>
        </w:div>
      </w:divsChild>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09757688">
      <w:bodyDiv w:val="1"/>
      <w:marLeft w:val="0"/>
      <w:marRight w:val="0"/>
      <w:marTop w:val="0"/>
      <w:marBottom w:val="0"/>
      <w:divBdr>
        <w:top w:val="none" w:sz="0" w:space="0" w:color="auto"/>
        <w:left w:val="none" w:sz="0" w:space="0" w:color="auto"/>
        <w:bottom w:val="none" w:sz="0" w:space="0" w:color="auto"/>
        <w:right w:val="none" w:sz="0" w:space="0" w:color="auto"/>
      </w:divBdr>
      <w:divsChild>
        <w:div w:id="165368948">
          <w:marLeft w:val="0"/>
          <w:marRight w:val="0"/>
          <w:marTop w:val="0"/>
          <w:marBottom w:val="0"/>
          <w:divBdr>
            <w:top w:val="single" w:sz="2" w:space="0" w:color="E3E3E3"/>
            <w:left w:val="single" w:sz="2" w:space="0" w:color="E3E3E3"/>
            <w:bottom w:val="single" w:sz="2" w:space="0" w:color="E3E3E3"/>
            <w:right w:val="single" w:sz="2" w:space="0" w:color="E3E3E3"/>
          </w:divBdr>
          <w:divsChild>
            <w:div w:id="1553884948">
              <w:marLeft w:val="0"/>
              <w:marRight w:val="0"/>
              <w:marTop w:val="0"/>
              <w:marBottom w:val="0"/>
              <w:divBdr>
                <w:top w:val="single" w:sz="2" w:space="0" w:color="E3E3E3"/>
                <w:left w:val="single" w:sz="2" w:space="0" w:color="E3E3E3"/>
                <w:bottom w:val="single" w:sz="2" w:space="0" w:color="E3E3E3"/>
                <w:right w:val="single" w:sz="2" w:space="0" w:color="E3E3E3"/>
              </w:divBdr>
              <w:divsChild>
                <w:div w:id="216747289">
                  <w:marLeft w:val="0"/>
                  <w:marRight w:val="0"/>
                  <w:marTop w:val="0"/>
                  <w:marBottom w:val="0"/>
                  <w:divBdr>
                    <w:top w:val="single" w:sz="2" w:space="0" w:color="E3E3E3"/>
                    <w:left w:val="single" w:sz="2" w:space="0" w:color="E3E3E3"/>
                    <w:bottom w:val="single" w:sz="2" w:space="0" w:color="E3E3E3"/>
                    <w:right w:val="single" w:sz="2" w:space="0" w:color="E3E3E3"/>
                  </w:divBdr>
                  <w:divsChild>
                    <w:div w:id="1549294659">
                      <w:marLeft w:val="0"/>
                      <w:marRight w:val="0"/>
                      <w:marTop w:val="0"/>
                      <w:marBottom w:val="0"/>
                      <w:divBdr>
                        <w:top w:val="single" w:sz="2" w:space="0" w:color="E3E3E3"/>
                        <w:left w:val="single" w:sz="2" w:space="0" w:color="E3E3E3"/>
                        <w:bottom w:val="single" w:sz="2" w:space="0" w:color="E3E3E3"/>
                        <w:right w:val="single" w:sz="2" w:space="0" w:color="E3E3E3"/>
                      </w:divBdr>
                      <w:divsChild>
                        <w:div w:id="811287436">
                          <w:marLeft w:val="0"/>
                          <w:marRight w:val="0"/>
                          <w:marTop w:val="0"/>
                          <w:marBottom w:val="0"/>
                          <w:divBdr>
                            <w:top w:val="single" w:sz="2" w:space="0" w:color="E3E3E3"/>
                            <w:left w:val="single" w:sz="2" w:space="0" w:color="E3E3E3"/>
                            <w:bottom w:val="single" w:sz="2" w:space="0" w:color="E3E3E3"/>
                            <w:right w:val="single" w:sz="2" w:space="0" w:color="E3E3E3"/>
                          </w:divBdr>
                          <w:divsChild>
                            <w:div w:id="545332307">
                              <w:marLeft w:val="0"/>
                              <w:marRight w:val="0"/>
                              <w:marTop w:val="100"/>
                              <w:marBottom w:val="100"/>
                              <w:divBdr>
                                <w:top w:val="single" w:sz="2" w:space="0" w:color="E3E3E3"/>
                                <w:left w:val="single" w:sz="2" w:space="0" w:color="E3E3E3"/>
                                <w:bottom w:val="single" w:sz="2" w:space="0" w:color="E3E3E3"/>
                                <w:right w:val="single" w:sz="2" w:space="0" w:color="E3E3E3"/>
                              </w:divBdr>
                              <w:divsChild>
                                <w:div w:id="938682111">
                                  <w:marLeft w:val="0"/>
                                  <w:marRight w:val="0"/>
                                  <w:marTop w:val="0"/>
                                  <w:marBottom w:val="0"/>
                                  <w:divBdr>
                                    <w:top w:val="single" w:sz="2" w:space="0" w:color="E3E3E3"/>
                                    <w:left w:val="single" w:sz="2" w:space="0" w:color="E3E3E3"/>
                                    <w:bottom w:val="single" w:sz="2" w:space="0" w:color="E3E3E3"/>
                                    <w:right w:val="single" w:sz="2" w:space="0" w:color="E3E3E3"/>
                                  </w:divBdr>
                                  <w:divsChild>
                                    <w:div w:id="1622302201">
                                      <w:marLeft w:val="0"/>
                                      <w:marRight w:val="0"/>
                                      <w:marTop w:val="0"/>
                                      <w:marBottom w:val="0"/>
                                      <w:divBdr>
                                        <w:top w:val="single" w:sz="2" w:space="0" w:color="E3E3E3"/>
                                        <w:left w:val="single" w:sz="2" w:space="0" w:color="E3E3E3"/>
                                        <w:bottom w:val="single" w:sz="2" w:space="0" w:color="E3E3E3"/>
                                        <w:right w:val="single" w:sz="2" w:space="0" w:color="E3E3E3"/>
                                      </w:divBdr>
                                      <w:divsChild>
                                        <w:div w:id="626203769">
                                          <w:marLeft w:val="0"/>
                                          <w:marRight w:val="0"/>
                                          <w:marTop w:val="0"/>
                                          <w:marBottom w:val="0"/>
                                          <w:divBdr>
                                            <w:top w:val="single" w:sz="2" w:space="0" w:color="E3E3E3"/>
                                            <w:left w:val="single" w:sz="2" w:space="0" w:color="E3E3E3"/>
                                            <w:bottom w:val="single" w:sz="2" w:space="0" w:color="E3E3E3"/>
                                            <w:right w:val="single" w:sz="2" w:space="0" w:color="E3E3E3"/>
                                          </w:divBdr>
                                          <w:divsChild>
                                            <w:div w:id="1100030552">
                                              <w:marLeft w:val="0"/>
                                              <w:marRight w:val="0"/>
                                              <w:marTop w:val="0"/>
                                              <w:marBottom w:val="0"/>
                                              <w:divBdr>
                                                <w:top w:val="single" w:sz="2" w:space="0" w:color="E3E3E3"/>
                                                <w:left w:val="single" w:sz="2" w:space="0" w:color="E3E3E3"/>
                                                <w:bottom w:val="single" w:sz="2" w:space="0" w:color="E3E3E3"/>
                                                <w:right w:val="single" w:sz="2" w:space="0" w:color="E3E3E3"/>
                                              </w:divBdr>
                                              <w:divsChild>
                                                <w:div w:id="1923953462">
                                                  <w:marLeft w:val="0"/>
                                                  <w:marRight w:val="0"/>
                                                  <w:marTop w:val="0"/>
                                                  <w:marBottom w:val="0"/>
                                                  <w:divBdr>
                                                    <w:top w:val="single" w:sz="2" w:space="0" w:color="E3E3E3"/>
                                                    <w:left w:val="single" w:sz="2" w:space="0" w:color="E3E3E3"/>
                                                    <w:bottom w:val="single" w:sz="2" w:space="0" w:color="E3E3E3"/>
                                                    <w:right w:val="single" w:sz="2" w:space="0" w:color="E3E3E3"/>
                                                  </w:divBdr>
                                                  <w:divsChild>
                                                    <w:div w:id="137010374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293607166">
          <w:marLeft w:val="0"/>
          <w:marRight w:val="0"/>
          <w:marTop w:val="0"/>
          <w:marBottom w:val="0"/>
          <w:divBdr>
            <w:top w:val="none" w:sz="0" w:space="0" w:color="auto"/>
            <w:left w:val="none" w:sz="0" w:space="0" w:color="auto"/>
            <w:bottom w:val="none" w:sz="0" w:space="0" w:color="auto"/>
            <w:right w:val="none" w:sz="0" w:space="0" w:color="auto"/>
          </w:divBdr>
        </w:div>
      </w:divsChild>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72182250">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93987309">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66174494">
      <w:bodyDiv w:val="1"/>
      <w:marLeft w:val="0"/>
      <w:marRight w:val="0"/>
      <w:marTop w:val="0"/>
      <w:marBottom w:val="0"/>
      <w:divBdr>
        <w:top w:val="none" w:sz="0" w:space="0" w:color="auto"/>
        <w:left w:val="none" w:sz="0" w:space="0" w:color="auto"/>
        <w:bottom w:val="none" w:sz="0" w:space="0" w:color="auto"/>
        <w:right w:val="none" w:sz="0" w:space="0" w:color="auto"/>
      </w:divBdr>
      <w:divsChild>
        <w:div w:id="1930381438">
          <w:marLeft w:val="0"/>
          <w:marRight w:val="0"/>
          <w:marTop w:val="0"/>
          <w:marBottom w:val="0"/>
          <w:divBdr>
            <w:top w:val="single" w:sz="2" w:space="0" w:color="E3E3E3"/>
            <w:left w:val="single" w:sz="2" w:space="0" w:color="E3E3E3"/>
            <w:bottom w:val="single" w:sz="2" w:space="0" w:color="E3E3E3"/>
            <w:right w:val="single" w:sz="2" w:space="0" w:color="E3E3E3"/>
          </w:divBdr>
          <w:divsChild>
            <w:div w:id="111172294">
              <w:marLeft w:val="0"/>
              <w:marRight w:val="0"/>
              <w:marTop w:val="0"/>
              <w:marBottom w:val="0"/>
              <w:divBdr>
                <w:top w:val="single" w:sz="2" w:space="0" w:color="E3E3E3"/>
                <w:left w:val="single" w:sz="2" w:space="0" w:color="E3E3E3"/>
                <w:bottom w:val="single" w:sz="2" w:space="0" w:color="E3E3E3"/>
                <w:right w:val="single" w:sz="2" w:space="0" w:color="E3E3E3"/>
              </w:divBdr>
              <w:divsChild>
                <w:div w:id="1153255095">
                  <w:marLeft w:val="0"/>
                  <w:marRight w:val="0"/>
                  <w:marTop w:val="0"/>
                  <w:marBottom w:val="0"/>
                  <w:divBdr>
                    <w:top w:val="single" w:sz="2" w:space="0" w:color="E3E3E3"/>
                    <w:left w:val="single" w:sz="2" w:space="0" w:color="E3E3E3"/>
                    <w:bottom w:val="single" w:sz="2" w:space="0" w:color="E3E3E3"/>
                    <w:right w:val="single" w:sz="2" w:space="0" w:color="E3E3E3"/>
                  </w:divBdr>
                  <w:divsChild>
                    <w:div w:id="1477141269">
                      <w:marLeft w:val="0"/>
                      <w:marRight w:val="0"/>
                      <w:marTop w:val="0"/>
                      <w:marBottom w:val="0"/>
                      <w:divBdr>
                        <w:top w:val="single" w:sz="2" w:space="0" w:color="E3E3E3"/>
                        <w:left w:val="single" w:sz="2" w:space="0" w:color="E3E3E3"/>
                        <w:bottom w:val="single" w:sz="2" w:space="0" w:color="E3E3E3"/>
                        <w:right w:val="single" w:sz="2" w:space="0" w:color="E3E3E3"/>
                      </w:divBdr>
                      <w:divsChild>
                        <w:div w:id="1514999951">
                          <w:marLeft w:val="0"/>
                          <w:marRight w:val="0"/>
                          <w:marTop w:val="0"/>
                          <w:marBottom w:val="0"/>
                          <w:divBdr>
                            <w:top w:val="single" w:sz="2" w:space="0" w:color="E3E3E3"/>
                            <w:left w:val="single" w:sz="2" w:space="0" w:color="E3E3E3"/>
                            <w:bottom w:val="single" w:sz="2" w:space="0" w:color="E3E3E3"/>
                            <w:right w:val="single" w:sz="2" w:space="0" w:color="E3E3E3"/>
                          </w:divBdr>
                          <w:divsChild>
                            <w:div w:id="1872499542">
                              <w:marLeft w:val="0"/>
                              <w:marRight w:val="0"/>
                              <w:marTop w:val="100"/>
                              <w:marBottom w:val="100"/>
                              <w:divBdr>
                                <w:top w:val="single" w:sz="2" w:space="0" w:color="E3E3E3"/>
                                <w:left w:val="single" w:sz="2" w:space="0" w:color="E3E3E3"/>
                                <w:bottom w:val="single" w:sz="2" w:space="0" w:color="E3E3E3"/>
                                <w:right w:val="single" w:sz="2" w:space="0" w:color="E3E3E3"/>
                              </w:divBdr>
                              <w:divsChild>
                                <w:div w:id="1203982348">
                                  <w:marLeft w:val="0"/>
                                  <w:marRight w:val="0"/>
                                  <w:marTop w:val="0"/>
                                  <w:marBottom w:val="0"/>
                                  <w:divBdr>
                                    <w:top w:val="single" w:sz="2" w:space="0" w:color="E3E3E3"/>
                                    <w:left w:val="single" w:sz="2" w:space="0" w:color="E3E3E3"/>
                                    <w:bottom w:val="single" w:sz="2" w:space="0" w:color="E3E3E3"/>
                                    <w:right w:val="single" w:sz="2" w:space="0" w:color="E3E3E3"/>
                                  </w:divBdr>
                                  <w:divsChild>
                                    <w:div w:id="159929231">
                                      <w:marLeft w:val="0"/>
                                      <w:marRight w:val="0"/>
                                      <w:marTop w:val="0"/>
                                      <w:marBottom w:val="0"/>
                                      <w:divBdr>
                                        <w:top w:val="single" w:sz="2" w:space="0" w:color="E3E3E3"/>
                                        <w:left w:val="single" w:sz="2" w:space="0" w:color="E3E3E3"/>
                                        <w:bottom w:val="single" w:sz="2" w:space="0" w:color="E3E3E3"/>
                                        <w:right w:val="single" w:sz="2" w:space="0" w:color="E3E3E3"/>
                                      </w:divBdr>
                                      <w:divsChild>
                                        <w:div w:id="101150901">
                                          <w:marLeft w:val="0"/>
                                          <w:marRight w:val="0"/>
                                          <w:marTop w:val="0"/>
                                          <w:marBottom w:val="0"/>
                                          <w:divBdr>
                                            <w:top w:val="single" w:sz="2" w:space="0" w:color="E3E3E3"/>
                                            <w:left w:val="single" w:sz="2" w:space="0" w:color="E3E3E3"/>
                                            <w:bottom w:val="single" w:sz="2" w:space="0" w:color="E3E3E3"/>
                                            <w:right w:val="single" w:sz="2" w:space="0" w:color="E3E3E3"/>
                                          </w:divBdr>
                                          <w:divsChild>
                                            <w:div w:id="67848567">
                                              <w:marLeft w:val="0"/>
                                              <w:marRight w:val="0"/>
                                              <w:marTop w:val="0"/>
                                              <w:marBottom w:val="0"/>
                                              <w:divBdr>
                                                <w:top w:val="single" w:sz="2" w:space="0" w:color="E3E3E3"/>
                                                <w:left w:val="single" w:sz="2" w:space="0" w:color="E3E3E3"/>
                                                <w:bottom w:val="single" w:sz="2" w:space="0" w:color="E3E3E3"/>
                                                <w:right w:val="single" w:sz="2" w:space="0" w:color="E3E3E3"/>
                                              </w:divBdr>
                                              <w:divsChild>
                                                <w:div w:id="164126954">
                                                  <w:marLeft w:val="0"/>
                                                  <w:marRight w:val="0"/>
                                                  <w:marTop w:val="0"/>
                                                  <w:marBottom w:val="0"/>
                                                  <w:divBdr>
                                                    <w:top w:val="single" w:sz="2" w:space="0" w:color="E3E3E3"/>
                                                    <w:left w:val="single" w:sz="2" w:space="0" w:color="E3E3E3"/>
                                                    <w:bottom w:val="single" w:sz="2" w:space="0" w:color="E3E3E3"/>
                                                    <w:right w:val="single" w:sz="2" w:space="0" w:color="E3E3E3"/>
                                                  </w:divBdr>
                                                  <w:divsChild>
                                                    <w:div w:id="12204552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035618786">
          <w:marLeft w:val="0"/>
          <w:marRight w:val="0"/>
          <w:marTop w:val="0"/>
          <w:marBottom w:val="0"/>
          <w:divBdr>
            <w:top w:val="none" w:sz="0" w:space="0" w:color="auto"/>
            <w:left w:val="none" w:sz="0" w:space="0" w:color="auto"/>
            <w:bottom w:val="none" w:sz="0" w:space="0" w:color="auto"/>
            <w:right w:val="none" w:sz="0" w:space="0" w:color="auto"/>
          </w:divBdr>
        </w:div>
      </w:divsChild>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177/0893318907310941" TargetMode="External"/><Relationship Id="rId21" Type="http://schemas.openxmlformats.org/officeDocument/2006/relationships/hyperlink" Target="https://doi.org/10.3389/fpsyg.2021.809362" TargetMode="External"/><Relationship Id="rId42" Type="http://schemas.openxmlformats.org/officeDocument/2006/relationships/hyperlink" Target="https://doi.org/10.1177/1094428112452151" TargetMode="External"/><Relationship Id="rId47" Type="http://schemas.openxmlformats.org/officeDocument/2006/relationships/hyperlink" Target="https://doi.org/10.1921/17466105.11.1.36" TargetMode="External"/><Relationship Id="rId63" Type="http://schemas.openxmlformats.org/officeDocument/2006/relationships/hyperlink" Target="https://doi.org/10.1108/er-04-2013-0037" TargetMode="External"/><Relationship Id="rId68" Type="http://schemas.openxmlformats.org/officeDocument/2006/relationships/hyperlink" Target="https://doi.org/10.1016/j.riob.2016.11.002" TargetMode="External"/><Relationship Id="rId16" Type="http://schemas.openxmlformats.org/officeDocument/2006/relationships/hyperlink" Target="https://doi.org/10.3316/qrj0902027" TargetMode="External"/><Relationship Id="rId11" Type="http://schemas.openxmlformats.org/officeDocument/2006/relationships/image" Target="media/image2.jpeg"/><Relationship Id="rId24" Type="http://schemas.openxmlformats.org/officeDocument/2006/relationships/hyperlink" Target="https://doi.org/10.4135/9781412979337.n120" TargetMode="External"/><Relationship Id="rId32" Type="http://schemas.openxmlformats.org/officeDocument/2006/relationships/hyperlink" Target="http://hdl.handle.net/2078.1/271301" TargetMode="External"/><Relationship Id="rId37" Type="http://schemas.openxmlformats.org/officeDocument/2006/relationships/hyperlink" Target="https://doi.org/10.1177/0018726710375481" TargetMode="External"/><Relationship Id="rId40" Type="http://schemas.openxmlformats.org/officeDocument/2006/relationships/hyperlink" Target="https://doi.org/10.1177/001872679905200201" TargetMode="External"/><Relationship Id="rId45" Type="http://schemas.openxmlformats.org/officeDocument/2006/relationships/hyperlink" Target="https://doi.org/10.1177/1463499619835328" TargetMode="External"/><Relationship Id="rId53" Type="http://schemas.openxmlformats.org/officeDocument/2006/relationships/hyperlink" Target="https://doi.org/10.1287/orsc.2016.1068" TargetMode="External"/><Relationship Id="rId58" Type="http://schemas.openxmlformats.org/officeDocument/2006/relationships/hyperlink" Target="https://doi.org/10.1017/iop.2019.69" TargetMode="External"/><Relationship Id="rId66" Type="http://schemas.openxmlformats.org/officeDocument/2006/relationships/hyperlink" Target="https://doi.org/10.4000/apad.406" TargetMode="External"/><Relationship Id="rId74" Type="http://schemas.openxmlformats.org/officeDocument/2006/relationships/hyperlink" Target="https://doi.org/10.1177/0170840617709305" TargetMode="External"/><Relationship Id="rId5" Type="http://schemas.openxmlformats.org/officeDocument/2006/relationships/settings" Target="settings.xml"/><Relationship Id="rId61" Type="http://schemas.openxmlformats.org/officeDocument/2006/relationships/hyperlink" Target="https://doi.org/10.1177/1468794112439003" TargetMode="External"/><Relationship Id="rId19" Type="http://schemas.openxmlformats.org/officeDocument/2006/relationships/hyperlink" Target="https://doi.org/10.1080/10570310600992087" TargetMode="External"/><Relationship Id="rId14" Type="http://schemas.openxmlformats.org/officeDocument/2006/relationships/hyperlink" Target="https://doi.org/10.1177/1350508407084426" TargetMode="External"/><Relationship Id="rId22" Type="http://schemas.openxmlformats.org/officeDocument/2006/relationships/hyperlink" Target="https://doi.org/10.4135/9781446282243.n25" TargetMode="External"/><Relationship Id="rId27" Type="http://schemas.openxmlformats.org/officeDocument/2006/relationships/hyperlink" Target="https://doi.org/10.1177/1350508405055937" TargetMode="External"/><Relationship Id="rId30" Type="http://schemas.openxmlformats.org/officeDocument/2006/relationships/hyperlink" Target="https://doi.org/10.1146/annurev-orgpsych-120920-055217" TargetMode="External"/><Relationship Id="rId35" Type="http://schemas.openxmlformats.org/officeDocument/2006/relationships/hyperlink" Target="https://doi.org/10.1515/9781503620766" TargetMode="External"/><Relationship Id="rId43" Type="http://schemas.openxmlformats.org/officeDocument/2006/relationships/hyperlink" Target="https://doi.org/10.1080/1047840x.2015.962444&#160;" TargetMode="External"/><Relationship Id="rId48" Type="http://schemas.openxmlformats.org/officeDocument/2006/relationships/hyperlink" Target="https://doi.org/10.1037/a0022876" TargetMode="External"/><Relationship Id="rId56" Type="http://schemas.openxmlformats.org/officeDocument/2006/relationships/hyperlink" Target="https://doi.org/10.1016/j.ejon.2010.03.002" TargetMode="External"/><Relationship Id="rId64" Type="http://schemas.openxmlformats.org/officeDocument/2006/relationships/hyperlink" Target="https://doi.org/10.1080/08870446.2012.666549" TargetMode="External"/><Relationship Id="rId69" Type="http://schemas.openxmlformats.org/officeDocument/2006/relationships/hyperlink" Target="https://doi.org/10.7748/ns2011.06.25.39.43.c8544" TargetMode="External"/><Relationship Id="rId7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doi.org/10.1111/peps.12009" TargetMode="External"/><Relationship Id="rId72" Type="http://schemas.openxmlformats.org/officeDocument/2006/relationships/hyperlink" Target="https://doi.org/10.4135/9781526430212.n33" TargetMode="External"/><Relationship Id="rId3" Type="http://schemas.openxmlformats.org/officeDocument/2006/relationships/numbering" Target="numbering.xml"/><Relationship Id="rId12" Type="http://schemas.openxmlformats.org/officeDocument/2006/relationships/hyperlink" Target="https://www.instagram.com/explore/tags/spreadpositivity/" TargetMode="External"/><Relationship Id="rId17" Type="http://schemas.openxmlformats.org/officeDocument/2006/relationships/hyperlink" Target="https://doi.org/10.1111/bjop.12269" TargetMode="External"/><Relationship Id="rId25" Type="http://schemas.openxmlformats.org/officeDocument/2006/relationships/hyperlink" Target="https://doi.org/10.1177/1742715011434738" TargetMode="External"/><Relationship Id="rId33" Type="http://schemas.openxmlformats.org/officeDocument/2006/relationships/hyperlink" Target="https://doi.org/10.4135/9780857028020.n6" TargetMode="External"/><Relationship Id="rId38" Type="http://schemas.openxmlformats.org/officeDocument/2006/relationships/hyperlink" Target="http://dx.doi.org/10.1136/medhum-2014-010622" TargetMode="External"/><Relationship Id="rId46" Type="http://schemas.openxmlformats.org/officeDocument/2006/relationships/hyperlink" Target="https://doi.org/10.1177%2F0022167817739409" TargetMode="External"/><Relationship Id="rId59" Type="http://schemas.openxmlformats.org/officeDocument/2006/relationships/hyperlink" Target="https://doi.org/10.1177/017084061771" TargetMode="External"/><Relationship Id="rId67" Type="http://schemas.openxmlformats.org/officeDocument/2006/relationships/hyperlink" Target="https://doi.org/10.1093/acprof:oso/9780199665525.003.0006" TargetMode="External"/><Relationship Id="rId20" Type="http://schemas.openxmlformats.org/officeDocument/2006/relationships/hyperlink" Target="https://doi.org/10.3389/fpsyg.2016.01561" TargetMode="External"/><Relationship Id="rId41" Type="http://schemas.openxmlformats.org/officeDocument/2006/relationships/hyperlink" Target="https://doi.org/10.5465/amr.2016.0378" TargetMode="External"/><Relationship Id="rId54" Type="http://schemas.openxmlformats.org/officeDocument/2006/relationships/hyperlink" Target="https://doi.org/10.1177/0018726714535824" TargetMode="External"/><Relationship Id="rId62" Type="http://schemas.openxmlformats.org/officeDocument/2006/relationships/hyperlink" Target="https://doi.org/10.1177/1350508416686407&#160;" TargetMode="External"/><Relationship Id="rId70" Type="http://schemas.openxmlformats.org/officeDocument/2006/relationships/hyperlink" Target="https://doi.org/10.1108/qrj-d-17-00055" TargetMode="External"/><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doi.org/10.1111/1467-6486.00305" TargetMode="External"/><Relationship Id="rId23" Type="http://schemas.openxmlformats.org/officeDocument/2006/relationships/hyperlink" Target="https://doi.org/10.1177/0170840699204003" TargetMode="External"/><Relationship Id="rId28" Type="http://schemas.openxmlformats.org/officeDocument/2006/relationships/hyperlink" Target="https://doi.org/10.5465/amr.2010.48463334" TargetMode="External"/><Relationship Id="rId36" Type="http://schemas.openxmlformats.org/officeDocument/2006/relationships/hyperlink" Target="https://doi.org/10.5465/amr.2006.20208680" TargetMode="External"/><Relationship Id="rId49" Type="http://schemas.openxmlformats.org/officeDocument/2006/relationships/hyperlink" Target="https://doi.org/10.1177/08933189221134116" TargetMode="External"/><Relationship Id="rId57" Type="http://schemas.openxmlformats.org/officeDocument/2006/relationships/hyperlink" Target="https://doi.org/10.1037/a0024572" TargetMode="External"/><Relationship Id="rId10" Type="http://schemas.openxmlformats.org/officeDocument/2006/relationships/image" Target="media/image1.jpeg"/><Relationship Id="rId31" Type="http://schemas.openxmlformats.org/officeDocument/2006/relationships/hyperlink" Target="https://doi.org/10.1007/s10942-016-0254-y" TargetMode="External"/><Relationship Id="rId44" Type="http://schemas.openxmlformats.org/officeDocument/2006/relationships/hyperlink" Target="https://doi.org/10.1002/job.2020" TargetMode="External"/><Relationship Id="rId52" Type="http://schemas.openxmlformats.org/officeDocument/2006/relationships/hyperlink" Target="https://doi.org/10.17169%20/fqs-19.2.2914" TargetMode="External"/><Relationship Id="rId60" Type="http://schemas.openxmlformats.org/officeDocument/2006/relationships/hyperlink" Target="https://en.wikipedia.org/wiki/Nineteen_Eighty-Four" TargetMode="External"/><Relationship Id="rId65" Type="http://schemas.openxmlformats.org/officeDocument/2006/relationships/hyperlink" Target="https://www.skeptic.ca/Positive_Thinking_Mythology.htm" TargetMode="External"/><Relationship Id="rId73" Type="http://schemas.openxmlformats.org/officeDocument/2006/relationships/hyperlink" Target="https://doi.org/10.4324/9781315659794-12" TargetMode="External"/><Relationship Id="rId78"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pubsonline-informs-org.uea.idm.oclc.org/action/doSearch?text1=Koppman%2C+Sharon&amp;field1=Contrib" TargetMode="External"/><Relationship Id="rId13" Type="http://schemas.openxmlformats.org/officeDocument/2006/relationships/hyperlink" Target="https://doi.org/10.1111/1467-6486.00218" TargetMode="External"/><Relationship Id="rId18" Type="http://schemas.openxmlformats.org/officeDocument/2006/relationships/hyperlink" Target="https://doi.org/10.1177/0170840616685" TargetMode="External"/><Relationship Id="rId39" Type="http://schemas.openxmlformats.org/officeDocument/2006/relationships/hyperlink" Target="https://doi.org/10.1111/peps.12576" TargetMode="External"/><Relationship Id="rId34" Type="http://schemas.openxmlformats.org/officeDocument/2006/relationships/hyperlink" Target="https://doi.org/10.1177/105960118901400108" TargetMode="External"/><Relationship Id="rId50" Type="http://schemas.openxmlformats.org/officeDocument/2006/relationships/hyperlink" Target="https://doi.org/10.1177/0170840619900292" TargetMode="External"/><Relationship Id="rId55" Type="http://schemas.openxmlformats.org/officeDocument/2006/relationships/hyperlink" Target="https://www.ft.com/content/daa9976a-3035-47d9-804d-f5c7f52bdf78" TargetMode="External"/><Relationship Id="rId76" Type="http://schemas.openxmlformats.org/officeDocument/2006/relationships/header" Target="header2.xml"/><Relationship Id="rId7" Type="http://schemas.openxmlformats.org/officeDocument/2006/relationships/footnotes" Target="footnotes.xml"/><Relationship Id="rId71" Type="http://schemas.openxmlformats.org/officeDocument/2006/relationships/hyperlink" Target="https://doi.org/10.1016/j.obhdp.2013.03.009" TargetMode="External"/><Relationship Id="rId2" Type="http://schemas.openxmlformats.org/officeDocument/2006/relationships/customXml" Target="../customXml/item2.xml"/><Relationship Id="rId29" Type="http://schemas.openxmlformats.org/officeDocument/2006/relationships/hyperlink" Target="https://doi.org/10.1177/0143831x135010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fa\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wp14"&gt;&lt;w:body&gt;&lt;w:p w14:paraId="057F2F63" w14:textId="5FEC3A23" w:rsidR="00985216" w:rsidRDefault="00985216"&gt;&lt;w:r&gt;&lt;w:t&gt;“&lt;/w:t&gt;&lt;/w:r&gt;&lt;w:r w:rsidRPr="00C407CF"&gt;&lt;w:t&gt;T&lt;/w:t&gt;&lt;/w:r&gt;&lt;w:r&gt;&lt;w:t&gt;HEY AL&lt;/w:t&gt;&lt;/w:r&gt;&lt;w:r&gt;&lt;w:t&gt;MOST FORCE POSITIVE THINKING ON YOU&lt;/w:t&gt;&lt;/w:r&gt;&lt;w:r&gt;&lt;w:t&gt;”&lt;/w:t&gt;&lt;/w:r&gt;&lt;/w:p&gt;&lt;w:sectPr w:rsidR="005C5C05"&gt;&lt;w:pgSz w:w="12240" w:h="15840"/&gt;&lt;w:pgMar w:top="1440" w:right="1440" w:bottom="1440" w:left="1440" w:header="720" w:footer="720" w:gutter="0"/&gt;&lt;w:cols w:space="720"/&gt;&lt;/w:sectPr&gt;&lt;/w:body&gt;&lt;/w:document&gt;&lt;/pkg:xmlData&gt;&lt;/pkg:part&gt;&lt;pkg:part pkg:name="/word/_rels/document.xml.rels" pkg:contentType="application/vnd.openxmlformats-package.relationships+xml" pkg:padding="256"&gt;&lt;pkg:xmlData&gt;&lt;Relationships xmlns="http://schemas.openxmlformats.org/package/2006/relationships"&gt;&lt;Relationship Id="rId1" Type="http://schemas.openxmlformats.org/officeDocument/2006/relationships/styles" Target="styles.xml"/&gt;&lt;/Relationships&gt;&lt;/pkg:xmlData&gt;&lt;/pkg:part&gt;&lt;pkg:part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w:val="005C5C05"/&gt;&lt;w:rPr&gt;&lt;w:lang w:val="en-GB"/&gt;&lt;/w:rPr&gt;&lt;/w:style&gt;&lt;w:style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w:val="99"/&gt;&lt;w:semiHidden/&gt;&lt;w:unhideWhenUsed/&gt;&lt;/w:style&gt;&lt;/w:styles&gt;&lt;/pkg:xmlData&gt;&lt;/pkg:part&gt;&lt;/pkg:package&gt;
</CustomerName>
    <CompanyName/>
    <SenderAddress/>
    <Address/>
  </employee>
</employees>
</file>

<file path=customXml/itemProps1.xml><?xml version="1.0" encoding="utf-8"?>
<ds:datastoreItem xmlns:ds="http://schemas.openxmlformats.org/officeDocument/2006/customXml" ds:itemID="{952A0550-FDBC-46AB-8DD8-F6598AB1FB19}">
  <ds:schemaRefs>
    <ds:schemaRef ds:uri="http://schemas.openxmlformats.org/officeDocument/2006/bibliography"/>
  </ds:schemaRefs>
</ds:datastoreItem>
</file>

<file path=customXml/itemProps2.xml><?xml version="1.0" encoding="utf-8"?>
<ds:datastoreItem xmlns:ds="http://schemas.openxmlformats.org/officeDocument/2006/customXml" ds:itemID="{B98E728A-96FF-4995-885C-5AF887AB0C35}">
  <ds:schemaRefs>
    <ds:schemaRef ds:uri="http://schemas.microsoft.com/temp/samples"/>
  </ds:schemaRefs>
</ds:datastoreItem>
</file>

<file path=docProps/app.xml><?xml version="1.0" encoding="utf-8"?>
<Properties xmlns="http://schemas.openxmlformats.org/officeDocument/2006/extended-properties" xmlns:vt="http://schemas.openxmlformats.org/officeDocument/2006/docPropsVTypes">
  <Template>APA style paper</Template>
  <TotalTime>81</TotalTime>
  <Pages>39</Pages>
  <Words>10774</Words>
  <Characters>61417</Characters>
  <Application>Microsoft Office Word</Application>
  <DocSecurity>0</DocSecurity>
  <Lines>511</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Shafag Garayeva</dc:creator>
  <cp:keywords/>
  <dc:description/>
  <cp:lastModifiedBy>Shafag Garayeva (NBS - Staff)</cp:lastModifiedBy>
  <cp:revision>46</cp:revision>
  <dcterms:created xsi:type="dcterms:W3CDTF">2024-06-12T15:49:00Z</dcterms:created>
  <dcterms:modified xsi:type="dcterms:W3CDTF">2024-06-12T16:47:00Z</dcterms:modified>
</cp:coreProperties>
</file>