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D62422" w14:textId="1F1E3479" w:rsidR="00AF562B" w:rsidRDefault="00AF562B" w:rsidP="00AF562B">
      <w:pPr>
        <w:spacing w:after="160" w:line="240" w:lineRule="auto"/>
      </w:pPr>
      <w:r>
        <w:rPr>
          <w:rFonts w:hint="eastAsia"/>
        </w:rPr>
        <w:t>Submi</w:t>
      </w:r>
      <w:r>
        <w:t xml:space="preserve">tted for </w:t>
      </w:r>
      <w:r w:rsidRPr="00772913">
        <w:rPr>
          <w:b/>
          <w:bCs/>
        </w:rPr>
        <w:t>Track: Decision-Making Under Uncertainty</w:t>
      </w:r>
    </w:p>
    <w:p w14:paraId="4497718B" w14:textId="77777777" w:rsidR="00592712" w:rsidRDefault="00592712" w:rsidP="00592712">
      <w:pPr>
        <w:pStyle w:val="Title"/>
        <w:jc w:val="center"/>
        <w:rPr>
          <w:rFonts w:cs="Times New Roman"/>
          <w:spacing w:val="0"/>
          <w:sz w:val="24"/>
          <w:szCs w:val="24"/>
        </w:rPr>
      </w:pPr>
    </w:p>
    <w:p w14:paraId="2DF4F739" w14:textId="77777777" w:rsidR="00AF562B" w:rsidRPr="00AF562B" w:rsidRDefault="00AF562B" w:rsidP="00772913"/>
    <w:p w14:paraId="710286F1" w14:textId="77777777" w:rsidR="00592712" w:rsidRPr="00C037B7" w:rsidRDefault="00592712" w:rsidP="00592712">
      <w:pPr>
        <w:pStyle w:val="Title"/>
        <w:jc w:val="center"/>
        <w:rPr>
          <w:rFonts w:cs="Times New Roman"/>
          <w:spacing w:val="0"/>
          <w:sz w:val="24"/>
          <w:szCs w:val="24"/>
        </w:rPr>
      </w:pPr>
    </w:p>
    <w:p w14:paraId="44439524" w14:textId="5398CF9F" w:rsidR="00281DF4" w:rsidRPr="00C037B7" w:rsidRDefault="00695DFA" w:rsidP="00D87930">
      <w:pPr>
        <w:spacing w:after="0" w:line="240" w:lineRule="auto"/>
        <w:jc w:val="center"/>
      </w:pPr>
      <w:r w:rsidRPr="00695DFA">
        <w:rPr>
          <w:rFonts w:eastAsiaTheme="majorEastAsia"/>
          <w:b/>
          <w:kern w:val="28"/>
        </w:rPr>
        <w:t xml:space="preserve">Monarchical Succession and </w:t>
      </w:r>
      <w:r w:rsidR="004822A6">
        <w:rPr>
          <w:rFonts w:eastAsiaTheme="majorEastAsia"/>
          <w:b/>
          <w:kern w:val="28"/>
        </w:rPr>
        <w:t xml:space="preserve">Multinational Firms’ </w:t>
      </w:r>
      <w:r w:rsidRPr="00695DFA">
        <w:rPr>
          <w:rFonts w:eastAsiaTheme="majorEastAsia"/>
          <w:b/>
          <w:kern w:val="28"/>
        </w:rPr>
        <w:t>F</w:t>
      </w:r>
      <w:r w:rsidR="004822A6">
        <w:rPr>
          <w:rFonts w:eastAsiaTheme="majorEastAsia"/>
          <w:b/>
          <w:kern w:val="28"/>
        </w:rPr>
        <w:t>D</w:t>
      </w:r>
      <w:r w:rsidRPr="00695DFA">
        <w:rPr>
          <w:rFonts w:eastAsiaTheme="majorEastAsia"/>
          <w:b/>
          <w:kern w:val="28"/>
        </w:rPr>
        <w:t>I</w:t>
      </w:r>
      <w:r w:rsidR="004822A6">
        <w:rPr>
          <w:rFonts w:eastAsiaTheme="majorEastAsia"/>
          <w:b/>
          <w:kern w:val="28"/>
        </w:rPr>
        <w:t xml:space="preserve"> Entry Decisions</w:t>
      </w:r>
    </w:p>
    <w:p w14:paraId="4ABA79C3" w14:textId="77777777" w:rsidR="005758C5" w:rsidRDefault="005758C5" w:rsidP="00772913">
      <w:pPr>
        <w:spacing w:after="0" w:line="240" w:lineRule="auto"/>
        <w:jc w:val="center"/>
        <w:rPr>
          <w:b/>
        </w:rPr>
      </w:pPr>
    </w:p>
    <w:p w14:paraId="68A14ABC" w14:textId="77777777" w:rsidR="00972786" w:rsidRPr="00C037B7" w:rsidRDefault="00972786" w:rsidP="00972786">
      <w:pPr>
        <w:widowControl w:val="0"/>
        <w:spacing w:after="0" w:line="240" w:lineRule="auto"/>
        <w:jc w:val="center"/>
      </w:pPr>
      <w:r w:rsidRPr="00C037B7">
        <w:t>Tianyou Hu</w:t>
      </w:r>
    </w:p>
    <w:p w14:paraId="0EBD085C" w14:textId="77777777" w:rsidR="00972786" w:rsidRPr="00C037B7" w:rsidRDefault="00972786" w:rsidP="00972786">
      <w:pPr>
        <w:widowControl w:val="0"/>
        <w:spacing w:after="0" w:line="240" w:lineRule="auto"/>
        <w:jc w:val="center"/>
      </w:pPr>
      <w:r w:rsidRPr="00C037B7">
        <w:rPr>
          <w:rFonts w:hint="eastAsia"/>
        </w:rPr>
        <w:t>Univer</w:t>
      </w:r>
      <w:r w:rsidRPr="00C037B7">
        <w:t>sity of Macau</w:t>
      </w:r>
    </w:p>
    <w:p w14:paraId="04F660C8" w14:textId="77777777" w:rsidR="00972786" w:rsidRPr="00C037B7" w:rsidRDefault="00972786" w:rsidP="00972786">
      <w:pPr>
        <w:widowControl w:val="0"/>
        <w:spacing w:after="0" w:line="240" w:lineRule="auto"/>
        <w:jc w:val="center"/>
      </w:pPr>
      <w:r w:rsidRPr="00C037B7">
        <w:t xml:space="preserve">Email: tianyouhu@um.edu.mo </w:t>
      </w:r>
    </w:p>
    <w:p w14:paraId="7AEB8456" w14:textId="77777777" w:rsidR="00972786" w:rsidRPr="00C037B7" w:rsidRDefault="00972786" w:rsidP="00972786">
      <w:pPr>
        <w:spacing w:after="0" w:line="240" w:lineRule="auto"/>
        <w:jc w:val="center"/>
        <w:rPr>
          <w:lang w:val="fi-FI"/>
        </w:rPr>
      </w:pPr>
    </w:p>
    <w:p w14:paraId="3840D379" w14:textId="77777777" w:rsidR="00972786" w:rsidRPr="00C037B7" w:rsidRDefault="00972786" w:rsidP="00972786">
      <w:pPr>
        <w:spacing w:after="0" w:line="240" w:lineRule="auto"/>
        <w:jc w:val="center"/>
      </w:pPr>
      <w:r w:rsidRPr="00C037B7">
        <w:t>Andrew Delios</w:t>
      </w:r>
    </w:p>
    <w:p w14:paraId="29FDA917" w14:textId="77777777" w:rsidR="00972786" w:rsidRPr="00C037B7" w:rsidRDefault="00972786" w:rsidP="00972786">
      <w:pPr>
        <w:spacing w:after="0" w:line="240" w:lineRule="auto"/>
        <w:jc w:val="center"/>
      </w:pPr>
      <w:r w:rsidRPr="00C037B7">
        <w:t>National University of Singapore</w:t>
      </w:r>
    </w:p>
    <w:p w14:paraId="19560B48" w14:textId="034CB2EC" w:rsidR="00133F21" w:rsidRPr="00C037B7" w:rsidRDefault="00972786" w:rsidP="00972786">
      <w:pPr>
        <w:spacing w:after="0" w:line="240" w:lineRule="auto"/>
        <w:jc w:val="center"/>
        <w:rPr>
          <w:b/>
        </w:rPr>
      </w:pPr>
      <w:r w:rsidRPr="00C037B7">
        <w:t>Email: andrew@nus.edu.sg</w:t>
      </w:r>
    </w:p>
    <w:p w14:paraId="0A074089" w14:textId="77777777" w:rsidR="00972786" w:rsidRDefault="00972786" w:rsidP="00772913">
      <w:pPr>
        <w:spacing w:line="240" w:lineRule="auto"/>
        <w:jc w:val="center"/>
        <w:rPr>
          <w:b/>
          <w:bCs/>
        </w:rPr>
      </w:pPr>
    </w:p>
    <w:p w14:paraId="61687433" w14:textId="77777777" w:rsidR="00972786" w:rsidRDefault="00972786" w:rsidP="00772913">
      <w:pPr>
        <w:spacing w:line="240" w:lineRule="auto"/>
        <w:jc w:val="center"/>
        <w:rPr>
          <w:b/>
          <w:bCs/>
        </w:rPr>
      </w:pPr>
    </w:p>
    <w:p w14:paraId="15ECE1C4" w14:textId="2BE84E0E" w:rsidR="00592712" w:rsidRPr="00FA73AC" w:rsidRDefault="00AF7792" w:rsidP="00772913">
      <w:pPr>
        <w:spacing w:line="240" w:lineRule="auto"/>
        <w:jc w:val="center"/>
        <w:rPr>
          <w:b/>
          <w:bCs/>
        </w:rPr>
      </w:pPr>
      <w:r>
        <w:rPr>
          <w:rFonts w:hint="eastAsia"/>
          <w:b/>
          <w:bCs/>
        </w:rPr>
        <w:t>Abstract</w:t>
      </w:r>
    </w:p>
    <w:p w14:paraId="7BFBB28C" w14:textId="6F0E241E" w:rsidR="00E322AB" w:rsidRPr="005F2427" w:rsidRDefault="00D2642F" w:rsidP="00772913">
      <w:pPr>
        <w:spacing w:line="240" w:lineRule="auto"/>
      </w:pPr>
      <w:bookmarkStart w:id="0" w:name="_Hlk152406562"/>
      <w:bookmarkStart w:id="1" w:name="_Hlk152406673"/>
      <w:r w:rsidRPr="005F2427">
        <w:t xml:space="preserve">The succession of </w:t>
      </w:r>
      <w:r w:rsidR="007A6E6B" w:rsidRPr="005F2427">
        <w:t xml:space="preserve">rulers </w:t>
      </w:r>
      <w:r w:rsidR="00E322AB" w:rsidRPr="005F2427">
        <w:t xml:space="preserve">in </w:t>
      </w:r>
      <w:r w:rsidRPr="005F2427">
        <w:t>authoritarian regimes gives rise to</w:t>
      </w:r>
      <w:r w:rsidR="00E322AB" w:rsidRPr="005F2427">
        <w:t xml:space="preserve"> </w:t>
      </w:r>
      <w:r w:rsidR="006A2640" w:rsidRPr="005F2427">
        <w:t xml:space="preserve">uncertainties and sudden changes </w:t>
      </w:r>
      <w:r w:rsidR="00E322AB" w:rsidRPr="005F2427">
        <w:t>in future policies</w:t>
      </w:r>
      <w:r w:rsidR="006A2640" w:rsidRPr="005F2427">
        <w:t xml:space="preserve"> towards foreign </w:t>
      </w:r>
      <w:r w:rsidR="005F4AF6" w:rsidRPr="005F2427">
        <w:t>investments (FDI)</w:t>
      </w:r>
      <w:r w:rsidR="006A2640" w:rsidRPr="005F2427">
        <w:t>. F</w:t>
      </w:r>
      <w:r w:rsidR="00E322AB" w:rsidRPr="005F2427">
        <w:t xml:space="preserve">oreign firms must assess potential </w:t>
      </w:r>
      <w:r w:rsidR="006A2640" w:rsidRPr="005F2427">
        <w:t>succession and consider</w:t>
      </w:r>
      <w:r w:rsidR="00E322AB" w:rsidRPr="005F2427">
        <w:t xml:space="preserve"> both </w:t>
      </w:r>
      <w:r w:rsidR="00CA385F" w:rsidRPr="005F2427">
        <w:t>the current</w:t>
      </w:r>
      <w:r w:rsidR="00E322AB" w:rsidRPr="005F2427">
        <w:t xml:space="preserve"> non-business environment and future trends when </w:t>
      </w:r>
      <w:r w:rsidR="005F4AF6" w:rsidRPr="005F2427">
        <w:t>making</w:t>
      </w:r>
      <w:r w:rsidR="00E322AB" w:rsidRPr="005F2427">
        <w:t xml:space="preserve"> investment</w:t>
      </w:r>
      <w:r w:rsidR="005F4AF6" w:rsidRPr="005F2427">
        <w:t xml:space="preserve"> decisions</w:t>
      </w:r>
      <w:r w:rsidR="00482C06" w:rsidRPr="005F2427">
        <w:t xml:space="preserve">. </w:t>
      </w:r>
      <w:r w:rsidR="005F4AF6" w:rsidRPr="005F2427">
        <w:t>We investigate</w:t>
      </w:r>
      <w:r w:rsidR="00482C06" w:rsidRPr="005F2427">
        <w:t xml:space="preserve"> </w:t>
      </w:r>
      <w:r w:rsidR="006A2640" w:rsidRPr="005F2427">
        <w:t xml:space="preserve">the </w:t>
      </w:r>
      <w:r w:rsidR="00482C06" w:rsidRPr="005F2427">
        <w:t xml:space="preserve">successions in the six oil-rich Arab countries in the Persian Gulf that constitute the Gulf Cooperation Council (GCC), </w:t>
      </w:r>
      <w:r w:rsidR="005F2427">
        <w:t xml:space="preserve">by looking at its impact on the Japanese FDI entries in </w:t>
      </w:r>
      <w:r w:rsidR="00482C06" w:rsidRPr="005F2427">
        <w:t xml:space="preserve">the period from 1990 to 2019. </w:t>
      </w:r>
      <w:r w:rsidR="005F4AF6" w:rsidRPr="005F2427">
        <w:t>Results</w:t>
      </w:r>
      <w:r w:rsidR="00482C06" w:rsidRPr="005F2427">
        <w:t xml:space="preserve"> indicate that Japanese firms </w:t>
      </w:r>
      <w:r w:rsidR="00D80A23" w:rsidRPr="005F2427">
        <w:t xml:space="preserve">exhibit a reduced likelihood of FDI </w:t>
      </w:r>
      <w:r w:rsidR="005F4AF6" w:rsidRPr="005F2427">
        <w:t xml:space="preserve">entry to </w:t>
      </w:r>
      <w:r w:rsidR="00D80A23" w:rsidRPr="005F2427">
        <w:t>a GCC country</w:t>
      </w:r>
      <w:r w:rsidR="008D39E0" w:rsidRPr="005F2427">
        <w:t xml:space="preserve"> during succession resulting from the death of the </w:t>
      </w:r>
      <w:r w:rsidR="00100BEC">
        <w:rPr>
          <w:rFonts w:hint="eastAsia"/>
        </w:rPr>
        <w:t>king</w:t>
      </w:r>
      <w:r w:rsidR="008D39E0" w:rsidRPr="005F2427">
        <w:t xml:space="preserve">. </w:t>
      </w:r>
      <w:r w:rsidR="009E4034">
        <w:t xml:space="preserve">This negative impact will be stronger when the </w:t>
      </w:r>
      <w:r w:rsidR="00E672B1">
        <w:t>de</w:t>
      </w:r>
      <w:r w:rsidR="009E4034">
        <w:t xml:space="preserve">ceased king has greater foreign </w:t>
      </w:r>
      <w:r w:rsidR="00057E35" w:rsidRPr="00057E35">
        <w:t>recognition</w:t>
      </w:r>
      <w:r w:rsidR="00057E35">
        <w:rPr>
          <w:rFonts w:hint="eastAsia"/>
        </w:rPr>
        <w:t>,</w:t>
      </w:r>
      <w:r w:rsidR="00683476">
        <w:rPr>
          <w:rFonts w:hint="eastAsia"/>
        </w:rPr>
        <w:t xml:space="preserve"> </w:t>
      </w:r>
      <w:r w:rsidR="00057E35">
        <w:rPr>
          <w:rFonts w:hint="eastAsia"/>
        </w:rPr>
        <w:t xml:space="preserve">reflecting his </w:t>
      </w:r>
      <w:r w:rsidR="00F60EC8">
        <w:rPr>
          <w:rFonts w:hint="eastAsia"/>
        </w:rPr>
        <w:t>international influence and attitude to</w:t>
      </w:r>
      <w:r w:rsidR="00057E35">
        <w:rPr>
          <w:rFonts w:hint="eastAsia"/>
        </w:rPr>
        <w:t>wards</w:t>
      </w:r>
      <w:r w:rsidR="00F60EC8">
        <w:rPr>
          <w:rFonts w:hint="eastAsia"/>
        </w:rPr>
        <w:t xml:space="preserve"> foreign countries</w:t>
      </w:r>
      <w:r w:rsidR="00683476">
        <w:rPr>
          <w:rFonts w:hint="eastAsia"/>
        </w:rPr>
        <w:t>.</w:t>
      </w:r>
      <w:r w:rsidR="009E4034">
        <w:t xml:space="preserve"> </w:t>
      </w:r>
      <w:r w:rsidR="00057E35" w:rsidRPr="00057E35">
        <w:t>Conversely,</w:t>
      </w:r>
      <w:r w:rsidR="00057E35">
        <w:rPr>
          <w:rFonts w:hint="eastAsia"/>
        </w:rPr>
        <w:t xml:space="preserve"> </w:t>
      </w:r>
      <w:r w:rsidR="00F60EC8">
        <w:rPr>
          <w:rFonts w:hint="eastAsia"/>
        </w:rPr>
        <w:t>th</w:t>
      </w:r>
      <w:r w:rsidR="00057E35">
        <w:rPr>
          <w:rFonts w:hint="eastAsia"/>
        </w:rPr>
        <w:t>is</w:t>
      </w:r>
      <w:r w:rsidR="00F60EC8">
        <w:rPr>
          <w:rFonts w:hint="eastAsia"/>
        </w:rPr>
        <w:t xml:space="preserve"> negative impact will be </w:t>
      </w:r>
      <w:r w:rsidR="00057E35" w:rsidRPr="00057E35">
        <w:t>mitigated</w:t>
      </w:r>
      <w:r w:rsidR="00057E35">
        <w:rPr>
          <w:rFonts w:hint="eastAsia"/>
        </w:rPr>
        <w:t xml:space="preserve"> </w:t>
      </w:r>
      <w:r w:rsidR="009E4034">
        <w:t xml:space="preserve">when the </w:t>
      </w:r>
      <w:r w:rsidR="005F4AF6" w:rsidRPr="005F2427">
        <w:t xml:space="preserve">successors </w:t>
      </w:r>
      <w:r w:rsidR="009E4034">
        <w:t xml:space="preserve">exhibit </w:t>
      </w:r>
      <w:r w:rsidR="00057E35" w:rsidRPr="00057E35">
        <w:t>higher levels of</w:t>
      </w:r>
      <w:r w:rsidR="009E4034">
        <w:t xml:space="preserve"> </w:t>
      </w:r>
      <w:r w:rsidR="00683476">
        <w:rPr>
          <w:rFonts w:hint="eastAsia"/>
        </w:rPr>
        <w:t xml:space="preserve">military influence and </w:t>
      </w:r>
      <w:r w:rsidR="00057E35">
        <w:rPr>
          <w:rFonts w:hint="eastAsia"/>
        </w:rPr>
        <w:t>greater</w:t>
      </w:r>
      <w:r w:rsidR="00683476">
        <w:rPr>
          <w:rFonts w:hint="eastAsia"/>
        </w:rPr>
        <w:t xml:space="preserve"> </w:t>
      </w:r>
      <w:r w:rsidR="009E4034">
        <w:t xml:space="preserve">differences </w:t>
      </w:r>
      <w:r w:rsidR="00057E35">
        <w:rPr>
          <w:rFonts w:hint="eastAsia"/>
        </w:rPr>
        <w:t>from</w:t>
      </w:r>
      <w:r w:rsidR="009E4034">
        <w:t xml:space="preserve"> the king in terms of </w:t>
      </w:r>
      <w:r w:rsidR="009E4034" w:rsidRPr="009E4034">
        <w:t>political experience, education level, overseas experience, and age</w:t>
      </w:r>
      <w:r w:rsidR="00482C06" w:rsidRPr="005F2427">
        <w:t>.</w:t>
      </w:r>
      <w:r w:rsidR="00F60EC8">
        <w:rPr>
          <w:rFonts w:hint="eastAsia"/>
        </w:rPr>
        <w:t xml:space="preserve"> Military influence </w:t>
      </w:r>
      <w:r w:rsidR="00057E35">
        <w:rPr>
          <w:rFonts w:hint="eastAsia"/>
        </w:rPr>
        <w:t>provides</w:t>
      </w:r>
      <w:r w:rsidR="00F60EC8">
        <w:rPr>
          <w:rFonts w:hint="eastAsia"/>
        </w:rPr>
        <w:t xml:space="preserve"> a </w:t>
      </w:r>
      <w:r w:rsidR="00F60EC8">
        <w:t>guarantee</w:t>
      </w:r>
      <w:r w:rsidR="00F60EC8">
        <w:rPr>
          <w:rFonts w:hint="eastAsia"/>
        </w:rPr>
        <w:t xml:space="preserve"> for </w:t>
      </w:r>
      <w:r w:rsidR="00057E35">
        <w:rPr>
          <w:rFonts w:hint="eastAsia"/>
        </w:rPr>
        <w:t xml:space="preserve">a stable </w:t>
      </w:r>
      <w:r w:rsidR="00F60EC8">
        <w:rPr>
          <w:rFonts w:hint="eastAsia"/>
        </w:rPr>
        <w:t>power transition</w:t>
      </w:r>
      <w:r w:rsidR="00057E35">
        <w:rPr>
          <w:rFonts w:hint="eastAsia"/>
        </w:rPr>
        <w:t>, while significant</w:t>
      </w:r>
      <w:r w:rsidR="00F60EC8">
        <w:rPr>
          <w:rFonts w:hint="eastAsia"/>
        </w:rPr>
        <w:t xml:space="preserve"> differences </w:t>
      </w:r>
      <w:r w:rsidR="00057E35">
        <w:rPr>
          <w:rFonts w:hint="eastAsia"/>
        </w:rPr>
        <w:t>indicate</w:t>
      </w:r>
      <w:r w:rsidR="00F60EC8">
        <w:rPr>
          <w:rFonts w:hint="eastAsia"/>
        </w:rPr>
        <w:t xml:space="preserve"> </w:t>
      </w:r>
      <w:r w:rsidR="00F60EC8">
        <w:t>a</w:t>
      </w:r>
      <w:r w:rsidR="00F60EC8">
        <w:rPr>
          <w:rFonts w:hint="eastAsia"/>
        </w:rPr>
        <w:t xml:space="preserve"> </w:t>
      </w:r>
      <w:r w:rsidR="00057E35">
        <w:rPr>
          <w:rFonts w:hint="eastAsia"/>
        </w:rPr>
        <w:t xml:space="preserve">potential </w:t>
      </w:r>
      <w:r w:rsidR="00F60EC8">
        <w:rPr>
          <w:rFonts w:hint="eastAsia"/>
        </w:rPr>
        <w:t xml:space="preserve">for </w:t>
      </w:r>
      <w:r w:rsidR="00057E35" w:rsidRPr="00057E35">
        <w:t>progress towards</w:t>
      </w:r>
      <w:r w:rsidR="00057E35" w:rsidRPr="00057E35">
        <w:rPr>
          <w:rFonts w:hint="eastAsia"/>
        </w:rPr>
        <w:t xml:space="preserve"> </w:t>
      </w:r>
      <w:r w:rsidR="00F60EC8">
        <w:rPr>
          <w:rFonts w:hint="eastAsia"/>
        </w:rPr>
        <w:t xml:space="preserve">a more </w:t>
      </w:r>
      <w:r w:rsidR="00F60EC8">
        <w:t>friendly</w:t>
      </w:r>
      <w:r w:rsidR="00F60EC8">
        <w:rPr>
          <w:rFonts w:hint="eastAsia"/>
        </w:rPr>
        <w:t xml:space="preserve"> and open </w:t>
      </w:r>
      <w:r w:rsidR="004B0C2E">
        <w:t>environment</w:t>
      </w:r>
      <w:r w:rsidR="00F60EC8">
        <w:rPr>
          <w:rFonts w:hint="eastAsia"/>
        </w:rPr>
        <w:t>.</w:t>
      </w:r>
      <w:r w:rsidR="00482C06" w:rsidRPr="005F2427">
        <w:t xml:space="preserve"> </w:t>
      </w:r>
      <w:bookmarkEnd w:id="0"/>
    </w:p>
    <w:bookmarkEnd w:id="1"/>
    <w:p w14:paraId="058D0987" w14:textId="77777777" w:rsidR="00482C06" w:rsidRPr="00FA73AC" w:rsidRDefault="00482C06" w:rsidP="00772913">
      <w:pPr>
        <w:spacing w:line="240" w:lineRule="auto"/>
      </w:pPr>
    </w:p>
    <w:p w14:paraId="01FD9EC6" w14:textId="1F5D7922" w:rsidR="00E322AB" w:rsidRPr="00FA73AC" w:rsidRDefault="00577D25" w:rsidP="00772913">
      <w:pPr>
        <w:spacing w:line="240" w:lineRule="auto"/>
      </w:pPr>
      <w:r w:rsidRPr="00FA73AC">
        <w:rPr>
          <w:b/>
          <w:bCs/>
        </w:rPr>
        <w:t>Keywords:</w:t>
      </w:r>
      <w:r w:rsidRPr="00FA73AC">
        <w:t xml:space="preserve"> succession, </w:t>
      </w:r>
      <w:r w:rsidR="003068FC">
        <w:t>political risks</w:t>
      </w:r>
      <w:r w:rsidRPr="00FA73AC">
        <w:t xml:space="preserve">, </w:t>
      </w:r>
      <w:r w:rsidR="0077297D">
        <w:t xml:space="preserve">uncertainties, </w:t>
      </w:r>
      <w:r w:rsidR="007E1FF6" w:rsidRPr="00FA73AC">
        <w:t>authoritarian regime</w:t>
      </w:r>
      <w:r w:rsidR="00D80A23" w:rsidRPr="00FA73AC">
        <w:t xml:space="preserve">, </w:t>
      </w:r>
      <w:r w:rsidR="00482C06" w:rsidRPr="00FA73AC">
        <w:t>FDI</w:t>
      </w:r>
      <w:r w:rsidR="0027353F">
        <w:t xml:space="preserve"> </w:t>
      </w:r>
      <w:r w:rsidR="00482C06" w:rsidRPr="00FA73AC">
        <w:t>entry</w:t>
      </w:r>
      <w:r w:rsidR="0027353F">
        <w:t xml:space="preserve"> decisions </w:t>
      </w:r>
    </w:p>
    <w:p w14:paraId="15B60CDE" w14:textId="77777777" w:rsidR="004822A6" w:rsidRDefault="004822A6" w:rsidP="000D1559">
      <w:pPr>
        <w:spacing w:after="160" w:line="240" w:lineRule="auto"/>
      </w:pPr>
    </w:p>
    <w:p w14:paraId="0EE22250" w14:textId="5525F945" w:rsidR="000D1559" w:rsidRPr="00772913" w:rsidRDefault="000D1559" w:rsidP="000D1559">
      <w:pPr>
        <w:spacing w:after="160" w:line="240" w:lineRule="auto"/>
        <w:rPr>
          <w:b/>
          <w:bCs/>
        </w:rPr>
      </w:pPr>
      <w:r w:rsidRPr="00772913">
        <w:rPr>
          <w:b/>
          <w:bCs/>
        </w:rPr>
        <w:t>Word count:</w:t>
      </w:r>
      <w:r w:rsidR="00471EFC">
        <w:rPr>
          <w:b/>
          <w:bCs/>
        </w:rPr>
        <w:t xml:space="preserve"> </w:t>
      </w:r>
      <w:r w:rsidR="00373F9F" w:rsidRPr="00373F9F">
        <w:rPr>
          <w:rFonts w:hint="eastAsia"/>
        </w:rPr>
        <w:t>11</w:t>
      </w:r>
      <w:r w:rsidR="00373F9F" w:rsidRPr="00373F9F">
        <w:t>,</w:t>
      </w:r>
      <w:r w:rsidR="00373F9F" w:rsidRPr="00373F9F">
        <w:rPr>
          <w:rFonts w:hint="eastAsia"/>
        </w:rPr>
        <w:t>180</w:t>
      </w:r>
    </w:p>
    <w:p w14:paraId="3F199E49" w14:textId="77777777" w:rsidR="000D1559" w:rsidRDefault="000D1559" w:rsidP="000D1559">
      <w:pPr>
        <w:spacing w:after="160" w:line="240" w:lineRule="auto"/>
      </w:pPr>
    </w:p>
    <w:p w14:paraId="3169D4FF" w14:textId="37D1351E" w:rsidR="000D1559" w:rsidRDefault="000D1559">
      <w:pPr>
        <w:spacing w:after="160" w:line="259" w:lineRule="auto"/>
      </w:pPr>
      <w:r>
        <w:br w:type="page"/>
      </w:r>
    </w:p>
    <w:p w14:paraId="1C8470A4" w14:textId="336DD26B" w:rsidR="00DB04DC" w:rsidRPr="00FA73AC" w:rsidRDefault="003C2C2C" w:rsidP="00772913">
      <w:pPr>
        <w:spacing w:line="240" w:lineRule="auto"/>
        <w:jc w:val="center"/>
        <w:rPr>
          <w:b/>
        </w:rPr>
      </w:pPr>
      <w:r w:rsidRPr="00FA73AC">
        <w:rPr>
          <w:b/>
        </w:rPr>
        <w:lastRenderedPageBreak/>
        <w:t>I</w:t>
      </w:r>
      <w:r w:rsidR="00AF7792">
        <w:rPr>
          <w:rFonts w:hint="eastAsia"/>
          <w:b/>
        </w:rPr>
        <w:t>ntroduction</w:t>
      </w:r>
    </w:p>
    <w:p w14:paraId="601104E0" w14:textId="25AD0215" w:rsidR="0009238B" w:rsidRDefault="00DB04DC">
      <w:pPr>
        <w:spacing w:line="240" w:lineRule="auto"/>
        <w:rPr>
          <w:rFonts w:eastAsia="SimSun"/>
        </w:rPr>
      </w:pPr>
      <w:r w:rsidRPr="00FA73AC">
        <w:t xml:space="preserve">The </w:t>
      </w:r>
      <w:r w:rsidR="004F0AAA">
        <w:t>non-business</w:t>
      </w:r>
      <w:r w:rsidR="00B94FD3" w:rsidRPr="00FA73AC">
        <w:t xml:space="preserve"> </w:t>
      </w:r>
      <w:r w:rsidRPr="00FA73AC">
        <w:t xml:space="preserve">environment in host countries is </w:t>
      </w:r>
      <w:r w:rsidR="00956AF5" w:rsidRPr="00FA73AC">
        <w:t>a</w:t>
      </w:r>
      <w:r w:rsidRPr="00FA73AC">
        <w:t xml:space="preserve"> key factor </w:t>
      </w:r>
      <w:r w:rsidR="005A61A6" w:rsidRPr="00FA73AC">
        <w:t xml:space="preserve">that foreign firms </w:t>
      </w:r>
      <w:r w:rsidR="00063BF3" w:rsidRPr="00FA73AC">
        <w:rPr>
          <w:rFonts w:hint="eastAsia"/>
        </w:rPr>
        <w:t>consider</w:t>
      </w:r>
      <w:r w:rsidR="005A61A6" w:rsidRPr="00FA73AC">
        <w:t xml:space="preserve"> in their decision</w:t>
      </w:r>
      <w:r w:rsidR="00523162" w:rsidRPr="00FA73AC">
        <w:t>s</w:t>
      </w:r>
      <w:r w:rsidR="005A61A6" w:rsidRPr="00FA73AC">
        <w:t xml:space="preserve"> </w:t>
      </w:r>
      <w:r w:rsidR="005F2427">
        <w:t>on</w:t>
      </w:r>
      <w:r w:rsidR="005F2427" w:rsidRPr="00FA73AC">
        <w:t xml:space="preserve"> </w:t>
      </w:r>
      <w:r w:rsidR="005A61A6" w:rsidRPr="00FA73AC">
        <w:t>direct investments (FDI)</w:t>
      </w:r>
      <w:r w:rsidRPr="00FA73AC">
        <w:t xml:space="preserve">. High uncertainty </w:t>
      </w:r>
      <w:r w:rsidR="00B94FD3" w:rsidRPr="00FA73AC">
        <w:t xml:space="preserve">in </w:t>
      </w:r>
      <w:r w:rsidR="001E624C">
        <w:t xml:space="preserve">the </w:t>
      </w:r>
      <w:r w:rsidR="004F0AAA">
        <w:t>non-business</w:t>
      </w:r>
      <w:r w:rsidR="00B94FD3" w:rsidRPr="00FA73AC">
        <w:t xml:space="preserve"> environment </w:t>
      </w:r>
      <w:r w:rsidRPr="00FA73AC">
        <w:t xml:space="preserve">raises difficulties in information collection and decision making, </w:t>
      </w:r>
      <w:r w:rsidRPr="00FA73AC">
        <w:rPr>
          <w:rFonts w:eastAsia="SimSun"/>
        </w:rPr>
        <w:t>leading to inferior performance of foreign firms</w:t>
      </w:r>
      <w:r w:rsidRPr="00FA73AC">
        <w:t xml:space="preserve"> </w:t>
      </w:r>
      <w:r w:rsidRPr="00FA73AC">
        <w:rPr>
          <w:rFonts w:eastAsia="SimSun"/>
        </w:rPr>
        <w:fldChar w:fldCharType="begin">
          <w:fldData xml:space="preserve">PEVuZE5vdGU+PENpdGU+PEF1dGhvcj5KZW5zZW48L0F1dGhvcj48WWVhcj4yMDA4PC9ZZWFyPjxS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</w:fldData>
        </w:fldChar>
      </w:r>
      <w:r w:rsidR="005F728D">
        <w:rPr>
          <w:rFonts w:eastAsia="SimSun"/>
        </w:rPr>
        <w:instrText xml:space="preserve"> ADDIN EN.CITE </w:instrText>
      </w:r>
      <w:r w:rsidR="005F728D">
        <w:rPr>
          <w:rFonts w:eastAsia="SimSun"/>
        </w:rPr>
        <w:fldChar w:fldCharType="begin">
          <w:fldData xml:space="preserve">PEVuZE5vdGU+PENpdGU+PEF1dGhvcj5KZW5zZW48L0F1dGhvcj48WWVhcj4yMDA4PC9ZZWFyPjxS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</w:fldData>
        </w:fldChar>
      </w:r>
      <w:r w:rsidR="005F728D">
        <w:rPr>
          <w:rFonts w:eastAsia="SimSun"/>
        </w:rPr>
        <w:instrText xml:space="preserve"> ADDIN EN.CITE.DATA </w:instrText>
      </w:r>
      <w:r w:rsidR="005F728D">
        <w:rPr>
          <w:rFonts w:eastAsia="SimSun"/>
        </w:rPr>
      </w:r>
      <w:r w:rsidR="005F728D">
        <w:rPr>
          <w:rFonts w:eastAsia="SimSun"/>
        </w:rPr>
        <w:fldChar w:fldCharType="end"/>
      </w:r>
      <w:r w:rsidRPr="00FA73AC">
        <w:rPr>
          <w:rFonts w:eastAsia="SimSun"/>
        </w:rPr>
      </w:r>
      <w:r w:rsidRPr="00FA73AC">
        <w:rPr>
          <w:rFonts w:eastAsia="SimSun"/>
        </w:rPr>
        <w:fldChar w:fldCharType="separate"/>
      </w:r>
      <w:r w:rsidR="00AF7792">
        <w:rPr>
          <w:rFonts w:eastAsia="SimSun"/>
          <w:noProof/>
        </w:rPr>
        <w:t>(Jensen, 2008, Delios and Henisz, 2003)</w:t>
      </w:r>
      <w:r w:rsidRPr="00FA73AC">
        <w:rPr>
          <w:rFonts w:eastAsia="SimSun"/>
        </w:rPr>
        <w:fldChar w:fldCharType="end"/>
      </w:r>
      <w:r w:rsidRPr="00FA73AC">
        <w:rPr>
          <w:rFonts w:eastAsia="SimSun"/>
        </w:rPr>
        <w:t xml:space="preserve">. </w:t>
      </w:r>
      <w:r w:rsidR="0009238B" w:rsidRPr="0009238B">
        <w:rPr>
          <w:rFonts w:eastAsia="SimSun"/>
        </w:rPr>
        <w:t xml:space="preserve">When faced with uncertainty, foreign firms encounter challenges in gathering relevant information and making decisions, ultimately leading to suboptimal </w:t>
      </w:r>
      <w:r w:rsidR="005F2427">
        <w:rPr>
          <w:rFonts w:eastAsia="SimSun"/>
        </w:rPr>
        <w:t>performance</w:t>
      </w:r>
      <w:r w:rsidR="0009238B" w:rsidRPr="0009238B">
        <w:rPr>
          <w:rFonts w:eastAsia="SimSun"/>
        </w:rPr>
        <w:t>.</w:t>
      </w:r>
    </w:p>
    <w:p w14:paraId="0310B372" w14:textId="1D67FED6" w:rsidR="0009238B" w:rsidRPr="00FA73AC" w:rsidRDefault="0009238B" w:rsidP="00772913">
      <w:pPr>
        <w:spacing w:line="240" w:lineRule="auto"/>
        <w:ind w:firstLine="720"/>
        <w:rPr>
          <w:rFonts w:eastAsia="SimSun"/>
        </w:rPr>
      </w:pPr>
      <w:r w:rsidRPr="0009238B">
        <w:rPr>
          <w:rFonts w:eastAsia="SimSun"/>
        </w:rPr>
        <w:t>However, one of the key challenges for foreign firms is the slow change in institutions and regulatory environments within host countries. Institutions, characterized by their inertia, tend to evolve gradually over time, making it difficult for firms to anticipate sudden and significant shifts in the non-business environment. As a result, foreign firms may struggle to adjust their strategies in response to unexpected changes.</w:t>
      </w:r>
    </w:p>
    <w:p w14:paraId="640EEC1A" w14:textId="4048E46D" w:rsidR="0009238B" w:rsidRDefault="006D08FE" w:rsidP="0009238B">
      <w:pPr>
        <w:spacing w:line="240" w:lineRule="auto"/>
        <w:ind w:firstLine="720"/>
        <w:rPr>
          <w:rFonts w:eastAsia="SimSun"/>
        </w:rPr>
      </w:pPr>
      <w:r>
        <w:rPr>
          <w:rFonts w:eastAsia="SimSun"/>
        </w:rPr>
        <w:t xml:space="preserve">The </w:t>
      </w:r>
      <w:r w:rsidR="001A6765" w:rsidRPr="00FA73AC">
        <w:rPr>
          <w:rFonts w:eastAsia="SimSun"/>
        </w:rPr>
        <w:t xml:space="preserve">succession </w:t>
      </w:r>
      <w:r>
        <w:rPr>
          <w:rFonts w:eastAsia="SimSun"/>
        </w:rPr>
        <w:t xml:space="preserve">of the leadership of a national state </w:t>
      </w:r>
      <w:r w:rsidR="001A6765" w:rsidRPr="00FA73AC">
        <w:rPr>
          <w:rFonts w:eastAsia="SimSun"/>
        </w:rPr>
        <w:t xml:space="preserve">offers an opportunity to examine how foreign firms respond to </w:t>
      </w:r>
      <w:r w:rsidR="005F2427">
        <w:rPr>
          <w:rFonts w:eastAsia="SimSun"/>
        </w:rPr>
        <w:t>sudden</w:t>
      </w:r>
      <w:r w:rsidR="005F2427" w:rsidRPr="00FA73AC">
        <w:rPr>
          <w:rFonts w:eastAsia="SimSun"/>
        </w:rPr>
        <w:t xml:space="preserve"> </w:t>
      </w:r>
      <w:r w:rsidR="001A6765" w:rsidRPr="00FA73AC">
        <w:rPr>
          <w:rFonts w:eastAsia="SimSun"/>
        </w:rPr>
        <w:t xml:space="preserve">changes. </w:t>
      </w:r>
      <w:r w:rsidR="0037789A" w:rsidRPr="00FA73AC">
        <w:rPr>
          <w:rFonts w:eastAsia="SimSun"/>
        </w:rPr>
        <w:t xml:space="preserve">Foreign firms should pay close attention to political successions, evaluating both the likelihood of their occurrence and the potential impacts that may influence their investments </w:t>
      </w:r>
      <w:r w:rsidR="00E4446E" w:rsidRPr="00FA73AC">
        <w:rPr>
          <w:rFonts w:eastAsia="SimSun"/>
        </w:rPr>
        <w:fldChar w:fldCharType="begin"/>
      </w:r>
      <w:r w:rsidR="00AF7792">
        <w:rPr>
          <w:rFonts w:eastAsia="SimSun"/>
        </w:rPr>
        <w:instrText xml:space="preserve"> ADDIN EN.CITE &lt;EndNote&gt;&lt;Cite&gt;&lt;Author&gt;Kobrin&lt;/Author&gt;&lt;Year&gt;1979&lt;/Year&gt;&lt;RecNum&gt;104&lt;/RecNum&gt;&lt;DisplayText&gt;(Kobrin, 1979)&lt;/DisplayText&gt;&lt;record&gt;&lt;rec-number&gt;104&lt;/rec-number&gt;&lt;foreign-keys&gt;&lt;key app="EN" db-id="ta95fx9215vppiefzvh5drv7v0dsvepa0pz0" timestamp="1703580769"&gt;104&lt;/key&gt;&lt;/foreign-keys&gt;&lt;ref-type name="Journal Article"&gt;17&lt;/ref-type&gt;&lt;contributors&gt;&lt;authors&gt;&lt;author&gt;Kobrin, Stephen J.&lt;/author&gt;&lt;/authors&gt;&lt;/contributors&gt;&lt;titles&gt;&lt;title&gt;Political Risk: A Review and Reconsideration&lt;/title&gt;&lt;secondary-title&gt;Journal of International Business Studies&lt;/secondary-title&gt;&lt;/titles&gt;&lt;periodical&gt;&lt;full-title&gt;Journal of International Business Studies&lt;/full-title&gt;&lt;/periodical&gt;&lt;pages&gt;67-80&lt;/pages&gt;&lt;volume&gt;10&lt;/volume&gt;&lt;number&gt;1&lt;/number&gt;&lt;dates&gt;&lt;year&gt;1979&lt;/year&gt;&lt;pub-dates&gt;&lt;date&gt;1979/03/01&lt;/date&gt;&lt;/pub-dates&gt;&lt;/dates&gt;&lt;isbn&gt;1478-6990&lt;/isbn&gt;&lt;urls&gt;&lt;related-urls&gt;&lt;url&gt;https://doi.org/10.1057/palgrave.jibs.8490631&lt;/url&gt;&lt;/related-urls&gt;&lt;/urls&gt;&lt;electronic-resource-num&gt;10.1057/palgrave.jibs.8490631&lt;/electronic-resource-num&gt;&lt;/record&gt;&lt;/Cite&gt;&lt;/EndNote&gt;</w:instrText>
      </w:r>
      <w:r w:rsidR="00E4446E" w:rsidRPr="00FA73AC">
        <w:rPr>
          <w:rFonts w:eastAsia="SimSun"/>
        </w:rPr>
        <w:fldChar w:fldCharType="separate"/>
      </w:r>
      <w:r w:rsidR="00AF7792">
        <w:rPr>
          <w:rFonts w:eastAsia="SimSun"/>
          <w:noProof/>
        </w:rPr>
        <w:t>(Kobrin, 1979)</w:t>
      </w:r>
      <w:r w:rsidR="00E4446E" w:rsidRPr="00FA73AC">
        <w:rPr>
          <w:rFonts w:eastAsia="SimSun"/>
        </w:rPr>
        <w:fldChar w:fldCharType="end"/>
      </w:r>
      <w:r w:rsidR="0037789A" w:rsidRPr="00FA73AC">
        <w:rPr>
          <w:rFonts w:eastAsia="SimSun"/>
        </w:rPr>
        <w:t xml:space="preserve">. </w:t>
      </w:r>
      <w:r w:rsidR="0009238B" w:rsidRPr="00772913">
        <w:rPr>
          <w:rFonts w:eastAsia="SimSun"/>
        </w:rPr>
        <w:t>While existing literature has investigated firm strategies in democratic countries, where political succession follows periodic and somewhat predictable patterns such as election results, there remains a notable gap in research concerning power transitions resulting from succession in authoritarian regimes. In democratic contexts, firms typically defer their investment decisions during periods of political succession, opting to wait for additional information regarding potential changes in administration, national policies, and regulations</w:t>
      </w:r>
      <w:r w:rsidR="0009238B" w:rsidRPr="0009238B">
        <w:rPr>
          <w:rFonts w:ascii="Segoe UI" w:hAnsi="Segoe UI" w:cs="Segoe UI"/>
          <w:color w:val="0D0D0D"/>
          <w:shd w:val="clear" w:color="auto" w:fill="FFFFFF"/>
        </w:rPr>
        <w:t xml:space="preserve"> </w:t>
      </w:r>
      <w:r w:rsidR="0037789A" w:rsidRPr="00FA73AC">
        <w:rPr>
          <w:rFonts w:eastAsia="SimSun"/>
        </w:rPr>
        <w:fldChar w:fldCharType="begin"/>
      </w:r>
      <w:r w:rsidR="005F728D">
        <w:rPr>
          <w:rFonts w:eastAsia="SimSun"/>
        </w:rPr>
        <w:instrText xml:space="preserve"> ADDIN EN.CITE &lt;EndNote&gt;&lt;Cite&gt;&lt;Author&gt;Rodrik&lt;/Author&gt;&lt;Year&gt;1991&lt;/Year&gt;&lt;RecNum&gt;46&lt;/RecNum&gt;&lt;DisplayText&gt;(Rodrik, 1991, Bertola and Caballero, 1994)&lt;/DisplayText&gt;&lt;record&gt;&lt;rec-number&gt;46&lt;/rec-number&gt;&lt;foreign-keys&gt;&lt;key app="EN" db-id="ta95fx9215vppiefzvh5drv7v0dsvepa0pz0" timestamp="1697123799" guid="88ad8e7e-1f87-4608-a36b-5b92f2450279"&gt;46&lt;/key&gt;&lt;/foreign-keys&gt;&lt;ref-type name="Journal Article"&gt;17&lt;/ref-type&gt;&lt;contributors&gt;&lt;authors&gt;&lt;author&gt;Rodrik, Dani&lt;/author&gt;&lt;/authors&gt;&lt;/contributors&gt;&lt;titles&gt;&lt;title&gt;Policy uncertainty and private investment in developing countries&lt;/title&gt;&lt;secondary-title&gt;Journal of Development Economics&lt;/secondary-title&gt;&lt;/titles&gt;&lt;periodical&gt;&lt;full-title&gt;Journal of Development Economics&lt;/full-title&gt;&lt;/periodical&gt;&lt;pages&gt;229-242&lt;/pages&gt;&lt;volume&gt;36&lt;/volume&gt;&lt;number&gt;2&lt;/number&gt;&lt;dates&gt;&lt;year&gt;1991&lt;/year&gt;&lt;/dates&gt;&lt;isbn&gt;0304-3878&lt;/isbn&gt;&lt;urls&gt;&lt;/urls&gt;&lt;/record&gt;&lt;/Cite&gt;&lt;Cite&gt;&lt;Author&gt;Bertola&lt;/Author&gt;&lt;Year&gt;1994&lt;/Year&gt;&lt;RecNum&gt;43&lt;/RecNum&gt;&lt;record&gt;&lt;rec-number&gt;43&lt;/rec-number&gt;&lt;foreign-keys&gt;&lt;key app="EN" db-id="ta95fx9215vppiefzvh5drv7v0dsvepa0pz0" timestamp="1697122373" guid="52acd025-3a35-407b-8564-277efcbded51"&gt;43&lt;/key&gt;&lt;/foreign-keys&gt;&lt;ref-type name="Journal Article"&gt;17&lt;/ref-type&gt;&lt;contributors&gt;&lt;authors&gt;&lt;author&gt;Bertola, Guiseppe&lt;/author&gt;&lt;author&gt;Caballero, Ricardo J&lt;/author&gt;&lt;/authors&gt;&lt;/contributors&gt;&lt;titles&gt;&lt;title&gt;Irreversibility and aggregate investment&lt;/title&gt;&lt;secondary-title&gt;The Review of Economic Studies&lt;/secondary-title&gt;&lt;/titles&gt;&lt;periodical&gt;&lt;full-title&gt;The Review of Economic Studies&lt;/full-title&gt;&lt;/periodical&gt;&lt;pages&gt;223-246&lt;/pages&gt;&lt;volume&gt;61&lt;/volume&gt;&lt;number&gt;2&lt;/number&gt;&lt;dates&gt;&lt;year&gt;1994&lt;/year&gt;&lt;/dates&gt;&lt;isbn&gt;1467-937X&lt;/isbn&gt;&lt;urls&gt;&lt;/urls&gt;&lt;/record&gt;&lt;/Cite&gt;&lt;/EndNote&gt;</w:instrText>
      </w:r>
      <w:r w:rsidR="0037789A" w:rsidRPr="00FA73AC">
        <w:rPr>
          <w:rFonts w:eastAsia="SimSun"/>
        </w:rPr>
        <w:fldChar w:fldCharType="separate"/>
      </w:r>
      <w:r w:rsidR="00AF7792">
        <w:rPr>
          <w:rFonts w:eastAsia="SimSun"/>
          <w:noProof/>
        </w:rPr>
        <w:t>(Rodrik, 1991, Bertola and Caballero, 1994)</w:t>
      </w:r>
      <w:r w:rsidR="0037789A" w:rsidRPr="00FA73AC">
        <w:rPr>
          <w:rFonts w:eastAsia="SimSun"/>
        </w:rPr>
        <w:fldChar w:fldCharType="end"/>
      </w:r>
      <w:r w:rsidR="0037789A" w:rsidRPr="00FA73AC">
        <w:rPr>
          <w:rFonts w:eastAsia="SimSun"/>
        </w:rPr>
        <w:t>.</w:t>
      </w:r>
      <w:bookmarkStart w:id="2" w:name="OLE_LINK3"/>
      <w:r w:rsidR="0037789A" w:rsidRPr="00FA73AC">
        <w:rPr>
          <w:rFonts w:eastAsia="SimSun"/>
        </w:rPr>
        <w:t xml:space="preserve"> </w:t>
      </w:r>
      <w:bookmarkEnd w:id="2"/>
      <w:r w:rsidR="0009238B" w:rsidRPr="0009238B">
        <w:rPr>
          <w:rFonts w:eastAsia="SimSun"/>
        </w:rPr>
        <w:t xml:space="preserve">However, the dynamics of power transitions in authoritarian countries present unique challenges and uncertainties for foreign firms. The succession of authoritarian rulers often introduces a heightened risk of policy reversals and shifts in foreign relations, further complicating investment decision-making processes </w:t>
      </w:r>
      <w:r w:rsidR="00964D70" w:rsidRPr="00FA73AC">
        <w:rPr>
          <w:rFonts w:eastAsia="SimSun"/>
        </w:rPr>
        <w:fldChar w:fldCharType="begin"/>
      </w:r>
      <w:r w:rsidR="005F728D">
        <w:rPr>
          <w:rFonts w:eastAsia="SimSun"/>
        </w:rPr>
        <w:instrText xml:space="preserve"> ADDIN EN.CITE &lt;EndNote&gt;&lt;Cite&gt;&lt;Author&gt;Olson&lt;/Author&gt;&lt;Year&gt;1993&lt;/Year&gt;&lt;RecNum&gt;56&lt;/RecNum&gt;&lt;DisplayText&gt;(Olson, 1993)&lt;/DisplayText&gt;&lt;record&gt;&lt;rec-number&gt;56&lt;/rec-number&gt;&lt;foreign-keys&gt;&lt;key app="EN" db-id="ta95fx9215vppiefzvh5drv7v0dsvepa0pz0" timestamp="1697130174" guid="2a706db0-83c6-43b3-be1c-9cdf5786d0b6"&gt;56&lt;/key&gt;&lt;/foreign-keys&gt;&lt;ref-type name="Journal Article"&gt;17&lt;/ref-type&gt;&lt;contributors&gt;&lt;authors&gt;&lt;author&gt;Olson, Mancur&lt;/author&gt;&lt;/authors&gt;&lt;/contributors&gt;&lt;titles&gt;&lt;title&gt;Dictatorship, democracy, and development&lt;/title&gt;&lt;secondary-title&gt;American political science review&lt;/secondary-title&gt;&lt;/titles&gt;&lt;periodical&gt;&lt;full-title&gt;American Political Science Review&lt;/full-title&gt;&lt;/periodical&gt;&lt;pages&gt;567-576&lt;/pages&gt;&lt;volume&gt;87&lt;/volume&gt;&lt;number&gt;3&lt;/number&gt;&lt;dates&gt;&lt;year&gt;1993&lt;/year&gt;&lt;/dates&gt;&lt;isbn&gt;1537-5943&lt;/isbn&gt;&lt;urls&gt;&lt;/urls&gt;&lt;/record&gt;&lt;/Cite&gt;&lt;/EndNote&gt;</w:instrText>
      </w:r>
      <w:r w:rsidR="00964D70" w:rsidRPr="00FA73AC">
        <w:rPr>
          <w:rFonts w:eastAsia="SimSun"/>
        </w:rPr>
        <w:fldChar w:fldCharType="separate"/>
      </w:r>
      <w:r w:rsidR="00AF7792">
        <w:rPr>
          <w:rFonts w:eastAsia="SimSun"/>
          <w:noProof/>
        </w:rPr>
        <w:t>(Olson, 1993)</w:t>
      </w:r>
      <w:r w:rsidR="00964D70" w:rsidRPr="00FA73AC">
        <w:rPr>
          <w:rFonts w:eastAsia="SimSun"/>
        </w:rPr>
        <w:fldChar w:fldCharType="end"/>
      </w:r>
      <w:bookmarkStart w:id="3" w:name="OLE_LINK4"/>
      <w:r w:rsidR="003C13C8" w:rsidRPr="00FA73AC">
        <w:rPr>
          <w:rFonts w:eastAsia="SimSun"/>
        </w:rPr>
        <w:t xml:space="preserve">. </w:t>
      </w:r>
    </w:p>
    <w:p w14:paraId="46181CD6" w14:textId="3B1A7D13" w:rsidR="0009238B" w:rsidRPr="00FA73AC" w:rsidRDefault="0009238B" w:rsidP="00772913">
      <w:pPr>
        <w:spacing w:line="240" w:lineRule="auto"/>
        <w:ind w:firstLine="720"/>
        <w:rPr>
          <w:rFonts w:eastAsia="SimSun"/>
        </w:rPr>
      </w:pPr>
      <w:r w:rsidRPr="0009238B">
        <w:rPr>
          <w:rFonts w:eastAsia="SimSun"/>
        </w:rPr>
        <w:t xml:space="preserve">Given the limited research on how foreign firms navigate power transitions resulting from succession in authoritarian regimes, there is a clear imperative to explore and understand the strategies employed by these firms in response to such changes. By </w:t>
      </w:r>
      <w:r w:rsidR="00B231D6">
        <w:rPr>
          <w:rFonts w:eastAsia="SimSun"/>
        </w:rPr>
        <w:t>exploring</w:t>
      </w:r>
      <w:r w:rsidRPr="0009238B">
        <w:rPr>
          <w:rFonts w:eastAsia="SimSun"/>
        </w:rPr>
        <w:t xml:space="preserve"> the nuanced dynamics of foreign investment in authoritarian contexts, </w:t>
      </w:r>
      <w:r w:rsidR="00B231D6">
        <w:rPr>
          <w:rFonts w:eastAsia="SimSun"/>
        </w:rPr>
        <w:t>research</w:t>
      </w:r>
      <w:r w:rsidRPr="0009238B">
        <w:rPr>
          <w:rFonts w:eastAsia="SimSun"/>
        </w:rPr>
        <w:t xml:space="preserve"> can contribute valuable insights to both academic discourse and practical decision-making processes </w:t>
      </w:r>
      <w:r w:rsidR="00B231D6">
        <w:rPr>
          <w:rFonts w:eastAsia="SimSun"/>
        </w:rPr>
        <w:t>in business.</w:t>
      </w:r>
      <w:bookmarkEnd w:id="3"/>
    </w:p>
    <w:p w14:paraId="39234C2A" w14:textId="60EC1C0D" w:rsidR="00DB04DC" w:rsidRDefault="004F0AAA" w:rsidP="00772913">
      <w:pPr>
        <w:spacing w:line="240" w:lineRule="auto"/>
        <w:ind w:firstLine="720"/>
      </w:pPr>
      <w:r w:rsidRPr="00FF0D33">
        <w:t xml:space="preserve">In this study, we theorized on the influence of succession in </w:t>
      </w:r>
      <w:bookmarkStart w:id="4" w:name="OLE_LINK11"/>
      <w:r w:rsidRPr="00FF0D33">
        <w:t>authoritarian countries</w:t>
      </w:r>
      <w:bookmarkEnd w:id="4"/>
      <w:r w:rsidRPr="00FF0D33">
        <w:t xml:space="preserve"> by examining foreign firms’ investment decisions. </w:t>
      </w:r>
      <w:r w:rsidR="00B231D6">
        <w:t>First, our</w:t>
      </w:r>
      <w:r w:rsidR="00B231D6" w:rsidRPr="00B231D6">
        <w:t xml:space="preserve"> study investigates the impact of successions in authoritarian regimes on foreign firms' investment decisions, focusing on Japanese firms' FDI activities in the Gulf Cooperation Council (GCC) countries from 1990 to 2019.</w:t>
      </w:r>
      <w:r w:rsidR="00B231D6">
        <w:t xml:space="preserve"> Second, w</w:t>
      </w:r>
      <w:r w:rsidR="00FF0D33" w:rsidRPr="00FA73AC">
        <w:t xml:space="preserve">e explored foreign firms’ strategic decisions based on their assessments of the </w:t>
      </w:r>
      <w:r w:rsidR="009714A6">
        <w:rPr>
          <w:rFonts w:hint="eastAsia"/>
        </w:rPr>
        <w:t>deceased king</w:t>
      </w:r>
      <w:r w:rsidR="00220653">
        <w:rPr>
          <w:rFonts w:hint="eastAsia"/>
        </w:rPr>
        <w:t>s</w:t>
      </w:r>
      <w:r w:rsidR="009714A6">
        <w:rPr>
          <w:rFonts w:hint="eastAsia"/>
        </w:rPr>
        <w:t xml:space="preserve"> and </w:t>
      </w:r>
      <w:r w:rsidR="00FF0D33" w:rsidRPr="00FA73AC">
        <w:t xml:space="preserve">anticipated successors who </w:t>
      </w:r>
      <w:r w:rsidR="00B70CC7">
        <w:rPr>
          <w:rFonts w:hint="eastAsia"/>
        </w:rPr>
        <w:t>t</w:t>
      </w:r>
      <w:r w:rsidR="00B70CC7">
        <w:t xml:space="preserve">akeover the power to </w:t>
      </w:r>
      <w:r w:rsidR="00FF0D33" w:rsidRPr="00FA73AC">
        <w:t xml:space="preserve">lead the country. We test our theories and hypotheses in the context of </w:t>
      </w:r>
      <w:r w:rsidR="00A11AFC" w:rsidRPr="00FA73AC">
        <w:t>monarchies</w:t>
      </w:r>
      <w:r w:rsidR="00FF0D33" w:rsidRPr="00FA73AC">
        <w:t xml:space="preserve"> with a significant presence in the world economy: the Arab countries in the Persian Gulf region. </w:t>
      </w:r>
      <w:r w:rsidR="00DB04DC" w:rsidRPr="00FA73AC">
        <w:t>The</w:t>
      </w:r>
      <w:r w:rsidR="006B3314" w:rsidRPr="00FA73AC">
        <w:t>se</w:t>
      </w:r>
      <w:r w:rsidR="00DB04DC" w:rsidRPr="00FA73AC">
        <w:t xml:space="preserve"> six countries Saudi Arabia, Kuwait, Bahrain, Qatar, United Arab Emirates</w:t>
      </w:r>
      <w:r w:rsidR="00633DA1" w:rsidRPr="00FA73AC">
        <w:t xml:space="preserve"> (UAE)</w:t>
      </w:r>
      <w:r w:rsidR="001E624C">
        <w:t>,</w:t>
      </w:r>
      <w:r w:rsidR="00DB04DC" w:rsidRPr="00FA73AC">
        <w:t xml:space="preserve"> and Oman form a group based on their similarities in religion, </w:t>
      </w:r>
      <w:r w:rsidR="00DB04DC" w:rsidRPr="00FA73AC">
        <w:lastRenderedPageBreak/>
        <w:t>culture, ethnical groups</w:t>
      </w:r>
      <w:r w:rsidR="001E624C">
        <w:t>,</w:t>
      </w:r>
      <w:r w:rsidR="00DB04DC" w:rsidRPr="00FA73AC">
        <w:t xml:space="preserve"> and economic structure, which is known as the Gulf Cooperation Council. </w:t>
      </w:r>
      <w:r w:rsidR="00B231D6" w:rsidRPr="00B231D6">
        <w:t>While our analysis is specific to this context, the insights derived from our study offer broader implications for understanding how foreign firms navigate significant, sudden changes in the political structures of host countries.</w:t>
      </w:r>
    </w:p>
    <w:p w14:paraId="69553D1D" w14:textId="2D47E392" w:rsidR="006B4AD1" w:rsidRPr="00FA73AC" w:rsidRDefault="003C2C2C" w:rsidP="000D1559">
      <w:pPr>
        <w:spacing w:after="0" w:line="360" w:lineRule="auto"/>
        <w:jc w:val="center"/>
        <w:rPr>
          <w:b/>
          <w:bCs/>
        </w:rPr>
      </w:pPr>
      <w:r w:rsidRPr="00FA73AC">
        <w:rPr>
          <w:b/>
          <w:bCs/>
        </w:rPr>
        <w:t>B</w:t>
      </w:r>
      <w:r w:rsidR="00AF7792">
        <w:rPr>
          <w:rFonts w:hint="eastAsia"/>
          <w:b/>
          <w:bCs/>
        </w:rPr>
        <w:t>ackground</w:t>
      </w:r>
    </w:p>
    <w:p w14:paraId="0904303C" w14:textId="54FD5607" w:rsidR="006B4AD1" w:rsidRPr="00D87930" w:rsidRDefault="006B4AD1" w:rsidP="000D1559">
      <w:pPr>
        <w:spacing w:after="0" w:line="360" w:lineRule="auto"/>
        <w:rPr>
          <w:i/>
          <w:iCs/>
        </w:rPr>
      </w:pPr>
      <w:bookmarkStart w:id="5" w:name="OLE_LINK14"/>
      <w:r w:rsidRPr="00D87930">
        <w:rPr>
          <w:i/>
          <w:iCs/>
        </w:rPr>
        <w:t xml:space="preserve">Succession and </w:t>
      </w:r>
      <w:r w:rsidR="00CE67C8">
        <w:rPr>
          <w:rFonts w:hint="eastAsia"/>
          <w:i/>
          <w:iCs/>
        </w:rPr>
        <w:t>p</w:t>
      </w:r>
      <w:r w:rsidRPr="00D87930">
        <w:rPr>
          <w:i/>
          <w:iCs/>
        </w:rPr>
        <w:t xml:space="preserve">ower </w:t>
      </w:r>
      <w:r w:rsidR="00CE67C8">
        <w:rPr>
          <w:rFonts w:hint="eastAsia"/>
          <w:i/>
          <w:iCs/>
        </w:rPr>
        <w:t>t</w:t>
      </w:r>
      <w:r w:rsidRPr="00D87930">
        <w:rPr>
          <w:i/>
          <w:iCs/>
        </w:rPr>
        <w:t xml:space="preserve">ransition </w:t>
      </w:r>
    </w:p>
    <w:p w14:paraId="4BBA5E1A" w14:textId="566030C4" w:rsidR="00825452" w:rsidRDefault="00825452" w:rsidP="00825452">
      <w:r>
        <w:t xml:space="preserve">The succession of leadership in a nation denotes the transfer of ruling power from the incumbent leader and their cohorts to successors, a process often predetermined and regulated </w:t>
      </w:r>
      <w:r w:rsidR="00E01D1B">
        <w:fldChar w:fldCharType="begin"/>
      </w:r>
      <w:r w:rsidR="005F728D">
        <w:instrText xml:space="preserve"> ADDIN EN.CITE &lt;EndNote&gt;&lt;Cite&gt;&lt;Author&gt;Frantz&lt;/Author&gt;&lt;Year&gt;2017&lt;/Year&gt;&lt;RecNum&gt;18&lt;/RecNum&gt;&lt;DisplayText&gt;(Frantz and Stein, 2017)&lt;/DisplayText&gt;&lt;record&gt;&lt;rec-number&gt;18&lt;/rec-number&gt;&lt;foreign-keys&gt;&lt;key app="EN" db-id="ta95fx9215vppiefzvh5drv7v0dsvepa0pz0" timestamp="1695733023" guid="6df50e35-9358-4e99-bce4-c82c4488c5d9"&gt;18&lt;/key&gt;&lt;/foreign-keys&gt;&lt;ref-type name="Journal Article"&gt;17&lt;/ref-type&gt;&lt;contributors&gt;&lt;authors&gt;&lt;author&gt;Frantz, Erica&lt;/author&gt;&lt;author&gt;Stein, Elizabeth A.&lt;/author&gt;&lt;/authors&gt;&lt;/contributors&gt;&lt;titles&gt;&lt;title&gt;Countering Coups: Leadership Succession Rules in Dictatorships&lt;/title&gt;&lt;secondary-title&gt;Comparative Political Studies&lt;/secondary-title&gt;&lt;/titles&gt;&lt;periodical&gt;&lt;full-title&gt;Comparative Political Studies&lt;/full-title&gt;&lt;/periodical&gt;&lt;pages&gt;935-962&lt;/pages&gt;&lt;volume&gt;50&lt;/volume&gt;&lt;number&gt;7&lt;/number&gt;&lt;keywords&gt;&lt;keyword&gt;institutionalized authoritarianism,succession rules,autocratic survival,coup d’état,dictators&lt;/keyword&gt;&lt;/keywords&gt;&lt;dates&gt;&lt;year&gt;2017&lt;/year&gt;&lt;/dates&gt;&lt;urls&gt;&lt;related-urls&gt;&lt;url&gt;https://journals.sagepub.com/doi/abs/10.1177/0010414016655538&lt;/url&gt;&lt;/related-urls&gt;&lt;/urls&gt;&lt;electronic-resource-num&gt;10.1177/0010414016655538&lt;/electronic-resource-num&gt;&lt;/record&gt;&lt;/Cite&gt;&lt;/EndNote&gt;</w:instrText>
      </w:r>
      <w:r w:rsidR="00E01D1B">
        <w:fldChar w:fldCharType="separate"/>
      </w:r>
      <w:r w:rsidR="00AF7792">
        <w:rPr>
          <w:noProof/>
        </w:rPr>
        <w:t>(Frantz and Stein, 2017)</w:t>
      </w:r>
      <w:r w:rsidR="00E01D1B">
        <w:fldChar w:fldCharType="end"/>
      </w:r>
      <w:r>
        <w:t xml:space="preserve">. Political </w:t>
      </w:r>
      <w:r w:rsidR="006E4B21">
        <w:t xml:space="preserve">Science </w:t>
      </w:r>
      <w:r>
        <w:t xml:space="preserve">research underscores succession as a crucial determinant of overall political stability </w:t>
      </w:r>
      <w:r w:rsidR="00E01D1B">
        <w:fldChar w:fldCharType="begin"/>
      </w:r>
      <w:r w:rsidR="005F728D">
        <w:instrText xml:space="preserve"> ADDIN EN.CITE &lt;EndNote&gt;&lt;Cite&gt;&lt;Author&gt;Kokkonen&lt;/Author&gt;&lt;Year&gt;2017&lt;/Year&gt;&lt;RecNum&gt;146&lt;/RecNum&gt;&lt;DisplayText&gt;(Kokkonen and Sundell, 2017, Kurrild-Klitgaard, 2000)&lt;/DisplayText&gt;&lt;record&gt;&lt;rec-number&gt;146&lt;/rec-number&gt;&lt;foreign-keys&gt;&lt;key app="EN" db-id="ta95fx9215vppiefzvh5drv7v0dsvepa0pz0" timestamp="1708845519" guid="31f2ee15-8178-482f-9797-c40a67b1b641"&gt;146&lt;/key&gt;&lt;/foreign-keys&gt;&lt;ref-type name="Journal Article"&gt;17&lt;/ref-type&gt;&lt;contributors&gt;&lt;authors&gt;&lt;author&gt;Kokkonen, Andrej&lt;/author&gt;&lt;author&gt;Sundell, Anders&lt;/author&gt;&lt;/authors&gt;&lt;/contributors&gt;&lt;titles&gt;&lt;title&gt;The King is Dead: Political Succession and War in Europe, 1000–1799&lt;/title&gt;&lt;/titles&gt;&lt;dates&gt;&lt;year&gt;2017&lt;/year&gt;&lt;/dates&gt;&lt;isbn&gt;1653-8919&lt;/isbn&gt;&lt;urls&gt;&lt;/urls&gt;&lt;/record&gt;&lt;/Cite&gt;&lt;Cite&gt;&lt;Author&gt;Kurrild-Klitgaard&lt;/Author&gt;&lt;Year&gt;2000&lt;/Year&gt;&lt;RecNum&gt;143&lt;/RecNum&gt;&lt;record&gt;&lt;rec-number&gt;143&lt;/rec-number&gt;&lt;foreign-keys&gt;&lt;key app="EN" db-id="ta95fx9215vppiefzvh5drv7v0dsvepa0pz0" timestamp="1708845274" guid="500b7850-7623-41f3-ad02-29f23fa8df7e"&gt;143&lt;/key&gt;&lt;/foreign-keys&gt;&lt;ref-type name="Journal Article"&gt;17&lt;/ref-type&gt;&lt;contributors&gt;&lt;authors&gt;&lt;author&gt;Kurrild-Klitgaard, Peter&lt;/author&gt;&lt;/authors&gt;&lt;/contributors&gt;&lt;titles&gt;&lt;title&gt;The constitutional economics of autocratic succession&lt;/title&gt;&lt;secondary-title&gt;Public Choice&lt;/secondary-title&gt;&lt;/titles&gt;&lt;periodical&gt;&lt;full-title&gt;Public Choice&lt;/full-title&gt;&lt;/periodical&gt;&lt;pages&gt;63-84&lt;/pages&gt;&lt;volume&gt;103&lt;/volume&gt;&lt;number&gt;1-2&lt;/number&gt;&lt;dates&gt;&lt;year&gt;2000&lt;/year&gt;&lt;/dates&gt;&lt;isbn&gt;0048-5829&lt;/isbn&gt;&lt;urls&gt;&lt;/urls&gt;&lt;/record&gt;&lt;/Cite&gt;&lt;/EndNote&gt;</w:instrText>
      </w:r>
      <w:r w:rsidR="00E01D1B">
        <w:fldChar w:fldCharType="separate"/>
      </w:r>
      <w:r w:rsidR="00AF7792">
        <w:rPr>
          <w:noProof/>
        </w:rPr>
        <w:t>(Kokkonen and Sundell, 2017, Kurrild-Klitgaard, 2000)</w:t>
      </w:r>
      <w:r w:rsidR="00E01D1B">
        <w:fldChar w:fldCharType="end"/>
      </w:r>
      <w:r w:rsidR="002A55F4">
        <w:t>.</w:t>
      </w:r>
      <w:r>
        <w:t xml:space="preserve"> </w:t>
      </w:r>
      <w:r w:rsidR="006E4B21">
        <w:t>S</w:t>
      </w:r>
      <w:r>
        <w:t xml:space="preserve">moothly executed successions </w:t>
      </w:r>
      <w:r w:rsidR="006E4B21">
        <w:t xml:space="preserve">enhance </w:t>
      </w:r>
      <w:r>
        <w:t xml:space="preserve">regime efficiency, credibility, and longevity, while mishandled transitions can strain a regime, even leading to its downfall </w:t>
      </w:r>
      <w:r w:rsidR="00E01D1B">
        <w:fldChar w:fldCharType="begin"/>
      </w:r>
      <w:r w:rsidR="00AF7792">
        <w:instrText xml:space="preserve"> ADDIN EN.CITE &lt;EndNote&gt;&lt;Cite&gt;&lt;Author&gt;Helms&lt;/Author&gt;&lt;Year&gt;2020&lt;/Year&gt;&lt;RecNum&gt;162&lt;/RecNum&gt;&lt;DisplayText&gt;(Helms, 2020)&lt;/DisplayText&gt;&lt;record&gt;&lt;rec-number&gt;162&lt;/rec-number&gt;&lt;foreign-keys&gt;&lt;key app="EN" db-id="ta95fx9215vppiefzvh5drv7v0dsvepa0pz0" timestamp="1708919694"&gt;162&lt;/key&gt;&lt;/foreign-keys&gt;&lt;ref-type name="Journal Article"&gt;17&lt;/ref-type&gt;&lt;contributors&gt;&lt;authors&gt;&lt;author&gt;Helms, Ludger&lt;/author&gt;&lt;/authors&gt;&lt;/contributors&gt;&lt;titles&gt;&lt;title&gt;Leadership succession in politics: The democracy/autocracy divide revisited&lt;/title&gt;&lt;secondary-title&gt;The British Journal of Politics and International Relations&lt;/secondary-title&gt;&lt;/titles&gt;&lt;periodical&gt;&lt;full-title&gt;The British Journal of Politics and International Relations&lt;/full-title&gt;&lt;/periodical&gt;&lt;pages&gt;328-346&lt;/pages&gt;&lt;volume&gt;22&lt;/volume&gt;&lt;number&gt;2&lt;/number&gt;&lt;keywords&gt;&lt;keyword&gt;autocracy,democracy,dictators,leaders,presidents,prime ministers,succession&lt;/keyword&gt;&lt;/keywords&gt;&lt;dates&gt;&lt;year&gt;2020&lt;/year&gt;&lt;/dates&gt;&lt;urls&gt;&lt;related-urls&gt;&lt;url&gt;https://journals.sagepub.com/doi/abs/10.1177/1369148120908528&lt;/url&gt;&lt;/related-urls&gt;&lt;/urls&gt;&lt;electronic-resource-num&gt;10.1177/1369148120908528&lt;/electronic-resource-num&gt;&lt;/record&gt;&lt;/Cite&gt;&lt;/EndNote&gt;</w:instrText>
      </w:r>
      <w:r w:rsidR="00E01D1B">
        <w:fldChar w:fldCharType="separate"/>
      </w:r>
      <w:r w:rsidR="00AF7792">
        <w:rPr>
          <w:noProof/>
        </w:rPr>
        <w:t>(Helms, 2020)</w:t>
      </w:r>
      <w:r w:rsidR="00E01D1B">
        <w:fldChar w:fldCharType="end"/>
      </w:r>
      <w:r>
        <w:t>.</w:t>
      </w:r>
    </w:p>
    <w:p w14:paraId="47B8D793" w14:textId="73900209" w:rsidR="00825452" w:rsidRDefault="00825452" w:rsidP="00772913">
      <w:pPr>
        <w:ind w:firstLine="720"/>
      </w:pPr>
      <w:r>
        <w:t xml:space="preserve">Smooth successions regulated by law or constitutions offer predictability in policy, whereas sudden successions due to unexpected departures or deaths are typically viewed negatively in business realms </w:t>
      </w:r>
      <w:r w:rsidR="00E01D1B">
        <w:fldChar w:fldCharType="begin"/>
      </w:r>
      <w:r w:rsidR="00AF7792">
        <w:instrText xml:space="preserve"> ADDIN EN.CITE &lt;EndNote&gt;&lt;Cite&gt;&lt;Author&gt;Clapham&lt;/Author&gt;&lt;Year&gt;1988&lt;/Year&gt;&lt;RecNum&gt;153&lt;/RecNum&gt;&lt;DisplayText&gt;(Clapham, 1988, Govea and Holm, 1998)&lt;/DisplayText&gt;&lt;record&gt;&lt;rec-number&gt;153&lt;/rec-number&gt;&lt;foreign-keys&gt;&lt;key app="EN" db-id="ta95fx9215vppiefzvh5drv7v0dsvepa0pz0" timestamp="1708919624"&gt;153&lt;/key&gt;&lt;/foreign-keys&gt;&lt;ref-type name="Journal Article"&gt;17&lt;/ref-type&gt;&lt;contributors&gt;&lt;authors&gt;&lt;author&gt;Clapham, Christopher&lt;/author&gt;&lt;/authors&gt;&lt;/contributors&gt;&lt;titles&gt;&lt;title&gt;Epilogue: Political succession in the Third World&lt;/title&gt;&lt;secondary-title&gt;Third World Quarterly&lt;/secondary-title&gt;&lt;/titles&gt;&lt;periodical&gt;&lt;full-title&gt;Third World Quarterly&lt;/full-title&gt;&lt;/periodical&gt;&lt;pages&gt;281-288&lt;/pages&gt;&lt;volume&gt;10&lt;/volume&gt;&lt;number&gt;1&lt;/number&gt;&lt;dates&gt;&lt;year&gt;1988&lt;/year&gt;&lt;pub-dates&gt;&lt;date&gt;1988/01/01&lt;/date&gt;&lt;/pub-dates&gt;&lt;/dates&gt;&lt;publisher&gt;Routledge&lt;/publisher&gt;&lt;isbn&gt;0143-6597&lt;/isbn&gt;&lt;urls&gt;&lt;related-urls&gt;&lt;url&gt;https://doi.org/10.1080/01436598808420056&lt;/url&gt;&lt;/related-urls&gt;&lt;/urls&gt;&lt;electronic-resource-num&gt;10.1080/01436598808420056&lt;/electronic-resource-num&gt;&lt;/record&gt;&lt;/Cite&gt;&lt;Cite&gt;&lt;Author&gt;Govea&lt;/Author&gt;&lt;Year&gt;1998&lt;/Year&gt;&lt;RecNum&gt;152&lt;/RecNum&gt;&lt;record&gt;&lt;rec-number&gt;152&lt;/rec-number&gt;&lt;foreign-keys&gt;&lt;key app="EN" db-id="ta95fx9215vppiefzvh5drv7v0dsvepa0pz0" timestamp="1708919622"&gt;152&lt;/key&gt;&lt;/foreign-keys&gt;&lt;ref-type name="Journal Article"&gt;17&lt;/ref-type&gt;&lt;contributors&gt;&lt;authors&gt;&lt;author&gt;Govea, Rodger M.&lt;/author&gt;&lt;author&gt;Holm, John D.&lt;/author&gt;&lt;/authors&gt;&lt;/contributors&gt;&lt;titles&gt;&lt;title&gt;Crisis, violence and political succession in Africa&lt;/title&gt;&lt;secondary-title&gt;Third World Quarterly&lt;/secondary-title&gt;&lt;/titles&gt;&lt;periodical&gt;&lt;full-title&gt;Third World Quarterly&lt;/full-title&gt;&lt;/periodical&gt;&lt;pages&gt;129-148&lt;/pages&gt;&lt;volume&gt;19&lt;/volume&gt;&lt;number&gt;1&lt;/number&gt;&lt;dates&gt;&lt;year&gt;1998&lt;/year&gt;&lt;pub-dates&gt;&lt;date&gt;1998/03/01&lt;/date&gt;&lt;/pub-dates&gt;&lt;/dates&gt;&lt;publisher&gt;Routledge&lt;/publisher&gt;&lt;isbn&gt;0143-6597&lt;/isbn&gt;&lt;urls&gt;&lt;related-urls&gt;&lt;url&gt;https://doi.org/10.1080/01436599814569&lt;/url&gt;&lt;/related-urls&gt;&lt;/urls&gt;&lt;electronic-resource-num&gt;10.1080/01436599814569&lt;/electronic-resource-num&gt;&lt;/record&gt;&lt;/Cite&gt;&lt;/EndNote&gt;</w:instrText>
      </w:r>
      <w:r w:rsidR="00E01D1B">
        <w:fldChar w:fldCharType="separate"/>
      </w:r>
      <w:r w:rsidR="00AF7792">
        <w:rPr>
          <w:noProof/>
        </w:rPr>
        <w:t>(Clapham, 1988, Govea and Holm, 1998)</w:t>
      </w:r>
      <w:r w:rsidR="00E01D1B">
        <w:fldChar w:fldCharType="end"/>
      </w:r>
      <w:r>
        <w:t xml:space="preserve">. Such transitions introduce uncertainty in policy and regulatory changes, making it challenging for firms to anticipate governmental commitments to favorable taxation, subsidies, and other policies </w:t>
      </w:r>
      <w:r w:rsidR="00E01D1B">
        <w:fldChar w:fldCharType="begin"/>
      </w:r>
      <w:r w:rsidR="005F728D">
        <w:instrText xml:space="preserve"> ADDIN EN.CITE &lt;EndNote&gt;&lt;Cite&gt;&lt;Author&gt;Rooney&lt;/Author&gt;&lt;Year&gt;2021&lt;/Year&gt;&lt;RecNum&gt;19&lt;/RecNum&gt;&lt;DisplayText&gt;(Rooney and DiLorenzo, 2021)&lt;/DisplayText&gt;&lt;record&gt;&lt;rec-number&gt;19&lt;/rec-number&gt;&lt;foreign-keys&gt;&lt;key app="EN" db-id="ta95fx9215vppiefzvh5drv7v0dsvepa0pz0" timestamp="1695744010" guid="db22bdd8-8b29-4648-ba1b-4d4ee159fc16"&gt;19&lt;/key&gt;&lt;/foreign-keys&gt;&lt;ref-type name="Journal Article"&gt;17&lt;/ref-type&gt;&lt;contributors&gt;&lt;authors&gt;&lt;author&gt;Rooney, Bryan&lt;/author&gt;&lt;author&gt;DiLorenzo, Matthew&lt;/author&gt;&lt;/authors&gt;&lt;/contributors&gt;&lt;titles&gt;&lt;title&gt;Political turnover, regime type, and investment behavior&lt;/title&gt;&lt;secondary-title&gt;International Interactions&lt;/secondary-title&gt;&lt;/titles&gt;&lt;periodical&gt;&lt;full-title&gt;International Interactions&lt;/full-title&gt;&lt;/periodical&gt;&lt;pages&gt;777-793&lt;/pages&gt;&lt;volume&gt;47&lt;/volume&gt;&lt;number&gt;4&lt;/number&gt;&lt;section&gt;777&lt;/section&gt;&lt;dates&gt;&lt;year&gt;2021&lt;/year&gt;&lt;/dates&gt;&lt;isbn&gt;0305-0629&amp;#xD;1547-7444&lt;/isbn&gt;&lt;urls&gt;&lt;/urls&gt;&lt;electronic-resource-num&gt;10.1080/03050629.2021.1898960&lt;/electronic-resource-num&gt;&lt;/record&gt;&lt;/Cite&gt;&lt;/EndNote&gt;</w:instrText>
      </w:r>
      <w:r w:rsidR="00E01D1B">
        <w:fldChar w:fldCharType="separate"/>
      </w:r>
      <w:r w:rsidR="00AF7792">
        <w:rPr>
          <w:noProof/>
        </w:rPr>
        <w:t>(Rooney and DiLorenzo, 2021)</w:t>
      </w:r>
      <w:r w:rsidR="00E01D1B">
        <w:fldChar w:fldCharType="end"/>
      </w:r>
      <w:r>
        <w:t xml:space="preserve">. Cross-country analyses reveal divergent impacts of succession, with some nations experiencing rises and others declines </w:t>
      </w:r>
      <w:r w:rsidR="00E01D1B">
        <w:fldChar w:fldCharType="begin"/>
      </w:r>
      <w:r w:rsidR="005F728D">
        <w:instrText xml:space="preserve"> ADDIN EN.CITE &lt;EndNote&gt;&lt;Cite&gt;&lt;Author&gt;Bynander&lt;/Author&gt;&lt;Year&gt;2006&lt;/Year&gt;&lt;RecNum&gt;179&lt;/RecNum&gt;&lt;DisplayText&gt;(Bynander and &amp;apos;t Hart, 2006)&lt;/DisplayText&gt;&lt;record&gt;&lt;rec-number&gt;179&lt;/rec-number&gt;&lt;foreign-keys&gt;&lt;key app="EN" db-id="ta95fx9215vppiefzvh5drv7v0dsvepa0pz0" timestamp="1708920571"&gt;179&lt;/key&gt;&lt;/foreign-keys&gt;&lt;ref-type name="Journal Article"&gt;17&lt;/ref-type&gt;&lt;contributors&gt;&lt;authors&gt;&lt;author&gt;Bynander, Fredrik&lt;/author&gt;&lt;author&gt;&amp;apos;t Hart, Paul&lt;/author&gt;&lt;/authors&gt;&lt;/contributors&gt;&lt;titles&gt;&lt;title&gt;When Power Changes Hands: The Political Psychology of Leadership Succession in Democracies&lt;/title&gt;&lt;secondary-title&gt;Political Psychology&lt;/secondary-title&gt;&lt;/titles&gt;&lt;periodical&gt;&lt;full-title&gt;Political Psychology&lt;/full-title&gt;&lt;/periodical&gt;&lt;pages&gt;707-730&lt;/pages&gt;&lt;volume&gt;27&lt;/volume&gt;&lt;number&gt;5&lt;/number&gt;&lt;dates&gt;&lt;year&gt;2006&lt;/year&gt;&lt;/dates&gt;&lt;isbn&gt;0162-895X&lt;/isbn&gt;&lt;urls&gt;&lt;related-urls&gt;&lt;url&gt;https://onlinelibrary.wiley.com/doi/abs/10.1111/j.1467-9221.2006.00529.x&lt;/url&gt;&lt;/related-urls&gt;&lt;/urls&gt;&lt;electronic-resource-num&gt;https://doi.org/10.1111/j.1467-9221.2006.00529.x&lt;/electronic-resource-num&gt;&lt;/record&gt;&lt;/Cite&gt;&lt;/EndNote&gt;</w:instrText>
      </w:r>
      <w:r w:rsidR="00E01D1B">
        <w:fldChar w:fldCharType="separate"/>
      </w:r>
      <w:r w:rsidR="005F728D">
        <w:rPr>
          <w:noProof/>
        </w:rPr>
        <w:t>(Bynander and 't Hart, 2006)</w:t>
      </w:r>
      <w:r w:rsidR="00E01D1B">
        <w:fldChar w:fldCharType="end"/>
      </w:r>
      <w:r>
        <w:t xml:space="preserve">. Even in democratic countries like the U.S., political successions breed policy uncertainty, prompting firms to withhold investments until observing new developments and formulating new strategies </w:t>
      </w:r>
      <w:r w:rsidR="00E01D1B">
        <w:fldChar w:fldCharType="begin"/>
      </w:r>
      <w:r w:rsidR="005F728D">
        <w:instrText xml:space="preserve"> ADDIN EN.CITE &lt;EndNote&gt;&lt;Cite&gt;&lt;Author&gt;Canes-Wrone&lt;/Author&gt;&lt;Year&gt;2012&lt;/Year&gt;&lt;RecNum&gt;154&lt;/RecNum&gt;&lt;DisplayText&gt;(Canes-Wrone and Park, 2012, Julio and Yook, 2012)&lt;/DisplayText&gt;&lt;record&gt;&lt;rec-number&gt;154&lt;/rec-number&gt;&lt;foreign-keys&gt;&lt;key app="EN" db-id="ta95fx9215vppiefzvh5drv7v0dsvepa0pz0" timestamp="1708919632"&gt;154&lt;/key&gt;&lt;/foreign-keys&gt;&lt;ref-type name="Journal Article"&gt;17&lt;/ref-type&gt;&lt;contributors&gt;&lt;authors&gt;&lt;author&gt;Canes-Wrone, Brandice&lt;/author&gt;&lt;author&gt;Park, Jee-Kwang&lt;/author&gt;&lt;/authors&gt;&lt;/contributors&gt;&lt;titles&gt;&lt;title&gt;Electoral business cycles in OECD countries&lt;/title&gt;&lt;secondary-title&gt;American political science review&lt;/secondary-title&gt;&lt;/titles&gt;&lt;periodical&gt;&lt;full-title&gt;American Political Science Review&lt;/full-title&gt;&lt;/periodical&gt;&lt;pages&gt;103-122&lt;/pages&gt;&lt;volume&gt;106&lt;/volume&gt;&lt;number&gt;1&lt;/number&gt;&lt;dates&gt;&lt;year&gt;2012&lt;/year&gt;&lt;/dates&gt;&lt;isbn&gt;1537-5943&lt;/isbn&gt;&lt;urls&gt;&lt;/urls&gt;&lt;/record&gt;&lt;/Cite&gt;&lt;Cite&gt;&lt;Author&gt;Julio&lt;/Author&gt;&lt;Year&gt;2012&lt;/Year&gt;&lt;RecNum&gt;51&lt;/RecNum&gt;&lt;record&gt;&lt;rec-number&gt;51&lt;/rec-number&gt;&lt;foreign-keys&gt;&lt;key app="EN" db-id="ta95fx9215vppiefzvh5drv7v0dsvepa0pz0" timestamp="1697125369" guid="20b60d4e-d089-4d61-8d29-058f3289cf2e"&gt;51&lt;/key&gt;&lt;/foreign-keys&gt;&lt;ref-type name="Journal Article"&gt;17&lt;/ref-type&gt;&lt;contributors&gt;&lt;authors&gt;&lt;author&gt;Julio, Brandon&lt;/author&gt;&lt;author&gt;Yook, Youngsuk&lt;/author&gt;&lt;/authors&gt;&lt;/contributors&gt;&lt;titles&gt;&lt;title&gt;Political Uncertainty and Corporate Investment Cycles&lt;/title&gt;&lt;secondary-title&gt;The Journal of Finance&lt;/secondary-title&gt;&lt;/titles&gt;&lt;periodical&gt;&lt;full-title&gt;The Journal of Finance&lt;/full-title&gt;&lt;/periodical&gt;&lt;pages&gt;45-83&lt;/pages&gt;&lt;volume&gt;67&lt;/volume&gt;&lt;number&gt;1&lt;/number&gt;&lt;section&gt;45&lt;/section&gt;&lt;dates&gt;&lt;year&gt;2012&lt;/year&gt;&lt;/dates&gt;&lt;isbn&gt;0022-1082&amp;#xD;1540-6261&lt;/isbn&gt;&lt;urls&gt;&lt;/urls&gt;&lt;electronic-resource-num&gt;10.1111/j.1540-6261.2011.01707.x&lt;/electronic-resource-num&gt;&lt;/record&gt;&lt;/Cite&gt;&lt;/EndNote&gt;</w:instrText>
      </w:r>
      <w:r w:rsidR="00E01D1B">
        <w:fldChar w:fldCharType="separate"/>
      </w:r>
      <w:r w:rsidR="00AF7792">
        <w:rPr>
          <w:noProof/>
        </w:rPr>
        <w:t>(Canes-Wrone and Park, 2012, Julio and Yook, 2012)</w:t>
      </w:r>
      <w:r w:rsidR="00E01D1B">
        <w:fldChar w:fldCharType="end"/>
      </w:r>
      <w:r>
        <w:t>.</w:t>
      </w:r>
    </w:p>
    <w:p w14:paraId="1932EADC" w14:textId="1F066E71" w:rsidR="00825452" w:rsidRDefault="00825452" w:rsidP="00772913">
      <w:pPr>
        <w:ind w:firstLine="720"/>
      </w:pPr>
      <w:r>
        <w:t xml:space="preserve">In authoritarian countries, successions trigger heightened responses from businesses due to the redistribution of power and authority. As authoritarian regimes near the end of their tenure, succession crises heighten political uncertainty </w:t>
      </w:r>
      <w:r w:rsidR="00E01D1B">
        <w:fldChar w:fldCharType="begin"/>
      </w:r>
      <w:r w:rsidR="005F728D">
        <w:instrText xml:space="preserve"> ADDIN EN.CITE &lt;EndNote&gt;&lt;Cite&gt;&lt;Author&gt;Bak&lt;/Author&gt;&lt;Year&gt;2016&lt;/Year&gt;&lt;RecNum&gt;16&lt;/RecNum&gt;&lt;DisplayText&gt;(Bak, 2016)&lt;/DisplayText&gt;&lt;record&gt;&lt;rec-number&gt;16&lt;/rec-number&gt;&lt;foreign-keys&gt;&lt;key app="EN" db-id="ta95fx9215vppiefzvh5drv7v0dsvepa0pz0" timestamp="1695732756" guid="952ac1d4-1d9c-4a68-8597-397c178220ed"&gt;16&lt;/key&gt;&lt;/foreign-keys&gt;&lt;ref-type name="Journal Article"&gt;17&lt;/ref-type&gt;&lt;contributors&gt;&lt;authors&gt;&lt;author&gt;Bak, Daehee&lt;/author&gt;&lt;/authors&gt;&lt;/contributors&gt;&lt;titles&gt;&lt;title&gt;Political Investment Cycles in Democracies and Autocracies&lt;/title&gt;&lt;secondary-title&gt;International Interactions&lt;/secondary-title&gt;&lt;/titles&gt;&lt;periodical&gt;&lt;full-title&gt;International Interactions&lt;/full-title&gt;&lt;/periodical&gt;&lt;pages&gt;797-819&lt;/pages&gt;&lt;volume&gt;42&lt;/volume&gt;&lt;number&gt;5&lt;/number&gt;&lt;section&gt;797&lt;/section&gt;&lt;dates&gt;&lt;year&gt;2016&lt;/year&gt;&lt;/dates&gt;&lt;isbn&gt;0305-0629&amp;#xD;1547-7444&lt;/isbn&gt;&lt;urls&gt;&lt;/urls&gt;&lt;electronic-resource-num&gt;10.1080/03050629.2016.1173547&lt;/electronic-resource-num&gt;&lt;/record&gt;&lt;/Cite&gt;&lt;/EndNote&gt;</w:instrText>
      </w:r>
      <w:r w:rsidR="00E01D1B">
        <w:fldChar w:fldCharType="separate"/>
      </w:r>
      <w:r w:rsidR="00AF7792">
        <w:rPr>
          <w:noProof/>
        </w:rPr>
        <w:t>(Bak, 2016)</w:t>
      </w:r>
      <w:r w:rsidR="00E01D1B">
        <w:fldChar w:fldCharType="end"/>
      </w:r>
      <w:r>
        <w:t xml:space="preserve">. Incumbent autocrats and elites, with settled interests, tend to manipulate the economy less </w:t>
      </w:r>
      <w:r w:rsidR="00E01D1B">
        <w:fldChar w:fldCharType="begin">
          <w:fldData xml:space="preserve">PEVuZE5vdGU+PENpdGU+PEF1dGhvcj5TY2h1bHR6PC9BdXRob3I+PFllYXI+MTk5NTwvWWVhcj48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</w:fldData>
        </w:fldChar>
      </w:r>
      <w:r w:rsidR="005F728D">
        <w:instrText xml:space="preserve"> ADDIN EN.CITE </w:instrText>
      </w:r>
      <w:r w:rsidR="005F728D">
        <w:fldChar w:fldCharType="begin">
          <w:fldData xml:space="preserve">PEVuZE5vdGU+PENpdGU+PEF1dGhvcj5TY2h1bHR6PC9BdXRob3I+PFllYXI+MTk5NTwvWWVhcj48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</w:fldData>
        </w:fldChar>
      </w:r>
      <w:r w:rsidR="005F728D">
        <w:instrText xml:space="preserve"> ADDIN EN.CITE.DATA </w:instrText>
      </w:r>
      <w:r w:rsidR="005F728D">
        <w:fldChar w:fldCharType="end"/>
      </w:r>
      <w:r w:rsidR="00E01D1B">
        <w:fldChar w:fldCharType="separate"/>
      </w:r>
      <w:r w:rsidR="00AF7792">
        <w:rPr>
          <w:noProof/>
        </w:rPr>
        <w:t>(Schultz, 1995, Krause, 2005)</w:t>
      </w:r>
      <w:r w:rsidR="00E01D1B">
        <w:fldChar w:fldCharType="end"/>
      </w:r>
      <w:r>
        <w:t xml:space="preserve">, but successions disrupt this stability, as new rulers and elites seek to establish their interests, potentially leading to macroeconomic changes and reduced growth </w:t>
      </w:r>
      <w:r w:rsidR="00E01D1B">
        <w:fldChar w:fldCharType="begin"/>
      </w:r>
      <w:r w:rsidR="00AF7792">
        <w:instrText xml:space="preserve"> ADDIN EN.CITE &lt;EndNote&gt;&lt;Cite&gt;&lt;Author&gt;Garfinkel&lt;/Author&gt;&lt;Year&gt;1994&lt;/Year&gt;&lt;RecNum&gt;166&lt;/RecNum&gt;&lt;DisplayText&gt;(Garfinkel and Glazer, 1994)&lt;/DisplayText&gt;&lt;record&gt;&lt;rec-number&gt;166&lt;/rec-number&gt;&lt;foreign-keys&gt;&lt;key app="EN" db-id="ta95fx9215vppiefzvh5drv7v0dsvepa0pz0" timestamp="1708920362"&gt;166&lt;/key&gt;&lt;/foreign-keys&gt;&lt;ref-type name="Journal Article"&gt;17&lt;/ref-type&gt;&lt;contributors&gt;&lt;authors&gt;&lt;author&gt;Garfinkel, Michelle R.&lt;/author&gt;&lt;author&gt;Glazer, Amihai&lt;/author&gt;&lt;/authors&gt;&lt;/contributors&gt;&lt;titles&gt;&lt;title&gt;Does Electoral Uncertainty Cause Economic Fluctuations?&lt;/title&gt;&lt;secondary-title&gt;The American Economic Review&lt;/secondary-title&gt;&lt;/titles&gt;&lt;periodical&gt;&lt;full-title&gt;The American Economic Review&lt;/full-title&gt;&lt;/periodical&gt;&lt;pages&gt;169-173&lt;/pages&gt;&lt;volume&gt;84&lt;/volume&gt;&lt;number&gt;2&lt;/number&gt;&lt;dates&gt;&lt;year&gt;1994&lt;/year&gt;&lt;/dates&gt;&lt;publisher&gt;American Economic Association&lt;/publisher&gt;&lt;isbn&gt;00028282&lt;/isbn&gt;&lt;urls&gt;&lt;related-urls&gt;&lt;url&gt;http://www.jstor.org/stable/2117823&lt;/url&gt;&lt;/related-urls&gt;&lt;/urls&gt;&lt;custom1&gt;Full publication date: May, 1994&lt;/custom1&gt;&lt;remote-database-name&gt;JSTOR&lt;/remote-database-name&gt;&lt;access-date&gt;2024/02/25/&lt;/access-date&gt;&lt;/record&gt;&lt;/Cite&gt;&lt;/EndNote&gt;</w:instrText>
      </w:r>
      <w:r w:rsidR="00E01D1B">
        <w:fldChar w:fldCharType="separate"/>
      </w:r>
      <w:r w:rsidR="00AF7792">
        <w:rPr>
          <w:noProof/>
        </w:rPr>
        <w:t>(Garfinkel and Glazer, 1994)</w:t>
      </w:r>
      <w:r w:rsidR="00E01D1B">
        <w:fldChar w:fldCharType="end"/>
      </w:r>
      <w:r>
        <w:t>.</w:t>
      </w:r>
    </w:p>
    <w:p w14:paraId="5168C633" w14:textId="3B2A5B1D" w:rsidR="00825452" w:rsidRDefault="00825452" w:rsidP="00772913">
      <w:pPr>
        <w:ind w:firstLine="720"/>
      </w:pPr>
      <w:r>
        <w:t xml:space="preserve">While international business research has begun examining foreign firms' responses to host country successions </w:t>
      </w:r>
      <w:r w:rsidR="00E01D1B">
        <w:fldChar w:fldCharType="begin"/>
      </w:r>
      <w:r w:rsidR="00AF7792">
        <w:instrText xml:space="preserve"> ADDIN EN.CITE &lt;EndNote&gt;&lt;Cite&gt;&lt;Author&gt;Cao&lt;/Author&gt;&lt;Year&gt;2017&lt;/Year&gt;&lt;RecNum&gt;185&lt;/RecNum&gt;&lt;DisplayText&gt;(Cao et al., 2017, Nigh, 1985)&lt;/DisplayText&gt;&lt;record&gt;&lt;rec-number&gt;185&lt;/rec-number&gt;&lt;foreign-keys&gt;&lt;key app="EN" db-id="ta95fx9215vppiefzvh5drv7v0dsvepa0pz0" timestamp="1708920743"&gt;185&lt;/key&gt;&lt;/foreign-keys&gt;&lt;ref-type name="Journal Article"&gt;17&lt;/ref-type&gt;&lt;contributors&gt;&lt;authors&gt;&lt;author&gt;Cao, Chunfang&lt;/author&gt;&lt;author&gt;Li, Xiaoyang&lt;/author&gt;&lt;author&gt;Liu, Guilin&lt;/author&gt;&lt;/authors&gt;&lt;/contributors&gt;&lt;titles&gt;&lt;title&gt;Political Uncertainty and Cross-Border Acquisitions&lt;/title&gt;&lt;secondary-title&gt;Review of Finance&lt;/secondary-title&gt;&lt;/titles&gt;&lt;periodical&gt;&lt;full-title&gt;Review of Finance&lt;/full-title&gt;&lt;/periodical&gt;&lt;pages&gt;439-470&lt;/pages&gt;&lt;volume&gt;23&lt;/volume&gt;&lt;number&gt;2&lt;/number&gt;&lt;dates&gt;&lt;year&gt;2017&lt;/year&gt;&lt;/dates&gt;&lt;isbn&gt;1572-3097&lt;/isbn&gt;&lt;urls&gt;&lt;related-urls&gt;&lt;url&gt;https://doi.org/10.1093/rof/rfx055&lt;/url&gt;&lt;/related-urls&gt;&lt;/urls&gt;&lt;electronic-resource-num&gt;10.1093/rof/rfx055&lt;/electronic-resource-num&gt;&lt;access-date&gt;2/26/2024&lt;/access-date&gt;&lt;/record&gt;&lt;/Cite&gt;&lt;Cite&gt;&lt;Author&gt;Nigh&lt;/Author&gt;&lt;Year&gt;1985&lt;/Year&gt;&lt;RecNum&gt;184&lt;/RecNum&gt;&lt;record&gt;&lt;rec-number&gt;184&lt;/rec-number&gt;&lt;foreign-keys&gt;&lt;key app="EN" db-id="ta95fx9215vppiefzvh5drv7v0dsvepa0pz0" timestamp="1708920692"&gt;184&lt;/key&gt;&lt;/foreign-keys&gt;&lt;ref-type name="Journal Article"&gt;17&lt;/ref-type&gt;&lt;contributors&gt;&lt;authors&gt;&lt;author&gt;Nigh, Douglas&lt;/author&gt;&lt;/authors&gt;&lt;/contributors&gt;&lt;titles&gt;&lt;title&gt;The Effect of Political Events on United States Direct Foreign Investment: A Pooled Time-Series Cross-Sectional Analysis&lt;/title&gt;&lt;secondary-title&gt;Journal of International Business Studies&lt;/secondary-title&gt;&lt;/titles&gt;&lt;periodical&gt;&lt;full-title&gt;Journal of International Business Studies&lt;/full-title&gt;&lt;/periodical&gt;&lt;pages&gt;1-17&lt;/pages&gt;&lt;volume&gt;16&lt;/volume&gt;&lt;number&gt;1&lt;/number&gt;&lt;dates&gt;&lt;year&gt;1985&lt;/year&gt;&lt;pub-dates&gt;&lt;date&gt;1985/03/01&lt;/date&gt;&lt;/pub-dates&gt;&lt;/dates&gt;&lt;isbn&gt;1478-6990&lt;/isbn&gt;&lt;urls&gt;&lt;related-urls&gt;&lt;url&gt;https://doi.org/10.1057/palgrave.jibs.8490439&lt;/url&gt;&lt;/related-urls&gt;&lt;/urls&gt;&lt;electronic-resource-num&gt;10.1057/palgrave.jibs.8490439&lt;/electronic-resource-num&gt;&lt;/record&gt;&lt;/Cite&gt;&lt;/EndNote&gt;</w:instrText>
      </w:r>
      <w:r w:rsidR="00E01D1B">
        <w:fldChar w:fldCharType="separate"/>
      </w:r>
      <w:r w:rsidR="00AF7792">
        <w:rPr>
          <w:noProof/>
        </w:rPr>
        <w:t>(Cao et al., 2017, Nigh, 1985)</w:t>
      </w:r>
      <w:r w:rsidR="00E01D1B">
        <w:fldChar w:fldCharType="end"/>
      </w:r>
      <w:r>
        <w:t xml:space="preserve">, there remains a lack of sufficient research. Investors, anticipating government turnover, often adopt caution and reduce overall investments </w:t>
      </w:r>
      <w:r w:rsidR="00E01D1B">
        <w:fldChar w:fldCharType="begin">
          <w:fldData xml:space="preserve">PEVuZE5vdGU+PENpdGU+PEF1dGhvcj5DaGVuPC9BdXRob3I+PFllYXI+MjAxOTwvWWVhcj48UmVj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</w:fldData>
        </w:fldChar>
      </w:r>
      <w:r w:rsidR="00AF7792">
        <w:instrText xml:space="preserve"> ADDIN EN.CITE </w:instrText>
      </w:r>
      <w:r w:rsidR="00AF7792">
        <w:fldChar w:fldCharType="begin">
          <w:fldData xml:space="preserve">PEVuZE5vdGU+PENpdGU+PEF1dGhvcj5DaGVuPC9BdXRob3I+PFllYXI+MjAxOTwvWWVhcj48UmVj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</w:fldData>
        </w:fldChar>
      </w:r>
      <w:r w:rsidR="00AF7792">
        <w:instrText xml:space="preserve"> ADDIN EN.CITE.DATA </w:instrText>
      </w:r>
      <w:r w:rsidR="00AF7792">
        <w:fldChar w:fldCharType="end"/>
      </w:r>
      <w:r w:rsidR="00E01D1B">
        <w:fldChar w:fldCharType="separate"/>
      </w:r>
      <w:r w:rsidR="00AF7792">
        <w:rPr>
          <w:noProof/>
        </w:rPr>
        <w:t>(Chen et al., 2019, Julio and Yook, 2016)</w:t>
      </w:r>
      <w:r w:rsidR="00E01D1B">
        <w:fldChar w:fldCharType="end"/>
      </w:r>
      <w:r>
        <w:t xml:space="preserve">. Empirical studies indicate that non-democratic countries experiencing domestic turnover can expect significant declines in investment </w:t>
      </w:r>
      <w:r w:rsidR="00E01D1B">
        <w:fldChar w:fldCharType="begin"/>
      </w:r>
      <w:r w:rsidR="005F728D">
        <w:instrText xml:space="preserve"> ADDIN EN.CITE &lt;EndNote&gt;&lt;Cite&gt;&lt;Author&gt;Rooney&lt;/Author&gt;&lt;Year&gt;2021&lt;/Year&gt;&lt;RecNum&gt;19&lt;/RecNum&gt;&lt;DisplayText&gt;(Rooney and DiLorenzo, 2021)&lt;/DisplayText&gt;&lt;record&gt;&lt;rec-number&gt;19&lt;/rec-number&gt;&lt;foreign-keys&gt;&lt;key app="EN" db-id="ta95fx9215vppiefzvh5drv7v0dsvepa0pz0" timestamp="1695744010" guid="db22bdd8-8b29-4648-ba1b-4d4ee159fc16"&gt;19&lt;/key&gt;&lt;/foreign-keys&gt;&lt;ref-type name="Journal Article"&gt;17&lt;/ref-type&gt;&lt;contributors&gt;&lt;authors&gt;&lt;author&gt;Rooney, Bryan&lt;/author&gt;&lt;author&gt;DiLorenzo, Matthew&lt;/author&gt;&lt;/authors&gt;&lt;/contributors&gt;&lt;titles&gt;&lt;title&gt;Political turnover, regime type, and investment behavior&lt;/title&gt;&lt;secondary-title&gt;International Interactions&lt;/secondary-title&gt;&lt;/titles&gt;&lt;periodical&gt;&lt;full-title&gt;International Interactions&lt;/full-title&gt;&lt;/periodical&gt;&lt;pages&gt;777-793&lt;/pages&gt;&lt;volume&gt;47&lt;/volume&gt;&lt;number&gt;4&lt;/number&gt;&lt;section&gt;777&lt;/section&gt;&lt;dates&gt;&lt;year&gt;2021&lt;/year&gt;&lt;/dates&gt;&lt;isbn&gt;0305-0629&amp;#xD;1547-7444&lt;/isbn&gt;&lt;urls&gt;&lt;/urls&gt;&lt;electronic-resource-num&gt;10.1080/03050629.2021.1898960&lt;/electronic-resource-num&gt;&lt;/record&gt;&lt;/Cite&gt;&lt;/EndNote&gt;</w:instrText>
      </w:r>
      <w:r w:rsidR="00E01D1B">
        <w:fldChar w:fldCharType="separate"/>
      </w:r>
      <w:r w:rsidR="00AF7792">
        <w:rPr>
          <w:noProof/>
        </w:rPr>
        <w:t>(Rooney and DiLorenzo, 2021)</w:t>
      </w:r>
      <w:r w:rsidR="00E01D1B">
        <w:fldChar w:fldCharType="end"/>
      </w:r>
      <w:r>
        <w:t>. Foreign firms may exhibit cyclical patterns when faced with authoritarian power successions (</w:t>
      </w:r>
      <w:r w:rsidR="006E4B21">
        <w:t>Bak, 2016</w:t>
      </w:r>
      <w:r>
        <w:t xml:space="preserve">). </w:t>
      </w:r>
      <w:r>
        <w:lastRenderedPageBreak/>
        <w:t xml:space="preserve">Early-stage successions are marked by intense power struggles and possible coups, resulting in low FDI inflows. As stability gradually returns, FDI levels tend to rise. However, nearing a new succession, ruling authorities may resist power transfers to new groups, leading to violence or unrest and subsequent decreases in FDI </w:t>
      </w:r>
      <w:r w:rsidR="00E01D1B">
        <w:fldChar w:fldCharType="begin"/>
      </w:r>
      <w:r w:rsidR="005F728D">
        <w:instrText xml:space="preserve"> ADDIN EN.CITE &lt;EndNote&gt;&lt;Cite&gt;&lt;Author&gt;Rooney&lt;/Author&gt;&lt;Year&gt;2021&lt;/Year&gt;&lt;RecNum&gt;19&lt;/RecNum&gt;&lt;DisplayText&gt;(Rooney and DiLorenzo, 2021, Bak, 2016)&lt;/DisplayText&gt;&lt;record&gt;&lt;rec-number&gt;19&lt;/rec-number&gt;&lt;foreign-keys&gt;&lt;key app="EN" db-id="ta95fx9215vppiefzvh5drv7v0dsvepa0pz0" timestamp="1695744010" guid="db22bdd8-8b29-4648-ba1b-4d4ee159fc16"&gt;19&lt;/key&gt;&lt;/foreign-keys&gt;&lt;ref-type name="Journal Article"&gt;17&lt;/ref-type&gt;&lt;contributors&gt;&lt;authors&gt;&lt;author&gt;Rooney, Bryan&lt;/author&gt;&lt;author&gt;DiLorenzo, Matthew&lt;/author&gt;&lt;/authors&gt;&lt;/contributors&gt;&lt;titles&gt;&lt;title&gt;Political turnover, regime type, and investment behavior&lt;/title&gt;&lt;secondary-title&gt;International Interactions&lt;/secondary-title&gt;&lt;/titles&gt;&lt;periodical&gt;&lt;full-title&gt;International Interactions&lt;/full-title&gt;&lt;/periodical&gt;&lt;pages&gt;777-793&lt;/pages&gt;&lt;volume&gt;47&lt;/volume&gt;&lt;number&gt;4&lt;/number&gt;&lt;section&gt;777&lt;/section&gt;&lt;dates&gt;&lt;year&gt;2021&lt;/year&gt;&lt;/dates&gt;&lt;isbn&gt;0305-0629&amp;#xD;1547-7444&lt;/isbn&gt;&lt;urls&gt;&lt;/urls&gt;&lt;electronic-resource-num&gt;10.1080/03050629.2021.1898960&lt;/electronic-resource-num&gt;&lt;/record&gt;&lt;/Cite&gt;&lt;Cite&gt;&lt;Author&gt;Bak&lt;/Author&gt;&lt;Year&gt;2016&lt;/Year&gt;&lt;RecNum&gt;16&lt;/RecNum&gt;&lt;record&gt;&lt;rec-number&gt;16&lt;/rec-number&gt;&lt;foreign-keys&gt;&lt;key app="EN" db-id="ta95fx9215vppiefzvh5drv7v0dsvepa0pz0" timestamp="1695732756" guid="952ac1d4-1d9c-4a68-8597-397c178220ed"&gt;16&lt;/key&gt;&lt;/foreign-keys&gt;&lt;ref-type name="Journal Article"&gt;17&lt;/ref-type&gt;&lt;contributors&gt;&lt;authors&gt;&lt;author&gt;Bak, Daehee&lt;/author&gt;&lt;/authors&gt;&lt;/contributors&gt;&lt;titles&gt;&lt;title&gt;Political Investment Cycles in Democracies and Autocracies&lt;/title&gt;&lt;secondary-title&gt;International Interactions&lt;/secondary-title&gt;&lt;/titles&gt;&lt;periodical&gt;&lt;full-title&gt;International Interactions&lt;/full-title&gt;&lt;/periodical&gt;&lt;pages&gt;797-819&lt;/pages&gt;&lt;volume&gt;42&lt;/volume&gt;&lt;number&gt;5&lt;/number&gt;&lt;section&gt;797&lt;/section&gt;&lt;dates&gt;&lt;year&gt;2016&lt;/year&gt;&lt;/dates&gt;&lt;isbn&gt;0305-0629&amp;#xD;1547-7444&lt;/isbn&gt;&lt;urls&gt;&lt;/urls&gt;&lt;electronic-resource-num&gt;10.1080/03050629.2016.1173547&lt;/electronic-resource-num&gt;&lt;/record&gt;&lt;/Cite&gt;&lt;/EndNote&gt;</w:instrText>
      </w:r>
      <w:r w:rsidR="00E01D1B">
        <w:fldChar w:fldCharType="separate"/>
      </w:r>
      <w:r w:rsidR="00AF7792">
        <w:rPr>
          <w:noProof/>
        </w:rPr>
        <w:t>(Rooney and DiLorenzo, 2021, Bak, 2016)</w:t>
      </w:r>
      <w:r w:rsidR="00E01D1B">
        <w:fldChar w:fldCharType="end"/>
      </w:r>
      <w:r>
        <w:t>.</w:t>
      </w:r>
    </w:p>
    <w:p w14:paraId="3B8868EC" w14:textId="3DE0AA79" w:rsidR="00825452" w:rsidRPr="00760461" w:rsidRDefault="00825452" w:rsidP="00772913">
      <w:pPr>
        <w:ind w:firstLine="720"/>
      </w:pPr>
      <w:r>
        <w:t>Based on prior research, we explore the impact of authoritarian successions on foreign firms' FDI strategies. Specifically, we aim to address: H</w:t>
      </w:r>
      <w:r w:rsidRPr="00FA73AC">
        <w:t xml:space="preserve">ow do foreign firms </w:t>
      </w:r>
      <w:r>
        <w:t>evaluate succession's</w:t>
      </w:r>
      <w:r w:rsidRPr="00FA73AC">
        <w:t xml:space="preserve"> potential influence</w:t>
      </w:r>
      <w:r w:rsidR="00E672B1">
        <w:t xml:space="preserve"> and what </w:t>
      </w:r>
      <w:r w:rsidRPr="00FA73AC">
        <w:t xml:space="preserve">strategies </w:t>
      </w:r>
      <w:r>
        <w:t xml:space="preserve">they employ to </w:t>
      </w:r>
      <w:r w:rsidR="00E672B1">
        <w:t>cope with it</w:t>
      </w:r>
      <w:r>
        <w:t>? These</w:t>
      </w:r>
      <w:r w:rsidRPr="00FA73AC">
        <w:t xml:space="preserve"> questions </w:t>
      </w:r>
      <w:r>
        <w:t>remain vital for understanding</w:t>
      </w:r>
      <w:r w:rsidRPr="00FA73AC">
        <w:t xml:space="preserve"> the </w:t>
      </w:r>
      <w:r>
        <w:t>relationship</w:t>
      </w:r>
      <w:r w:rsidRPr="00FA73AC">
        <w:t xml:space="preserve"> between foreign investments and domestic </w:t>
      </w:r>
      <w:r w:rsidR="00E672B1">
        <w:t>non-business</w:t>
      </w:r>
      <w:r w:rsidR="00E672B1" w:rsidRPr="00FA73AC">
        <w:t xml:space="preserve"> </w:t>
      </w:r>
      <w:r>
        <w:t>environments.</w:t>
      </w:r>
    </w:p>
    <w:bookmarkEnd w:id="5"/>
    <w:p w14:paraId="1153B415" w14:textId="562AEE07" w:rsidR="006B4AD1" w:rsidRPr="00D87930" w:rsidRDefault="006B4AD1" w:rsidP="000D1559">
      <w:pPr>
        <w:spacing w:after="0" w:line="360" w:lineRule="auto"/>
        <w:rPr>
          <w:i/>
          <w:iCs/>
        </w:rPr>
      </w:pPr>
      <w:r w:rsidRPr="00D87930">
        <w:rPr>
          <w:i/>
          <w:iCs/>
        </w:rPr>
        <w:t xml:space="preserve">GCC </w:t>
      </w:r>
      <w:r w:rsidR="00CE67C8">
        <w:rPr>
          <w:rFonts w:hint="eastAsia"/>
          <w:i/>
          <w:iCs/>
        </w:rPr>
        <w:t>c</w:t>
      </w:r>
      <w:r w:rsidRPr="00D87930">
        <w:rPr>
          <w:i/>
          <w:iCs/>
        </w:rPr>
        <w:t xml:space="preserve">ountries and </w:t>
      </w:r>
      <w:r w:rsidR="00CE67C8">
        <w:rPr>
          <w:rFonts w:hint="eastAsia"/>
          <w:i/>
          <w:iCs/>
        </w:rPr>
        <w:t>m</w:t>
      </w:r>
      <w:r w:rsidR="001245CB" w:rsidRPr="00D87930">
        <w:rPr>
          <w:i/>
          <w:iCs/>
        </w:rPr>
        <w:t>onarchical</w:t>
      </w:r>
      <w:r w:rsidR="00E825D4" w:rsidRPr="00D87930">
        <w:rPr>
          <w:i/>
          <w:iCs/>
        </w:rPr>
        <w:t xml:space="preserve"> </w:t>
      </w:r>
      <w:r w:rsidR="00CE67C8">
        <w:rPr>
          <w:rFonts w:hint="eastAsia"/>
          <w:i/>
          <w:iCs/>
        </w:rPr>
        <w:t>s</w:t>
      </w:r>
      <w:r w:rsidRPr="00D87930">
        <w:rPr>
          <w:i/>
          <w:iCs/>
        </w:rPr>
        <w:t>uccession</w:t>
      </w:r>
    </w:p>
    <w:p w14:paraId="3B794994" w14:textId="5144E488" w:rsidR="003312EB" w:rsidRPr="00FF2B4A" w:rsidRDefault="002C6219" w:rsidP="00772913">
      <w:pPr>
        <w:pStyle w:val="NormalWeb"/>
        <w:spacing w:before="0" w:beforeAutospacing="0" w:after="240" w:afterAutospacing="0"/>
        <w:rPr>
          <w:rFonts w:eastAsiaTheme="minorEastAsia"/>
        </w:rPr>
      </w:pPr>
      <w:r w:rsidRPr="00FA73AC">
        <w:t xml:space="preserve">All GCC countries are major players in the production of oil and gas, with their economies deeply rooted in oil-related industries. </w:t>
      </w:r>
      <w:r w:rsidR="00F56226" w:rsidRPr="00FA73AC">
        <w:t>GCC countries</w:t>
      </w:r>
      <w:r w:rsidR="00A51C3F" w:rsidRPr="00FA73AC">
        <w:t xml:space="preserve"> share relatively similar political structures and are characterized by commonalities</w:t>
      </w:r>
      <w:r w:rsidR="006E4B21">
        <w:t>.</w:t>
      </w:r>
      <w:r w:rsidR="00A51C3F" w:rsidRPr="00FA73AC">
        <w:t xml:space="preserve"> </w:t>
      </w:r>
      <w:r w:rsidR="006E4B21">
        <w:t>These similarities, spanning political frameworks, cultural attributes, and economic dependencies on oil, create a cohesive backdrop for examining common trends and behaviors within the region.</w:t>
      </w:r>
      <w:r w:rsidR="00A51C3F" w:rsidRPr="00FA73AC">
        <w:t xml:space="preserve"> </w:t>
      </w:r>
      <w:r w:rsidR="003312EB">
        <w:t>The shared characteristics among the GCC countries make them an apt subject for collective analysis.</w:t>
      </w:r>
    </w:p>
    <w:p w14:paraId="765207F0" w14:textId="6BD5C82D" w:rsidR="00A51C3F" w:rsidRPr="00FA73AC" w:rsidRDefault="00F9246A" w:rsidP="00772913">
      <w:pPr>
        <w:pStyle w:val="NormalWeb"/>
        <w:spacing w:before="0" w:beforeAutospacing="0" w:after="240" w:afterAutospacing="0"/>
        <w:ind w:firstLine="720"/>
      </w:pPr>
      <w:r w:rsidRPr="00FA73AC">
        <w:t>The political succession in GCC countries is akin to a monarchical transition, involving the transfer of executive authority from incumbent rulers (such as a King or Emir) to successors</w:t>
      </w:r>
      <w:r w:rsidR="00E825D4" w:rsidRPr="00FA73AC">
        <w:t xml:space="preserve"> (</w:t>
      </w:r>
      <w:r w:rsidR="007E0909" w:rsidRPr="00FA73AC">
        <w:t>such as a</w:t>
      </w:r>
      <w:r w:rsidR="00E825D4" w:rsidRPr="00FA73AC">
        <w:t xml:space="preserve"> crown prince or heir apparent)</w:t>
      </w:r>
      <w:r w:rsidRPr="00FA73AC">
        <w:t xml:space="preserve">. </w:t>
      </w:r>
      <w:r w:rsidR="001E624C" w:rsidRPr="00FA73AC">
        <w:t xml:space="preserve">Succession usually resulting from the death of the ruler, is typically unforeseen. </w:t>
      </w:r>
      <w:r w:rsidR="001245CB" w:rsidRPr="00FA73AC">
        <w:t xml:space="preserve">According to the </w:t>
      </w:r>
      <w:r w:rsidR="001E624C" w:rsidRPr="00FA73AC">
        <w:t>constitution</w:t>
      </w:r>
      <w:r w:rsidR="001E624C">
        <w:t>s of GCC countries</w:t>
      </w:r>
      <w:r w:rsidR="001245CB" w:rsidRPr="00FA73AC">
        <w:t xml:space="preserve">, the rule should </w:t>
      </w:r>
      <w:r w:rsidR="00063BF3" w:rsidRPr="00FA73AC">
        <w:t>pass</w:t>
      </w:r>
      <w:r w:rsidR="001245CB" w:rsidRPr="00FA73AC">
        <w:t xml:space="preserve"> to the </w:t>
      </w:r>
      <w:r w:rsidR="003B3EE8" w:rsidRPr="00FA73AC">
        <w:t>incumbent ruler</w:t>
      </w:r>
      <w:r w:rsidR="00F56226" w:rsidRPr="00FA73AC">
        <w:t>’s son,</w:t>
      </w:r>
      <w:r w:rsidR="003B3EE8" w:rsidRPr="00FA73AC">
        <w:t xml:space="preserve"> </w:t>
      </w:r>
      <w:r w:rsidRPr="00FA73AC">
        <w:t>brother</w:t>
      </w:r>
      <w:r w:rsidR="001E624C">
        <w:t>,</w:t>
      </w:r>
      <w:r w:rsidRPr="00FA73AC">
        <w:t xml:space="preserve"> </w:t>
      </w:r>
      <w:r w:rsidR="00F56226" w:rsidRPr="00FA73AC">
        <w:t xml:space="preserve">or </w:t>
      </w:r>
      <w:r w:rsidRPr="00FA73AC">
        <w:t>other relative</w:t>
      </w:r>
      <w:r w:rsidR="003B3EE8" w:rsidRPr="00FA73AC">
        <w:t xml:space="preserve"> from </w:t>
      </w:r>
      <w:r w:rsidR="001245CB" w:rsidRPr="00FA73AC">
        <w:t>the royal family</w:t>
      </w:r>
      <w:r w:rsidRPr="00FA73AC">
        <w:t xml:space="preserve">. </w:t>
      </w:r>
      <w:r w:rsidR="003312EB">
        <w:t>The United Arab Emirates, composed of seven emirates, operates under a system where each emirate functions as a monarchy with its own ruling family.</w:t>
      </w:r>
      <w:r w:rsidR="006E4B21">
        <w:t xml:space="preserve"> The ruler of Abu Dhabi will take the position of the president of UAE.</w:t>
      </w:r>
    </w:p>
    <w:p w14:paraId="70396667" w14:textId="7874DCD0" w:rsidR="003312EB" w:rsidRDefault="006B4AD1" w:rsidP="00772913">
      <w:pPr>
        <w:pStyle w:val="NormalWeb"/>
        <w:spacing w:before="0" w:beforeAutospacing="0" w:after="240" w:afterAutospacing="0"/>
        <w:ind w:firstLine="720"/>
      </w:pPr>
      <w:r w:rsidRPr="00FA73AC">
        <w:t xml:space="preserve"> </w:t>
      </w:r>
      <w:r w:rsidR="00B40DFD" w:rsidRPr="00FA73AC">
        <w:t>All GCC countries have institutionalized the procedure</w:t>
      </w:r>
      <w:r w:rsidR="004737BD" w:rsidRPr="00FA73AC">
        <w:t>s</w:t>
      </w:r>
      <w:r w:rsidR="00B40DFD" w:rsidRPr="00FA73AC">
        <w:t xml:space="preserve"> of monarchical succession in their legal and constitutional frameworks</w:t>
      </w:r>
      <w:r w:rsidR="004737BD" w:rsidRPr="00FA73AC">
        <w:t xml:space="preserve"> to ensure a peaceful transition and reduce the likelihood of coups</w:t>
      </w:r>
      <w:r w:rsidR="00B40DFD" w:rsidRPr="00FA73AC">
        <w:t xml:space="preserve"> </w:t>
      </w:r>
      <w:r w:rsidR="0061663B" w:rsidRPr="00FA73AC">
        <w:fldChar w:fldCharType="begin">
          <w:fldData xml:space="preserve">PEVuZE5vdGU+PENpdGU+PEF1dGhvcj5DYW50b3JpPC9BdXRob3I+PFllYXI+MjAwMjwvWWVhcj48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</w:fldData>
        </w:fldChar>
      </w:r>
      <w:r w:rsidR="00AF7792">
        <w:instrText xml:space="preserve"> ADDIN EN.CITE </w:instrText>
      </w:r>
      <w:r w:rsidR="00AF7792">
        <w:fldChar w:fldCharType="begin">
          <w:fldData xml:space="preserve">PEVuZE5vdGU+PENpdGU+PEF1dGhvcj5DYW50b3JpPC9BdXRob3I+PFllYXI+MjAwMjwvWWVhcj48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</w:fldData>
        </w:fldChar>
      </w:r>
      <w:r w:rsidR="00AF7792">
        <w:instrText xml:space="preserve"> ADDIN EN.CITE.DATA </w:instrText>
      </w:r>
      <w:r w:rsidR="00AF7792">
        <w:fldChar w:fldCharType="end"/>
      </w:r>
      <w:r w:rsidR="0061663B" w:rsidRPr="00FA73AC">
        <w:fldChar w:fldCharType="separate"/>
      </w:r>
      <w:r w:rsidR="00AF7792">
        <w:rPr>
          <w:noProof/>
        </w:rPr>
        <w:t>(Cantori et al., 2002, Cormier et al., 2016)</w:t>
      </w:r>
      <w:r w:rsidR="0061663B" w:rsidRPr="00FA73AC">
        <w:fldChar w:fldCharType="end"/>
      </w:r>
      <w:r w:rsidR="00B40DFD" w:rsidRPr="00FA73AC">
        <w:t xml:space="preserve">. </w:t>
      </w:r>
      <w:r w:rsidR="00C83615" w:rsidRPr="00FA73AC">
        <w:t>Succession takes place</w:t>
      </w:r>
      <w:r w:rsidR="00FE0CEF" w:rsidRPr="00FA73AC">
        <w:t xml:space="preserve"> according to </w:t>
      </w:r>
      <w:r w:rsidR="004737BD" w:rsidRPr="00FA73AC">
        <w:t>these procedures</w:t>
      </w:r>
      <w:r w:rsidR="00FE0CEF" w:rsidRPr="00FA73AC">
        <w:t xml:space="preserve">, or it may take place </w:t>
      </w:r>
      <w:r w:rsidR="00FE0CEF" w:rsidRPr="00FA73AC">
        <w:rPr>
          <w:i/>
          <w:iCs/>
        </w:rPr>
        <w:t>ad hoc</w:t>
      </w:r>
      <w:r w:rsidR="00FE0CEF" w:rsidRPr="00FA73AC">
        <w:t xml:space="preserve"> upon the unexpected or forced departure of a leader </w:t>
      </w:r>
      <w:r w:rsidR="00FE43FF" w:rsidRPr="00FA73AC">
        <w:fldChar w:fldCharType="begin"/>
      </w:r>
      <w:r w:rsidR="00AF7792">
        <w:instrText xml:space="preserve"> ADDIN EN.CITE &lt;EndNote&gt;&lt;Cite&gt;&lt;Author&gt;Govea&lt;/Author&gt;&lt;Year&gt;1998&lt;/Year&gt;&lt;RecNum&gt;152&lt;/RecNum&gt;&lt;DisplayText&gt;(Govea and Holm, 1998)&lt;/DisplayText&gt;&lt;record&gt;&lt;rec-number&gt;152&lt;/rec-number&gt;&lt;foreign-keys&gt;&lt;key app="EN" db-id="ta95fx9215vppiefzvh5drv7v0dsvepa0pz0" timestamp="1708919622"&gt;152&lt;/key&gt;&lt;/foreign-keys&gt;&lt;ref-type name="Journal Article"&gt;17&lt;/ref-type&gt;&lt;contributors&gt;&lt;authors&gt;&lt;author&gt;Govea, Rodger M.&lt;/author&gt;&lt;author&gt;Holm, John D.&lt;/author&gt;&lt;/authors&gt;&lt;/contributors&gt;&lt;titles&gt;&lt;title&gt;Crisis, violence and political succession in Africa&lt;/title&gt;&lt;secondary-title&gt;Third World Quarterly&lt;/secondary-title&gt;&lt;/titles&gt;&lt;periodical&gt;&lt;full-title&gt;Third World Quarterly&lt;/full-title&gt;&lt;/periodical&gt;&lt;pages&gt;129-148&lt;/pages&gt;&lt;volume&gt;19&lt;/volume&gt;&lt;number&gt;1&lt;/number&gt;&lt;dates&gt;&lt;year&gt;1998&lt;/year&gt;&lt;pub-dates&gt;&lt;date&gt;1998/03/01&lt;/date&gt;&lt;/pub-dates&gt;&lt;/dates&gt;&lt;publisher&gt;Routledge&lt;/publisher&gt;&lt;isbn&gt;0143-6597&lt;/isbn&gt;&lt;urls&gt;&lt;related-urls&gt;&lt;url&gt;https://doi.org/10.1080/01436599814569&lt;/url&gt;&lt;/related-urls&gt;&lt;/urls&gt;&lt;electronic-resource-num&gt;10.1080/01436599814569&lt;/electronic-resource-num&gt;&lt;/record&gt;&lt;/Cite&gt;&lt;/EndNote&gt;</w:instrText>
      </w:r>
      <w:r w:rsidR="00FE43FF" w:rsidRPr="00FA73AC">
        <w:fldChar w:fldCharType="separate"/>
      </w:r>
      <w:r w:rsidR="00AF7792">
        <w:rPr>
          <w:noProof/>
        </w:rPr>
        <w:t>(Govea and Holm, 1998)</w:t>
      </w:r>
      <w:r w:rsidR="00FE43FF" w:rsidRPr="00FA73AC">
        <w:fldChar w:fldCharType="end"/>
      </w:r>
      <w:r w:rsidR="00B40DFD" w:rsidRPr="00FA73AC">
        <w:t xml:space="preserve">. </w:t>
      </w:r>
      <w:r w:rsidR="003312EB" w:rsidRPr="00FE0CEF">
        <w:t xml:space="preserve">The presence of institutionalized succession mechanisms aims to ensure a peaceful transition of authority. </w:t>
      </w:r>
      <w:r w:rsidR="003312EB">
        <w:t xml:space="preserve">The ruling elite safeguards succession institutions to ensure a stable path for power transition, protecting regime survival by excluding outsiders from leadership contention </w:t>
      </w:r>
      <w:r w:rsidR="00E01D1B">
        <w:fldChar w:fldCharType="begin"/>
      </w:r>
      <w:r w:rsidR="005F728D">
        <w:instrText xml:space="preserve"> ADDIN EN.CITE &lt;EndNote&gt;&lt;Cite&gt;&lt;Author&gt;Herb&lt;/Author&gt;&lt;Year&gt;1999&lt;/Year&gt;&lt;RecNum&gt;112&lt;/RecNum&gt;&lt;DisplayText&gt;(Herb, 1999, Brownlee, 2007)&lt;/DisplayText&gt;&lt;record&gt;&lt;rec-number&gt;112&lt;/rec-number&gt;&lt;foreign-keys&gt;&lt;key app="EN" db-id="ta95fx9215vppiefzvh5drv7v0dsvepa0pz0" timestamp="1705639706" guid="0f226187-e443-4121-b354-564bf6b33df1"&gt;112&lt;/key&gt;&lt;/foreign-keys&gt;&lt;ref-type name="Book"&gt;6&lt;/ref-type&gt;&lt;contributors&gt;&lt;authors&gt;&lt;author&gt;Herb, Michael&lt;/author&gt;&lt;/authors&gt;&lt;/contributors&gt;&lt;titles&gt;&lt;title&gt;All in the family: absolutism, revolution, and democracy in Middle Eastern monarchies&lt;/title&gt;&lt;/titles&gt;&lt;dates&gt;&lt;year&gt;1999&lt;/year&gt;&lt;/dates&gt;&lt;publisher&gt;State University of New York Press&lt;/publisher&gt;&lt;isbn&gt;1438406525&lt;/isbn&gt;&lt;urls&gt;&lt;/urls&gt;&lt;/record&gt;&lt;/Cite&gt;&lt;Cite&gt;&lt;Author&gt;Brownlee&lt;/Author&gt;&lt;Year&gt;2007&lt;/Year&gt;&lt;RecNum&gt;115&lt;/RecNum&gt;&lt;record&gt;&lt;rec-number&gt;115&lt;/rec-number&gt;&lt;foreign-keys&gt;&lt;key app="EN" db-id="ta95fx9215vppiefzvh5drv7v0dsvepa0pz0" timestamp="1708693642" guid="9b7322bd-153b-4485-bd53-e2031cb7f7da"&gt;115&lt;/key&gt;&lt;/foreign-keys&gt;&lt;ref-type name="Journal Article"&gt;17&lt;/ref-type&gt;&lt;contributors&gt;&lt;authors&gt;&lt;author&gt;Brownlee, Jason&lt;/author&gt;&lt;/authors&gt;&lt;/contributors&gt;&lt;titles&gt;&lt;title&gt;Hereditary succession in modern autocracies&lt;/title&gt;&lt;secondary-title&gt;World politics&lt;/secondary-title&gt;&lt;/titles&gt;&lt;periodical&gt;&lt;full-title&gt;World politics&lt;/full-title&gt;&lt;/periodical&gt;&lt;pages&gt;595-628&lt;/pages&gt;&lt;volume&gt;59&lt;/volume&gt;&lt;number&gt;4&lt;/number&gt;&lt;dates&gt;&lt;year&gt;2007&lt;/year&gt;&lt;/dates&gt;&lt;isbn&gt;1086-3338&lt;/isbn&gt;&lt;urls&gt;&lt;/urls&gt;&lt;/record&gt;&lt;/Cite&gt;&lt;/EndNote&gt;</w:instrText>
      </w:r>
      <w:r w:rsidR="00E01D1B">
        <w:fldChar w:fldCharType="separate"/>
      </w:r>
      <w:r w:rsidR="00AF7792">
        <w:rPr>
          <w:noProof/>
        </w:rPr>
        <w:t>(Herb, 1999, Brownlee, 2007)</w:t>
      </w:r>
      <w:r w:rsidR="00E01D1B">
        <w:fldChar w:fldCharType="end"/>
      </w:r>
      <w:r w:rsidR="003312EB" w:rsidRPr="00DB04DC">
        <w:t>.</w:t>
      </w:r>
      <w:r w:rsidR="003312EB">
        <w:t xml:space="preserve"> </w:t>
      </w:r>
    </w:p>
    <w:p w14:paraId="7E86D977" w14:textId="2403C061" w:rsidR="003312EB" w:rsidRDefault="003312EB" w:rsidP="00772913">
      <w:pPr>
        <w:pStyle w:val="NormalWeb"/>
        <w:spacing w:before="0" w:beforeAutospacing="0" w:after="240" w:afterAutospacing="0"/>
        <w:ind w:firstLine="720"/>
      </w:pPr>
      <w:r w:rsidRPr="00772913">
        <w:t xml:space="preserve">A succession based on primogeniture </w:t>
      </w:r>
      <w:r w:rsidR="00860EA9">
        <w:t>is to reduce uncertainties in successors</w:t>
      </w:r>
      <w:r w:rsidRPr="00772913">
        <w:t xml:space="preserve">. In </w:t>
      </w:r>
      <w:r w:rsidR="00860EA9">
        <w:t>a system of</w:t>
      </w:r>
      <w:r w:rsidRPr="00772913">
        <w:t xml:space="preserve"> primogeniture</w:t>
      </w:r>
      <w:r w:rsidR="00860EA9">
        <w:t xml:space="preserve">, </w:t>
      </w:r>
      <w:r w:rsidRPr="00772913">
        <w:t>only one viable contender for the throne</w:t>
      </w:r>
      <w:r w:rsidR="00860EA9">
        <w:t xml:space="preserve"> is legitimate, i.e., </w:t>
      </w:r>
      <w:r w:rsidRPr="00772913">
        <w:t>the crown prince</w:t>
      </w:r>
      <w:r w:rsidR="00860EA9">
        <w:t xml:space="preserve">, who is to be crowned and </w:t>
      </w:r>
      <w:r w:rsidRPr="00772913">
        <w:t xml:space="preserve">become the new autocrat </w:t>
      </w:r>
      <w:r w:rsidR="00860EA9">
        <w:t xml:space="preserve">when </w:t>
      </w:r>
      <w:r w:rsidRPr="00772913">
        <w:t xml:space="preserve">the incumbent </w:t>
      </w:r>
      <w:r w:rsidR="00860EA9">
        <w:t>dies</w:t>
      </w:r>
      <w:r w:rsidRPr="00772913">
        <w:t xml:space="preserve">. A crown prince </w:t>
      </w:r>
      <w:r w:rsidR="00860EA9">
        <w:t>hence provides</w:t>
      </w:r>
      <w:r w:rsidRPr="00772913">
        <w:t xml:space="preserve"> the regime with </w:t>
      </w:r>
      <w:r w:rsidR="00A06B75">
        <w:t xml:space="preserve">a level of certainty </w:t>
      </w:r>
      <w:r w:rsidR="00E01D1B">
        <w:fldChar w:fldCharType="begin"/>
      </w:r>
      <w:r w:rsidR="005F728D">
        <w:instrText xml:space="preserve"> ADDIN EN.CITE &lt;EndNote&gt;&lt;Cite&gt;&lt;Author&gt;Kokkonen&lt;/Author&gt;&lt;Year&gt;2014&lt;/Year&gt;&lt;RecNum&gt;12&lt;/RecNum&gt;&lt;DisplayText&gt;(Kokkonen and Sundell, 2014)&lt;/DisplayText&gt;&lt;record&gt;&lt;rec-number&gt;12&lt;/rec-number&gt;&lt;foreign-keys&gt;&lt;key app="EN" db-id="ta95fx9215vppiefzvh5drv7v0dsvepa0pz0" timestamp="1695716402" guid="706946ac-2223-4b66-8352-03b2b53f7e15"&gt;12&lt;/key&gt;&lt;/foreign-keys&gt;&lt;ref-type name="Journal Article"&gt;17&lt;/ref-type&gt;&lt;contributors&gt;&lt;authors&gt;&lt;author&gt;Kokkonen, Andrej&lt;/author&gt;&lt;author&gt;Sundell, Anders&lt;/author&gt;&lt;/authors&gt;&lt;/contributors&gt;&lt;titles&gt;&lt;title&gt;Delivering Stability—Primogeniture and Autocratic Survival in European Monarchies 1000–1800&lt;/title&gt;&lt;secondary-title&gt;American Political Science Review&lt;/secondary-title&gt;&lt;/titles&gt;&lt;periodical&gt;&lt;full-title&gt;American Political Science Review&lt;/full-title&gt;&lt;/periodical&gt;&lt;pages&gt;438-453&lt;/pages&gt;&lt;volume&gt;108&lt;/volume&gt;&lt;number&gt;2&lt;/number&gt;&lt;edition&gt;2014/04/28&lt;/edition&gt;&lt;dates&gt;&lt;year&gt;2014&lt;/year&gt;&lt;/dates&gt;&lt;publisher&gt;Cambridge University Press&lt;/publisher&gt;&lt;isbn&gt;0003-0554&lt;/isbn&gt;&lt;urls&gt;&lt;related-urls&gt;&lt;url&gt;https://www.cambridge.org/core/article/delivering-stabilityprimogeniture-and-autocratic-survival-in-european-monarchies-10001800/2399079C174599A840E5230E8827609C&lt;/url&gt;&lt;/related-urls&gt;&lt;/urls&gt;&lt;electronic-resource-num&gt;10.1017/S000305541400015X&lt;/electronic-resource-num&gt;&lt;remote-database-name&gt;Cambridge Core&lt;/remote-database-name&gt;&lt;remote-database-provider&gt;Cambridge University Press&lt;/remote-database-provider&gt;&lt;/record&gt;&lt;/Cite&gt;&lt;/EndNote&gt;</w:instrText>
      </w:r>
      <w:r w:rsidR="00E01D1B">
        <w:fldChar w:fldCharType="separate"/>
      </w:r>
      <w:r w:rsidR="00AF7792">
        <w:rPr>
          <w:noProof/>
        </w:rPr>
        <w:t xml:space="preserve">(Kokkonen and </w:t>
      </w:r>
      <w:r w:rsidR="00AF7792">
        <w:rPr>
          <w:noProof/>
        </w:rPr>
        <w:lastRenderedPageBreak/>
        <w:t>Sundell, 2014)</w:t>
      </w:r>
      <w:r w:rsidR="00E01D1B">
        <w:fldChar w:fldCharType="end"/>
      </w:r>
      <w:r w:rsidR="00860EA9" w:rsidRPr="006B46D2">
        <w:t>.</w:t>
      </w:r>
      <w:r w:rsidRPr="00772913">
        <w:t xml:space="preserve"> If the members of the regime remain loyal to the crown prince the regime will live on after the incumbent autocrat passes away</w:t>
      </w:r>
      <w:r w:rsidR="00AD0BF0">
        <w:rPr>
          <w:rFonts w:eastAsiaTheme="minorEastAsia" w:hint="eastAsia"/>
        </w:rPr>
        <w:t>.</w:t>
      </w:r>
      <w:r w:rsidRPr="00772913">
        <w:t xml:space="preserve"> </w:t>
      </w:r>
    </w:p>
    <w:p w14:paraId="5892DBE6" w14:textId="5C8ABD2A" w:rsidR="009F28AE" w:rsidRDefault="009F28AE" w:rsidP="00772913">
      <w:pPr>
        <w:pStyle w:val="NormalWeb"/>
        <w:spacing w:before="0" w:beforeAutospacing="0" w:after="240" w:afterAutospacing="0"/>
        <w:ind w:firstLine="720"/>
        <w:rPr>
          <w:rFonts w:eastAsia="TT42B8O00"/>
        </w:rPr>
      </w:pPr>
      <w:r w:rsidRPr="00FA73AC">
        <w:t>Nevertheless, examination</w:t>
      </w:r>
      <w:r w:rsidR="008D1051" w:rsidRPr="00FA73AC">
        <w:t>s</w:t>
      </w:r>
      <w:r w:rsidRPr="00FA73AC">
        <w:t xml:space="preserve"> of domestic affairs in each ruling regime reveal that authority transition is sometimes fraught with difficulties</w:t>
      </w:r>
      <w:r w:rsidR="00957986" w:rsidRPr="00FA73AC">
        <w:t xml:space="preserve"> </w:t>
      </w:r>
      <w:r w:rsidR="00957986" w:rsidRPr="00FA73AC">
        <w:fldChar w:fldCharType="begin"/>
      </w:r>
      <w:r w:rsidR="005F728D">
        <w:instrText xml:space="preserve"> ADDIN EN.CITE &lt;EndNote&gt;&lt;Cite&gt;&lt;Author&gt;Cantori&lt;/Author&gt;&lt;Year&gt;2002&lt;/Year&gt;&lt;RecNum&gt;27&lt;/RecNum&gt;&lt;DisplayText&gt;(Cantori et al., 2002)&lt;/DisplayText&gt;&lt;record&gt;&lt;rec-number&gt;27&lt;/rec-number&gt;&lt;foreign-keys&gt;&lt;key app="EN" db-id="ta95fx9215vppiefzvh5drv7v0dsvepa0pz0" timestamp="1695786490" guid="0767f91e-4622-46fb-9732-3c0663e1ef6e"&gt;27&lt;/key&gt;&lt;/foreign-keys&gt;&lt;ref-type name="Journal Article"&gt;17&lt;/ref-type&gt;&lt;contributors&gt;&lt;authors&gt;&lt;author&gt;Cantori, Louis J&lt;/author&gt;&lt;author&gt;Jacoby, Tim&lt;/author&gt;&lt;author&gt;Carapico, Sheila&lt;/author&gt;&lt;author&gt;Shehata, Samer&lt;/author&gt;&lt;author&gt;Lust–Okar, Ellen&lt;/author&gt;&lt;author&gt;Bargu–Hasturk, Banu&lt;/author&gt;&lt;author&gt;Robinson, Glenn E&lt;/author&gt;&lt;author&gt;Al–Kitbi, Ebtesam&lt;/author&gt;&lt;/authors&gt;&lt;/contributors&gt;&lt;titles&gt;&lt;title&gt;Political succession in the Middle East&lt;/title&gt;&lt;secondary-title&gt;Middle East Policy&lt;/secondary-title&gt;&lt;/titles&gt;&lt;periodical&gt;&lt;full-title&gt;Middle East Policy&lt;/full-title&gt;&lt;/periodical&gt;&lt;pages&gt;105-123&lt;/pages&gt;&lt;volume&gt;9&lt;/volume&gt;&lt;number&gt;3&lt;/number&gt;&lt;dates&gt;&lt;year&gt;2002&lt;/year&gt;&lt;/dates&gt;&lt;isbn&gt;1061-1924&lt;/isbn&gt;&lt;urls&gt;&lt;/urls&gt;&lt;/record&gt;&lt;/Cite&gt;&lt;/EndNote&gt;</w:instrText>
      </w:r>
      <w:r w:rsidR="00957986" w:rsidRPr="00FA73AC">
        <w:fldChar w:fldCharType="separate"/>
      </w:r>
      <w:r w:rsidR="00AF7792">
        <w:rPr>
          <w:noProof/>
        </w:rPr>
        <w:t>(Cantori et al., 2002)</w:t>
      </w:r>
      <w:r w:rsidR="00957986" w:rsidRPr="00FA73AC">
        <w:fldChar w:fldCharType="end"/>
      </w:r>
      <w:r w:rsidR="003B3EE8" w:rsidRPr="00FA73AC">
        <w:t>.</w:t>
      </w:r>
      <w:r w:rsidRPr="00FA73AC">
        <w:t xml:space="preserve"> </w:t>
      </w:r>
      <w:r w:rsidR="008D1051" w:rsidRPr="00FA73AC">
        <w:t>I</w:t>
      </w:r>
      <w:r w:rsidR="00CB1D5A" w:rsidRPr="00FA73AC">
        <w:t xml:space="preserve">n practice, the criteria for a successor can be ambiguous, primarily depending on the </w:t>
      </w:r>
      <w:r w:rsidR="008D1051" w:rsidRPr="00FA73AC">
        <w:t>ruler</w:t>
      </w:r>
      <w:r w:rsidR="00CB1D5A" w:rsidRPr="00FA73AC">
        <w:t xml:space="preserve">'s willingness. </w:t>
      </w:r>
      <w:r w:rsidR="008D1051" w:rsidRPr="00FA73AC">
        <w:t xml:space="preserve">The determined successor may be replaced at any time. </w:t>
      </w:r>
      <w:r w:rsidR="00DD59CF" w:rsidRPr="00FA73AC">
        <w:t>Besides, t</w:t>
      </w:r>
      <w:r w:rsidRPr="00FA73AC">
        <w:t xml:space="preserve">he succession brings about a range of changes </w:t>
      </w:r>
      <w:r w:rsidR="00DD59CF" w:rsidRPr="00FA73AC">
        <w:t xml:space="preserve">during </w:t>
      </w:r>
      <w:r w:rsidRPr="00FA73AC">
        <w:t>power transitions</w:t>
      </w:r>
      <w:r w:rsidR="00DD59CF" w:rsidRPr="00FA73AC">
        <w:t xml:space="preserve">. New ruler </w:t>
      </w:r>
      <w:r w:rsidR="00CB1D5A" w:rsidRPr="00FA73AC">
        <w:t xml:space="preserve">shall initiate substantial </w:t>
      </w:r>
      <w:r w:rsidR="004737BD" w:rsidRPr="00FA73AC">
        <w:t>reforms</w:t>
      </w:r>
      <w:r w:rsidR="00CB1D5A" w:rsidRPr="00FA73AC">
        <w:rPr>
          <w:rFonts w:eastAsia="TT42B8O00"/>
        </w:rPr>
        <w:t xml:space="preserve"> to establish legitimacy and preserve stability in politics</w:t>
      </w:r>
      <w:r w:rsidR="004737BD" w:rsidRPr="00FA73AC">
        <w:rPr>
          <w:rFonts w:eastAsia="TT42B8O00"/>
        </w:rPr>
        <w:t xml:space="preserve">, </w:t>
      </w:r>
      <w:r w:rsidR="00CB1D5A" w:rsidRPr="00FA73AC">
        <w:rPr>
          <w:rFonts w:eastAsia="TT42B8O00"/>
        </w:rPr>
        <w:t>economy</w:t>
      </w:r>
      <w:r w:rsidR="004737BD" w:rsidRPr="00FA73AC">
        <w:rPr>
          <w:rFonts w:eastAsia="TT42B8O00"/>
        </w:rPr>
        <w:t xml:space="preserve"> and military</w:t>
      </w:r>
      <w:r w:rsidR="00C56A4E" w:rsidRPr="00FA73AC">
        <w:rPr>
          <w:rFonts w:eastAsia="TT42B8O00"/>
        </w:rPr>
        <w:t xml:space="preserve"> </w:t>
      </w:r>
      <w:r w:rsidR="00C56A4E" w:rsidRPr="00FA73AC">
        <w:rPr>
          <w:rFonts w:eastAsia="TT42B8O00"/>
        </w:rPr>
        <w:fldChar w:fldCharType="begin"/>
      </w:r>
      <w:r w:rsidR="005F728D">
        <w:rPr>
          <w:rFonts w:eastAsia="TT42B8O00"/>
        </w:rPr>
        <w:instrText xml:space="preserve"> ADDIN EN.CITE &lt;EndNote&gt;&lt;Cite&gt;&lt;Author&gt;Rathmell&lt;/Author&gt;&lt;Year&gt;2000&lt;/Year&gt;&lt;RecNum&gt;103&lt;/RecNum&gt;&lt;DisplayText&gt;(Rathmell and Schulze, 2000)&lt;/DisplayText&gt;&lt;record&gt;&lt;rec-number&gt;103&lt;/rec-number&gt;&lt;foreign-keys&gt;&lt;key app="EN" db-id="ta95fx9215vppiefzvh5drv7v0dsvepa0pz0" timestamp="1703453054" guid="b4ecdfae-e5bc-40bb-9601-c4c40e62bed5"&gt;103&lt;/key&gt;&lt;/foreign-keys&gt;&lt;ref-type name="Journal Article"&gt;17&lt;/ref-type&gt;&lt;contributors&gt;&lt;authors&gt;&lt;author&gt;Rathmell, Andrew&lt;/author&gt;&lt;author&gt;Schulze, Kirsten&lt;/author&gt;&lt;/authors&gt;&lt;/contributors&gt;&lt;titles&gt;&lt;title&gt;Political reform in the Gulf: The case of Qatar&lt;/title&gt;&lt;secondary-title&gt;Middle Eastern Studies&lt;/secondary-title&gt;&lt;/titles&gt;&lt;periodical&gt;&lt;full-title&gt;Middle Eastern Studies&lt;/full-title&gt;&lt;/periodical&gt;&lt;pages&gt;47-62&lt;/pages&gt;&lt;dates&gt;&lt;year&gt;2000&lt;/year&gt;&lt;/dates&gt;&lt;isbn&gt;0026-3206&lt;/isbn&gt;&lt;urls&gt;&lt;/urls&gt;&lt;/record&gt;&lt;/Cite&gt;&lt;/EndNote&gt;</w:instrText>
      </w:r>
      <w:r w:rsidR="00C56A4E" w:rsidRPr="00FA73AC">
        <w:rPr>
          <w:rFonts w:eastAsia="TT42B8O00"/>
        </w:rPr>
        <w:fldChar w:fldCharType="separate"/>
      </w:r>
      <w:r w:rsidR="00AF7792">
        <w:rPr>
          <w:rFonts w:eastAsia="TT42B8O00"/>
          <w:noProof/>
        </w:rPr>
        <w:t>(Rathmell and Schulze, 2000)</w:t>
      </w:r>
      <w:r w:rsidR="00C56A4E" w:rsidRPr="00FA73AC">
        <w:rPr>
          <w:rFonts w:eastAsia="TT42B8O00"/>
        </w:rPr>
        <w:fldChar w:fldCharType="end"/>
      </w:r>
      <w:r w:rsidR="003B3EE8" w:rsidRPr="00FA73AC">
        <w:rPr>
          <w:rFonts w:eastAsia="TT42B8O00"/>
        </w:rPr>
        <w:t>.</w:t>
      </w:r>
      <w:r w:rsidR="00CB1D5A" w:rsidRPr="00FA73AC">
        <w:rPr>
          <w:rFonts w:eastAsia="TT42B8O00"/>
        </w:rPr>
        <w:t xml:space="preserve"> </w:t>
      </w:r>
    </w:p>
    <w:p w14:paraId="500A777E" w14:textId="64280DAA" w:rsidR="003312EB" w:rsidRPr="00DB04DC" w:rsidRDefault="003312EB" w:rsidP="00772913">
      <w:pPr>
        <w:pStyle w:val="NormalWeb"/>
        <w:spacing w:before="0" w:beforeAutospacing="0" w:after="240" w:afterAutospacing="0"/>
        <w:ind w:firstLine="720"/>
      </w:pPr>
      <w:r>
        <w:t>The succession brings about a range of changes in power transitions at various levels in the country. As the newly crowned king assumes authority, he shall initiate change substantial changes in ministerial positions, state-owned financial institutions, and military leadership</w:t>
      </w:r>
      <w:r>
        <w:rPr>
          <w:rFonts w:eastAsia="TT42B8O00"/>
        </w:rPr>
        <w:t xml:space="preserve">. </w:t>
      </w:r>
      <w:r w:rsidRPr="00CB1D5A">
        <w:rPr>
          <w:rFonts w:eastAsia="TT42B8O00"/>
        </w:rPr>
        <w:t>As the previous ruling elites come under pressure to initiate change, the incoming leadership is inclined to implement changes and reforms to establish legitimacy and preserve stability in both politics and the economy</w:t>
      </w:r>
      <w:r>
        <w:rPr>
          <w:rFonts w:eastAsia="TT42B8O00"/>
        </w:rPr>
        <w:t xml:space="preserve"> </w:t>
      </w:r>
      <w:r>
        <w:rPr>
          <w:rFonts w:eastAsia="TT42B8O00"/>
        </w:rPr>
        <w:fldChar w:fldCharType="begin"/>
      </w:r>
      <w:r w:rsidR="005F728D">
        <w:rPr>
          <w:rFonts w:eastAsia="TT42B8O00"/>
        </w:rPr>
        <w:instrText xml:space="preserve"> ADDIN EN.CITE &lt;EndNote&gt;&lt;Cite&gt;&lt;Author&gt;Rathmell&lt;/Author&gt;&lt;Year&gt;2000&lt;/Year&gt;&lt;RecNum&gt;103&lt;/RecNum&gt;&lt;DisplayText&gt;(Rathmell and Schulze, 2000)&lt;/DisplayText&gt;&lt;record&gt;&lt;rec-number&gt;103&lt;/rec-number&gt;&lt;foreign-keys&gt;&lt;key app="EN" db-id="ta95fx9215vppiefzvh5drv7v0dsvepa0pz0" timestamp="1703453054" guid="b4ecdfae-e5bc-40bb-9601-c4c40e62bed5"&gt;103&lt;/key&gt;&lt;/foreign-keys&gt;&lt;ref-type name="Journal Article"&gt;17&lt;/ref-type&gt;&lt;contributors&gt;&lt;authors&gt;&lt;author&gt;Rathmell, Andrew&lt;/author&gt;&lt;author&gt;Schulze, Kirsten&lt;/author&gt;&lt;/authors&gt;&lt;/contributors&gt;&lt;titles&gt;&lt;title&gt;Political reform in the Gulf: The case of Qatar&lt;/title&gt;&lt;secondary-title&gt;Middle Eastern Studies&lt;/secondary-title&gt;&lt;/titles&gt;&lt;periodical&gt;&lt;full-title&gt;Middle Eastern Studies&lt;/full-title&gt;&lt;/periodical&gt;&lt;pages&gt;47-62&lt;/pages&gt;&lt;dates&gt;&lt;year&gt;2000&lt;/year&gt;&lt;/dates&gt;&lt;isbn&gt;0026-3206&lt;/isbn&gt;&lt;urls&gt;&lt;/urls&gt;&lt;/record&gt;&lt;/Cite&gt;&lt;/EndNote&gt;</w:instrText>
      </w:r>
      <w:r>
        <w:rPr>
          <w:rFonts w:eastAsia="TT42B8O00"/>
        </w:rPr>
        <w:fldChar w:fldCharType="separate"/>
      </w:r>
      <w:r w:rsidR="00AF7792">
        <w:rPr>
          <w:rFonts w:eastAsia="TT42B8O00"/>
          <w:noProof/>
        </w:rPr>
        <w:t>(Rathmell and Schulze, 2000)</w:t>
      </w:r>
      <w:r>
        <w:rPr>
          <w:rFonts w:eastAsia="TT42B8O00"/>
        </w:rPr>
        <w:fldChar w:fldCharType="end"/>
      </w:r>
      <w:r w:rsidR="000D1559">
        <w:rPr>
          <w:rFonts w:eastAsia="TT42B8O00"/>
        </w:rPr>
        <w:t>.</w:t>
      </w:r>
    </w:p>
    <w:p w14:paraId="1A2DCB11" w14:textId="6235B331" w:rsidR="00DB04DC" w:rsidRPr="00FA73AC" w:rsidRDefault="00AF7792" w:rsidP="000D1559">
      <w:pPr>
        <w:spacing w:after="0" w:line="360" w:lineRule="auto"/>
        <w:jc w:val="center"/>
        <w:rPr>
          <w:b/>
        </w:rPr>
      </w:pPr>
      <w:r>
        <w:rPr>
          <w:rFonts w:hint="eastAsia"/>
          <w:b/>
        </w:rPr>
        <w:t xml:space="preserve">Theory and </w:t>
      </w:r>
      <w:r w:rsidR="00CE67C8">
        <w:rPr>
          <w:rFonts w:hint="eastAsia"/>
          <w:b/>
        </w:rPr>
        <w:t>h</w:t>
      </w:r>
      <w:r>
        <w:rPr>
          <w:rFonts w:hint="eastAsia"/>
          <w:b/>
        </w:rPr>
        <w:t xml:space="preserve">ypothesis </w:t>
      </w:r>
      <w:r w:rsidR="00CE67C8">
        <w:rPr>
          <w:rFonts w:hint="eastAsia"/>
          <w:b/>
        </w:rPr>
        <w:t>d</w:t>
      </w:r>
      <w:r>
        <w:rPr>
          <w:rFonts w:hint="eastAsia"/>
          <w:b/>
        </w:rPr>
        <w:t>evelopment</w:t>
      </w:r>
    </w:p>
    <w:p w14:paraId="69D3FC8D" w14:textId="591E9B98" w:rsidR="00DB04DC" w:rsidRPr="00D87930" w:rsidRDefault="00685779" w:rsidP="00772913">
      <w:pPr>
        <w:spacing w:line="240" w:lineRule="auto"/>
        <w:rPr>
          <w:i/>
          <w:iCs/>
        </w:rPr>
      </w:pPr>
      <w:r w:rsidRPr="00D87930">
        <w:rPr>
          <w:i/>
          <w:iCs/>
        </w:rPr>
        <w:t>S</w:t>
      </w:r>
      <w:r w:rsidR="007738A5" w:rsidRPr="00D87930">
        <w:rPr>
          <w:i/>
          <w:iCs/>
        </w:rPr>
        <w:t>uccession and FDI</w:t>
      </w:r>
    </w:p>
    <w:p w14:paraId="519F54E2" w14:textId="177F70B1" w:rsidR="009F603A" w:rsidRPr="00FA73AC" w:rsidRDefault="00FE088F" w:rsidP="00772913">
      <w:pPr>
        <w:pStyle w:val="NormalWeb"/>
        <w:spacing w:before="0" w:beforeAutospacing="0" w:after="240" w:afterAutospacing="0"/>
      </w:pPr>
      <w:r w:rsidRPr="00FA73AC">
        <w:t xml:space="preserve">The </w:t>
      </w:r>
      <w:r w:rsidR="008D35E9" w:rsidRPr="00FA73AC">
        <w:t xml:space="preserve">impact of political succession on economic life has been studied in prior research, spanning across countries and democratic societies </w:t>
      </w:r>
      <w:r w:rsidRPr="00FA73AC">
        <w:fldChar w:fldCharType="begin"/>
      </w:r>
      <w:r w:rsidR="005F728D">
        <w:instrText xml:space="preserve"> ADDIN EN.CITE &lt;EndNote&gt;&lt;Cite&gt;&lt;Author&gt;Julio&lt;/Author&gt;&lt;Year&gt;2012&lt;/Year&gt;&lt;RecNum&gt;51&lt;/RecNum&gt;&lt;DisplayText&gt;(Julio and Yook, 2012)&lt;/DisplayText&gt;&lt;record&gt;&lt;rec-number&gt;51&lt;/rec-number&gt;&lt;foreign-keys&gt;&lt;key app="EN" db-id="ta95fx9215vppiefzvh5drv7v0dsvepa0pz0" timestamp="1697125369" guid="20b60d4e-d089-4d61-8d29-058f3289cf2e"&gt;51&lt;/key&gt;&lt;/foreign-keys&gt;&lt;ref-type name="Journal Article"&gt;17&lt;/ref-type&gt;&lt;contributors&gt;&lt;authors&gt;&lt;author&gt;Julio, Brandon&lt;/author&gt;&lt;author&gt;Yook, Youngsuk&lt;/author&gt;&lt;/authors&gt;&lt;/contributors&gt;&lt;titles&gt;&lt;title&gt;Political Uncertainty and Corporate Investment Cycles&lt;/title&gt;&lt;secondary-title&gt;The Journal of Finance&lt;/secondary-title&gt;&lt;/titles&gt;&lt;periodical&gt;&lt;full-title&gt;The Journal of Finance&lt;/full-title&gt;&lt;/periodical&gt;&lt;pages&gt;45-83&lt;/pages&gt;&lt;volume&gt;67&lt;/volume&gt;&lt;number&gt;1&lt;/number&gt;&lt;section&gt;45&lt;/section&gt;&lt;dates&gt;&lt;year&gt;2012&lt;/year&gt;&lt;/dates&gt;&lt;isbn&gt;0022-1082&amp;#xD;1540-6261&lt;/isbn&gt;&lt;urls&gt;&lt;/urls&gt;&lt;electronic-resource-num&gt;10.1111/j.1540-6261.2011.01707.x&lt;/electronic-resource-num&gt;&lt;/record&gt;&lt;/Cite&gt;&lt;/EndNote&gt;</w:instrText>
      </w:r>
      <w:r w:rsidRPr="00FA73AC">
        <w:fldChar w:fldCharType="separate"/>
      </w:r>
      <w:r w:rsidR="00AF7792">
        <w:rPr>
          <w:noProof/>
        </w:rPr>
        <w:t>(Julio and Yook, 2012)</w:t>
      </w:r>
      <w:r w:rsidRPr="00FA73AC">
        <w:fldChar w:fldCharType="end"/>
      </w:r>
      <w:r w:rsidRPr="00FA73AC">
        <w:t xml:space="preserve">. </w:t>
      </w:r>
      <w:r w:rsidR="008D35E9" w:rsidRPr="00FA73AC">
        <w:t xml:space="preserve"> </w:t>
      </w:r>
      <w:bookmarkStart w:id="6" w:name="OLE_LINK1"/>
      <w:bookmarkStart w:id="7" w:name="OLE_LINK16"/>
      <w:r w:rsidR="003B3EE8" w:rsidRPr="00FA73AC">
        <w:t>Succession</w:t>
      </w:r>
      <w:r w:rsidR="00192510" w:rsidRPr="00FA73AC">
        <w:t xml:space="preserve"> may instigate changes in policies, government preferences, leader types, and the bargaining model</w:t>
      </w:r>
      <w:r w:rsidR="00DD59CF" w:rsidRPr="00FA73AC">
        <w:t>s</w:t>
      </w:r>
      <w:r w:rsidR="00192510" w:rsidRPr="00FA73AC">
        <w:t xml:space="preserve"> with foreign firms.</w:t>
      </w:r>
      <w:r w:rsidR="001416D6" w:rsidRPr="00FA73AC">
        <w:t xml:space="preserve"> </w:t>
      </w:r>
      <w:r w:rsidR="00192510" w:rsidRPr="00FA73AC">
        <w:t>In an authoritarian regime, succession result</w:t>
      </w:r>
      <w:r w:rsidR="00DA2CB0" w:rsidRPr="00FA73AC">
        <w:t>s</w:t>
      </w:r>
      <w:r w:rsidR="00192510" w:rsidRPr="00FA73AC">
        <w:t xml:space="preserve"> in </w:t>
      </w:r>
      <w:r w:rsidR="007A7E24" w:rsidRPr="00FA73AC">
        <w:t xml:space="preserve">more </w:t>
      </w:r>
      <w:r w:rsidR="00DA2CB0" w:rsidRPr="00FA73AC">
        <w:t>pronounced transformations in these factors</w:t>
      </w:r>
      <w:r w:rsidR="00192510" w:rsidRPr="00FA73AC">
        <w:t xml:space="preserve"> </w:t>
      </w:r>
      <w:r w:rsidR="00DA2CB0" w:rsidRPr="00FA73AC">
        <w:t xml:space="preserve">and </w:t>
      </w:r>
      <w:r w:rsidR="00192510" w:rsidRPr="00FA73AC">
        <w:t>persistent changes in economic growth</w:t>
      </w:r>
      <w:bookmarkEnd w:id="6"/>
      <w:r w:rsidR="009F603A" w:rsidRPr="00FA73AC">
        <w:t xml:space="preserve"> </w:t>
      </w:r>
      <w:r w:rsidR="00BE67A0" w:rsidRPr="00FA73AC">
        <w:fldChar w:fldCharType="begin"/>
      </w:r>
      <w:r w:rsidR="005F728D">
        <w:instrText xml:space="preserve"> ADDIN EN.CITE &lt;EndNote&gt;&lt;Cite&gt;&lt;Author&gt;Jones&lt;/Author&gt;&lt;Year&gt;2005&lt;/Year&gt;&lt;RecNum&gt;144&lt;/RecNum&gt;&lt;DisplayText&gt;(Jones and Olken, 2005)&lt;/DisplayText&gt;&lt;record&gt;&lt;rec-number&gt;144&lt;/rec-number&gt;&lt;foreign-keys&gt;&lt;key app="EN" db-id="ta95fx9215vppiefzvh5drv7v0dsvepa0pz0" timestamp="1708845338" guid="0da85035-a8e4-4151-bd85-0ec329471990"&gt;144&lt;/key&gt;&lt;/foreign-keys&gt;&lt;ref-type name="Journal Article"&gt;17&lt;/ref-type&gt;&lt;contributors&gt;&lt;authors&gt;&lt;author&gt;Jones, Benjamin F&lt;/author&gt;&lt;author&gt;Olken, Benjamin A&lt;/author&gt;&lt;/authors&gt;&lt;/contributors&gt;&lt;titles&gt;&lt;title&gt;Do leaders matter? National leadership and growth since World War II&lt;/title&gt;&lt;secondary-title&gt;The Quarterly Journal of Economics&lt;/secondary-title&gt;&lt;/titles&gt;&lt;periodical&gt;&lt;full-title&gt;The quarterly journal of economics&lt;/full-title&gt;&lt;/periodical&gt;&lt;pages&gt;835-864&lt;/pages&gt;&lt;volume&gt;120&lt;/volume&gt;&lt;number&gt;3&lt;/number&gt;&lt;dates&gt;&lt;year&gt;2005&lt;/year&gt;&lt;/dates&gt;&lt;isbn&gt;1531-4650&lt;/isbn&gt;&lt;urls&gt;&lt;/urls&gt;&lt;/record&gt;&lt;/Cite&gt;&lt;/EndNote&gt;</w:instrText>
      </w:r>
      <w:r w:rsidR="00BE67A0" w:rsidRPr="00FA73AC">
        <w:fldChar w:fldCharType="separate"/>
      </w:r>
      <w:r w:rsidR="00AF7792">
        <w:rPr>
          <w:noProof/>
        </w:rPr>
        <w:t>(Jones and Olken, 2005)</w:t>
      </w:r>
      <w:r w:rsidR="00BE67A0" w:rsidRPr="00FA73AC">
        <w:fldChar w:fldCharType="end"/>
      </w:r>
      <w:r w:rsidR="00BE67A0" w:rsidRPr="00FA73AC">
        <w:t>.</w:t>
      </w:r>
      <w:bookmarkEnd w:id="7"/>
      <w:r w:rsidR="00DA2CB0" w:rsidRPr="00FA73AC">
        <w:t xml:space="preserve"> It </w:t>
      </w:r>
      <w:r w:rsidR="00BE67A0" w:rsidRPr="00FA73AC">
        <w:t>can even</w:t>
      </w:r>
      <w:r w:rsidR="008D35E9" w:rsidRPr="00FA73AC">
        <w:t xml:space="preserve"> elevate the risk</w:t>
      </w:r>
      <w:r w:rsidR="00BE67A0" w:rsidRPr="00FA73AC">
        <w:t>s</w:t>
      </w:r>
      <w:r w:rsidR="008D35E9" w:rsidRPr="00FA73AC">
        <w:t xml:space="preserve"> of both civil and interstate wars </w:t>
      </w:r>
      <w:r w:rsidR="00BE6C96" w:rsidRPr="00FA73AC">
        <w:fldChar w:fldCharType="begin"/>
      </w:r>
      <w:r w:rsidR="005F728D">
        <w:instrText xml:space="preserve"> ADDIN EN.CITE &lt;EndNote&gt;&lt;Cite&gt;&lt;Author&gt;Kokkonen&lt;/Author&gt;&lt;Year&gt;2017&lt;/Year&gt;&lt;RecNum&gt;146&lt;/RecNum&gt;&lt;DisplayText&gt;(Kokkonen and Sundell, 2017)&lt;/DisplayText&gt;&lt;record&gt;&lt;rec-number&gt;146&lt;/rec-number&gt;&lt;foreign-keys&gt;&lt;key app="EN" db-id="ta95fx9215vppiefzvh5drv7v0dsvepa0pz0" timestamp="1708845519" guid="31f2ee15-8178-482f-9797-c40a67b1b641"&gt;146&lt;/key&gt;&lt;/foreign-keys&gt;&lt;ref-type name="Journal Article"&gt;17&lt;/ref-type&gt;&lt;contributors&gt;&lt;authors&gt;&lt;author&gt;Kokkonen, Andrej&lt;/author&gt;&lt;author&gt;Sundell, Anders&lt;/author&gt;&lt;/authors&gt;&lt;/contributors&gt;&lt;titles&gt;&lt;title&gt;The King is Dead: Political Succession and War in Europe, 1000–1799&lt;/title&gt;&lt;/titles&gt;&lt;dates&gt;&lt;year&gt;2017&lt;/year&gt;&lt;/dates&gt;&lt;isbn&gt;1653-8919&lt;/isbn&gt;&lt;urls&gt;&lt;/urls&gt;&lt;/record&gt;&lt;/Cite&gt;&lt;/EndNote&gt;</w:instrText>
      </w:r>
      <w:r w:rsidR="00BE6C96" w:rsidRPr="00FA73AC">
        <w:fldChar w:fldCharType="separate"/>
      </w:r>
      <w:r w:rsidR="00AF7792">
        <w:rPr>
          <w:noProof/>
        </w:rPr>
        <w:t>(Kokkonen and Sundell, 2017)</w:t>
      </w:r>
      <w:r w:rsidR="00BE6C96" w:rsidRPr="00FA73AC">
        <w:fldChar w:fldCharType="end"/>
      </w:r>
      <w:r w:rsidR="00BE6C96" w:rsidRPr="00FA73AC">
        <w:t xml:space="preserve">. </w:t>
      </w:r>
    </w:p>
    <w:p w14:paraId="279EA58C" w14:textId="47AD6F32" w:rsidR="00CA2D74" w:rsidRPr="00FA73AC" w:rsidRDefault="00BE67A0" w:rsidP="00772913">
      <w:pPr>
        <w:pStyle w:val="NormalWeb"/>
        <w:spacing w:before="0" w:beforeAutospacing="0" w:after="240" w:afterAutospacing="0"/>
        <w:ind w:firstLine="720"/>
      </w:pPr>
      <w:r w:rsidRPr="00FA73AC">
        <w:t>Other than political cycles within a party system</w:t>
      </w:r>
      <w:r w:rsidR="00DA2CB0" w:rsidRPr="00FA73AC">
        <w:t xml:space="preserve"> in democratic countries</w:t>
      </w:r>
      <w:r w:rsidRPr="00FA73AC">
        <w:t>, the</w:t>
      </w:r>
      <w:r w:rsidR="00DA2CB0" w:rsidRPr="00FA73AC">
        <w:t xml:space="preserve"> </w:t>
      </w:r>
      <w:r w:rsidRPr="00FA73AC">
        <w:t>termination of a ruler's reign in monarchies</w:t>
      </w:r>
      <w:r w:rsidR="007A7E24" w:rsidRPr="00FA73AC">
        <w:t xml:space="preserve"> is essentially random</w:t>
      </w:r>
      <w:r w:rsidR="00DA2CB0" w:rsidRPr="00FA73AC">
        <w:t xml:space="preserve"> and unpredictable</w:t>
      </w:r>
      <w:r w:rsidRPr="00FA73AC">
        <w:t xml:space="preserve">. </w:t>
      </w:r>
      <w:r w:rsidR="00CA2D74" w:rsidRPr="00FA73AC">
        <w:t xml:space="preserve">An abrupt monarchical succession </w:t>
      </w:r>
      <w:r w:rsidR="00DA2CB0" w:rsidRPr="00FA73AC">
        <w:t>yields varied consequences</w:t>
      </w:r>
      <w:r w:rsidR="00CA2D74" w:rsidRPr="00FA73AC">
        <w:t xml:space="preserve"> for foreign firms. </w:t>
      </w:r>
      <w:r w:rsidR="009F603A" w:rsidRPr="00FA73AC">
        <w:t>In a stroke of luck for foreign firms, the successor may opt to maintain existing policies and extend favorable treatment,</w:t>
      </w:r>
      <w:r w:rsidR="00DA2CB0" w:rsidRPr="00FA73AC">
        <w:t xml:space="preserve"> </w:t>
      </w:r>
      <w:r w:rsidR="009F603A" w:rsidRPr="00FA73AC">
        <w:t>acknowledging the crucial role of foreign firms in ensuring economic stability.</w:t>
      </w:r>
      <w:r w:rsidR="00CA2D74" w:rsidRPr="00FA73AC">
        <w:t xml:space="preserve"> In this scenario, foreign firms might continue or even expand their investments in the country with confidence in the new regime.</w:t>
      </w:r>
    </w:p>
    <w:p w14:paraId="19868206" w14:textId="2B1DAB77" w:rsidR="003312EB" w:rsidRDefault="003A697A" w:rsidP="00772913">
      <w:pPr>
        <w:autoSpaceDE w:val="0"/>
        <w:autoSpaceDN w:val="0"/>
        <w:adjustRightInd w:val="0"/>
        <w:spacing w:after="0" w:line="240" w:lineRule="auto"/>
        <w:ind w:firstLine="720"/>
      </w:pPr>
      <w:r w:rsidRPr="00FA73AC">
        <w:t>However,</w:t>
      </w:r>
      <w:r w:rsidR="00531A7E" w:rsidRPr="00FA73AC">
        <w:t xml:space="preserve"> for </w:t>
      </w:r>
      <w:r w:rsidR="007738A5" w:rsidRPr="00FA73AC">
        <w:t>influential members in the regime—ministers, generals, princes, dukes, and barons—a succession promises both opportunity and risk</w:t>
      </w:r>
      <w:r w:rsidRPr="00FA73AC">
        <w:t xml:space="preserve"> </w:t>
      </w:r>
      <w:r w:rsidR="00960F7E" w:rsidRPr="00FA73AC">
        <w:fldChar w:fldCharType="begin"/>
      </w:r>
      <w:r w:rsidR="005F728D">
        <w:instrText xml:space="preserve"> ADDIN EN.CITE &lt;EndNote&gt;&lt;Cite&gt;&lt;Author&gt;Kokkonen&lt;/Author&gt;&lt;Year&gt;2014&lt;/Year&gt;&lt;RecNum&gt;12&lt;/RecNum&gt;&lt;DisplayText&gt;(Kokkonen and Sundell, 2014)&lt;/DisplayText&gt;&lt;record&gt;&lt;rec-number&gt;12&lt;/rec-number&gt;&lt;foreign-keys&gt;&lt;key app="EN" db-id="ta95fx9215vppiefzvh5drv7v0dsvepa0pz0" timestamp="1695716402" guid="706946ac-2223-4b66-8352-03b2b53f7e15"&gt;12&lt;/key&gt;&lt;/foreign-keys&gt;&lt;ref-type name="Journal Article"&gt;17&lt;/ref-type&gt;&lt;contributors&gt;&lt;authors&gt;&lt;author&gt;Kokkonen, Andrej&lt;/author&gt;&lt;author&gt;Sundell, Anders&lt;/author&gt;&lt;/authors&gt;&lt;/contributors&gt;&lt;titles&gt;&lt;title&gt;Delivering Stability—Primogeniture and Autocratic Survival in European Monarchies 1000–1800&lt;/title&gt;&lt;secondary-title&gt;American Political Science Review&lt;/secondary-title&gt;&lt;/titles&gt;&lt;periodical&gt;&lt;full-title&gt;American Political Science Review&lt;/full-title&gt;&lt;/periodical&gt;&lt;pages&gt;438-453&lt;/pages&gt;&lt;volume&gt;108&lt;/volume&gt;&lt;number&gt;2&lt;/number&gt;&lt;edition&gt;2014/04/28&lt;/edition&gt;&lt;dates&gt;&lt;year&gt;2014&lt;/year&gt;&lt;/dates&gt;&lt;publisher&gt;Cambridge University Press&lt;/publisher&gt;&lt;isbn&gt;0003-0554&lt;/isbn&gt;&lt;urls&gt;&lt;related-urls&gt;&lt;url&gt;https://www.cambridge.org/core/article/delivering-stabilityprimogeniture-and-autocratic-survival-in-european-monarchies-10001800/2399079C174599A840E5230E8827609C&lt;/url&gt;&lt;/related-urls&gt;&lt;/urls&gt;&lt;electronic-resource-num&gt;10.1017/S000305541400015X&lt;/electronic-resource-num&gt;&lt;remote-database-name&gt;Cambridge Core&lt;/remote-database-name&gt;&lt;remote-database-provider&gt;Cambridge University Press&lt;/remote-database-provider&gt;&lt;/record&gt;&lt;/Cite&gt;&lt;/EndNote&gt;</w:instrText>
      </w:r>
      <w:r w:rsidR="00960F7E" w:rsidRPr="00FA73AC">
        <w:fldChar w:fldCharType="separate"/>
      </w:r>
      <w:r w:rsidR="00AF7792">
        <w:rPr>
          <w:noProof/>
        </w:rPr>
        <w:t>(Kokkonen and Sundell, 2014)</w:t>
      </w:r>
      <w:r w:rsidR="00960F7E" w:rsidRPr="00FA73AC">
        <w:fldChar w:fldCharType="end"/>
      </w:r>
      <w:r w:rsidR="007738A5" w:rsidRPr="00FA73AC">
        <w:t xml:space="preserve">. The successor, thus, could </w:t>
      </w:r>
      <w:r w:rsidR="00DA2CB0" w:rsidRPr="00FA73AC">
        <w:t xml:space="preserve">breach the initial FDI contract to </w:t>
      </w:r>
      <w:r w:rsidR="007738A5" w:rsidRPr="00FA73AC">
        <w:t xml:space="preserve">apply new policies that favor the </w:t>
      </w:r>
      <w:r w:rsidRPr="00FA73AC">
        <w:t>rising forces</w:t>
      </w:r>
      <w:r w:rsidR="007A7E24" w:rsidRPr="00FA73AC">
        <w:t xml:space="preserve"> </w:t>
      </w:r>
      <w:r w:rsidR="00531A7E" w:rsidRPr="00FA73AC">
        <w:t xml:space="preserve">especially from local businesses </w:t>
      </w:r>
      <w:r w:rsidR="00960F7E" w:rsidRPr="00FA73AC">
        <w:fldChar w:fldCharType="begin"/>
      </w:r>
      <w:r w:rsidR="005F728D">
        <w:instrText xml:space="preserve"> ADDIN EN.CITE &lt;EndNote&gt;&lt;Cite&gt;&lt;Author&gt;Vernon&lt;/Author&gt;&lt;Year&gt;1971&lt;/Year&gt;&lt;RecNum&gt;50&lt;/RecNum&gt;&lt;DisplayText&gt;(Vernon, 1971)&lt;/DisplayText&gt;&lt;record&gt;&lt;rec-number&gt;50&lt;/rec-number&gt;&lt;foreign-keys&gt;&lt;key app="EN" db-id="ta95fx9215vppiefzvh5drv7v0dsvepa0pz0" timestamp="1697125189" guid="bacee223-eab1-48e8-ab3d-721d795a9849"&gt;50&lt;/key&gt;&lt;/foreign-keys&gt;&lt;ref-type name="Journal Article"&gt;17&lt;/ref-type&gt;&lt;contributors&gt;&lt;authors&gt;&lt;author&gt;Vernon, Raymond&lt;/author&gt;&lt;/authors&gt;&lt;/contributors&gt;&lt;titles&gt;&lt;title&gt;Sovereignty at bay: The multinational spread of US enterprises Basic Books&lt;/title&gt;&lt;secondary-title&gt;New York, NY, USA&lt;/secondary-title&gt;&lt;/titles&gt;&lt;periodical&gt;&lt;full-title&gt;New York, NY, USA&lt;/full-title&gt;&lt;/periodical&gt;&lt;dates&gt;&lt;year&gt;1971&lt;/year&gt;&lt;/dates&gt;&lt;urls&gt;&lt;/urls&gt;&lt;/record&gt;&lt;/Cite&gt;&lt;/EndNote&gt;</w:instrText>
      </w:r>
      <w:r w:rsidR="00960F7E" w:rsidRPr="00FA73AC">
        <w:fldChar w:fldCharType="separate"/>
      </w:r>
      <w:r w:rsidR="00AF7792">
        <w:rPr>
          <w:noProof/>
        </w:rPr>
        <w:t>(Vernon, 1971)</w:t>
      </w:r>
      <w:r w:rsidR="00960F7E" w:rsidRPr="00FA73AC">
        <w:fldChar w:fldCharType="end"/>
      </w:r>
      <w:r w:rsidRPr="00FA73AC">
        <w:t xml:space="preserve">. The redistribution of power and resources might disturb the business of </w:t>
      </w:r>
      <w:r w:rsidR="007738A5" w:rsidRPr="00FA73AC">
        <w:t>foreign firms</w:t>
      </w:r>
      <w:r w:rsidRPr="00FA73AC">
        <w:t xml:space="preserve">, creating uncertainty in future investments. </w:t>
      </w:r>
      <w:r w:rsidR="003312EB" w:rsidRPr="0052013F">
        <w:t xml:space="preserve">On the pessimistic side, the successor may not </w:t>
      </w:r>
      <w:r w:rsidR="003312EB" w:rsidRPr="00794817">
        <w:t xml:space="preserve">adopt a </w:t>
      </w:r>
      <w:r w:rsidR="003312EB" w:rsidRPr="0052013F">
        <w:t>foreigner-friendly in economic policy</w:t>
      </w:r>
      <w:r w:rsidR="003312EB">
        <w:t>.</w:t>
      </w:r>
      <w:r w:rsidR="003312EB" w:rsidRPr="0052013F">
        <w:t xml:space="preserve"> </w:t>
      </w:r>
      <w:r w:rsidR="003312EB">
        <w:t xml:space="preserve">On one hand, they may </w:t>
      </w:r>
      <w:r w:rsidR="003312EB" w:rsidRPr="0052013F">
        <w:t xml:space="preserve">view foreign firms as competitors and favor a nationalist approach that supports local businesses and national enterprises. </w:t>
      </w:r>
      <w:r w:rsidR="003312EB">
        <w:t xml:space="preserve">On the other hand, </w:t>
      </w:r>
      <w:r w:rsidR="003312EB" w:rsidRPr="00794817">
        <w:t>as FDI is, at least partially, irreversible</w:t>
      </w:r>
      <w:r w:rsidR="003312EB">
        <w:t xml:space="preserve"> </w:t>
      </w:r>
      <w:r w:rsidR="003312EB">
        <w:fldChar w:fldCharType="begin"/>
      </w:r>
      <w:r w:rsidR="005F728D">
        <w:instrText xml:space="preserve"> ADDIN EN.CITE &lt;EndNote&gt;&lt;Cite&gt;&lt;Author&gt;Dixit&lt;/Author&gt;&lt;Year&gt;1992&lt;/Year&gt;&lt;RecNum&gt;34&lt;/RecNum&gt;&lt;DisplayText&gt;(Dixit, 1992)&lt;/DisplayText&gt;&lt;record&gt;&lt;rec-number&gt;34&lt;/rec-number&gt;&lt;foreign-keys&gt;&lt;key app="EN" db-id="ta95fx9215vppiefzvh5drv7v0dsvepa0pz0" timestamp="1697118799" guid="93a4b9ba-76ec-4dfe-a15c-ef86cc63efd5"&gt;34&lt;/key&gt;&lt;/foreign-keys&gt;&lt;ref-type name="Journal Article"&gt;17&lt;/ref-type&gt;&lt;contributors&gt;&lt;authors&gt;&lt;author&gt;Dixit, Avinash&lt;/author&gt;&lt;/authors&gt;&lt;/contributors&gt;&lt;titles&gt;&lt;title&gt;Investment and hysteresis&lt;/title&gt;&lt;secondary-title&gt;Journal of economic perspectives&lt;/secondary-title&gt;&lt;/titles&gt;&lt;periodical&gt;&lt;full-title&gt;Journal of economic perspectives&lt;/full-title&gt;&lt;/periodical&gt;&lt;pages&gt;107-132&lt;/pages&gt;&lt;volume&gt;6&lt;/volume&gt;&lt;number&gt;1&lt;/number&gt;&lt;dates&gt;&lt;year&gt;1992&lt;/year&gt;&lt;/dates&gt;&lt;isbn&gt;0895-3309&lt;/isbn&gt;&lt;urls&gt;&lt;/urls&gt;&lt;/record&gt;&lt;/Cite&gt;&lt;/EndNote&gt;</w:instrText>
      </w:r>
      <w:r w:rsidR="003312EB">
        <w:fldChar w:fldCharType="separate"/>
      </w:r>
      <w:r w:rsidR="00AF7792">
        <w:rPr>
          <w:noProof/>
        </w:rPr>
        <w:t>(Dixit, 1992)</w:t>
      </w:r>
      <w:r w:rsidR="003312EB">
        <w:fldChar w:fldCharType="end"/>
      </w:r>
      <w:r w:rsidR="003312EB">
        <w:t xml:space="preserve">, </w:t>
      </w:r>
      <w:r w:rsidR="003312EB" w:rsidRPr="00794817">
        <w:t xml:space="preserve">the </w:t>
      </w:r>
      <w:r w:rsidR="003312EB" w:rsidRPr="00794817">
        <w:lastRenderedPageBreak/>
        <w:t>bargaining power of foreign firms is significantly diminished, and their long-term prospects for economic gains become unpredictably altered</w:t>
      </w:r>
      <w:r w:rsidR="003312EB">
        <w:t xml:space="preserve"> </w:t>
      </w:r>
      <w:r w:rsidR="003312EB">
        <w:fldChar w:fldCharType="begin"/>
      </w:r>
      <w:r w:rsidR="005F728D">
        <w:instrText xml:space="preserve"> ADDIN EN.CITE &lt;EndNote&gt;&lt;Cite&gt;&lt;Author&gt;Garfinkel&lt;/Author&gt;&lt;Year&gt;1994&lt;/Year&gt;&lt;RecNum&gt;52&lt;/RecNum&gt;&lt;DisplayText&gt;(Garfinkel and Glazer, 1994)&lt;/DisplayText&gt;&lt;record&gt;&lt;rec-number&gt;52&lt;/rec-number&gt;&lt;foreign-keys&gt;&lt;key app="EN" db-id="ta95fx9215vppiefzvh5drv7v0dsvepa0pz0" timestamp="1697125637" guid="0de305bb-0f26-4113-a8dd-93126b683b15"&gt;52&lt;/key&gt;&lt;/foreign-keys&gt;&lt;ref-type name="Journal Article"&gt;17&lt;/ref-type&gt;&lt;contributors&gt;&lt;authors&gt;&lt;author&gt;Garfinkel, Michelle R&lt;/author&gt;&lt;author&gt;Glazer, Amihai&lt;/author&gt;&lt;/authors&gt;&lt;/contributors&gt;&lt;titles&gt;&lt;title&gt;Does electoral uncertainty cause economic fluctuations?&lt;/title&gt;&lt;secondary-title&gt;The American Economic Review&lt;/secondary-title&gt;&lt;/titles&gt;&lt;periodical&gt;&lt;full-title&gt;The American Economic Review&lt;/full-title&gt;&lt;/periodical&gt;&lt;pages&gt;169-173&lt;/pages&gt;&lt;volume&gt;84&lt;/volume&gt;&lt;number&gt;2&lt;/number&gt;&lt;dates&gt;&lt;year&gt;1994&lt;/year&gt;&lt;/dates&gt;&lt;isbn&gt;0002-8282&lt;/isbn&gt;&lt;urls&gt;&lt;/urls&gt;&lt;/record&gt;&lt;/Cite&gt;&lt;/EndNote&gt;</w:instrText>
      </w:r>
      <w:r w:rsidR="003312EB">
        <w:fldChar w:fldCharType="separate"/>
      </w:r>
      <w:r w:rsidR="00AF7792">
        <w:rPr>
          <w:noProof/>
        </w:rPr>
        <w:t>(Garfinkel and Glazer, 1994)</w:t>
      </w:r>
      <w:r w:rsidR="003312EB">
        <w:fldChar w:fldCharType="end"/>
      </w:r>
      <w:r w:rsidR="003312EB">
        <w:t>.</w:t>
      </w:r>
      <w:r w:rsidR="003312EB" w:rsidRPr="00794817">
        <w:t xml:space="preserve"> Anticipating this trend, foreign firms may lose confidence and cease their investments unless they perceive substantial benefits associated with early entry during times of intense competition</w:t>
      </w:r>
      <w:r w:rsidR="003312EB">
        <w:t xml:space="preserve"> </w:t>
      </w:r>
      <w:r w:rsidR="003312EB">
        <w:fldChar w:fldCharType="begin"/>
      </w:r>
      <w:r w:rsidR="005F728D">
        <w:instrText xml:space="preserve"> ADDIN EN.CITE &lt;EndNote&gt;&lt;Cite&gt;&lt;Author&gt;Rivoli&lt;/Author&gt;&lt;Year&gt;1996&lt;/Year&gt;&lt;RecNum&gt;48&lt;/RecNum&gt;&lt;DisplayText&gt;(Rivoli and Salorio, 1996, Trigeorgis, 1996)&lt;/DisplayText&gt;&lt;record&gt;&lt;rec-number&gt;48&lt;/rec-number&gt;&lt;foreign-keys&gt;&lt;key app="EN" db-id="ta95fx9215vppiefzvh5drv7v0dsvepa0pz0" timestamp="1697124653" guid="330e0a9e-6cab-473b-89cf-3a08bad47a5a"&gt;48&lt;/key&gt;&lt;/foreign-keys&gt;&lt;ref-type name="Journal Article"&gt;17&lt;/ref-type&gt;&lt;contributors&gt;&lt;authors&gt;&lt;author&gt;Rivoli, Pietra&lt;/author&gt;&lt;author&gt;Salorio, Eugene&lt;/author&gt;&lt;/authors&gt;&lt;/contributors&gt;&lt;titles&gt;&lt;title&gt;Foreign direct investment and investment under uncertainty&lt;/title&gt;&lt;secondary-title&gt;Journal of International Business Studies&lt;/secondary-title&gt;&lt;/titles&gt;&lt;periodical&gt;&lt;full-title&gt;Journal of International Business Studies&lt;/full-title&gt;&lt;/periodical&gt;&lt;pages&gt;335-357&lt;/pages&gt;&lt;volume&gt;27&lt;/volume&gt;&lt;dates&gt;&lt;year&gt;1996&lt;/year&gt;&lt;/dates&gt;&lt;isbn&gt;0047-2506&lt;/isbn&gt;&lt;urls&gt;&lt;/urls&gt;&lt;/record&gt;&lt;/Cite&gt;&lt;Cite&gt;&lt;Author&gt;Trigeorgis&lt;/Author&gt;&lt;Year&gt;1996&lt;/Year&gt;&lt;RecNum&gt;49&lt;/RecNum&gt;&lt;record&gt;&lt;rec-number&gt;49&lt;/rec-number&gt;&lt;foreign-keys&gt;&lt;key app="EN" db-id="ta95fx9215vppiefzvh5drv7v0dsvepa0pz0" timestamp="1697124865" guid="9fbd7ba5-12a0-4916-9d41-1fbd5df8115a"&gt;49&lt;/key&gt;&lt;/foreign-keys&gt;&lt;ref-type name="Book"&gt;6&lt;/ref-type&gt;&lt;contributors&gt;&lt;authors&gt;&lt;author&gt;Trigeorgis, Lenos&lt;/author&gt;&lt;/authors&gt;&lt;/contributors&gt;&lt;titles&gt;&lt;title&gt;Real options: Managerial flexibility and strategy in resource allocation&lt;/title&gt;&lt;/titles&gt;&lt;dates&gt;&lt;year&gt;1996&lt;/year&gt;&lt;/dates&gt;&lt;publisher&gt;MIT press&lt;/publisher&gt;&lt;isbn&gt;026220102X&lt;/isbn&gt;&lt;urls&gt;&lt;/urls&gt;&lt;/record&gt;&lt;/Cite&gt;&lt;/EndNote&gt;</w:instrText>
      </w:r>
      <w:r w:rsidR="003312EB">
        <w:fldChar w:fldCharType="separate"/>
      </w:r>
      <w:r w:rsidR="00AF7792">
        <w:rPr>
          <w:noProof/>
        </w:rPr>
        <w:t>(Rivoli and Salorio, 1996, Trigeorgis, 1996)</w:t>
      </w:r>
      <w:r w:rsidR="003312EB">
        <w:fldChar w:fldCharType="end"/>
      </w:r>
      <w:r w:rsidR="003312EB">
        <w:t>.</w:t>
      </w:r>
    </w:p>
    <w:p w14:paraId="7BFD9EC0" w14:textId="5836F0E0" w:rsidR="003A697A" w:rsidRPr="00FA73AC" w:rsidRDefault="003A697A" w:rsidP="00772913">
      <w:pPr>
        <w:autoSpaceDE w:val="0"/>
        <w:autoSpaceDN w:val="0"/>
        <w:adjustRightInd w:val="0"/>
        <w:spacing w:after="0" w:line="240" w:lineRule="auto"/>
        <w:ind w:firstLine="720"/>
      </w:pPr>
    </w:p>
    <w:p w14:paraId="1A8697C3" w14:textId="58B6A5D9" w:rsidR="003312EB" w:rsidRPr="00DB04DC" w:rsidRDefault="003312EB" w:rsidP="00772913">
      <w:pPr>
        <w:autoSpaceDE w:val="0"/>
        <w:autoSpaceDN w:val="0"/>
        <w:adjustRightInd w:val="0"/>
        <w:spacing w:line="240" w:lineRule="auto"/>
        <w:ind w:firstLine="720"/>
      </w:pPr>
      <w:r w:rsidRPr="00DB04DC">
        <w:t xml:space="preserve">In either scenario, foreign firms need </w:t>
      </w:r>
      <w:r w:rsidR="00100BEC" w:rsidRPr="00DB04DC">
        <w:t>time</w:t>
      </w:r>
      <w:r w:rsidRPr="00DB04DC">
        <w:t xml:space="preserve"> to observe the development of the succession and collect information before making decision</w:t>
      </w:r>
      <w:r w:rsidR="00D87930">
        <w:t>s</w:t>
      </w:r>
      <w:r w:rsidRPr="00DB04DC">
        <w:t>. It is a reasonable strategy for firms to get to know the non-business environments and make strategies according</w:t>
      </w:r>
      <w:r>
        <w:t>ly</w:t>
      </w:r>
      <w:r w:rsidRPr="00DB04DC">
        <w:t xml:space="preserve">. </w:t>
      </w:r>
      <w:r w:rsidRPr="00857CB6">
        <w:t>Research in western democratic countries shows that investment tends to be halted during political successions, with firms reducing investment expenditures by an average of 4.8% in the year leading up to election outcomes</w:t>
      </w:r>
      <w:r>
        <w:t xml:space="preserve"> </w:t>
      </w:r>
      <w:r w:rsidRPr="00DB04DC">
        <w:fldChar w:fldCharType="begin"/>
      </w:r>
      <w:r w:rsidR="005F728D">
        <w:instrText xml:space="preserve"> ADDIN EN.CITE &lt;EndNote&gt;&lt;Cite&gt;&lt;Author&gt;Julio&lt;/Author&gt;&lt;Year&gt;2012&lt;/Year&gt;&lt;RecNum&gt;51&lt;/RecNum&gt;&lt;DisplayText&gt;(Julio and Yook, 2012)&lt;/DisplayText&gt;&lt;record&gt;&lt;rec-number&gt;51&lt;/rec-number&gt;&lt;foreign-keys&gt;&lt;key app="EN" db-id="ta95fx9215vppiefzvh5drv7v0dsvepa0pz0" timestamp="1697125369" guid="20b60d4e-d089-4d61-8d29-058f3289cf2e"&gt;51&lt;/key&gt;&lt;/foreign-keys&gt;&lt;ref-type name="Journal Article"&gt;17&lt;/ref-type&gt;&lt;contributors&gt;&lt;authors&gt;&lt;author&gt;Julio, Brandon&lt;/author&gt;&lt;author&gt;Yook, Youngsuk&lt;/author&gt;&lt;/authors&gt;&lt;/contributors&gt;&lt;titles&gt;&lt;title&gt;Political Uncertainty and Corporate Investment Cycles&lt;/title&gt;&lt;secondary-title&gt;The Journal of Finance&lt;/secondary-title&gt;&lt;/titles&gt;&lt;periodical&gt;&lt;full-title&gt;The Journal of Finance&lt;/full-title&gt;&lt;/periodical&gt;&lt;pages&gt;45-83&lt;/pages&gt;&lt;volume&gt;67&lt;/volume&gt;&lt;number&gt;1&lt;/number&gt;&lt;section&gt;45&lt;/section&gt;&lt;dates&gt;&lt;year&gt;2012&lt;/year&gt;&lt;/dates&gt;&lt;isbn&gt;0022-1082&amp;#xD;1540-6261&lt;/isbn&gt;&lt;urls&gt;&lt;/urls&gt;&lt;electronic-resource-num&gt;10.1111/j.1540-6261.2011.01707.x&lt;/electronic-resource-num&gt;&lt;/record&gt;&lt;/Cite&gt;&lt;/EndNote&gt;</w:instrText>
      </w:r>
      <w:r w:rsidRPr="00DB04DC">
        <w:fldChar w:fldCharType="separate"/>
      </w:r>
      <w:r w:rsidR="00AF7792">
        <w:rPr>
          <w:noProof/>
        </w:rPr>
        <w:t>(Julio and Yook, 2012)</w:t>
      </w:r>
      <w:r w:rsidRPr="00DB04DC">
        <w:fldChar w:fldCharType="end"/>
      </w:r>
      <w:r w:rsidRPr="00DB04DC">
        <w:t>.</w:t>
      </w:r>
      <w:r>
        <w:t xml:space="preserve"> </w:t>
      </w:r>
      <w:r w:rsidR="00630143">
        <w:t xml:space="preserve">Analogously, we </w:t>
      </w:r>
      <w:r>
        <w:t>propose that foreign firms will suspend their direct investment in GCC countries undergoing a succession.</w:t>
      </w:r>
    </w:p>
    <w:p w14:paraId="34ACFE31" w14:textId="42A6B3FF" w:rsidR="007738A5" w:rsidRPr="00FA73AC" w:rsidRDefault="007738A5" w:rsidP="00D87930">
      <w:pPr>
        <w:spacing w:line="240" w:lineRule="auto"/>
        <w:ind w:left="720"/>
        <w:rPr>
          <w:i/>
        </w:rPr>
      </w:pPr>
      <w:r w:rsidRPr="00FA73AC">
        <w:rPr>
          <w:i/>
        </w:rPr>
        <w:t xml:space="preserve">H1: </w:t>
      </w:r>
      <w:r w:rsidRPr="00D87930">
        <w:rPr>
          <w:iCs/>
        </w:rPr>
        <w:t xml:space="preserve">Foreign firms are less likely to undertake direct investments in a GCC country </w:t>
      </w:r>
      <w:r w:rsidR="00917193" w:rsidRPr="00D87930">
        <w:rPr>
          <w:iCs/>
        </w:rPr>
        <w:t xml:space="preserve">undergoing </w:t>
      </w:r>
      <w:r w:rsidRPr="00D87930">
        <w:rPr>
          <w:iCs/>
        </w:rPr>
        <w:t>a monarch's succession compared to periods without succession.</w:t>
      </w:r>
    </w:p>
    <w:p w14:paraId="43941028" w14:textId="0B703841" w:rsidR="0081110E" w:rsidRPr="00D87930" w:rsidRDefault="0081110E" w:rsidP="0081110E">
      <w:pPr>
        <w:spacing w:before="240" w:after="0" w:line="360" w:lineRule="auto"/>
        <w:rPr>
          <w:i/>
          <w:iCs/>
        </w:rPr>
      </w:pPr>
      <w:r>
        <w:rPr>
          <w:rFonts w:hint="eastAsia"/>
          <w:i/>
          <w:iCs/>
        </w:rPr>
        <w:t xml:space="preserve">Incumbent </w:t>
      </w:r>
      <w:r w:rsidR="006625FF">
        <w:rPr>
          <w:rFonts w:hint="eastAsia"/>
          <w:i/>
          <w:iCs/>
        </w:rPr>
        <w:t>king</w:t>
      </w:r>
      <w:r w:rsidRPr="00D87930">
        <w:rPr>
          <w:i/>
          <w:iCs/>
        </w:rPr>
        <w:t xml:space="preserve"> and FDI</w:t>
      </w:r>
    </w:p>
    <w:p w14:paraId="569A4E88" w14:textId="54E00DE2" w:rsidR="0081110E" w:rsidRDefault="003E1E0D" w:rsidP="0081110E">
      <w:pPr>
        <w:spacing w:line="240" w:lineRule="auto"/>
      </w:pPr>
      <w:r w:rsidRPr="003E1E0D">
        <w:t>The hazard of losing power decreases with the long-term rule of the king, which brings stability to the political and economic environment</w:t>
      </w:r>
      <w:r w:rsidR="005F728D">
        <w:rPr>
          <w:rFonts w:hint="eastAsia"/>
        </w:rPr>
        <w:t xml:space="preserve"> </w:t>
      </w:r>
      <w:r w:rsidR="005F728D">
        <w:fldChar w:fldCharType="begin"/>
      </w:r>
      <w:r w:rsidR="005F728D">
        <w:instrText xml:space="preserve"> ADDIN EN.CITE &lt;EndNote&gt;&lt;Cite&gt;&lt;Author&gt;Bienen&lt;/Author&gt;&lt;Year&gt;1992&lt;/Year&gt;&lt;RecNum&gt;180&lt;/RecNum&gt;&lt;DisplayText&gt;(Bienen and Van de Walle, 1992)&lt;/DisplayText&gt;&lt;record&gt;&lt;rec-number&gt;180&lt;/rec-number&gt;&lt;foreign-keys&gt;&lt;key app="EN" db-id="ta95fx9215vppiefzvh5drv7v0dsvepa0pz0" timestamp="1719069163" guid="a4d67c57-8a60-47a8-83ff-ab6fea595ff5"&gt;180&lt;/key&gt;&lt;/foreign-keys&gt;&lt;ref-type name="Journal Article"&gt;17&lt;/ref-type&gt;&lt;contributors&gt;&lt;authors&gt;&lt;author&gt;Bienen, Henry&lt;/author&gt;&lt;author&gt;Van de Walle, Nicolas&lt;/author&gt;&lt;/authors&gt;&lt;/contributors&gt;&lt;titles&gt;&lt;title&gt;A proportional hazard model of leadership duration&lt;/title&gt;&lt;secondary-title&gt;The Journal of Politics&lt;/secondary-title&gt;&lt;/titles&gt;&lt;periodical&gt;&lt;full-title&gt;The Journal of Politics&lt;/full-title&gt;&lt;/periodical&gt;&lt;pages&gt;685-717&lt;/pages&gt;&lt;volume&gt;54&lt;/volume&gt;&lt;number&gt;3&lt;/number&gt;&lt;dates&gt;&lt;year&gt;1992&lt;/year&gt;&lt;/dates&gt;&lt;isbn&gt;0022-3816&lt;/isbn&gt;&lt;urls&gt;&lt;/urls&gt;&lt;/record&gt;&lt;/Cite&gt;&lt;/EndNote&gt;</w:instrText>
      </w:r>
      <w:r w:rsidR="005F728D">
        <w:fldChar w:fldCharType="separate"/>
      </w:r>
      <w:r w:rsidR="005F728D">
        <w:rPr>
          <w:noProof/>
        </w:rPr>
        <w:t>(Bienen and Van de Walle, 1992)</w:t>
      </w:r>
      <w:r w:rsidR="005F728D">
        <w:fldChar w:fldCharType="end"/>
      </w:r>
      <w:r w:rsidR="005F728D">
        <w:rPr>
          <w:rFonts w:hint="eastAsia"/>
        </w:rPr>
        <w:t xml:space="preserve">. </w:t>
      </w:r>
      <w:r w:rsidR="00D459A0" w:rsidRPr="00D459A0">
        <w:t>Countries ruled by kings who have long advocated for international cooperation and trade openness are subject to fewer economic sanctions and implement more tariff concessions</w:t>
      </w:r>
      <w:r w:rsidR="00D459A0">
        <w:rPr>
          <w:rFonts w:hint="eastAsia"/>
        </w:rPr>
        <w:t xml:space="preserve"> </w:t>
      </w:r>
      <w:r w:rsidR="005F728D">
        <w:fldChar w:fldCharType="begin"/>
      </w:r>
      <w:r w:rsidR="005F728D">
        <w:instrText xml:space="preserve"> ADDIN EN.CITE &lt;EndNote&gt;&lt;Cite&gt;&lt;Author&gt;McLean&lt;/Author&gt;&lt;Year&gt;2018&lt;/Year&gt;&lt;RecNum&gt;181&lt;/RecNum&gt;&lt;DisplayText&gt;(McLean and Radtke, 2018)&lt;/DisplayText&gt;&lt;record&gt;&lt;rec-number&gt;181&lt;/rec-number&gt;&lt;foreign-keys&gt;&lt;key app="EN" db-id="ta95fx9215vppiefzvh5drv7v0dsvepa0pz0" timestamp="1719069676" guid="9e4fd9b0-601c-418c-b810-86d75c91ab85"&gt;181&lt;/key&gt;&lt;/foreign-keys&gt;&lt;ref-type name="Journal Article"&gt;17&lt;/ref-type&gt;&lt;contributors&gt;&lt;authors&gt;&lt;author&gt;McLean, Elena V&lt;/author&gt;&lt;author&gt;Radtke, Mitchell T&lt;/author&gt;&lt;/authors&gt;&lt;/contributors&gt;&lt;titles&gt;&lt;title&gt;Political relations, leader stability, and economic coercion&lt;/title&gt;&lt;secondary-title&gt;International Studies Quarterly&lt;/secondary-title&gt;&lt;/titles&gt;&lt;periodical&gt;&lt;full-title&gt;International Studies Quarterly&lt;/full-title&gt;&lt;/periodical&gt;&lt;pages&gt;357-370&lt;/pages&gt;&lt;volume&gt;62&lt;/volume&gt;&lt;number&gt;2&lt;/number&gt;&lt;dates&gt;&lt;year&gt;2018&lt;/year&gt;&lt;/dates&gt;&lt;isbn&gt;0020-8833&lt;/isbn&gt;&lt;urls&gt;&lt;/urls&gt;&lt;/record&gt;&lt;/Cite&gt;&lt;/EndNote&gt;</w:instrText>
      </w:r>
      <w:r w:rsidR="005F728D">
        <w:fldChar w:fldCharType="separate"/>
      </w:r>
      <w:r w:rsidR="005F728D">
        <w:rPr>
          <w:noProof/>
        </w:rPr>
        <w:t>(McLean and Radtke, 2018)</w:t>
      </w:r>
      <w:r w:rsidR="005F728D">
        <w:fldChar w:fldCharType="end"/>
      </w:r>
      <w:r w:rsidR="005F728D">
        <w:rPr>
          <w:rFonts w:hint="eastAsia"/>
        </w:rPr>
        <w:t>,</w:t>
      </w:r>
      <w:r w:rsidRPr="003E1E0D">
        <w:t xml:space="preserve"> attracting more foreign firms to enter. </w:t>
      </w:r>
      <w:bookmarkStart w:id="8" w:name="OLE_LINK12"/>
      <w:r w:rsidR="00E672B1">
        <w:t xml:space="preserve">The </w:t>
      </w:r>
      <w:r w:rsidRPr="003E1E0D">
        <w:t>death or abdication of the incumbent</w:t>
      </w:r>
      <w:r w:rsidR="00CA227C" w:rsidRPr="003E1E0D">
        <w:t xml:space="preserve"> king </w:t>
      </w:r>
      <w:r w:rsidR="00C140DE">
        <w:t xml:space="preserve">will </w:t>
      </w:r>
      <w:r w:rsidR="00AD0BF0" w:rsidRPr="00AD0BF0">
        <w:t>exert</w:t>
      </w:r>
      <w:r w:rsidR="00C140DE">
        <w:t xml:space="preserve"> a greater influence on the international society</w:t>
      </w:r>
      <w:r w:rsidR="00AD0BF0">
        <w:rPr>
          <w:rFonts w:hint="eastAsia"/>
        </w:rPr>
        <w:t xml:space="preserve"> if</w:t>
      </w:r>
      <w:r w:rsidR="00C140DE">
        <w:t xml:space="preserve"> this king was</w:t>
      </w:r>
      <w:r w:rsidR="00CA227C" w:rsidRPr="003E1E0D">
        <w:t xml:space="preserve"> open and friendly toward FDI</w:t>
      </w:r>
      <w:r w:rsidR="00CA227C">
        <w:rPr>
          <w:rFonts w:hint="eastAsia"/>
        </w:rPr>
        <w:t xml:space="preserve">, </w:t>
      </w:r>
      <w:r w:rsidR="00CA227C">
        <w:t>especially</w:t>
      </w:r>
      <w:r w:rsidR="00CA227C">
        <w:rPr>
          <w:rFonts w:hint="eastAsia"/>
        </w:rPr>
        <w:t xml:space="preserve"> during a sudden succession. </w:t>
      </w:r>
      <w:bookmarkStart w:id="9" w:name="OLE_LINK15"/>
      <w:r w:rsidR="00CA227C" w:rsidRPr="00CA227C">
        <w:t xml:space="preserve">We focus on the foreign honors received by the king, </w:t>
      </w:r>
      <w:r w:rsidR="00D459A0">
        <w:rPr>
          <w:rFonts w:hint="eastAsia"/>
        </w:rPr>
        <w:t>which</w:t>
      </w:r>
      <w:r w:rsidR="00CA227C" w:rsidRPr="00CA227C">
        <w:t xml:space="preserve"> play a role in influencing FDI decision-making.</w:t>
      </w:r>
    </w:p>
    <w:bookmarkEnd w:id="8"/>
    <w:bookmarkEnd w:id="9"/>
    <w:p w14:paraId="29578C79" w14:textId="570650F8" w:rsidR="00E642A3" w:rsidRPr="00D87930" w:rsidRDefault="00E642A3" w:rsidP="00E642A3">
      <w:pPr>
        <w:spacing w:before="240" w:after="0" w:line="360" w:lineRule="auto"/>
        <w:rPr>
          <w:i/>
          <w:iCs/>
        </w:rPr>
      </w:pPr>
      <w:r>
        <w:rPr>
          <w:rFonts w:hint="eastAsia"/>
          <w:i/>
          <w:iCs/>
        </w:rPr>
        <w:t>King</w:t>
      </w:r>
      <w:r>
        <w:rPr>
          <w:i/>
          <w:iCs/>
        </w:rPr>
        <w:t>’</w:t>
      </w:r>
      <w:r>
        <w:rPr>
          <w:rFonts w:hint="eastAsia"/>
          <w:i/>
          <w:iCs/>
        </w:rPr>
        <w:t>s</w:t>
      </w:r>
      <w:r w:rsidRPr="00D87930">
        <w:rPr>
          <w:i/>
          <w:iCs/>
        </w:rPr>
        <w:t xml:space="preserve"> </w:t>
      </w:r>
      <w:r>
        <w:rPr>
          <w:rFonts w:hint="eastAsia"/>
          <w:i/>
          <w:iCs/>
        </w:rPr>
        <w:t>foreign honors</w:t>
      </w:r>
    </w:p>
    <w:p w14:paraId="12C92B28" w14:textId="15C46C53" w:rsidR="00E642A3" w:rsidRDefault="0054454B" w:rsidP="0081110E">
      <w:pPr>
        <w:spacing w:line="240" w:lineRule="auto"/>
      </w:pPr>
      <w:bookmarkStart w:id="10" w:name="OLE_LINK17"/>
      <w:r w:rsidRPr="0054454B">
        <w:t>Foreign honors are a form of recognition granted to a country’s leader by another nation, symbolizing friendly relations between the two countries</w:t>
      </w:r>
      <w:r w:rsidR="0015393A">
        <w:rPr>
          <w:rFonts w:hint="eastAsia"/>
        </w:rPr>
        <w:t xml:space="preserve"> </w:t>
      </w:r>
      <w:r w:rsidR="0015393A">
        <w:fldChar w:fldCharType="begin"/>
      </w:r>
      <w:r w:rsidR="005F66C0">
        <w:instrText xml:space="preserve"> ADDIN EN.CITE &lt;EndNote&gt;&lt;Cite&gt;&lt;Author&gt;Phillips&lt;/Author&gt;&lt;Year&gt;2004&lt;/Year&gt;&lt;RecNum&gt;184&lt;/RecNum&gt;&lt;DisplayText&gt;(Phillips, 2004)&lt;/DisplayText&gt;&lt;record&gt;&lt;rec-number&gt;184&lt;/rec-number&gt;&lt;foreign-keys&gt;&lt;key app="EN" db-id="ta95fx9215vppiefzvh5drv7v0dsvepa0pz0" timestamp="1719075510" guid="18ad7aed-8b9a-4560-b4fb-7f211d2a6b31"&gt;184&lt;/key&gt;&lt;/foreign-keys&gt;&lt;ref-type name="Book"&gt;6&lt;/ref-type&gt;&lt;contributors&gt;&lt;authors&gt;&lt;author&gt;Phillips, Sir Hayden&lt;/author&gt;&lt;/authors&gt;&lt;/contributors&gt;&lt;titles&gt;&lt;title&gt;Review of the honours system&lt;/title&gt;&lt;/titles&gt;&lt;dates&gt;&lt;year&gt;2004&lt;/year&gt;&lt;/dates&gt;&lt;publisher&gt;Cabinet Office London&lt;/publisher&gt;&lt;urls&gt;&lt;/urls&gt;&lt;/record&gt;&lt;/Cite&gt;&lt;/EndNote&gt;</w:instrText>
      </w:r>
      <w:r w:rsidR="0015393A">
        <w:fldChar w:fldCharType="separate"/>
      </w:r>
      <w:r w:rsidR="0015393A">
        <w:rPr>
          <w:noProof/>
        </w:rPr>
        <w:t>(Phillips, 2004)</w:t>
      </w:r>
      <w:r w:rsidR="0015393A">
        <w:fldChar w:fldCharType="end"/>
      </w:r>
      <w:r w:rsidRPr="0054454B">
        <w:t>.</w:t>
      </w:r>
      <w:r w:rsidR="0015393A" w:rsidRPr="0015393A">
        <w:t xml:space="preserve"> The supply of awards and honors from foreign countries also serves as an incentive, satisfying individuals' desire for distinction while stimulating further cooperation and friendly </w:t>
      </w:r>
      <w:r w:rsidR="0015393A">
        <w:rPr>
          <w:rFonts w:hint="eastAsia"/>
        </w:rPr>
        <w:t xml:space="preserve">political </w:t>
      </w:r>
      <w:r w:rsidR="0015393A" w:rsidRPr="0015393A">
        <w:t>relations</w:t>
      </w:r>
      <w:r w:rsidR="0015393A">
        <w:rPr>
          <w:rFonts w:hint="eastAsia"/>
        </w:rPr>
        <w:t xml:space="preserve"> </w:t>
      </w:r>
      <w:r w:rsidR="0015393A">
        <w:fldChar w:fldCharType="begin"/>
      </w:r>
      <w:r w:rsidR="005F66C0">
        <w:instrText xml:space="preserve"> ADDIN EN.CITE &lt;EndNote&gt;&lt;Cite&gt;&lt;Author&gt;Frey&lt;/Author&gt;&lt;Year&gt;2006&lt;/Year&gt;&lt;RecNum&gt;185&lt;/RecNum&gt;&lt;DisplayText&gt;(Frey, 2006)&lt;/DisplayText&gt;&lt;record&gt;&lt;rec-number&gt;185&lt;/rec-number&gt;&lt;foreign-keys&gt;&lt;key app="EN" db-id="ta95fx9215vppiefzvh5drv7v0dsvepa0pz0" timestamp="1719075607" guid="65e3d4a7-8fa0-4f4d-8d58-67442306f98c"&gt;185&lt;/key&gt;&lt;/foreign-keys&gt;&lt;ref-type name="Journal Article"&gt;17&lt;/ref-type&gt;&lt;contributors&gt;&lt;authors&gt;&lt;author&gt;Frey, Bruno S&lt;/author&gt;&lt;/authors&gt;&lt;/contributors&gt;&lt;titles&gt;&lt;title&gt;Giving and receiving awards&lt;/title&gt;&lt;secondary-title&gt;Perspectives on Psychological Science&lt;/secondary-title&gt;&lt;/titles&gt;&lt;periodical&gt;&lt;full-title&gt;Perspectives on Psychological Science&lt;/full-title&gt;&lt;/periodical&gt;&lt;pages&gt;377-388&lt;/pages&gt;&lt;volume&gt;1&lt;/volume&gt;&lt;number&gt;4&lt;/number&gt;&lt;dates&gt;&lt;year&gt;2006&lt;/year&gt;&lt;/dates&gt;&lt;isbn&gt;1745-6916&lt;/isbn&gt;&lt;urls&gt;&lt;/urls&gt;&lt;/record&gt;&lt;/Cite&gt;&lt;/EndNote&gt;</w:instrText>
      </w:r>
      <w:r w:rsidR="0015393A">
        <w:fldChar w:fldCharType="separate"/>
      </w:r>
      <w:r w:rsidR="0015393A">
        <w:rPr>
          <w:noProof/>
        </w:rPr>
        <w:t>(Frey, 2006)</w:t>
      </w:r>
      <w:r w:rsidR="0015393A">
        <w:fldChar w:fldCharType="end"/>
      </w:r>
      <w:r w:rsidR="0015393A" w:rsidRPr="0015393A">
        <w:t>.</w:t>
      </w:r>
      <w:r w:rsidRPr="0054454B">
        <w:t xml:space="preserve"> In authoritarian regimes, these honors are especially significant, as the ruler often holds absolute power over formulation and implementation of national policies.</w:t>
      </w:r>
      <w:r w:rsidR="001A4AC0">
        <w:rPr>
          <w:rFonts w:hint="eastAsia"/>
        </w:rPr>
        <w:t xml:space="preserve"> </w:t>
      </w:r>
      <w:r w:rsidR="001A4AC0" w:rsidRPr="001A4AC0">
        <w:t>Additionally, the recognition from foreign regimes and the deepening of international cooperation can bolster domestic support for the ruler, enhancing their ability to repress dissent</w:t>
      </w:r>
      <w:r w:rsidR="001A4AC0">
        <w:rPr>
          <w:rFonts w:hint="eastAsia"/>
        </w:rPr>
        <w:t xml:space="preserve"> </w:t>
      </w:r>
      <w:r w:rsidR="001A4AC0">
        <w:fldChar w:fldCharType="begin"/>
      </w:r>
      <w:r w:rsidR="0015393A">
        <w:instrText xml:space="preserve"> ADDIN EN.CITE &lt;EndNote&gt;&lt;Cite&gt;&lt;Author&gt;McLean&lt;/Author&gt;&lt;Year&gt;2018&lt;/Year&gt;&lt;RecNum&gt;181&lt;/RecNum&gt;&lt;DisplayText&gt;(McLean and Radtke, 2018, Krishnarajan, 2019)&lt;/DisplayText&gt;&lt;record&gt;&lt;rec-number&gt;181&lt;/rec-number&gt;&lt;foreign-keys&gt;&lt;key app="EN" db-id="ta95fx9215vppiefzvh5drv7v0dsvepa0pz0" timestamp="1719069676" guid="9e4fd9b0-601c-418c-b810-86d75c91ab85"&gt;181&lt;/key&gt;&lt;/foreign-keys&gt;&lt;ref-type name="Journal Article"&gt;17&lt;/ref-type&gt;&lt;contributors&gt;&lt;authors&gt;&lt;author&gt;McLean, Elena V&lt;/author&gt;&lt;author&gt;Radtke, Mitchell T&lt;/author&gt;&lt;/authors&gt;&lt;/contributors&gt;&lt;titles&gt;&lt;title&gt;Political relations, leader stability, and economic coercion&lt;/title&gt;&lt;secondary-title&gt;International Studies Quarterly&lt;/secondary-title&gt;&lt;/titles&gt;&lt;periodical&gt;&lt;full-title&gt;International Studies Quarterly&lt;/full-title&gt;&lt;/periodical&gt;&lt;pages&gt;357-370&lt;/pages&gt;&lt;volume&gt;62&lt;/volume&gt;&lt;number&gt;2&lt;/number&gt;&lt;dates&gt;&lt;year&gt;2018&lt;/year&gt;&lt;/dates&gt;&lt;isbn&gt;0020-8833&lt;/isbn&gt;&lt;urls&gt;&lt;/urls&gt;&lt;/record&gt;&lt;/Cite&gt;&lt;Cite&gt;&lt;Author&gt;Krishnarajan&lt;/Author&gt;&lt;Year&gt;2019&lt;/Year&gt;&lt;RecNum&gt;183&lt;/RecNum&gt;&lt;record&gt;&lt;rec-number&gt;183&lt;/rec-number&gt;&lt;foreign-keys&gt;&lt;key app="EN" db-id="ta95fx9215vppiefzvh5drv7v0dsvepa0pz0" timestamp="1719074773" guid="a132ab76-1cb1-4b11-b209-925e0a95cf1e"&gt;183&lt;/key&gt;&lt;/foreign-keys&gt;&lt;ref-type name="Journal Article"&gt;17&lt;/ref-type&gt;&lt;contributors&gt;&lt;authors&gt;&lt;author&gt;Krishnarajan, Suthan&lt;/author&gt;&lt;/authors&gt;&lt;/contributors&gt;&lt;titles&gt;&lt;title&gt;Economic crisis, natural resources, and irregular leader removal in autocracies&lt;/title&gt;&lt;secondary-title&gt;International Studies Quarterly&lt;/secondary-title&gt;&lt;/titles&gt;&lt;periodical&gt;&lt;full-title&gt;International Studies Quarterly&lt;/full-title&gt;&lt;/periodical&gt;&lt;pages&gt;726-741&lt;/pages&gt;&lt;volume&gt;63&lt;/volume&gt;&lt;number&gt;3&lt;/number&gt;&lt;dates&gt;&lt;year&gt;2019&lt;/year&gt;&lt;/dates&gt;&lt;isbn&gt;0020-8833&lt;/isbn&gt;&lt;urls&gt;&lt;/urls&gt;&lt;/record&gt;&lt;/Cite&gt;&lt;/EndNote&gt;</w:instrText>
      </w:r>
      <w:r w:rsidR="001A4AC0">
        <w:fldChar w:fldCharType="separate"/>
      </w:r>
      <w:r w:rsidR="001A4AC0">
        <w:rPr>
          <w:noProof/>
        </w:rPr>
        <w:t>(McLean and Radtke, 2018, Krishnarajan, 2019)</w:t>
      </w:r>
      <w:r w:rsidR="001A4AC0">
        <w:fldChar w:fldCharType="end"/>
      </w:r>
      <w:r w:rsidR="001A4AC0" w:rsidRPr="001A4AC0">
        <w:t>.</w:t>
      </w:r>
    </w:p>
    <w:bookmarkEnd w:id="10"/>
    <w:p w14:paraId="0ADCC3FD" w14:textId="0BA98B51" w:rsidR="00D459A0" w:rsidRDefault="00BD2AA8" w:rsidP="00FF2B4A">
      <w:pPr>
        <w:spacing w:line="240" w:lineRule="auto"/>
        <w:ind w:firstLine="720"/>
      </w:pPr>
      <w:r>
        <w:rPr>
          <w:rFonts w:hint="eastAsia"/>
        </w:rPr>
        <w:t>F</w:t>
      </w:r>
      <w:r w:rsidR="00D459A0" w:rsidRPr="00D459A0">
        <w:t xml:space="preserve">oreign honors awarded to a country’s leader serve as a bellwether for international </w:t>
      </w:r>
      <w:r w:rsidR="0015393A">
        <w:rPr>
          <w:rFonts w:hint="eastAsia"/>
        </w:rPr>
        <w:t xml:space="preserve">trade and </w:t>
      </w:r>
      <w:r w:rsidR="00D459A0" w:rsidRPr="00D459A0">
        <w:t>cooperation</w:t>
      </w:r>
      <w:r w:rsidR="00C67AC8">
        <w:rPr>
          <w:rFonts w:hint="eastAsia"/>
        </w:rPr>
        <w:t xml:space="preserve"> </w:t>
      </w:r>
      <w:r w:rsidR="005F66C0">
        <w:fldChar w:fldCharType="begin"/>
      </w:r>
      <w:r w:rsidR="005F66C0">
        <w:instrText xml:space="preserve"> ADDIN EN.CITE &lt;EndNote&gt;&lt;Cite&gt;&lt;Author&gt;Phillips&lt;/Author&gt;&lt;Year&gt;2004&lt;/Year&gt;&lt;RecNum&gt;184&lt;/RecNum&gt;&lt;DisplayText&gt;(Phillips, 2004)&lt;/DisplayText&gt;&lt;record&gt;&lt;rec-number&gt;184&lt;/rec-number&gt;&lt;foreign-keys&gt;&lt;key app="EN" db-id="ta95fx9215vppiefzvh5drv7v0dsvepa0pz0" timestamp="1719075510" guid="18ad7aed-8b9a-4560-b4fb-7f211d2a6b31"&gt;184&lt;/key&gt;&lt;/foreign-keys&gt;&lt;ref-type name="Book"&gt;6&lt;/ref-type&gt;&lt;contributors&gt;&lt;authors&gt;&lt;author&gt;Phillips, Sir Hayden&lt;/author&gt;&lt;/authors&gt;&lt;/contributors&gt;&lt;titles&gt;&lt;title&gt;Review of the honours system&lt;/title&gt;&lt;/titles&gt;&lt;dates&gt;&lt;year&gt;2004&lt;/year&gt;&lt;/dates&gt;&lt;publisher&gt;Cabinet Office London&lt;/publisher&gt;&lt;urls&gt;&lt;/urls&gt;&lt;/record&gt;&lt;/Cite&gt;&lt;/EndNote&gt;</w:instrText>
      </w:r>
      <w:r w:rsidR="005F66C0">
        <w:fldChar w:fldCharType="separate"/>
      </w:r>
      <w:r w:rsidR="005F66C0">
        <w:rPr>
          <w:noProof/>
        </w:rPr>
        <w:t>(Phillips, 2004)</w:t>
      </w:r>
      <w:r w:rsidR="005F66C0">
        <w:fldChar w:fldCharType="end"/>
      </w:r>
      <w:r w:rsidR="00D459A0" w:rsidRPr="00D459A0">
        <w:t>, creating a favorable environment for multinational enterprises by facilitating reduced tariffs and simplifying the setup process</w:t>
      </w:r>
      <w:r w:rsidR="00D459A0">
        <w:rPr>
          <w:rFonts w:hint="eastAsia"/>
        </w:rPr>
        <w:t>.</w:t>
      </w:r>
      <w:r w:rsidR="002E2067">
        <w:rPr>
          <w:rFonts w:hint="eastAsia"/>
        </w:rPr>
        <w:t xml:space="preserve"> </w:t>
      </w:r>
      <w:r w:rsidR="00697AF5" w:rsidRPr="00697AF5">
        <w:t xml:space="preserve">When entering host countries, foreign firms often need to </w:t>
      </w:r>
      <w:r w:rsidR="00E83C53" w:rsidRPr="00697AF5">
        <w:t>organiz</w:t>
      </w:r>
      <w:r w:rsidR="00E83C53">
        <w:rPr>
          <w:rFonts w:hint="eastAsia"/>
        </w:rPr>
        <w:t>e</w:t>
      </w:r>
      <w:r w:rsidR="00E83C53" w:rsidRPr="00697AF5">
        <w:t xml:space="preserve"> local activities</w:t>
      </w:r>
      <w:r w:rsidR="00E83C53">
        <w:rPr>
          <w:rFonts w:hint="eastAsia"/>
        </w:rPr>
        <w:t xml:space="preserve"> and</w:t>
      </w:r>
      <w:r w:rsidR="00E83C53" w:rsidRPr="00697AF5">
        <w:t xml:space="preserve"> </w:t>
      </w:r>
      <w:r w:rsidR="00697AF5" w:rsidRPr="00697AF5">
        <w:lastRenderedPageBreak/>
        <w:t>engage with institutions, governments, and society. This long-term process is preferably conducted in a stable and predictable political environment, which can enhance the competitiveness of the enterprise</w:t>
      </w:r>
      <w:r w:rsidR="00697AF5">
        <w:rPr>
          <w:rFonts w:hint="eastAsia"/>
        </w:rPr>
        <w:t xml:space="preserve"> </w:t>
      </w:r>
      <w:r w:rsidR="00697AF5">
        <w:fldChar w:fldCharType="begin"/>
      </w:r>
      <w:r w:rsidR="00F323A1">
        <w:instrText xml:space="preserve"> ADDIN EN.CITE &lt;EndNote&gt;&lt;Cite&gt;&lt;Author&gt;Luo&lt;/Author&gt;&lt;Year&gt;2019&lt;/Year&gt;&lt;RecNum&gt;186&lt;/RecNum&gt;&lt;DisplayText&gt;(Luo et al., 2019)&lt;/DisplayText&gt;&lt;record&gt;&lt;rec-number&gt;186&lt;/rec-number&gt;&lt;foreign-keys&gt;&lt;key app="EN" db-id="ta95fx9215vppiefzvh5drv7v0dsvepa0pz0" timestamp="1719077664" guid="c57c7c0e-da72-4a98-8649-79e7c82b7ca3"&gt;186&lt;/key&gt;&lt;/foreign-keys&gt;&lt;ref-type name="Journal Article"&gt;17&lt;/ref-type&gt;&lt;contributors&gt;&lt;authors&gt;&lt;author&gt;Luo, Yadong&lt;/author&gt;&lt;author&gt;Zhang, Huan&lt;/author&gt;&lt;author&gt;Bu, Juan&lt;/author&gt;&lt;/authors&gt;&lt;/contributors&gt;&lt;titles&gt;&lt;title&gt;Developed country MNEs investing in developing economies: Progress and prospect&lt;/title&gt;&lt;secondary-title&gt;Journal of International Business Studies&lt;/secondary-title&gt;&lt;/titles&gt;&lt;periodical&gt;&lt;full-title&gt;Journal of International Business Studies&lt;/full-title&gt;&lt;/periodical&gt;&lt;pages&gt;633-667&lt;/pages&gt;&lt;volume&gt;50&lt;/volume&gt;&lt;dates&gt;&lt;year&gt;2019&lt;/year&gt;&lt;/dates&gt;&lt;isbn&gt;0047-2506&lt;/isbn&gt;&lt;urls&gt;&lt;/urls&gt;&lt;/record&gt;&lt;/Cite&gt;&lt;/EndNote&gt;</w:instrText>
      </w:r>
      <w:r w:rsidR="00697AF5">
        <w:fldChar w:fldCharType="separate"/>
      </w:r>
      <w:r w:rsidR="00697AF5">
        <w:rPr>
          <w:noProof/>
        </w:rPr>
        <w:t>(Luo et al., 2019)</w:t>
      </w:r>
      <w:r w:rsidR="00697AF5">
        <w:fldChar w:fldCharType="end"/>
      </w:r>
      <w:r w:rsidR="00C67AC8" w:rsidRPr="00C67AC8">
        <w:t xml:space="preserve">. </w:t>
      </w:r>
      <w:r w:rsidR="00697AF5" w:rsidRPr="00697AF5">
        <w:t>A king who is awarded more foreign honors provides a continuously favorable investment environment for foreign firms, facilitating their knowledge acquisition and thorough preparation. The sudden succession brings significant uncertainty, especially concerning the ruler's attitude towards foreign firms.</w:t>
      </w:r>
      <w:r w:rsidR="00697AF5">
        <w:rPr>
          <w:rFonts w:hint="eastAsia"/>
        </w:rPr>
        <w:t xml:space="preserve"> </w:t>
      </w:r>
      <w:r w:rsidR="00C140DE">
        <w:t xml:space="preserve">Therefore, </w:t>
      </w:r>
      <w:r w:rsidR="007437D1" w:rsidRPr="007437D1">
        <w:t xml:space="preserve">the </w:t>
      </w:r>
      <w:r w:rsidR="00C140DE">
        <w:t xml:space="preserve">decease </w:t>
      </w:r>
      <w:r w:rsidR="007437D1" w:rsidRPr="007437D1">
        <w:t xml:space="preserve">of an incumbent king who holds numerous foreign honors causes foreign </w:t>
      </w:r>
      <w:r w:rsidR="007437D1">
        <w:rPr>
          <w:rFonts w:hint="eastAsia"/>
        </w:rPr>
        <w:t>firm</w:t>
      </w:r>
      <w:r w:rsidR="007437D1" w:rsidRPr="007437D1">
        <w:t>s to lose confidence and potentially wasting extensive research and preparation efforts, thereby exacerbating the disruption caused by succession</w:t>
      </w:r>
      <w:r w:rsidR="008B0F7E" w:rsidRPr="008B0F7E">
        <w:t>.</w:t>
      </w:r>
    </w:p>
    <w:p w14:paraId="0F0DEDC2" w14:textId="1A3F5EDB" w:rsidR="00E54BD3" w:rsidRPr="00D2692C" w:rsidRDefault="00E54BD3" w:rsidP="00FF2B4A">
      <w:pPr>
        <w:spacing w:line="240" w:lineRule="auto"/>
        <w:ind w:left="720"/>
        <w:rPr>
          <w:i/>
        </w:rPr>
      </w:pPr>
      <w:r w:rsidRPr="00FA73AC">
        <w:rPr>
          <w:i/>
        </w:rPr>
        <w:t>H</w:t>
      </w:r>
      <w:r>
        <w:rPr>
          <w:rFonts w:hint="eastAsia"/>
          <w:i/>
        </w:rPr>
        <w:t>2</w:t>
      </w:r>
      <w:r w:rsidRPr="00FA73AC">
        <w:rPr>
          <w:i/>
        </w:rPr>
        <w:t xml:space="preserve">: </w:t>
      </w:r>
      <w:r w:rsidR="00B95158">
        <w:rPr>
          <w:rFonts w:hint="eastAsia"/>
          <w:iCs/>
        </w:rPr>
        <w:t>The negative impact of succession on Japanese firms</w:t>
      </w:r>
      <w:r w:rsidR="00B95158">
        <w:rPr>
          <w:iCs/>
        </w:rPr>
        <w:t>’</w:t>
      </w:r>
      <w:r w:rsidR="00B95158">
        <w:rPr>
          <w:rFonts w:hint="eastAsia"/>
          <w:iCs/>
        </w:rPr>
        <w:t xml:space="preserve"> FDI entry propensity is greater </w:t>
      </w:r>
      <w:r w:rsidR="00C140DE">
        <w:rPr>
          <w:iCs/>
        </w:rPr>
        <w:t>when</w:t>
      </w:r>
      <w:r w:rsidR="00C140DE" w:rsidRPr="00D87930">
        <w:rPr>
          <w:iCs/>
        </w:rPr>
        <w:t xml:space="preserve"> </w:t>
      </w:r>
      <w:r w:rsidR="00C140DE">
        <w:rPr>
          <w:iCs/>
        </w:rPr>
        <w:t>a</w:t>
      </w:r>
      <w:r w:rsidRPr="00D87930">
        <w:rPr>
          <w:iCs/>
        </w:rPr>
        <w:t xml:space="preserve"> </w:t>
      </w:r>
      <w:r w:rsidR="00B95158">
        <w:rPr>
          <w:rFonts w:hint="eastAsia"/>
          <w:iCs/>
        </w:rPr>
        <w:t>kin</w:t>
      </w:r>
      <w:r w:rsidR="00C140DE">
        <w:rPr>
          <w:iCs/>
        </w:rPr>
        <w:t xml:space="preserve">g has </w:t>
      </w:r>
      <w:r w:rsidR="00B95158">
        <w:rPr>
          <w:rFonts w:hint="eastAsia"/>
          <w:iCs/>
        </w:rPr>
        <w:t xml:space="preserve">received </w:t>
      </w:r>
      <w:r w:rsidR="00C140DE">
        <w:rPr>
          <w:iCs/>
        </w:rPr>
        <w:t>more</w:t>
      </w:r>
      <w:r w:rsidR="00B95158">
        <w:rPr>
          <w:rFonts w:hint="eastAsia"/>
          <w:iCs/>
        </w:rPr>
        <w:t xml:space="preserve"> foreign honors</w:t>
      </w:r>
      <w:r w:rsidR="001311BF">
        <w:rPr>
          <w:rFonts w:hint="eastAsia"/>
          <w:iCs/>
        </w:rPr>
        <w:t xml:space="preserve"> </w:t>
      </w:r>
      <w:r w:rsidR="001311BF" w:rsidRPr="001311BF">
        <w:rPr>
          <w:iCs/>
        </w:rPr>
        <w:t xml:space="preserve">compared to </w:t>
      </w:r>
      <w:r w:rsidR="00C140DE">
        <w:rPr>
          <w:iCs/>
        </w:rPr>
        <w:t xml:space="preserve">those have </w:t>
      </w:r>
      <w:r w:rsidR="00F2730C">
        <w:rPr>
          <w:iCs/>
        </w:rPr>
        <w:t>fewer</w:t>
      </w:r>
      <w:r w:rsidRPr="00D87930">
        <w:rPr>
          <w:iCs/>
        </w:rPr>
        <w:t>.</w:t>
      </w:r>
    </w:p>
    <w:p w14:paraId="0C5CC70F" w14:textId="4F0A3B85" w:rsidR="00917193" w:rsidRPr="00D87930" w:rsidRDefault="00AC22EA" w:rsidP="00026DCC">
      <w:pPr>
        <w:spacing w:before="240" w:after="0" w:line="360" w:lineRule="auto"/>
        <w:rPr>
          <w:i/>
          <w:iCs/>
        </w:rPr>
      </w:pPr>
      <w:r w:rsidRPr="00D87930">
        <w:rPr>
          <w:i/>
          <w:iCs/>
        </w:rPr>
        <w:t>A</w:t>
      </w:r>
      <w:r w:rsidR="007738A5" w:rsidRPr="00D87930">
        <w:rPr>
          <w:i/>
          <w:iCs/>
        </w:rPr>
        <w:t xml:space="preserve">nticipated </w:t>
      </w:r>
      <w:r w:rsidR="00CE67C8">
        <w:rPr>
          <w:rFonts w:hint="eastAsia"/>
          <w:i/>
          <w:iCs/>
        </w:rPr>
        <w:t>s</w:t>
      </w:r>
      <w:r w:rsidR="007738A5" w:rsidRPr="00D87930">
        <w:rPr>
          <w:i/>
          <w:iCs/>
        </w:rPr>
        <w:t>uccessors and FDI</w:t>
      </w:r>
    </w:p>
    <w:p w14:paraId="0231AC04" w14:textId="447E4A57" w:rsidR="002C6219" w:rsidRPr="00FA73AC" w:rsidRDefault="00B75A12" w:rsidP="00772913">
      <w:pPr>
        <w:spacing w:line="240" w:lineRule="auto"/>
      </w:pPr>
      <w:r w:rsidRPr="00FA73AC">
        <w:t xml:space="preserve">Exposed to political risks in host countries, foreign firms proactively anticipate and evaluate potential impacts. </w:t>
      </w:r>
      <w:r w:rsidR="00AC22EA" w:rsidRPr="00FA73AC">
        <w:t>Many monarchical countries follow a pre-established procedure</w:t>
      </w:r>
      <w:r w:rsidR="009B1DD4" w:rsidRPr="00FA73AC">
        <w:t xml:space="preserve"> in sudden succession</w:t>
      </w:r>
      <w:r w:rsidR="00AC22EA" w:rsidRPr="00FA73AC">
        <w:t xml:space="preserve">. This succession system addresses both the coordination challenges of the regime and the crown prince problem. The crown prince serves as a </w:t>
      </w:r>
      <w:r w:rsidR="00630143">
        <w:t>pre-announced backup</w:t>
      </w:r>
      <w:r w:rsidR="00AC22EA" w:rsidRPr="00FA73AC">
        <w:t xml:space="preserve">, resolving the coordination problem within the regime </w:t>
      </w:r>
      <w:r w:rsidR="00FE6FDF" w:rsidRPr="00FA73AC">
        <w:fldChar w:fldCharType="begin"/>
      </w:r>
      <w:r w:rsidR="005F728D">
        <w:instrText xml:space="preserve"> ADDIN EN.CITE &lt;EndNote&gt;&lt;Cite&gt;&lt;Author&gt;Kokkonen&lt;/Author&gt;&lt;Year&gt;2014&lt;/Year&gt;&lt;RecNum&gt;12&lt;/RecNum&gt;&lt;DisplayText&gt;(Kokkonen and Sundell, 2014)&lt;/DisplayText&gt;&lt;record&gt;&lt;rec-number&gt;12&lt;/rec-number&gt;&lt;foreign-keys&gt;&lt;key app="EN" db-id="ta95fx9215vppiefzvh5drv7v0dsvepa0pz0" timestamp="1695716402" guid="706946ac-2223-4b66-8352-03b2b53f7e15"&gt;12&lt;/key&gt;&lt;/foreign-keys&gt;&lt;ref-type name="Journal Article"&gt;17&lt;/ref-type&gt;&lt;contributors&gt;&lt;authors&gt;&lt;author&gt;Kokkonen, Andrej&lt;/author&gt;&lt;author&gt;Sundell, Anders&lt;/author&gt;&lt;/authors&gt;&lt;/contributors&gt;&lt;titles&gt;&lt;title&gt;Delivering Stability—Primogeniture and Autocratic Survival in European Monarchies 1000–1800&lt;/title&gt;&lt;secondary-title&gt;American Political Science Review&lt;/secondary-title&gt;&lt;/titles&gt;&lt;periodical&gt;&lt;full-title&gt;American Political Science Review&lt;/full-title&gt;&lt;/periodical&gt;&lt;pages&gt;438-453&lt;/pages&gt;&lt;volume&gt;108&lt;/volume&gt;&lt;number&gt;2&lt;/number&gt;&lt;edition&gt;2014/04/28&lt;/edition&gt;&lt;dates&gt;&lt;year&gt;2014&lt;/year&gt;&lt;/dates&gt;&lt;publisher&gt;Cambridge University Press&lt;/publisher&gt;&lt;isbn&gt;0003-0554&lt;/isbn&gt;&lt;urls&gt;&lt;related-urls&gt;&lt;url&gt;https://www.cambridge.org/core/article/delivering-stabilityprimogeniture-and-autocratic-survival-in-european-monarchies-10001800/2399079C174599A840E5230E8827609C&lt;/url&gt;&lt;/related-urls&gt;&lt;/urls&gt;&lt;electronic-resource-num&gt;10.1017/S000305541400015X&lt;/electronic-resource-num&gt;&lt;remote-database-name&gt;Cambridge Core&lt;/remote-database-name&gt;&lt;remote-database-provider&gt;Cambridge University Press&lt;/remote-database-provider&gt;&lt;/record&gt;&lt;/Cite&gt;&lt;/EndNote&gt;</w:instrText>
      </w:r>
      <w:r w:rsidR="00FE6FDF" w:rsidRPr="00FA73AC">
        <w:fldChar w:fldCharType="separate"/>
      </w:r>
      <w:r w:rsidR="00AF7792">
        <w:rPr>
          <w:noProof/>
        </w:rPr>
        <w:t>(Kokkonen and Sundell, 2014)</w:t>
      </w:r>
      <w:r w:rsidR="00FE6FDF" w:rsidRPr="00FA73AC">
        <w:fldChar w:fldCharType="end"/>
      </w:r>
      <w:r w:rsidR="00AC22EA" w:rsidRPr="00FA73AC">
        <w:t>.</w:t>
      </w:r>
      <w:r w:rsidR="00C83615" w:rsidRPr="00FA73AC">
        <w:t xml:space="preserve"> </w:t>
      </w:r>
      <w:r w:rsidR="00F50683" w:rsidRPr="00FA73AC">
        <w:t xml:space="preserve">Consequently, </w:t>
      </w:r>
      <w:r w:rsidR="002C6219" w:rsidRPr="00FA73AC">
        <w:t>the</w:t>
      </w:r>
      <w:r w:rsidR="009B1DD4" w:rsidRPr="00FA73AC">
        <w:t xml:space="preserve"> </w:t>
      </w:r>
      <w:r w:rsidR="00F50683" w:rsidRPr="00FA73AC">
        <w:t xml:space="preserve">personal traits </w:t>
      </w:r>
      <w:r w:rsidR="002C6219" w:rsidRPr="00FA73AC">
        <w:t xml:space="preserve">of the anticipated successor </w:t>
      </w:r>
      <w:r w:rsidR="00F50683" w:rsidRPr="00FA73AC">
        <w:t xml:space="preserve">can serve as signals of uncertainty for future investments </w:t>
      </w:r>
      <w:r w:rsidR="00565BBA" w:rsidRPr="00FA73AC">
        <w:fldChar w:fldCharType="begin"/>
      </w:r>
      <w:r w:rsidR="005F728D">
        <w:instrText xml:space="preserve"> ADDIN EN.CITE &lt;EndNote&gt;&lt;Cite&gt;&lt;Author&gt;Kokkonen&lt;/Author&gt;&lt;Year&gt;2017&lt;/Year&gt;&lt;RecNum&gt;146&lt;/RecNum&gt;&lt;DisplayText&gt;(Kokkonen and Sundell, 2017)&lt;/DisplayText&gt;&lt;record&gt;&lt;rec-number&gt;146&lt;/rec-number&gt;&lt;foreign-keys&gt;&lt;key app="EN" db-id="ta95fx9215vppiefzvh5drv7v0dsvepa0pz0" timestamp="1708845519" guid="31f2ee15-8178-482f-9797-c40a67b1b641"&gt;146&lt;/key&gt;&lt;/foreign-keys&gt;&lt;ref-type name="Journal Article"&gt;17&lt;/ref-type&gt;&lt;contributors&gt;&lt;authors&gt;&lt;author&gt;Kokkonen, Andrej&lt;/author&gt;&lt;author&gt;Sundell, Anders&lt;/author&gt;&lt;/authors&gt;&lt;/contributors&gt;&lt;titles&gt;&lt;title&gt;The King is Dead: Political Succession and War in Europe, 1000–1799&lt;/title&gt;&lt;/titles&gt;&lt;dates&gt;&lt;year&gt;2017&lt;/year&gt;&lt;/dates&gt;&lt;isbn&gt;1653-8919&lt;/isbn&gt;&lt;urls&gt;&lt;/urls&gt;&lt;/record&gt;&lt;/Cite&gt;&lt;/EndNote&gt;</w:instrText>
      </w:r>
      <w:r w:rsidR="00565BBA" w:rsidRPr="00FA73AC">
        <w:fldChar w:fldCharType="separate"/>
      </w:r>
      <w:r w:rsidR="00AF7792">
        <w:rPr>
          <w:noProof/>
        </w:rPr>
        <w:t>(Kokkonen and Sundell, 2017)</w:t>
      </w:r>
      <w:r w:rsidR="00565BBA" w:rsidRPr="00FA73AC">
        <w:fldChar w:fldCharType="end"/>
      </w:r>
      <w:r w:rsidR="00565BBA" w:rsidRPr="00FA73AC">
        <w:t>.</w:t>
      </w:r>
      <w:r w:rsidR="000476A9" w:rsidRPr="00FA73AC">
        <w:t xml:space="preserve"> </w:t>
      </w:r>
      <w:bookmarkStart w:id="11" w:name="OLE_LINK13"/>
      <w:r w:rsidR="00656D83">
        <w:t xml:space="preserve">We focus on </w:t>
      </w:r>
      <w:r w:rsidR="00F60BE9">
        <w:rPr>
          <w:rFonts w:hint="eastAsia"/>
        </w:rPr>
        <w:t xml:space="preserve">military </w:t>
      </w:r>
      <w:r w:rsidR="00F60BE9">
        <w:t>experience</w:t>
      </w:r>
      <w:r w:rsidR="00656D83">
        <w:t xml:space="preserve"> of the anticipated successors that can be useful for foreign firms in making FDI decisions.</w:t>
      </w:r>
      <w:bookmarkEnd w:id="11"/>
      <w:r w:rsidR="00656D83">
        <w:t xml:space="preserve"> </w:t>
      </w:r>
    </w:p>
    <w:p w14:paraId="6005B5BD" w14:textId="196135EB" w:rsidR="00DB04DC" w:rsidRPr="00FA73AC" w:rsidRDefault="00AC22EA" w:rsidP="00772913">
      <w:pPr>
        <w:spacing w:line="240" w:lineRule="auto"/>
        <w:rPr>
          <w:i/>
          <w:iCs/>
        </w:rPr>
      </w:pPr>
      <w:r w:rsidRPr="00FA73AC">
        <w:rPr>
          <w:i/>
          <w:iCs/>
        </w:rPr>
        <w:t xml:space="preserve">Successor’s </w:t>
      </w:r>
      <w:r w:rsidR="000476A9" w:rsidRPr="00FA73AC">
        <w:rPr>
          <w:i/>
          <w:iCs/>
        </w:rPr>
        <w:t>military influence</w:t>
      </w:r>
      <w:r w:rsidR="00AF7792">
        <w:rPr>
          <w:i/>
          <w:iCs/>
        </w:rPr>
        <w:t>.</w:t>
      </w:r>
    </w:p>
    <w:p w14:paraId="7240F096" w14:textId="32D54189" w:rsidR="00871C8B" w:rsidRPr="00FA73AC" w:rsidRDefault="00871C8B" w:rsidP="00772913">
      <w:pPr>
        <w:spacing w:line="240" w:lineRule="auto"/>
      </w:pPr>
      <w:r w:rsidRPr="00FA73AC">
        <w:t xml:space="preserve">In a country where inheritance is not solely based on primogeniture, ensuring a smooth power transition becomes a challenge. The authority of the pre-announced successor, typically the crown prince, is crucial, as they must wield significant political and military power to </w:t>
      </w:r>
      <w:r w:rsidR="00436B10" w:rsidRPr="00436B10">
        <w:t>deter internal and external threats</w:t>
      </w:r>
      <w:r w:rsidR="00436B10">
        <w:t xml:space="preserve"> and </w:t>
      </w:r>
      <w:r w:rsidRPr="00FA73AC">
        <w:t>guarantee a successful succession</w:t>
      </w:r>
      <w:r w:rsidR="00436B10">
        <w:t xml:space="preserve"> </w:t>
      </w:r>
      <w:r w:rsidR="00E01D1B">
        <w:fldChar w:fldCharType="begin"/>
      </w:r>
      <w:r w:rsidR="00AF7792">
        <w:instrText xml:space="preserve"> ADDIN EN.CITE &lt;EndNote&gt;&lt;Cite&gt;&lt;Author&gt;Centeno&lt;/Author&gt;&lt;Year&gt;1997&lt;/Year&gt;&lt;RecNum&gt;187&lt;/RecNum&gt;&lt;DisplayText&gt;(Centeno, 1997)&lt;/DisplayText&gt;&lt;record&gt;&lt;rec-number&gt;187&lt;/rec-number&gt;&lt;foreign-keys&gt;&lt;key app="EN" db-id="ta95fx9215vppiefzvh5drv7v0dsvepa0pz0" timestamp="17</w:instrText>
      </w:r>
      <w:r w:rsidR="00AF7792">
        <w:rPr>
          <w:rFonts w:hint="eastAsia"/>
        </w:rPr>
        <w:instrText>08922284"&gt;187&lt;/key&gt;&lt;/foreign-keys&gt;&lt;ref-type name="Journal Article"&gt;17&lt;/ref-type&gt;&lt;contributors&gt;&lt;authors&gt;&lt;author&gt;Miguel Angel Centeno&lt;/author&gt;&lt;/authors&gt;&lt;/contributors&gt;&lt;titles&gt;&lt;title&gt;Blood and Debt: War and Taxation in Nineteenth</w:instrText>
      </w:r>
      <w:r w:rsidR="00AF7792">
        <w:rPr>
          <w:rFonts w:hint="eastAsia"/>
        </w:rPr>
        <w:instrText>‐</w:instrText>
      </w:r>
      <w:r w:rsidR="00AF7792">
        <w:rPr>
          <w:rFonts w:hint="eastAsia"/>
        </w:rPr>
        <w:instrText>Century Latin America&lt;/title</w:instrText>
      </w:r>
      <w:r w:rsidR="00AF7792">
        <w:instrText>&gt;&lt;secondary-title&gt;American Journal of Sociology&lt;/secondary-title&gt;&lt;/titles&gt;&lt;periodical&gt;&lt;full-title&gt;American Journal of Sociology&lt;/full-title&gt;&lt;/periodical&gt;&lt;pages&gt;1565-1605&lt;/pages&gt;&lt;volume&gt;102&lt;/volume&gt;&lt;number&gt;6&lt;/number&gt;&lt;dates&gt;&lt;year&gt;1997&lt;/year&gt;&lt;/dates&gt;&lt;urls&gt;&lt;related-urls&gt;&lt;url&gt;https://www.journals.uchicago.edu/doi/abs/10.1086/231127&lt;/url&gt;&lt;/related-urls&gt;&lt;/urls&gt;&lt;electronic-resource-num&gt;10.1086/231127&lt;/electronic-resource-num&gt;&lt;/record&gt;&lt;/Cite&gt;&lt;/EndNote&gt;</w:instrText>
      </w:r>
      <w:r w:rsidR="00E01D1B">
        <w:fldChar w:fldCharType="separate"/>
      </w:r>
      <w:r w:rsidR="00AF7792">
        <w:rPr>
          <w:noProof/>
        </w:rPr>
        <w:t>(Centeno, 1997)</w:t>
      </w:r>
      <w:r w:rsidR="00E01D1B">
        <w:fldChar w:fldCharType="end"/>
      </w:r>
      <w:r w:rsidRPr="00FA73AC">
        <w:t>.</w:t>
      </w:r>
      <w:r w:rsidR="00565BBA" w:rsidRPr="00FA73AC">
        <w:t xml:space="preserve"> </w:t>
      </w:r>
      <w:bookmarkStart w:id="12" w:name="_Hlk169993035"/>
      <w:r w:rsidR="00436B10" w:rsidRPr="00436B10">
        <w:t>A strong military presence can deter potential coup attempts and ensure the continuity of governance.</w:t>
      </w:r>
      <w:r w:rsidR="00436B10">
        <w:t xml:space="preserve"> When the successor has a strong military power, he can also </w:t>
      </w:r>
      <w:r w:rsidR="00436B10" w:rsidRPr="00436B10">
        <w:t>enforc</w:t>
      </w:r>
      <w:r w:rsidR="00436B10">
        <w:t>e</w:t>
      </w:r>
      <w:r w:rsidR="00436B10" w:rsidRPr="00436B10">
        <w:t xml:space="preserve"> stability and quelling unrest that may arise during succession periods. </w:t>
      </w:r>
    </w:p>
    <w:p w14:paraId="3D9C0372" w14:textId="222B0213" w:rsidR="00DB04DC" w:rsidRPr="00FA73AC" w:rsidRDefault="00BF5712" w:rsidP="00772913">
      <w:pPr>
        <w:spacing w:line="240" w:lineRule="auto"/>
        <w:ind w:firstLine="720"/>
      </w:pPr>
      <w:bookmarkStart w:id="13" w:name="_Hlk169993053"/>
      <w:r w:rsidRPr="00FA73AC">
        <w:t xml:space="preserve">Foreign firms prefer a strong and powerful anticipated successor for a smooth transition, </w:t>
      </w:r>
      <w:r w:rsidR="00630143">
        <w:t xml:space="preserve">which is </w:t>
      </w:r>
      <w:r w:rsidRPr="00FA73AC">
        <w:t xml:space="preserve">vital for business operations and policy continuity. </w:t>
      </w:r>
      <w:r w:rsidR="00436B10" w:rsidRPr="00436B10">
        <w:t xml:space="preserve">Foreign firms often rely on stable and predictable policy environments to make long-term investment decisions. A strong and powerful anticipated </w:t>
      </w:r>
      <w:bookmarkEnd w:id="12"/>
      <w:r w:rsidR="00436B10" w:rsidRPr="00436B10">
        <w:t xml:space="preserve">successor is more likely to maintain existing policies and commitments, ensuring continuity in </w:t>
      </w:r>
      <w:r w:rsidR="00630143">
        <w:t>policy</w:t>
      </w:r>
      <w:r w:rsidR="00436B10" w:rsidRPr="00436B10">
        <w:t xml:space="preserve"> </w:t>
      </w:r>
      <w:r w:rsidR="00E01D1B">
        <w:fldChar w:fldCharType="begin"/>
      </w:r>
      <w:r w:rsidR="00AF7792">
        <w:instrText xml:space="preserve"> ADDIN EN.CITE &lt;EndNote&gt;&lt;Cite&gt;&lt;Author&gt;Estrin&lt;/Author&gt;&lt;Year&gt;2010&lt;/Year&gt;&lt;RecNum&gt;188&lt;/RecNum&gt;&lt;DisplayText&gt;(Estrin and Prevezer, 2010)&lt;/DisplayText&gt;&lt;record&gt;&lt;rec-number&gt;188&lt;/rec-number&gt;&lt;foreign-keys&gt;&lt;key app="EN" db-id="ta95fx9215vppiefzvh5drv7v0dsvepa0pz0" timestamp="1708922419"&gt;188&lt;/key&gt;&lt;/foreign-keys&gt;&lt;ref-type name="Journal Article"&gt;17&lt;/ref-type&gt;&lt;contributors&gt;&lt;authors&gt;&lt;author&gt;Estrin, Saul&lt;/author&gt;&lt;author&gt;Prevezer, Martha&lt;/author&gt;&lt;/authors&gt;&lt;/contributors&gt;&lt;titles&gt;&lt;title&gt;A survey on institutions and new firm entry: How and why do entry rates differ in emerging markets?&lt;/title&gt;&lt;secondary-title&gt;Economic Systems&lt;/secondary-title&gt;&lt;/titles&gt;&lt;periodical&gt;&lt;full-title&gt;Economic Systems&lt;/full-title&gt;&lt;/periodical&gt;&lt;pages&gt;289-308&lt;/pages&gt;&lt;volume&gt;34&lt;/volume&gt;&lt;number&gt;3&lt;/number&gt;&lt;keywords&gt;&lt;keyword&gt;New firm entry and exit&lt;/keyword&gt;&lt;keyword&gt;Entry rates&lt;/keyword&gt;&lt;keyword&gt;Formal and informal institutions&lt;/keyword&gt;&lt;keyword&gt;Emerging markets&lt;/keyword&gt;&lt;keyword&gt;Corruption&lt;/keyword&gt;&lt;/keywords&gt;&lt;dates&gt;&lt;year&gt;2010&lt;/year&gt;&lt;pub-dates&gt;&lt;date&gt;2010/09/01/&lt;/date&gt;&lt;/pub-dates&gt;&lt;/dates&gt;&lt;isbn&gt;0939-3625&lt;/isbn&gt;&lt;urls&gt;&lt;related-urls&gt;&lt;url&gt;https://www.sciencedirect.com/science/article/pii/S093936251000035X&lt;/url&gt;&lt;/related-urls&gt;&lt;/urls&gt;&lt;electronic-resource-num&gt;https://doi.org/10.1016/j.ecosys.2010.01.003&lt;/electronic-resource-num&gt;&lt;/record&gt;&lt;/Cite&gt;&lt;/EndNote&gt;</w:instrText>
      </w:r>
      <w:r w:rsidR="00E01D1B">
        <w:fldChar w:fldCharType="separate"/>
      </w:r>
      <w:r w:rsidR="00AF7792">
        <w:rPr>
          <w:noProof/>
        </w:rPr>
        <w:t>(Estrin and Prevezer, 2010)</w:t>
      </w:r>
      <w:r w:rsidR="00E01D1B">
        <w:fldChar w:fldCharType="end"/>
      </w:r>
      <w:r w:rsidR="00436B10" w:rsidRPr="00436B10">
        <w:t xml:space="preserve">. </w:t>
      </w:r>
      <w:r w:rsidR="00630143">
        <w:t xml:space="preserve">When a host country has chosen </w:t>
      </w:r>
      <w:r w:rsidR="00527028" w:rsidRPr="00772913">
        <w:t xml:space="preserve">a strong and powerful successor, foreign firms mitigate the risks associated with potential disruptions to their operations and investments. </w:t>
      </w:r>
      <w:r w:rsidRPr="00FA73AC">
        <w:t xml:space="preserve">Conversely, the failure of an anticipated succession, with a new successor and their affiliated group seizing power, poses significant political risks. In such cases, the risk of expropriation rises as the new forces may exploit connections to the ruler, potentially harming foreign firms. </w:t>
      </w:r>
      <w:r w:rsidR="00F50683" w:rsidRPr="00FA73AC">
        <w:t xml:space="preserve">We propose the hypothesis that the military power of the </w:t>
      </w:r>
      <w:r w:rsidR="00F50683" w:rsidRPr="00FA73AC">
        <w:lastRenderedPageBreak/>
        <w:t>anticipated successor can act as a safeguard for a successful and uninterrupted succession.</w:t>
      </w:r>
    </w:p>
    <w:p w14:paraId="04C346BE" w14:textId="7FCBA3CA" w:rsidR="00833374" w:rsidRPr="00FA73AC" w:rsidRDefault="00833374" w:rsidP="000D1559">
      <w:pPr>
        <w:spacing w:line="240" w:lineRule="auto"/>
        <w:ind w:left="720"/>
        <w:rPr>
          <w:i/>
        </w:rPr>
      </w:pPr>
      <w:bookmarkStart w:id="14" w:name="_Hlk152582880"/>
      <w:bookmarkEnd w:id="13"/>
      <w:r w:rsidRPr="00FA73AC">
        <w:rPr>
          <w:i/>
        </w:rPr>
        <w:t>H</w:t>
      </w:r>
      <w:r w:rsidR="0081110E">
        <w:rPr>
          <w:rFonts w:hint="eastAsia"/>
          <w:i/>
        </w:rPr>
        <w:t>3</w:t>
      </w:r>
      <w:r w:rsidRPr="00FA73AC">
        <w:rPr>
          <w:i/>
        </w:rPr>
        <w:t xml:space="preserve">: </w:t>
      </w:r>
      <w:r w:rsidR="001311BF" w:rsidRPr="001311BF">
        <w:rPr>
          <w:iCs/>
        </w:rPr>
        <w:t xml:space="preserve">The negative impact of succession on Japanese firms’ FDI entry propensity is </w:t>
      </w:r>
      <w:r w:rsidR="001311BF">
        <w:rPr>
          <w:rFonts w:hint="eastAsia"/>
          <w:iCs/>
        </w:rPr>
        <w:t>smaller</w:t>
      </w:r>
      <w:r w:rsidRPr="00D87930">
        <w:rPr>
          <w:iCs/>
        </w:rPr>
        <w:t xml:space="preserve"> </w:t>
      </w:r>
      <w:r w:rsidR="00C140DE">
        <w:rPr>
          <w:iCs/>
        </w:rPr>
        <w:t>when</w:t>
      </w:r>
      <w:r w:rsidR="00C140DE" w:rsidRPr="00D87930">
        <w:rPr>
          <w:iCs/>
        </w:rPr>
        <w:t xml:space="preserve"> </w:t>
      </w:r>
      <w:r w:rsidR="00C140DE">
        <w:rPr>
          <w:iCs/>
        </w:rPr>
        <w:t>an</w:t>
      </w:r>
      <w:r w:rsidR="00C140DE" w:rsidRPr="00D87930">
        <w:rPr>
          <w:iCs/>
        </w:rPr>
        <w:t xml:space="preserve"> </w:t>
      </w:r>
      <w:r w:rsidRPr="00D87930">
        <w:rPr>
          <w:iCs/>
        </w:rPr>
        <w:t>anticipated successor</w:t>
      </w:r>
      <w:r w:rsidR="00C140DE">
        <w:rPr>
          <w:iCs/>
        </w:rPr>
        <w:t xml:space="preserve"> </w:t>
      </w:r>
      <w:r w:rsidR="00F2730C">
        <w:rPr>
          <w:iCs/>
        </w:rPr>
        <w:t>ha</w:t>
      </w:r>
      <w:r w:rsidR="00C140DE">
        <w:rPr>
          <w:iCs/>
        </w:rPr>
        <w:t>s</w:t>
      </w:r>
      <w:r w:rsidR="00F2730C">
        <w:rPr>
          <w:iCs/>
        </w:rPr>
        <w:t xml:space="preserve"> a stronger </w:t>
      </w:r>
      <w:r w:rsidRPr="00D87930">
        <w:rPr>
          <w:iCs/>
        </w:rPr>
        <w:t xml:space="preserve">military </w:t>
      </w:r>
      <w:r w:rsidR="00F2730C">
        <w:rPr>
          <w:iCs/>
        </w:rPr>
        <w:t xml:space="preserve">power </w:t>
      </w:r>
      <w:r w:rsidR="00C140DE">
        <w:rPr>
          <w:iCs/>
        </w:rPr>
        <w:t xml:space="preserve">compared to those have </w:t>
      </w:r>
      <w:r w:rsidR="00F2730C">
        <w:rPr>
          <w:iCs/>
        </w:rPr>
        <w:t>lesser</w:t>
      </w:r>
      <w:r w:rsidR="00C12F85">
        <w:rPr>
          <w:iCs/>
        </w:rPr>
        <w:t xml:space="preserve"> power</w:t>
      </w:r>
      <w:r w:rsidR="00F2730C">
        <w:rPr>
          <w:iCs/>
        </w:rPr>
        <w:t xml:space="preserve">. </w:t>
      </w:r>
      <w:r w:rsidRPr="00D87930">
        <w:rPr>
          <w:iCs/>
        </w:rPr>
        <w:t xml:space="preserve"> </w:t>
      </w:r>
    </w:p>
    <w:p w14:paraId="65F9BE6E" w14:textId="4FF3F296" w:rsidR="00A37DEC" w:rsidRPr="00FA73AC" w:rsidRDefault="00A37DEC" w:rsidP="00A37DEC">
      <w:pPr>
        <w:spacing w:before="240" w:line="240" w:lineRule="auto"/>
        <w:rPr>
          <w:i/>
        </w:rPr>
      </w:pPr>
      <w:r>
        <w:rPr>
          <w:rFonts w:hint="eastAsia"/>
          <w:i/>
        </w:rPr>
        <w:t>D</w:t>
      </w:r>
      <w:r w:rsidRPr="00A37DEC">
        <w:rPr>
          <w:i/>
        </w:rPr>
        <w:t>ifference</w:t>
      </w:r>
      <w:r>
        <w:rPr>
          <w:rFonts w:hint="eastAsia"/>
          <w:i/>
        </w:rPr>
        <w:t>s</w:t>
      </w:r>
      <w:r w:rsidRPr="00A37DEC">
        <w:rPr>
          <w:i/>
        </w:rPr>
        <w:t xml:space="preserve"> between rulers and FDI</w:t>
      </w:r>
    </w:p>
    <w:p w14:paraId="04B02165" w14:textId="452D6007" w:rsidR="00F323A1" w:rsidRDefault="00F323A1" w:rsidP="00A37DEC">
      <w:pPr>
        <w:spacing w:before="240" w:line="240" w:lineRule="auto"/>
      </w:pPr>
      <w:r w:rsidRPr="00F323A1">
        <w:t xml:space="preserve">Greater differences </w:t>
      </w:r>
      <w:r>
        <w:rPr>
          <w:rFonts w:hint="eastAsia"/>
        </w:rPr>
        <w:t>between</w:t>
      </w:r>
      <w:r w:rsidRPr="00F323A1">
        <w:t xml:space="preserve"> the characteristics of rulers during succession pose challenges but also present significant opportunities. These differences can pro</w:t>
      </w:r>
      <w:r>
        <w:rPr>
          <w:rFonts w:hint="eastAsia"/>
        </w:rPr>
        <w:t>mote</w:t>
      </w:r>
      <w:r w:rsidRPr="00F323A1">
        <w:t xml:space="preserve"> policy adjustments by the new ruler. If these adjustments are perceived as predictable and favorable by investors, they can facilitate decision-making and enhance competitiveness to seize opportunities</w:t>
      </w:r>
      <w:r>
        <w:rPr>
          <w:rFonts w:hint="eastAsia"/>
        </w:rPr>
        <w:t xml:space="preserve"> </w:t>
      </w:r>
      <w:r>
        <w:fldChar w:fldCharType="begin"/>
      </w:r>
      <w:r>
        <w:instrText xml:space="preserve"> ADDIN EN.CITE &lt;EndNote&gt;&lt;Cite&gt;&lt;Author&gt;Rivoli&lt;/Author&gt;&lt;Year&gt;1996&lt;/Year&gt;&lt;RecNum&gt;48&lt;/RecNum&gt;&lt;DisplayText&gt;(Rivoli and Salorio, 1996)&lt;/DisplayText&gt;&lt;record&gt;&lt;rec-number&gt;48&lt;/rec-number&gt;&lt;foreign-keys&gt;&lt;key app="EN" db-id="ta95fx9215vppiefzvh5drv7v0dsvepa0pz0" timestamp="1697124653" guid="330e0a9e-6cab-473b-89cf-3a08bad47a5a"&gt;48&lt;/key&gt;&lt;/foreign-keys&gt;&lt;ref-type name="Journal Article"&gt;17&lt;/ref-type&gt;&lt;contributors&gt;&lt;authors&gt;&lt;author&gt;Rivoli, Pietra&lt;/author&gt;&lt;author&gt;Salorio, Eugene&lt;/author&gt;&lt;/authors&gt;&lt;/contributors&gt;&lt;titles&gt;&lt;title&gt;Foreign direct investment and investment under uncertainty&lt;/title&gt;&lt;secondary-title&gt;Journal of International Business Studies&lt;/secondary-title&gt;&lt;/titles&gt;&lt;periodical&gt;&lt;full-title&gt;Journal of International Business Studies&lt;/full-title&gt;&lt;/periodical&gt;&lt;pages&gt;335-357&lt;/pages&gt;&lt;volume&gt;27&lt;/volume&gt;&lt;dates&gt;&lt;year&gt;1996&lt;/year&gt;&lt;/dates&gt;&lt;isbn&gt;0047-2506&lt;/isbn&gt;&lt;urls&gt;&lt;/urls&gt;&lt;/record&gt;&lt;/Cite&gt;&lt;/EndNote&gt;</w:instrText>
      </w:r>
      <w:r>
        <w:fldChar w:fldCharType="separate"/>
      </w:r>
      <w:r>
        <w:rPr>
          <w:noProof/>
        </w:rPr>
        <w:t>(Rivoli and Salorio, 1996)</w:t>
      </w:r>
      <w:r>
        <w:fldChar w:fldCharType="end"/>
      </w:r>
      <w:r w:rsidRPr="00F323A1">
        <w:t xml:space="preserve">. </w:t>
      </w:r>
      <w:r>
        <w:t>Additionally</w:t>
      </w:r>
      <w:r>
        <w:rPr>
          <w:rFonts w:hint="eastAsia"/>
        </w:rPr>
        <w:t>,</w:t>
      </w:r>
      <w:r w:rsidRPr="00F323A1">
        <w:t xml:space="preserve"> creation of new market opportunities and favorable policy adjustments </w:t>
      </w:r>
      <w:r>
        <w:rPr>
          <w:rFonts w:hint="eastAsia"/>
        </w:rPr>
        <w:t>also</w:t>
      </w:r>
      <w:r w:rsidRPr="00F323A1">
        <w:t xml:space="preserve"> potentially attract </w:t>
      </w:r>
      <w:r>
        <w:rPr>
          <w:rFonts w:hint="eastAsia"/>
        </w:rPr>
        <w:t xml:space="preserve">new </w:t>
      </w:r>
      <w:r w:rsidRPr="00F323A1">
        <w:t xml:space="preserve">foreign investors </w:t>
      </w:r>
      <w:r>
        <w:rPr>
          <w:rFonts w:hint="eastAsia"/>
        </w:rPr>
        <w:t>to</w:t>
      </w:r>
      <w:r w:rsidRPr="00F323A1">
        <w:t xml:space="preserve"> offset declines in </w:t>
      </w:r>
      <w:r w:rsidR="00552549">
        <w:rPr>
          <w:rFonts w:hint="eastAsia"/>
        </w:rPr>
        <w:t xml:space="preserve">foreign investment supported by </w:t>
      </w:r>
      <w:r w:rsidR="00552549">
        <w:t>predecessor</w:t>
      </w:r>
      <w:r w:rsidR="00552549">
        <w:rPr>
          <w:rFonts w:hint="eastAsia"/>
        </w:rPr>
        <w:t xml:space="preserve"> ruler</w:t>
      </w:r>
      <w:r w:rsidRPr="00F323A1">
        <w:t xml:space="preserve">. Moreover, </w:t>
      </w:r>
      <w:r w:rsidR="00552549">
        <w:rPr>
          <w:rFonts w:hint="eastAsia"/>
        </w:rPr>
        <w:t>successors</w:t>
      </w:r>
      <w:r w:rsidRPr="00F323A1">
        <w:t xml:space="preserve"> with </w:t>
      </w:r>
      <w:r w:rsidR="00552549">
        <w:rPr>
          <w:rFonts w:hint="eastAsia"/>
        </w:rPr>
        <w:t>greater</w:t>
      </w:r>
      <w:r w:rsidRPr="00F323A1">
        <w:t xml:space="preserve"> different profiles from their predecessors are more inclined to prioritize heightened transparency and enhanced communication efforts. This can stabilize market sentiment and bolster investor confidence, thereby reducing economic volatility and maintaining political stability</w:t>
      </w:r>
      <w:r w:rsidR="00552549">
        <w:rPr>
          <w:rFonts w:hint="eastAsia"/>
        </w:rPr>
        <w:t xml:space="preserve"> </w:t>
      </w:r>
      <w:r w:rsidR="00552549">
        <w:fldChar w:fldCharType="begin"/>
      </w:r>
      <w:r w:rsidR="00552549">
        <w:instrText xml:space="preserve"> ADDIN EN.CITE &lt;EndNote&gt;&lt;Cite&gt;&lt;Author&gt;Krishnarajan&lt;/Author&gt;&lt;Year&gt;2019&lt;/Year&gt;&lt;RecNum&gt;183&lt;/RecNum&gt;&lt;DisplayText&gt;(Krishnarajan, 2019)&lt;/DisplayText&gt;&lt;record&gt;&lt;rec-number&gt;183&lt;/rec-number&gt;&lt;foreign-keys&gt;&lt;key app="EN" db-id="ta95fx9215vppiefzvh5drv7v0dsvepa0pz0" timestamp="1719074773" guid="a132ab76-1cb1-4b11-b209-925e0a95cf1e"&gt;183&lt;/key&gt;&lt;/foreign-keys&gt;&lt;ref-type name="Journal Article"&gt;17&lt;/ref-type&gt;&lt;contributors&gt;&lt;authors&gt;&lt;author&gt;Krishnarajan, Suthan&lt;/author&gt;&lt;/authors&gt;&lt;/contributors&gt;&lt;titles&gt;&lt;title&gt;Economic crisis, natural resources, and irregular leader removal in autocracies&lt;/title&gt;&lt;secondary-title&gt;International Studies Quarterly&lt;/secondary-title&gt;&lt;/titles&gt;&lt;periodical&gt;&lt;full-title&gt;International Studies Quarterly&lt;/full-title&gt;&lt;/periodical&gt;&lt;pages&gt;726-741&lt;/pages&gt;&lt;volume&gt;63&lt;/volume&gt;&lt;number&gt;3&lt;/number&gt;&lt;dates&gt;&lt;year&gt;2019&lt;/year&gt;&lt;/dates&gt;&lt;isbn&gt;0020-8833&lt;/isbn&gt;&lt;urls&gt;&lt;/urls&gt;&lt;/record&gt;&lt;/Cite&gt;&lt;/EndNote&gt;</w:instrText>
      </w:r>
      <w:r w:rsidR="00552549">
        <w:fldChar w:fldCharType="separate"/>
      </w:r>
      <w:r w:rsidR="00552549">
        <w:rPr>
          <w:noProof/>
        </w:rPr>
        <w:t>(Krishnarajan, 2019)</w:t>
      </w:r>
      <w:r w:rsidR="00552549">
        <w:fldChar w:fldCharType="end"/>
      </w:r>
      <w:r w:rsidRPr="00F323A1">
        <w:t xml:space="preserve">. Therefore, in authoritarian countries, we select four quantifiable characteristics </w:t>
      </w:r>
      <w:r w:rsidR="00580D3E">
        <w:rPr>
          <w:rFonts w:hint="eastAsia"/>
        </w:rPr>
        <w:t xml:space="preserve">of rulers </w:t>
      </w:r>
      <w:r w:rsidRPr="00F323A1">
        <w:t xml:space="preserve">— political experience, education levels, overseas experience, and age — to comprehensively reflect the potential progress </w:t>
      </w:r>
      <w:r w:rsidR="00552549">
        <w:rPr>
          <w:rFonts w:hint="eastAsia"/>
        </w:rPr>
        <w:t>for</w:t>
      </w:r>
      <w:r w:rsidRPr="00F323A1">
        <w:t xml:space="preserve"> implementation of FDI-friendly policies. </w:t>
      </w:r>
    </w:p>
    <w:p w14:paraId="0D9401D3" w14:textId="6652ABF2" w:rsidR="00833374" w:rsidRPr="00FA73AC" w:rsidRDefault="00B95158" w:rsidP="00772913">
      <w:pPr>
        <w:spacing w:before="240" w:line="240" w:lineRule="auto"/>
        <w:rPr>
          <w:i/>
        </w:rPr>
      </w:pPr>
      <w:r>
        <w:rPr>
          <w:rFonts w:hint="eastAsia"/>
          <w:i/>
        </w:rPr>
        <w:t>P</w:t>
      </w:r>
      <w:r w:rsidR="00F925E7">
        <w:rPr>
          <w:rFonts w:hint="eastAsia"/>
          <w:i/>
        </w:rPr>
        <w:t>olitical</w:t>
      </w:r>
      <w:r w:rsidR="00F925E7" w:rsidRPr="00FA73AC">
        <w:rPr>
          <w:i/>
        </w:rPr>
        <w:t xml:space="preserve"> </w:t>
      </w:r>
      <w:r w:rsidR="000476A9" w:rsidRPr="00FA73AC">
        <w:rPr>
          <w:i/>
        </w:rPr>
        <w:t>experience</w:t>
      </w:r>
      <w:r w:rsidR="009C551D">
        <w:rPr>
          <w:rFonts w:hint="eastAsia"/>
          <w:i/>
        </w:rPr>
        <w:t>.</w:t>
      </w:r>
    </w:p>
    <w:p w14:paraId="02EB4916" w14:textId="6B01F760" w:rsidR="0009238B" w:rsidRDefault="00D60E13">
      <w:pPr>
        <w:pStyle w:val="NormalWeb"/>
        <w:spacing w:before="0" w:beforeAutospacing="0" w:after="240" w:afterAutospacing="0"/>
      </w:pPr>
      <w:r w:rsidRPr="00FA73AC">
        <w:t xml:space="preserve">In modern </w:t>
      </w:r>
      <w:r w:rsidR="000476A9" w:rsidRPr="00FA73AC">
        <w:t xml:space="preserve">monarchical countries, incumbent rulers </w:t>
      </w:r>
      <w:r w:rsidRPr="00FA73AC">
        <w:t xml:space="preserve">have often positioned their </w:t>
      </w:r>
      <w:r w:rsidR="000476A9" w:rsidRPr="00FA73AC">
        <w:t xml:space="preserve">descendants </w:t>
      </w:r>
      <w:r w:rsidRPr="00FA73AC">
        <w:t xml:space="preserve">in key roles within the military </w:t>
      </w:r>
      <w:r w:rsidR="000F6384">
        <w:rPr>
          <w:rFonts w:eastAsiaTheme="minorEastAsia" w:hint="eastAsia"/>
        </w:rPr>
        <w:t>or</w:t>
      </w:r>
      <w:r w:rsidR="000F6384" w:rsidRPr="00FA73AC">
        <w:t xml:space="preserve"> </w:t>
      </w:r>
      <w:r w:rsidR="00656D83">
        <w:t>administration</w:t>
      </w:r>
      <w:r w:rsidRPr="00FA73AC">
        <w:t xml:space="preserve">. </w:t>
      </w:r>
      <w:r w:rsidR="0009238B" w:rsidRPr="0009238B">
        <w:t xml:space="preserve">This practice serves multiple purposes, including ensuring the continuity of familial influence and preparing successors for future leadership roles. </w:t>
      </w:r>
      <w:r w:rsidR="00565BBA" w:rsidRPr="00FA73AC">
        <w:t>Anne Meng</w:t>
      </w:r>
      <w:r w:rsidR="00FE6FDF" w:rsidRPr="005D2286">
        <w:t xml:space="preserve"> </w:t>
      </w:r>
      <w:r w:rsidR="00E01D1B">
        <w:fldChar w:fldCharType="begin"/>
      </w:r>
      <w:r w:rsidR="005F728D">
        <w:instrText xml:space="preserve"> ADDIN EN.CITE &lt;EndNote&gt;&lt;Cite ExcludeAuth="1"&gt;&lt;Author&gt;Meng&lt;/Author&gt;&lt;Year&gt;2017&lt;/Year&gt;&lt;RecNum&gt;147&lt;/RecNum&gt;&lt;DisplayText&gt;(2017)&lt;/DisplayText&gt;&lt;record&gt;&lt;rec-number&gt;147&lt;/rec-number&gt;&lt;foreign-keys&gt;&lt;key app="EN" db-id="ta95fx9215vppiefzvh5drv7v0dsvepa0pz0" timestamp="1708845575" guid="12a7528e-87e5-4d8e-beb1-7d41ee1370ae"&gt;147&lt;/key&gt;&lt;/foreign-keys&gt;&lt;ref-type name="Journal Article"&gt;17&lt;/ref-type&gt;&lt;contributors&gt;&lt;authors&gt;&lt;author&gt;Meng, Anne&lt;/author&gt;&lt;author&gt;Palmer-Rubin, Brian&lt;/author&gt;&lt;/authors&gt;&lt;/contributors&gt;&lt;titles&gt;&lt;title&gt;Gerrymandering opposition: minority-concentrated districts and electoral competition in Mexico&lt;/title&gt;&lt;secondary-title&gt;Studies in Comparative International Development&lt;/secondary-title&gt;&lt;/titles&gt;&lt;periodical&gt;&lt;full-title&gt;Studies in Comparative International Development&lt;/full-title&gt;&lt;/periodical&gt;&lt;pages&gt;64-86&lt;/pages&gt;&lt;volume&gt;52&lt;/volume&gt;&lt;dates&gt;&lt;year&gt;2017&lt;/year&gt;&lt;/dates&gt;&lt;isbn&gt;0039-3606&lt;/isbn&gt;&lt;urls&gt;&lt;/urls&gt;&lt;/record&gt;&lt;/Cite&gt;&lt;/EndNote&gt;</w:instrText>
      </w:r>
      <w:r w:rsidR="00E01D1B">
        <w:fldChar w:fldCharType="separate"/>
      </w:r>
      <w:r w:rsidR="00E01D1B">
        <w:rPr>
          <w:noProof/>
        </w:rPr>
        <w:t>(2017)</w:t>
      </w:r>
      <w:r w:rsidR="00E01D1B">
        <w:fldChar w:fldCharType="end"/>
      </w:r>
      <w:r w:rsidR="00565BBA" w:rsidRPr="00FA73AC">
        <w:t xml:space="preserve"> </w:t>
      </w:r>
      <w:r w:rsidR="0009238B" w:rsidRPr="0009238B">
        <w:t xml:space="preserve">demonstrates that, the likelihood of a peaceful </w:t>
      </w:r>
      <w:r w:rsidR="000F6384">
        <w:rPr>
          <w:rFonts w:eastAsiaTheme="minorEastAsia" w:hint="eastAsia"/>
        </w:rPr>
        <w:t>power</w:t>
      </w:r>
      <w:r w:rsidR="000F6384" w:rsidRPr="0009238B">
        <w:t xml:space="preserve"> </w:t>
      </w:r>
      <w:r w:rsidR="0009238B" w:rsidRPr="0009238B">
        <w:t xml:space="preserve">transition increases when key positions have been consistently held by the same individual. </w:t>
      </w:r>
      <w:r w:rsidR="000F6384">
        <w:rPr>
          <w:rFonts w:eastAsiaTheme="minorEastAsia" w:hint="eastAsia"/>
        </w:rPr>
        <w:t>Therefore, more e</w:t>
      </w:r>
      <w:r w:rsidR="000F6384" w:rsidRPr="000F6384">
        <w:t>xperienced successors gain familiarity within the ruling elite, fostering acceptance and minimizing resistance to leadership changes</w:t>
      </w:r>
      <w:r w:rsidR="0009238B" w:rsidRPr="0009238B">
        <w:t>.</w:t>
      </w:r>
    </w:p>
    <w:p w14:paraId="486CEEAA" w14:textId="437B6F88" w:rsidR="00EC3C8F" w:rsidRDefault="0009238B" w:rsidP="00123C00">
      <w:pPr>
        <w:pStyle w:val="NormalWeb"/>
        <w:spacing w:before="0" w:beforeAutospacing="0" w:after="240" w:afterAutospacing="0"/>
        <w:ind w:firstLine="720"/>
        <w:rPr>
          <w:rFonts w:eastAsiaTheme="minorEastAsia"/>
        </w:rPr>
      </w:pPr>
      <w:r w:rsidRPr="0009238B">
        <w:t xml:space="preserve">Moreover, successors with experience in administration are better equipped to understand the intricacies of current policies and systems. Their familiarity with the inner workings of the government and established business networks can facilitate smoother transitions of power. Foreign firms, seeking stability and predictability in their operating environments, prefer anticipated successors who demonstrate a deep understanding of the country's policies and systems. By selecting successors with </w:t>
      </w:r>
      <w:r w:rsidR="00707A3C">
        <w:rPr>
          <w:rFonts w:eastAsiaTheme="minorEastAsia" w:hint="eastAsia"/>
        </w:rPr>
        <w:t>political</w:t>
      </w:r>
      <w:r w:rsidR="00707A3C" w:rsidRPr="0009238B">
        <w:t xml:space="preserve"> </w:t>
      </w:r>
      <w:r w:rsidRPr="0009238B">
        <w:t>experience, foreign firms can ensure continuity and consistency in business regulations and practices.</w:t>
      </w:r>
      <w:r>
        <w:t xml:space="preserve"> </w:t>
      </w:r>
    </w:p>
    <w:p w14:paraId="3D587D96" w14:textId="73816B60" w:rsidR="00565BBA" w:rsidRPr="00FA73AC" w:rsidRDefault="00506787" w:rsidP="00506787">
      <w:pPr>
        <w:spacing w:before="240" w:line="240" w:lineRule="auto"/>
        <w:rPr>
          <w:i/>
        </w:rPr>
      </w:pPr>
      <w:bookmarkStart w:id="15" w:name="OLE_LINK20"/>
      <w:bookmarkStart w:id="16" w:name="_Hlk170007861"/>
      <w:r>
        <w:rPr>
          <w:rFonts w:hint="eastAsia"/>
          <w:i/>
        </w:rPr>
        <w:t>E</w:t>
      </w:r>
      <w:r w:rsidRPr="008A45A7">
        <w:rPr>
          <w:i/>
        </w:rPr>
        <w:t>ducation levels</w:t>
      </w:r>
      <w:r w:rsidRPr="00772913" w:rsidDel="00580D3E">
        <w:t xml:space="preserve"> </w:t>
      </w:r>
      <w:r>
        <w:rPr>
          <w:rFonts w:hint="eastAsia"/>
          <w:i/>
        </w:rPr>
        <w:t>and</w:t>
      </w:r>
      <w:r w:rsidRPr="00772913" w:rsidDel="00580D3E">
        <w:t xml:space="preserve"> </w:t>
      </w:r>
      <w:r>
        <w:rPr>
          <w:rFonts w:hint="eastAsia"/>
        </w:rPr>
        <w:t>o</w:t>
      </w:r>
      <w:r w:rsidR="001C3F82" w:rsidRPr="001C3F82">
        <w:rPr>
          <w:i/>
        </w:rPr>
        <w:t>verseas experience</w:t>
      </w:r>
      <w:r w:rsidR="009C551D">
        <w:rPr>
          <w:rFonts w:hint="eastAsia"/>
          <w:i/>
        </w:rPr>
        <w:t>.</w:t>
      </w:r>
    </w:p>
    <w:bookmarkEnd w:id="15"/>
    <w:p w14:paraId="491567E2" w14:textId="4277C04D" w:rsidR="004126BA" w:rsidRDefault="007A0138">
      <w:pPr>
        <w:spacing w:line="240" w:lineRule="auto"/>
      </w:pPr>
      <w:r w:rsidRPr="00FA73AC">
        <w:t xml:space="preserve">The openness in the successor's mindset becomes a valuable indicator for foreign firms to assess potential </w:t>
      </w:r>
      <w:bookmarkEnd w:id="16"/>
      <w:r w:rsidRPr="00FA73AC">
        <w:t>policy patterns in their future administration</w:t>
      </w:r>
      <w:r w:rsidR="00436B10">
        <w:t xml:space="preserve"> </w:t>
      </w:r>
      <w:r w:rsidR="00436B10" w:rsidRPr="00436B10">
        <w:t>and attitudes toward foreign firms</w:t>
      </w:r>
      <w:r w:rsidRPr="00FA73AC">
        <w:t xml:space="preserve">. </w:t>
      </w:r>
      <w:r w:rsidR="005E0A04" w:rsidRPr="00FA73AC">
        <w:t>T</w:t>
      </w:r>
      <w:r w:rsidR="004126BA" w:rsidRPr="00FA73AC">
        <w:t xml:space="preserve">he successor's background, particularly education or life experience in Western </w:t>
      </w:r>
      <w:r w:rsidR="004126BA" w:rsidRPr="00FA73AC">
        <w:lastRenderedPageBreak/>
        <w:t xml:space="preserve">countries, serves as a valuable indicator for foreign firms. </w:t>
      </w:r>
      <w:r w:rsidR="00D531C5">
        <w:rPr>
          <w:rFonts w:hint="eastAsia"/>
        </w:rPr>
        <w:t>W</w:t>
      </w:r>
      <w:r w:rsidR="004126BA" w:rsidRPr="00FA73AC">
        <w:t xml:space="preserve">estern education generally exposes successors to the modernization and democratic principles of the </w:t>
      </w:r>
      <w:r w:rsidR="00630835" w:rsidRPr="00FA73AC">
        <w:t>w</w:t>
      </w:r>
      <w:r w:rsidR="004126BA" w:rsidRPr="00FA73AC">
        <w:t>estern world</w:t>
      </w:r>
      <w:r w:rsidR="00630835" w:rsidRPr="00FA73AC">
        <w:t>.</w:t>
      </w:r>
      <w:r w:rsidR="004126BA" w:rsidRPr="00FA73AC">
        <w:t xml:space="preserve"> Research indicates that leaders from developing countries with a </w:t>
      </w:r>
      <w:r w:rsidR="00630835" w:rsidRPr="00FA73AC">
        <w:t>w</w:t>
      </w:r>
      <w:r w:rsidR="004126BA" w:rsidRPr="00FA73AC">
        <w:t xml:space="preserve">estern education can play a role in disseminating </w:t>
      </w:r>
      <w:r w:rsidR="00630835" w:rsidRPr="00FA73AC">
        <w:t>w</w:t>
      </w:r>
      <w:r w:rsidR="004126BA" w:rsidRPr="00FA73AC">
        <w:t xml:space="preserve">estern ideas and ideology in their home countries </w:t>
      </w:r>
      <w:r w:rsidR="0061663B" w:rsidRPr="00FA73AC">
        <w:fldChar w:fldCharType="begin"/>
      </w:r>
      <w:r w:rsidR="005F728D">
        <w:instrText xml:space="preserve"> ADDIN EN.CITE &lt;EndNote&gt;&lt;Cite&gt;&lt;Author&gt;Luo&lt;/Author&gt;&lt;Year&gt;2005&lt;/Year&gt;&lt;RecNum&gt;145&lt;/RecNum&gt;&lt;DisplayText&gt;(Luo and Chung, 2005)&lt;/DisplayText&gt;&lt;record&gt;&lt;rec-number&gt;145&lt;/rec-number&gt;&lt;foreign-keys&gt;&lt;key app="EN" db-id="ta95fx9215vppiefzvh5drv7v0dsvepa0pz0" timestamp="1708845480" guid="a5bbedfd-fc32-4f1b-a758-96193a2184c9"&gt;145&lt;/key&gt;&lt;/foreign-keys&gt;&lt;ref-type name="Journal Article"&gt;17&lt;/ref-type&gt;&lt;contributors&gt;&lt;authors&gt;&lt;author&gt;Luo, Xiaowei&lt;/author&gt;&lt;author&gt;Chung, Chi-Nien&lt;/author&gt;&lt;/authors&gt;&lt;/contributors&gt;&lt;titles&gt;&lt;title&gt;Keeping it all in the family: The role of particularistic relationships in business group performance during institutional transition&lt;/title&gt;&lt;secondary-title&gt;Administrative Science Quarterly&lt;/secondary-title&gt;&lt;/titles&gt;&lt;periodical&gt;&lt;full-title&gt;Administrative Science Quarterly&lt;/full-title&gt;&lt;/periodical&gt;&lt;pages&gt;404-439&lt;/pages&gt;&lt;volume&gt;50&lt;/volume&gt;&lt;number&gt;3&lt;/number&gt;&lt;dates&gt;&lt;year&gt;2005&lt;/year&gt;&lt;/dates&gt;&lt;isbn&gt;0001-8392&lt;/isbn&gt;&lt;urls&gt;&lt;/urls&gt;&lt;/record&gt;&lt;/Cite&gt;&lt;/EndNote&gt;</w:instrText>
      </w:r>
      <w:r w:rsidR="0061663B" w:rsidRPr="00FA73AC">
        <w:fldChar w:fldCharType="separate"/>
      </w:r>
      <w:r w:rsidR="00AF7792">
        <w:rPr>
          <w:noProof/>
        </w:rPr>
        <w:t>(Luo and Chung, 2005)</w:t>
      </w:r>
      <w:r w:rsidR="0061663B" w:rsidRPr="00FA73AC">
        <w:fldChar w:fldCharType="end"/>
      </w:r>
      <w:r w:rsidRPr="00FA73AC">
        <w:t xml:space="preserve">. </w:t>
      </w:r>
      <w:r w:rsidR="004126BA" w:rsidRPr="00FA73AC">
        <w:t xml:space="preserve">Such a successor may have experienced political and economic freedoms in the Western world, fostering positive attitudes toward foreign firms that represent these values. </w:t>
      </w:r>
    </w:p>
    <w:p w14:paraId="651E697E" w14:textId="4BD935EA" w:rsidR="00580D3E" w:rsidRDefault="002142CC" w:rsidP="00EC3C8F">
      <w:pPr>
        <w:spacing w:line="240" w:lineRule="auto"/>
        <w:ind w:firstLine="720"/>
      </w:pPr>
      <w:r>
        <w:t>S</w:t>
      </w:r>
      <w:r w:rsidRPr="002142CC">
        <w:t xml:space="preserve">uccessors with overseas experience, especially in Western countries, are likely to be familiar with Western business practices, regulations, and norms. This exposure can facilitate smoother communication and cooperation between foreign firms and the government, as there is a shared understanding of international business standards </w:t>
      </w:r>
      <w:r w:rsidR="00E01D1B">
        <w:fldChar w:fldCharType="begin"/>
      </w:r>
      <w:r w:rsidR="00AF7792">
        <w:instrText xml:space="preserve"> ADDIN EN.CITE &lt;EndNote&gt;&lt;Cite&gt;&lt;Author&gt;Eden&lt;/Author&gt;&lt;Year&gt;2001&lt;/Year&gt;&lt;RecNum&gt;189&lt;/RecNum&gt;&lt;DisplayText&gt;(Eden and Lenway, 2001)&lt;/DisplayText&gt;&lt;record&gt;&lt;rec-number&gt;189&lt;/rec-number&gt;&lt;foreign-keys&gt;&lt;key app="EN" db-id="ta95fx9215vppiefzvh5drv7v0dsvepa0pz0" timestamp="1708922599"&gt;189&lt;/key&gt;&lt;/foreign-keys&gt;&lt;ref-type name="Journal Article"&gt;17&lt;/ref-type&gt;&lt;contributors&gt;&lt;authors&gt;&lt;author&gt;Eden, Lorraine&lt;/author&gt;&lt;author&gt;Lenway, Stefanie&lt;/author&gt;&lt;/authors&gt;&lt;/contributors&gt;&lt;titles&gt;&lt;title&gt;Introduction to the symposium multinationals: The Janus face of globalization&lt;/title&gt;&lt;secondary-title&gt;Journal of International Business Studies&lt;/secondary-title&gt;&lt;/titles&gt;&lt;periodical&gt;&lt;full-title&gt;Journal of International Business Studies&lt;/full-title&gt;&lt;/periodical&gt;&lt;pages&gt;383-400&lt;/pages&gt;&lt;volume&gt;32&lt;/volume&gt;&lt;number&gt;3&lt;/number&gt;&lt;dates&gt;&lt;year&gt;2001&lt;/year&gt;&lt;/dates&gt;&lt;urls&gt;&lt;/urls&gt;&lt;/record&gt;&lt;/Cite&gt;&lt;/EndNote&gt;</w:instrText>
      </w:r>
      <w:r w:rsidR="00E01D1B">
        <w:fldChar w:fldCharType="separate"/>
      </w:r>
      <w:r w:rsidR="00AF7792">
        <w:rPr>
          <w:noProof/>
        </w:rPr>
        <w:t>(Eden and Lenway, 2001)</w:t>
      </w:r>
      <w:r w:rsidR="00E01D1B">
        <w:fldChar w:fldCharType="end"/>
      </w:r>
      <w:r w:rsidRPr="002142CC">
        <w:t>.</w:t>
      </w:r>
      <w:r w:rsidR="00506787">
        <w:rPr>
          <w:rFonts w:hint="eastAsia"/>
        </w:rPr>
        <w:t xml:space="preserve"> </w:t>
      </w:r>
      <w:r w:rsidR="00EC3C8F">
        <w:rPr>
          <w:rFonts w:hint="eastAsia"/>
        </w:rPr>
        <w:t>More</w:t>
      </w:r>
      <w:r w:rsidRPr="002142CC">
        <w:t xml:space="preserve"> </w:t>
      </w:r>
      <w:r w:rsidR="00EC3C8F">
        <w:rPr>
          <w:rFonts w:hint="eastAsia"/>
        </w:rPr>
        <w:t>o</w:t>
      </w:r>
      <w:r w:rsidR="00EC3C8F" w:rsidRPr="00EC3C8F">
        <w:t>verseas experience cultivates greater cultural sensitivity and awareness of global business trends among successors.</w:t>
      </w:r>
      <w:r w:rsidRPr="002142CC">
        <w:t xml:space="preserve"> This cultural competence enables them to engage effectively with foreign firms and address their concerns in a manner that fosters mutual understanding and cooperation </w:t>
      </w:r>
      <w:r w:rsidR="00E01D1B">
        <w:fldChar w:fldCharType="begin"/>
      </w:r>
      <w:r w:rsidR="005F728D">
        <w:instrText xml:space="preserve"> ADDIN EN.CITE &lt;EndNote&gt;&lt;Cite&gt;&lt;Author&gt;Luo&lt;/Author&gt;&lt;Year&gt;2005&lt;/Year&gt;&lt;RecNum&gt;145&lt;/RecNum&gt;&lt;DisplayText&gt;(Luo and Chung, 2005)&lt;/DisplayText&gt;&lt;record&gt;&lt;rec-number&gt;145&lt;/rec-number&gt;&lt;foreign-keys&gt;&lt;key app="EN" db-id="ta95fx9215vppiefzvh5drv7v0dsvepa0pz0" timestamp="1708845480" guid="a5bbedfd-fc32-4f1b-a758-96193a2184c9"&gt;145&lt;/key&gt;&lt;/foreign-keys&gt;&lt;ref-type name="Journal Article"&gt;17&lt;/ref-type&gt;&lt;contributors&gt;&lt;authors&gt;&lt;author&gt;Luo, Xiaowei&lt;/author&gt;&lt;author&gt;Chung, Chi-Nien&lt;/author&gt;&lt;/authors&gt;&lt;/contributors&gt;&lt;titles&gt;&lt;title&gt;Keeping it all in the family: The role of particularistic relationships in business group performance during institutional transition&lt;/title&gt;&lt;secondary-title&gt;Administrative Science Quarterly&lt;/secondary-title&gt;&lt;/titles&gt;&lt;periodical&gt;&lt;full-title&gt;Administrative Science Quarterly&lt;/full-title&gt;&lt;/periodical&gt;&lt;pages&gt;404-439&lt;/pages&gt;&lt;volume&gt;50&lt;/volume&gt;&lt;number&gt;3&lt;/number&gt;&lt;dates&gt;&lt;year&gt;2005&lt;/year&gt;&lt;/dates&gt;&lt;isbn&gt;0001-8392&lt;/isbn&gt;&lt;urls&gt;&lt;/urls&gt;&lt;/record&gt;&lt;/Cite&gt;&lt;/EndNote&gt;</w:instrText>
      </w:r>
      <w:r w:rsidR="00E01D1B">
        <w:fldChar w:fldCharType="separate"/>
      </w:r>
      <w:r w:rsidR="00AF7792">
        <w:rPr>
          <w:noProof/>
        </w:rPr>
        <w:t>(Luo and Chung, 2005)</w:t>
      </w:r>
      <w:r w:rsidR="00E01D1B">
        <w:fldChar w:fldCharType="end"/>
      </w:r>
      <w:r w:rsidRPr="002142CC">
        <w:t>.</w:t>
      </w:r>
    </w:p>
    <w:p w14:paraId="321CE5A8" w14:textId="0BBA28AB" w:rsidR="00B05FC2" w:rsidRDefault="00B05FC2" w:rsidP="00FF2B4A">
      <w:pPr>
        <w:pStyle w:val="NormalWeb"/>
        <w:spacing w:after="240"/>
        <w:rPr>
          <w:rFonts w:eastAsiaTheme="minorEastAsia"/>
        </w:rPr>
      </w:pPr>
      <w:bookmarkStart w:id="17" w:name="OLE_LINK19"/>
      <w:r>
        <w:rPr>
          <w:rFonts w:eastAsiaTheme="minorEastAsia" w:hint="eastAsia"/>
          <w:i/>
        </w:rPr>
        <w:t>A</w:t>
      </w:r>
      <w:r>
        <w:rPr>
          <w:rFonts w:hint="eastAsia"/>
          <w:i/>
        </w:rPr>
        <w:t>ge</w:t>
      </w:r>
      <w:r>
        <w:rPr>
          <w:rFonts w:eastAsiaTheme="minorEastAsia" w:hint="eastAsia"/>
          <w:i/>
        </w:rPr>
        <w:t>.</w:t>
      </w:r>
      <w:r w:rsidRPr="004A4FDA">
        <w:rPr>
          <w:rFonts w:eastAsiaTheme="minorEastAsia"/>
        </w:rPr>
        <w:t xml:space="preserve"> </w:t>
      </w:r>
    </w:p>
    <w:p w14:paraId="1B16A2AC" w14:textId="6CFB77FB" w:rsidR="00865C33" w:rsidRDefault="00865C33" w:rsidP="00865C33">
      <w:pPr>
        <w:pStyle w:val="NormalWeb"/>
        <w:spacing w:before="0" w:beforeAutospacing="0" w:after="240" w:afterAutospacing="0"/>
        <w:ind w:firstLine="720"/>
        <w:rPr>
          <w:rFonts w:eastAsiaTheme="minorEastAsia"/>
        </w:rPr>
      </w:pPr>
      <w:r w:rsidRPr="00865C33">
        <w:rPr>
          <w:rFonts w:eastAsiaTheme="minorEastAsia"/>
        </w:rPr>
        <w:t xml:space="preserve">Younger successors have the potential to govern for extended periods. The longer they govern, the lower the risk of losing power, enabling them to provide sustained leadership for their policy visions and reform agendas. This results in a stable business environment for foreign investment, and enhanced policy continuity </w:t>
      </w:r>
      <w:r>
        <w:rPr>
          <w:rFonts w:eastAsiaTheme="minorEastAsia"/>
        </w:rPr>
        <w:fldChar w:fldCharType="begin"/>
      </w:r>
      <w:r>
        <w:rPr>
          <w:rFonts w:eastAsiaTheme="minorEastAsia"/>
        </w:rPr>
        <w:instrText xml:space="preserve"> ADDIN EN.CITE &lt;EndNote&gt;&lt;Cite&gt;&lt;Author&gt;Bienen&lt;/Author&gt;&lt;Year&gt;1992&lt;/Year&gt;&lt;RecNum&gt;180&lt;/RecNum&gt;&lt;DisplayText&gt;(Bienen and Van de Walle, 1992)&lt;/DisplayText&gt;&lt;record&gt;&lt;rec-number&gt;180&lt;/rec-number&gt;&lt;foreign-keys&gt;&lt;key app="EN" db-id="ta95fx9215vppiefzvh5drv7v0dsvepa0pz0" timestamp="1719069163" guid="a4d67c57-8a60-47a8-83ff-ab6fea595ff5"&gt;180&lt;/key&gt;&lt;/foreign-keys&gt;&lt;ref-type name="Journal Article"&gt;17&lt;/ref-type&gt;&lt;contributors&gt;&lt;authors&gt;&lt;author&gt;Bienen, Henry&lt;/author&gt;&lt;author&gt;Van de Walle, Nicolas&lt;/author&gt;&lt;/authors&gt;&lt;/contributors&gt;&lt;titles&gt;&lt;title&gt;A proportional hazard model of leadership duration&lt;/title&gt;&lt;secondary-title&gt;The Journal of Politics&lt;/secondary-title&gt;&lt;/titles&gt;&lt;periodical&gt;&lt;full-title&gt;The Journal of Politics&lt;/full-title&gt;&lt;/periodical&gt;&lt;pages&gt;685-717&lt;/pages&gt;&lt;volume&gt;54&lt;/volume&gt;&lt;number&gt;3&lt;/number&gt;&lt;dates&gt;&lt;year&gt;1992&lt;/year&gt;&lt;/dates&gt;&lt;isbn&gt;0022-3816&lt;/isbn&gt;&lt;urls&gt;&lt;/urls&gt;&lt;/record&gt;&lt;/Cite&gt;&lt;/EndNote&gt;</w:instrText>
      </w:r>
      <w:r>
        <w:rPr>
          <w:rFonts w:eastAsiaTheme="minorEastAsia"/>
        </w:rPr>
        <w:fldChar w:fldCharType="separate"/>
      </w:r>
      <w:r>
        <w:rPr>
          <w:rFonts w:eastAsiaTheme="minorEastAsia"/>
          <w:noProof/>
        </w:rPr>
        <w:t>(Bienen and Van de Walle, 1992)</w:t>
      </w:r>
      <w:r>
        <w:rPr>
          <w:rFonts w:eastAsiaTheme="minorEastAsia"/>
        </w:rPr>
        <w:fldChar w:fldCharType="end"/>
      </w:r>
      <w:r w:rsidR="00B05FC2" w:rsidRPr="004A4FDA">
        <w:rPr>
          <w:rFonts w:eastAsiaTheme="minorEastAsia"/>
        </w:rPr>
        <w:t xml:space="preserve">. Additionally, younger successors possess a more innovative outlook and greater adaptability, allowing them to respond swiftly to domestic and global challenges while better integrating into global processes and trends. </w:t>
      </w:r>
      <w:r w:rsidR="00714A64">
        <w:rPr>
          <w:rFonts w:eastAsiaTheme="minorEastAsia" w:hint="eastAsia"/>
        </w:rPr>
        <w:t>They</w:t>
      </w:r>
      <w:r w:rsidR="00B05FC2" w:rsidRPr="004A4FDA">
        <w:rPr>
          <w:rFonts w:eastAsiaTheme="minorEastAsia"/>
        </w:rPr>
        <w:t xml:space="preserve"> often </w:t>
      </w:r>
      <w:r w:rsidR="00714A64">
        <w:rPr>
          <w:rFonts w:eastAsiaTheme="minorEastAsia" w:hint="eastAsia"/>
        </w:rPr>
        <w:t>receive</w:t>
      </w:r>
      <w:r w:rsidR="00B05FC2" w:rsidRPr="004A4FDA">
        <w:rPr>
          <w:rFonts w:eastAsiaTheme="minorEastAsia"/>
        </w:rPr>
        <w:t xml:space="preserve"> widespread support, particularly in nations with significant youth demographics, bolstering their political stability and enabling them to pursue long-term </w:t>
      </w:r>
      <w:r w:rsidR="00714A64">
        <w:rPr>
          <w:rFonts w:eastAsiaTheme="minorEastAsia" w:hint="eastAsia"/>
        </w:rPr>
        <w:t xml:space="preserve">and sustainable </w:t>
      </w:r>
      <w:r w:rsidR="00B05FC2" w:rsidRPr="004A4FDA">
        <w:rPr>
          <w:rFonts w:eastAsiaTheme="minorEastAsia"/>
        </w:rPr>
        <w:t>policy</w:t>
      </w:r>
      <w:r w:rsidR="00714A64">
        <w:rPr>
          <w:rFonts w:eastAsiaTheme="minorEastAsia" w:hint="eastAsia"/>
        </w:rPr>
        <w:t xml:space="preserve"> </w:t>
      </w:r>
      <w:r w:rsidR="00B05FC2" w:rsidRPr="004A4FDA">
        <w:rPr>
          <w:rFonts w:eastAsiaTheme="minorEastAsia"/>
        </w:rPr>
        <w:t>effectively</w:t>
      </w:r>
      <w:r w:rsidR="00A76452">
        <w:rPr>
          <w:rFonts w:eastAsiaTheme="minorEastAsia" w:hint="eastAsia"/>
        </w:rPr>
        <w:t xml:space="preserve"> </w:t>
      </w:r>
      <w:r w:rsidR="00A76452">
        <w:rPr>
          <w:rFonts w:eastAsiaTheme="minorEastAsia"/>
        </w:rPr>
        <w:fldChar w:fldCharType="begin"/>
      </w:r>
      <w:r>
        <w:rPr>
          <w:rFonts w:eastAsiaTheme="minorEastAsia"/>
        </w:rPr>
        <w:instrText xml:space="preserve"> ADDIN EN.CITE &lt;EndNote&gt;&lt;Cite&gt;&lt;Author&gt;Sevi&lt;/Author&gt;&lt;Year&gt;2021&lt;/Year&gt;&lt;RecNum&gt;187&lt;/RecNum&gt;&lt;DisplayText&gt;(Sevi, 2021, CASTANHO SILVA, 2024)&lt;/DisplayText&gt;&lt;record&gt;&lt;rec-number&gt;187&lt;/rec-number&gt;&lt;foreign-keys&gt;&lt;key app="EN" db-id="ta95fx9215vppiefzvh5drv7v0dsvepa0pz0" timestamp="1719088808" guid="e2a68a91-4a87-4118-9d5e-5a78334b534b"&gt;187&lt;/key&gt;&lt;/foreign-keys&gt;&lt;ref-type name="Journal Article"&gt;17&lt;/ref-type&gt;&lt;contributors&gt;&lt;authors&gt;&lt;author&gt;Sevi, Semra&lt;/author&gt;&lt;/authors&gt;&lt;/contributors&gt;&lt;titles&gt;&lt;title&gt;Do young voters vote for young leaders?&lt;/title&gt;&lt;secondary-title&gt;Electoral Studies&lt;/secondary-title&gt;&lt;/titles&gt;&lt;periodical&gt;&lt;full-title&gt;Electoral Studies&lt;/full-title&gt;&lt;/periodical&gt;&lt;pages&gt;102200&lt;/pages&gt;&lt;volume&gt;69&lt;/volume&gt;&lt;dates&gt;&lt;year&gt;2021&lt;/year&gt;&lt;/dates&gt;&lt;isbn&gt;0261-3794&lt;/isbn&gt;&lt;urls&gt;&lt;/urls&gt;&lt;/record&gt;&lt;/Cite&gt;&lt;Cite&gt;&lt;Author&gt;CASTANHO SILVA&lt;/Author&gt;&lt;Year&gt;2024&lt;/Year&gt;&lt;RecNum&gt;188&lt;/RecNum&gt;&lt;record&gt;&lt;rec-number&gt;188&lt;/rec-number&gt;&lt;foreign-keys&gt;&lt;key app="EN" db-id="ta95fx9215vppiefzvh5drv7v0dsvepa0pz0" timestamp="1719089121" guid="dad82856-a724-49f8-bf7d-4c45b7b9dd70"&gt;188&lt;/key&gt;&lt;/foreign-keys&gt;&lt;ref-type name="Journal Article"&gt;17&lt;/ref-type&gt;&lt;contributors&gt;&lt;authors&gt;&lt;author&gt;CASTANHO SILVA, BRUNO&lt;/author&gt;&lt;/authors&gt;&lt;/contributors&gt;&lt;titles&gt;&lt;title&gt;No votes for old men: Leaders&amp;apos; age and youth turnout in comparative perspective&lt;/title&gt;&lt;secondary-title&gt;European Journal of Political Research&lt;/secondary-title&gt;&lt;/titles&gt;&lt;periodical&gt;&lt;full-title&gt;European Journal of Political Research&lt;/full-title&gt;&lt;/periodical&gt;&lt;dates&gt;&lt;year&gt;2024&lt;/year&gt;&lt;/dates&gt;&lt;isbn&gt;0304-4130&lt;/isbn&gt;&lt;urls&gt;&lt;/urls&gt;&lt;/record&gt;&lt;/Cite&gt;&lt;/EndNote&gt;</w:instrText>
      </w:r>
      <w:r w:rsidR="00A76452">
        <w:rPr>
          <w:rFonts w:eastAsiaTheme="minorEastAsia"/>
        </w:rPr>
        <w:fldChar w:fldCharType="separate"/>
      </w:r>
      <w:r w:rsidR="00E151B6">
        <w:rPr>
          <w:rFonts w:eastAsiaTheme="minorEastAsia"/>
          <w:noProof/>
        </w:rPr>
        <w:t>(Sevi, 2021, CASTANHO SILVA, 2024)</w:t>
      </w:r>
      <w:r w:rsidR="00A76452">
        <w:rPr>
          <w:rFonts w:eastAsiaTheme="minorEastAsia"/>
        </w:rPr>
        <w:fldChar w:fldCharType="end"/>
      </w:r>
      <w:r w:rsidR="00B05FC2" w:rsidRPr="004A4FDA">
        <w:rPr>
          <w:rFonts w:eastAsiaTheme="minorEastAsia"/>
        </w:rPr>
        <w:t xml:space="preserve">. </w:t>
      </w:r>
      <w:r w:rsidR="00B05FC2">
        <w:rPr>
          <w:rFonts w:eastAsiaTheme="minorEastAsia" w:hint="eastAsia"/>
        </w:rPr>
        <w:t>Overall</w:t>
      </w:r>
      <w:r w:rsidR="00B05FC2" w:rsidRPr="004A4FDA">
        <w:rPr>
          <w:rFonts w:eastAsiaTheme="minorEastAsia"/>
        </w:rPr>
        <w:t>, the presence of young successors contributes to stable governance and policy consistency, fostering sustainable economic and social progress, thereby attracting more foreign investment.</w:t>
      </w:r>
      <w:r w:rsidRPr="00865C33">
        <w:t xml:space="preserve"> </w:t>
      </w:r>
    </w:p>
    <w:p w14:paraId="28539A4B" w14:textId="19810653" w:rsidR="00B05FC2" w:rsidRPr="00B05FC2" w:rsidRDefault="00865C33" w:rsidP="00FF2B4A">
      <w:pPr>
        <w:pStyle w:val="NormalWeb"/>
        <w:spacing w:before="0" w:beforeAutospacing="0" w:after="240" w:afterAutospacing="0"/>
        <w:ind w:firstLine="720"/>
      </w:pPr>
      <w:r w:rsidRPr="00205FC5">
        <w:t xml:space="preserve">Therefore, we propose the hypothesis that foreign firms will exhibit a preference for a successor who demonstrates significant advancements in political experience, education level, overseas experience, and age. This preference is grounded in the belief that successors with stronger backgrounds are more </w:t>
      </w:r>
      <w:r>
        <w:rPr>
          <w:rFonts w:eastAsiaTheme="minorEastAsia" w:hint="eastAsia"/>
        </w:rPr>
        <w:t>likely</w:t>
      </w:r>
      <w:r w:rsidRPr="00205FC5">
        <w:t xml:space="preserve"> to foster a more open, inclusive, and equitable economic and </w:t>
      </w:r>
      <w:r>
        <w:rPr>
          <w:rFonts w:eastAsiaTheme="minorEastAsia"/>
        </w:rPr>
        <w:t>business</w:t>
      </w:r>
      <w:r w:rsidRPr="00205FC5">
        <w:t xml:space="preserve"> environment, thereby facilitating a smoother transition of power.</w:t>
      </w:r>
    </w:p>
    <w:bookmarkEnd w:id="14"/>
    <w:bookmarkEnd w:id="17"/>
    <w:p w14:paraId="05D3B9D6" w14:textId="76ED6ADD" w:rsidR="00B55DA9" w:rsidRDefault="00E54BD3" w:rsidP="00C6786A">
      <w:pPr>
        <w:spacing w:line="240" w:lineRule="auto"/>
        <w:ind w:left="720"/>
        <w:rPr>
          <w:iCs/>
        </w:rPr>
      </w:pPr>
      <w:r w:rsidRPr="00FA73AC">
        <w:rPr>
          <w:i/>
        </w:rPr>
        <w:t>H</w:t>
      </w:r>
      <w:r>
        <w:rPr>
          <w:rFonts w:hint="eastAsia"/>
          <w:i/>
        </w:rPr>
        <w:t>4</w:t>
      </w:r>
      <w:r w:rsidRPr="00FA73AC">
        <w:rPr>
          <w:i/>
        </w:rPr>
        <w:t>:</w:t>
      </w:r>
      <w:r w:rsidRPr="00D87930">
        <w:rPr>
          <w:iCs/>
        </w:rPr>
        <w:t xml:space="preserve"> </w:t>
      </w:r>
      <w:r w:rsidR="001311BF" w:rsidRPr="001311BF">
        <w:rPr>
          <w:iCs/>
        </w:rPr>
        <w:t xml:space="preserve">The negative impact of succession on Japanese firms’ FDI entry propensity is smaller </w:t>
      </w:r>
      <w:r w:rsidR="00C12F85">
        <w:rPr>
          <w:iCs/>
        </w:rPr>
        <w:t>when</w:t>
      </w:r>
      <w:r w:rsidR="00C12F85" w:rsidRPr="001311BF">
        <w:rPr>
          <w:iCs/>
        </w:rPr>
        <w:t xml:space="preserve"> </w:t>
      </w:r>
      <w:r w:rsidR="001311BF" w:rsidRPr="001311BF">
        <w:rPr>
          <w:iCs/>
        </w:rPr>
        <w:t xml:space="preserve">the </w:t>
      </w:r>
      <w:r w:rsidR="00F2730C">
        <w:rPr>
          <w:rFonts w:hint="eastAsia"/>
          <w:iCs/>
        </w:rPr>
        <w:t xml:space="preserve">king </w:t>
      </w:r>
      <w:r w:rsidR="00F2730C">
        <w:rPr>
          <w:iCs/>
        </w:rPr>
        <w:t>and successor</w:t>
      </w:r>
      <w:r w:rsidR="00C12F85">
        <w:rPr>
          <w:iCs/>
        </w:rPr>
        <w:t xml:space="preserve"> have greater </w:t>
      </w:r>
      <w:r w:rsidR="001311BF">
        <w:rPr>
          <w:rFonts w:hint="eastAsia"/>
          <w:iCs/>
        </w:rPr>
        <w:t xml:space="preserve">difference </w:t>
      </w:r>
      <w:r w:rsidR="00F2730C">
        <w:rPr>
          <w:iCs/>
        </w:rPr>
        <w:t xml:space="preserve">compared to </w:t>
      </w:r>
      <w:r w:rsidR="00C12F85">
        <w:rPr>
          <w:iCs/>
        </w:rPr>
        <w:t xml:space="preserve">those dyads that have </w:t>
      </w:r>
      <w:r w:rsidR="00F2730C">
        <w:rPr>
          <w:iCs/>
        </w:rPr>
        <w:t>less</w:t>
      </w:r>
      <w:r w:rsidR="00C12F85">
        <w:rPr>
          <w:iCs/>
        </w:rPr>
        <w:t xml:space="preserve"> difference</w:t>
      </w:r>
      <w:r w:rsidRPr="00D87930">
        <w:rPr>
          <w:iCs/>
        </w:rPr>
        <w:t>.</w:t>
      </w:r>
    </w:p>
    <w:p w14:paraId="79333603" w14:textId="77777777" w:rsidR="00100BEC" w:rsidRDefault="00100BEC" w:rsidP="00C6786A">
      <w:pPr>
        <w:spacing w:line="240" w:lineRule="auto"/>
        <w:ind w:left="720"/>
        <w:rPr>
          <w:iCs/>
        </w:rPr>
      </w:pPr>
    </w:p>
    <w:p w14:paraId="2F26272C" w14:textId="77777777" w:rsidR="00100BEC" w:rsidRDefault="00100BEC" w:rsidP="00C6786A">
      <w:pPr>
        <w:spacing w:line="240" w:lineRule="auto"/>
        <w:ind w:left="720"/>
        <w:rPr>
          <w:iCs/>
        </w:rPr>
      </w:pPr>
    </w:p>
    <w:p w14:paraId="18EDE86D" w14:textId="77777777" w:rsidR="00100BEC" w:rsidRDefault="00100BEC" w:rsidP="00C6786A">
      <w:pPr>
        <w:spacing w:line="240" w:lineRule="auto"/>
        <w:ind w:left="720"/>
        <w:rPr>
          <w:iCs/>
        </w:rPr>
      </w:pPr>
    </w:p>
    <w:p w14:paraId="08B51769" w14:textId="33886297" w:rsidR="00EE4535" w:rsidRPr="00EE4535" w:rsidRDefault="00EE4535" w:rsidP="00EE4535">
      <w:pPr>
        <w:spacing w:line="240" w:lineRule="auto"/>
        <w:jc w:val="center"/>
        <w:rPr>
          <w:b/>
          <w:bCs/>
        </w:rPr>
      </w:pPr>
      <w:r>
        <w:rPr>
          <w:rFonts w:hint="eastAsia"/>
          <w:b/>
          <w:bCs/>
        </w:rPr>
        <w:lastRenderedPageBreak/>
        <w:t>Method</w:t>
      </w:r>
    </w:p>
    <w:p w14:paraId="264FCF91" w14:textId="77777777" w:rsidR="00EE4535" w:rsidRPr="00EE4535" w:rsidRDefault="00EE4535" w:rsidP="00EE4535">
      <w:pPr>
        <w:spacing w:line="240" w:lineRule="auto"/>
        <w:rPr>
          <w:i/>
          <w:iCs/>
        </w:rPr>
      </w:pPr>
      <w:r w:rsidRPr="00EE4535">
        <w:rPr>
          <w:i/>
          <w:iCs/>
        </w:rPr>
        <w:t>Data and Sample</w:t>
      </w:r>
    </w:p>
    <w:p w14:paraId="5EDABEE6" w14:textId="15A64DC7" w:rsidR="00EE4535" w:rsidRPr="00EE4535" w:rsidRDefault="00EE4535" w:rsidP="00EE4535">
      <w:pPr>
        <w:spacing w:line="240" w:lineRule="auto"/>
      </w:pPr>
      <w:r w:rsidRPr="00EE4535">
        <w:t xml:space="preserve">We tested our hypotheses with data of Japanese listed firms and their FDIs in GCC countries. Being a leading force of FDI in the world since the 1970s </w:t>
      </w:r>
      <w:r w:rsidRPr="00EE4535">
        <w:fldChar w:fldCharType="begin"/>
      </w:r>
      <w:r w:rsidRPr="00EE4535">
        <w:instrText xml:space="preserve"> ADDIN EN.CITE &lt;EndNote&gt;&lt;Cite&gt;&lt;Author&gt;UNCTAD&lt;/Author&gt;&lt;Year&gt;2023&lt;/Year&gt;&lt;RecNum&gt;78&lt;/RecNum&gt;&lt;DisplayText&gt;(UNCTAD, 2023)&lt;/DisplayText&gt;&lt;record&gt;&lt;rec-number&gt;78&lt;/rec-number&gt;&lt;foreign-keys&gt;&lt;key app="EN" db-id="ta95fx9215vppiefzvh5drv7v0dsvepa0pz0" timestamp="1703051594" guid="53767090-2823-4af7-a16b-da6305d8530e"&gt;78&lt;/key&gt;&lt;/foreign-keys&gt;&lt;ref-type name="Report"&gt;27&lt;/ref-type&gt;&lt;contributors&gt;&lt;authors&gt;&lt;author&gt;UNCTAD&lt;/author&gt;&lt;/authors&gt;&lt;/contributors&gt;&lt;titles&gt;&lt;title&gt;World investment report 2023: Investing in Sustainable Energy for All.&lt;/title&gt;&lt;secondary-title&gt;New York City&lt;/secondary-title&gt;&lt;/titles&gt;&lt;dates&gt;&lt;year&gt;2023&lt;/year&gt;&lt;/dates&gt;&lt;urls&gt;&lt;/urls&gt;&lt;custom6&gt;United Nations Conference on Trade and Development&lt;/custom6&gt;&lt;electronic-resource-num&gt;https://unctad.org/publication/world-investment-report-2023&lt;/electronic-resource-num&gt;&lt;/record&gt;&lt;/Cite&gt;&lt;/EndNote&gt;</w:instrText>
      </w:r>
      <w:r w:rsidRPr="00EE4535">
        <w:fldChar w:fldCharType="separate"/>
      </w:r>
      <w:r w:rsidRPr="00EE4535">
        <w:rPr>
          <w:noProof/>
        </w:rPr>
        <w:t>(UNCTAD, 2023)</w:t>
      </w:r>
      <w:r w:rsidRPr="00EE4535">
        <w:fldChar w:fldCharType="end"/>
      </w:r>
      <w:r w:rsidRPr="00EE4535">
        <w:t xml:space="preserve">, Japanese firms has extensive distribution in GCC countries (see Figure 1). The </w:t>
      </w:r>
      <w:bookmarkStart w:id="18" w:name="OLE_LINK8"/>
      <w:r w:rsidRPr="00EE4535">
        <w:t>GCC countries mainly have monarchical authoritarian polity, where the monarchs typically hold extensive power.</w:t>
      </w:r>
      <w:bookmarkEnd w:id="18"/>
      <w:r w:rsidRPr="00EE4535">
        <w:t xml:space="preserve"> This setting provides a proper observation on the timing choices of FDI entries in authoritarian countries and firm response to the sudden changes of power in host countries.</w:t>
      </w:r>
    </w:p>
    <w:p w14:paraId="08DA5380" w14:textId="77777777" w:rsidR="00EE4535" w:rsidRPr="00EE4535" w:rsidRDefault="00EE4535" w:rsidP="00FF2B4A">
      <w:pPr>
        <w:spacing w:after="0" w:line="240" w:lineRule="auto"/>
        <w:jc w:val="center"/>
      </w:pPr>
      <w:r w:rsidRPr="00EE4535">
        <w:t>--------------------------------</w:t>
      </w:r>
    </w:p>
    <w:p w14:paraId="3AC21617" w14:textId="77777777" w:rsidR="00EE4535" w:rsidRPr="00EE4535" w:rsidRDefault="00EE4535" w:rsidP="00100BEC">
      <w:pPr>
        <w:spacing w:after="0" w:line="240" w:lineRule="auto"/>
        <w:jc w:val="center"/>
      </w:pPr>
      <w:r w:rsidRPr="00EE4535">
        <w:t>Insert Figure 1 about here</w:t>
      </w:r>
    </w:p>
    <w:p w14:paraId="42D639DC" w14:textId="77777777" w:rsidR="00EE4535" w:rsidRPr="00EE4535" w:rsidRDefault="00EE4535" w:rsidP="00FF2B4A">
      <w:pPr>
        <w:spacing w:after="0" w:line="240" w:lineRule="auto"/>
        <w:jc w:val="center"/>
      </w:pPr>
      <w:r w:rsidRPr="00EE4535">
        <w:t>--------------------------------</w:t>
      </w:r>
    </w:p>
    <w:p w14:paraId="2F768E08" w14:textId="043E5CB7" w:rsidR="00EE4535" w:rsidRPr="00EE4535" w:rsidRDefault="00EE4535" w:rsidP="00EE4535">
      <w:pPr>
        <w:spacing w:line="240" w:lineRule="auto"/>
        <w:ind w:firstLineChars="250" w:firstLine="600"/>
      </w:pPr>
      <w:bookmarkStart w:id="19" w:name="OLE_LINK6"/>
      <w:r w:rsidRPr="00EE4535">
        <w:t xml:space="preserve">We accessed firm-level data on Japanese MNCs from the Nikkei Economic Electronic Databank System (NEEDS), and the FDI data (Japanese MNCs’ foreign subsidiaries) from Japanese Overseas Investments published by Toyo Keizai Inc. We collected data on successions, monarchs and crown prince profiles from the official websites of the royal families of GCC countries. </w:t>
      </w:r>
      <w:bookmarkEnd w:id="19"/>
    </w:p>
    <w:p w14:paraId="72338BF7" w14:textId="0EE1C6B0" w:rsidR="00EE4535" w:rsidRPr="00EE4535" w:rsidRDefault="00EE4535" w:rsidP="00EE4535">
      <w:pPr>
        <w:spacing w:line="240" w:lineRule="auto"/>
        <w:ind w:firstLineChars="250" w:firstLine="600"/>
      </w:pPr>
      <w:bookmarkStart w:id="20" w:name="OLE_LINK7"/>
      <w:r w:rsidRPr="00EE4535">
        <w:t xml:space="preserve">We included firms that had at least one direct investment in GCC countries. Thus, we identified 138 Japanese listed firms that had ever invested directly during 1990–2019. They have done 242 deals of FDI spanning the period. </w:t>
      </w:r>
    </w:p>
    <w:p w14:paraId="3E8D7260" w14:textId="6DD1C22D" w:rsidR="00EE4535" w:rsidRPr="00EE4535" w:rsidRDefault="00EE4535" w:rsidP="00EE4535">
      <w:pPr>
        <w:spacing w:line="240" w:lineRule="auto"/>
        <w:ind w:firstLineChars="250" w:firstLine="600"/>
      </w:pPr>
      <w:r w:rsidRPr="00EE4535">
        <w:t xml:space="preserve">For analysis on FDI entry decisions, we constructed a firm-country-year structure. Firms are assumed to be able to any potential host country </w:t>
      </w:r>
      <w:proofErr w:type="gramStart"/>
      <w:r w:rsidRPr="00EE4535">
        <w:t>in a given year</w:t>
      </w:r>
      <w:proofErr w:type="gramEnd"/>
      <w:r w:rsidRPr="00EE4535">
        <w:t xml:space="preserve">. The choice model contains </w:t>
      </w:r>
      <w:bookmarkEnd w:id="20"/>
      <w:r w:rsidRPr="00EE4535">
        <w:t xml:space="preserve">actual entry cases and counterfactual cases, which are instances where firms could have entered a country but chose not to </w:t>
      </w:r>
      <w:r w:rsidRPr="00EE4535">
        <w:fldChar w:fldCharType="begin"/>
      </w:r>
      <w:r w:rsidRPr="00EE4535">
        <w:instrText xml:space="preserve"> ADDIN EN.CITE &lt;EndNote&gt;&lt;Cite&gt;&lt;Author&gt;Hu&lt;/Author&gt;&lt;Year&gt;2021&lt;/Year&gt;&lt;RecNum&gt;83&lt;/RecNum&gt;&lt;DisplayText&gt;(Hu et al., 2021, Abadie et al., 2015)&lt;/DisplayText&gt;&lt;record&gt;&lt;rec-number&gt;83&lt;/rec-number&gt;&lt;foreign-keys&gt;&lt;key app="EN" db-id="ta95fx9215vppiefzvh5drv7v0dsvepa0pz0" timestamp="1703059831" guid="ca021024-b46b-4157-97c4-1fcaa62724d5"&gt;83&lt;/key&gt;&lt;/foreign-keys&gt;&lt;ref-type name="Journal Article"&gt;17&lt;/ref-type&gt;&lt;contributors&gt;&lt;authors&gt;&lt;author&gt;Hu, Tianyou&lt;/author&gt;&lt;author&gt;Natarajan, Siddharth&lt;/author&gt;&lt;author&gt;Delios, Andrew&lt;/author&gt;&lt;/authors&gt;&lt;/contributors&gt;&lt;titles&gt;&lt;title&gt;Sister cities, cross-national FDI, and the subnational FDI location decision&lt;/title&gt;&lt;secondary-title&gt;Journal of International Business Studies&lt;/secondary-title&gt;&lt;/titles&gt;&lt;periodical&gt;&lt;full-title&gt;Journal of International Business Studies&lt;/full-title&gt;&lt;/periodical&gt;&lt;pages&gt;1279-1301&lt;/pages&gt;&lt;volume&gt;52&lt;/volume&gt;&lt;dates&gt;&lt;year&gt;2021&lt;/year&gt;&lt;/dates&gt;&lt;isbn&gt;0047-2506&lt;/isbn&gt;&lt;urls&gt;&lt;/urls&gt;&lt;/record&gt;&lt;/Cite&gt;&lt;Cite&gt;&lt;Author&gt;Abadie&lt;/Author&gt;&lt;Year&gt;2015&lt;/Year&gt;&lt;RecNum&gt;82&lt;/RecNum&gt;&lt;record&gt;&lt;rec-number&gt;82&lt;/rec-number&gt;&lt;foreign-keys&gt;&lt;key app="EN" db-id="ta95fx9215vppiefzvh5drv7v0dsvepa0pz0" timestamp="1703059828" guid="1b7c3249-d7fb-4f44-8b79-628752ecdc37"&gt;82&lt;/key&gt;&lt;/foreign-keys&gt;&lt;ref-type name="Journal Article"&gt;17&lt;/ref-type&gt;&lt;contributors&gt;&lt;authors&gt;&lt;author&gt;Abadie, Alberto&lt;/author&gt;&lt;author&gt;Diamond, Alexis&lt;/author&gt;&lt;author&gt;Hainmueller, Jens&lt;/author&gt;&lt;/authors&gt;&lt;/contributors&gt;&lt;titles&gt;&lt;title&gt;Comparative politics and the synthetic control method&lt;/title&gt;&lt;secondary-title&gt;American Journal of Political Science&lt;/secondary-title&gt;&lt;/titles&gt;&lt;periodical&gt;&lt;full-title&gt;American Journal of Political Science&lt;/full-title&gt;&lt;/periodical&gt;&lt;pages&gt;495-510&lt;/pages&gt;&lt;volume&gt;59&lt;/volume&gt;&lt;number&gt;2&lt;/number&gt;&lt;dates&gt;&lt;year&gt;2015&lt;/year&gt;&lt;/dates&gt;&lt;isbn&gt;0092-5853&lt;/isbn&gt;&lt;urls&gt;&lt;/urls&gt;&lt;/record&gt;&lt;/Cite&gt;&lt;/EndNote&gt;</w:instrText>
      </w:r>
      <w:r w:rsidRPr="00EE4535">
        <w:fldChar w:fldCharType="separate"/>
      </w:r>
      <w:r w:rsidRPr="00EE4535">
        <w:rPr>
          <w:noProof/>
        </w:rPr>
        <w:t>(Hu et al., 2021, Abadie et al., 2015)</w:t>
      </w:r>
      <w:r w:rsidRPr="00EE4535">
        <w:fldChar w:fldCharType="end"/>
      </w:r>
      <w:r w:rsidRPr="00EE4535">
        <w:t xml:space="preserve">. We took a one-year lag to allow for a time effect. Eventually, our sample comprises 24,840 observations (138 firms × 6 countries × 30 years), of which 21,420 observations (86.2%) enter regression utilized. The application of conditional logistic models </w:t>
      </w:r>
      <w:proofErr w:type="gramStart"/>
      <w:r w:rsidRPr="00EE4535">
        <w:t>exclude</w:t>
      </w:r>
      <w:proofErr w:type="gramEnd"/>
      <w:r w:rsidRPr="00EE4535">
        <w:t xml:space="preserve"> observations containing time-invariant values, leading to loss of observations.</w:t>
      </w:r>
    </w:p>
    <w:p w14:paraId="5369993A" w14:textId="45FA7CC3" w:rsidR="00EE4535" w:rsidRPr="00EE4535" w:rsidRDefault="00EE4535" w:rsidP="00EE4535">
      <w:pPr>
        <w:spacing w:line="240" w:lineRule="auto"/>
        <w:ind w:firstLineChars="250" w:firstLine="600"/>
      </w:pPr>
      <w:r w:rsidRPr="00EE4535">
        <w:t xml:space="preserve">For the survival analysis of subsidiaries, we constructed a subsidiary-year panel. Exit years were identified for those firms that were no longer conducting business in host countries. Thus, the model only contains actual survival cases </w:t>
      </w:r>
      <w:r w:rsidRPr="00EE4535">
        <w:fldChar w:fldCharType="begin">
          <w:fldData xml:space="preserve">PEVuZE5vdGU+PENpdGU+PEF1dGhvcj5NaXRjaGVsbDwvQXV0aG9yPjxZZWFyPjE5OTQ8L1llYXI+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</w:fldData>
        </w:fldChar>
      </w:r>
      <w:r w:rsidRPr="00EE4535">
        <w:instrText xml:space="preserve"> ADDIN EN.CITE </w:instrText>
      </w:r>
      <w:r w:rsidRPr="00EE4535">
        <w:fldChar w:fldCharType="begin">
          <w:fldData xml:space="preserve">PEVuZE5vdGU+PENpdGU+PEF1dGhvcj5NaXRjaGVsbDwvQXV0aG9yPjxZZWFyPjE5OTQ8L1llYXI+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</w:fldData>
        </w:fldChar>
      </w:r>
      <w:r w:rsidRPr="00EE4535">
        <w:instrText xml:space="preserve"> ADDIN EN.CITE.DATA </w:instrText>
      </w:r>
      <w:r w:rsidRPr="00EE4535">
        <w:fldChar w:fldCharType="end"/>
      </w:r>
      <w:r w:rsidRPr="00EE4535">
        <w:fldChar w:fldCharType="separate"/>
      </w:r>
      <w:r w:rsidRPr="00EE4535">
        <w:rPr>
          <w:noProof/>
        </w:rPr>
        <w:t>(Mitchell et al., 1994, Delios and Beamish, 2001, Hu et al., 2023)</w:t>
      </w:r>
      <w:r w:rsidRPr="00EE4535">
        <w:fldChar w:fldCharType="end"/>
      </w:r>
      <w:r w:rsidRPr="00EE4535">
        <w:t xml:space="preserve">. We took a one-year lag to allow for a time effect and collected a sample of 335 subsidiaries (with 121 exits) of 133 firms. Finally, our sample contains 3,191 subsidiary-year observations, of which 586 observations (18.36%) were utilized for the regression analysis.  </w:t>
      </w:r>
    </w:p>
    <w:p w14:paraId="1528236F" w14:textId="77777777" w:rsidR="00EE4535" w:rsidRPr="00EE4535" w:rsidRDefault="00EE4535" w:rsidP="00EE4535">
      <w:pPr>
        <w:spacing w:line="240" w:lineRule="auto"/>
        <w:rPr>
          <w:i/>
          <w:iCs/>
        </w:rPr>
      </w:pPr>
      <w:r w:rsidRPr="00EE4535">
        <w:rPr>
          <w:i/>
          <w:iCs/>
        </w:rPr>
        <w:t>Measures</w:t>
      </w:r>
    </w:p>
    <w:p w14:paraId="3FE4193D" w14:textId="71C256BB" w:rsidR="00EE4535" w:rsidRPr="00EE4535" w:rsidRDefault="00EE4535" w:rsidP="00EE4535">
      <w:pPr>
        <w:spacing w:line="240" w:lineRule="auto"/>
      </w:pPr>
      <w:r w:rsidRPr="00EE4535">
        <w:t xml:space="preserve">Dependent variables. The dependent variable </w:t>
      </w:r>
      <w:r w:rsidRPr="00EE4535">
        <w:rPr>
          <w:i/>
          <w:iCs/>
        </w:rPr>
        <w:t>entry</w:t>
      </w:r>
      <w:r w:rsidRPr="00EE4535">
        <w:t xml:space="preserve"> used in the model (1) - (6) and (9) - (12) is binary. It takes the value of 1 if a Japanese firm enters a host country through FDI </w:t>
      </w:r>
      <w:proofErr w:type="gramStart"/>
      <w:r w:rsidRPr="00EE4535">
        <w:t>in a given year</w:t>
      </w:r>
      <w:proofErr w:type="gramEnd"/>
      <w:r w:rsidRPr="00EE4535">
        <w:t xml:space="preserve">, and 0 otherwise. The dependent variable </w:t>
      </w:r>
      <w:r w:rsidRPr="00EE4535">
        <w:rPr>
          <w:i/>
          <w:iCs/>
        </w:rPr>
        <w:t>two years entry sum</w:t>
      </w:r>
      <w:r w:rsidRPr="00EE4535">
        <w:t xml:space="preserve"> used in the model (7) is the sum of </w:t>
      </w:r>
      <w:r w:rsidRPr="00EE4535">
        <w:rPr>
          <w:i/>
          <w:iCs/>
        </w:rPr>
        <w:t xml:space="preserve">entry </w:t>
      </w:r>
      <w:r w:rsidRPr="00EE4535">
        <w:t xml:space="preserve">for the current year t and the next year, while the dependent variable </w:t>
      </w:r>
      <w:r w:rsidRPr="00EE4535">
        <w:rPr>
          <w:i/>
          <w:iCs/>
        </w:rPr>
        <w:t>three years entry sum</w:t>
      </w:r>
      <w:r w:rsidRPr="00EE4535">
        <w:t xml:space="preserve"> used in the model (8) is the sum of </w:t>
      </w:r>
      <w:r w:rsidRPr="00EE4535">
        <w:rPr>
          <w:i/>
          <w:iCs/>
        </w:rPr>
        <w:t>entry</w:t>
      </w:r>
      <w:r w:rsidRPr="00EE4535">
        <w:t xml:space="preserve"> for the current </w:t>
      </w:r>
      <w:r w:rsidRPr="00EE4535">
        <w:lastRenderedPageBreak/>
        <w:t>year and the next two years. We defined an FDI entry as occurring when a firm either established one or more new subsidiaries or acquired existing businesses in a host country.</w:t>
      </w:r>
      <w:r w:rsidRPr="00EE4535" w:rsidDel="00797BB5">
        <w:t xml:space="preserve"> </w:t>
      </w:r>
      <w:r w:rsidRPr="00EE4535">
        <w:t>FDI is defined when Japanese firms possess 5% or above of the equity ownership of a foreign subsidiary.</w:t>
      </w:r>
    </w:p>
    <w:p w14:paraId="2CA910AE" w14:textId="6B6E6AA4" w:rsidR="00EE4535" w:rsidRPr="00EE4535" w:rsidRDefault="00EE4535" w:rsidP="00FF2B4A">
      <w:pPr>
        <w:spacing w:line="240" w:lineRule="auto"/>
        <w:ind w:firstLine="420"/>
      </w:pPr>
      <w:r w:rsidRPr="00EE4535">
        <w:t xml:space="preserve">In our additional analysis, we used a panel sample for exit analysis. </w:t>
      </w:r>
      <w:r w:rsidRPr="00FF2B4A">
        <w:rPr>
          <w:i/>
          <w:iCs/>
        </w:rPr>
        <w:t>Exit</w:t>
      </w:r>
      <w:r w:rsidRPr="00EE4535">
        <w:t xml:space="preserve"> is the dependent variable, which takes the value of 1 if the subsidiary of a focal firm exits a host country, and 0 otherwise.</w:t>
      </w:r>
    </w:p>
    <w:p w14:paraId="6CF19CAE" w14:textId="41ED4145" w:rsidR="00EE4535" w:rsidRPr="00EE4535" w:rsidRDefault="00EE4535" w:rsidP="00EE4535">
      <w:pPr>
        <w:spacing w:line="240" w:lineRule="auto"/>
        <w:ind w:firstLineChars="200" w:firstLine="480"/>
      </w:pPr>
      <w:r w:rsidRPr="00EE4535">
        <w:t xml:space="preserve">Independent variables. The focal independent variable, </w:t>
      </w:r>
      <w:r w:rsidRPr="00EE4535">
        <w:rPr>
          <w:i/>
          <w:iCs/>
        </w:rPr>
        <w:t>succession</w:t>
      </w:r>
      <w:r w:rsidRPr="00EE4535">
        <w:t xml:space="preserve">, is binary: it takes the value of 1 if a succession takes place in a year and 0 otherwise. Besides, we created three variations of this variable to test Hypotheses 1. </w:t>
      </w:r>
      <w:r w:rsidRPr="00FF2B4A">
        <w:rPr>
          <w:i/>
          <w:iCs/>
        </w:rPr>
        <w:t>H</w:t>
      </w:r>
      <w:r w:rsidRPr="00EE4535">
        <w:rPr>
          <w:i/>
          <w:iCs/>
        </w:rPr>
        <w:t xml:space="preserve">ereditary succession </w:t>
      </w:r>
      <w:r w:rsidRPr="00FF2B4A">
        <w:t>(from father to son)</w:t>
      </w:r>
      <w:r w:rsidRPr="00EE4535">
        <w:t>,</w:t>
      </w:r>
      <w:r w:rsidRPr="00EE4535">
        <w:rPr>
          <w:i/>
          <w:iCs/>
        </w:rPr>
        <w:t xml:space="preserve"> fraternal succession </w:t>
      </w:r>
      <w:r w:rsidRPr="00FF2B4A">
        <w:t>(from brother to brother)</w:t>
      </w:r>
      <w:r w:rsidRPr="00EE4535">
        <w:t>,</w:t>
      </w:r>
      <w:r w:rsidRPr="00EE4535">
        <w:rPr>
          <w:i/>
          <w:iCs/>
        </w:rPr>
        <w:t xml:space="preserve"> other successions </w:t>
      </w:r>
      <w:r w:rsidRPr="00FF2B4A">
        <w:t>(e.g., from uncle to nephew)</w:t>
      </w:r>
      <w:r w:rsidRPr="00EE4535">
        <w:rPr>
          <w:i/>
          <w:iCs/>
        </w:rPr>
        <w:t xml:space="preserve"> </w:t>
      </w:r>
      <w:r w:rsidRPr="00EE4535">
        <w:t>are subgroups of the</w:t>
      </w:r>
      <w:r w:rsidRPr="00EE4535">
        <w:rPr>
          <w:i/>
          <w:iCs/>
        </w:rPr>
        <w:t xml:space="preserve"> succession</w:t>
      </w:r>
      <w:r w:rsidRPr="00EE4535">
        <w:t xml:space="preserve">, taking up 44.5%, 33.3% and 22.2% of the total cases respectively. </w:t>
      </w:r>
    </w:p>
    <w:p w14:paraId="0C14A544" w14:textId="387578D4" w:rsidR="00EE4535" w:rsidRPr="00EE4535" w:rsidRDefault="00EE4535" w:rsidP="00EE4535">
      <w:pPr>
        <w:spacing w:line="240" w:lineRule="auto"/>
        <w:ind w:firstLineChars="200" w:firstLine="480"/>
      </w:pPr>
      <w:r w:rsidRPr="00EE4535">
        <w:t xml:space="preserve">Table 1 presents all the GCC countries that had political succession during 1990 - 2020. </w:t>
      </w:r>
      <w:bookmarkStart w:id="21" w:name="OLE_LINK9"/>
      <w:r w:rsidRPr="00EE4535">
        <w:t>The primary cause of political succession is often attributed to the natural death of the incumbent</w:t>
      </w:r>
      <w:bookmarkEnd w:id="21"/>
      <w:r w:rsidRPr="00EE4535">
        <w:t xml:space="preserve">. Although the relationships between successors and the incumbent kings tend to be diverse within the royal family, all the GCC countries have institutionalized in their constitutions that the inheritance of the monarchy is to take place among male members of the royal family </w:t>
      </w:r>
      <w:r w:rsidRPr="00EE4535">
        <w:fldChar w:fldCharType="begin"/>
      </w:r>
      <w:r w:rsidRPr="00EE4535">
        <w:instrText xml:space="preserve"> ADDIN EN.CITE &lt;EndNote&gt;&lt;Cite&gt;&lt;Author&gt;Billingsley&lt;/Author&gt;&lt;Year&gt;2009&lt;/Year&gt;&lt;RecNum&gt;84&lt;/RecNum&gt;&lt;DisplayText&gt;(Billingsley, 2009)&lt;/DisplayText&gt;&lt;record&gt;&lt;rec-number&gt;84&lt;/rec-number&gt;&lt;foreign-keys&gt;&lt;key app="EN" db-id="ta95fx9215vppiefzvh5drv7v0dsvepa0pz0" timestamp="1703064219" guid="0543a154-34a1-4a7e-9379-b146c3708335"&gt;84&lt;/key&gt;&lt;/foreign-keys&gt;&lt;ref-type name="Book"&gt;6&lt;/ref-type&gt;&lt;contributors&gt;&lt;authors&gt;&lt;author&gt;Billingsley, Anthony&lt;/author&gt;&lt;/authors&gt;&lt;/contributors&gt;&lt;titles&gt;&lt;title&gt;Political succession in the Arab world: constitutions, family loyalties and Islam&lt;/title&gt;&lt;/titles&gt;&lt;dates&gt;&lt;year&gt;2009&lt;/year&gt;&lt;/dates&gt;&lt;publisher&gt;Routledge&lt;/publisher&gt;&lt;isbn&gt;1135182582&lt;/isbn&gt;&lt;urls&gt;&lt;/urls&gt;&lt;/record&gt;&lt;/Cite&gt;&lt;/EndNote&gt;</w:instrText>
      </w:r>
      <w:r w:rsidRPr="00EE4535">
        <w:fldChar w:fldCharType="separate"/>
      </w:r>
      <w:r w:rsidRPr="00EE4535">
        <w:rPr>
          <w:noProof/>
        </w:rPr>
        <w:t>(Billingsley, 2009)</w:t>
      </w:r>
      <w:r w:rsidRPr="00EE4535">
        <w:fldChar w:fldCharType="end"/>
      </w:r>
      <w:r w:rsidRPr="00EE4535">
        <w:t>.</w:t>
      </w:r>
    </w:p>
    <w:p w14:paraId="0F14E478" w14:textId="77777777" w:rsidR="00EE4535" w:rsidRPr="00EE4535" w:rsidRDefault="00EE4535" w:rsidP="00100BEC">
      <w:pPr>
        <w:spacing w:after="0" w:line="240" w:lineRule="auto"/>
        <w:jc w:val="center"/>
      </w:pPr>
      <w:bookmarkStart w:id="22" w:name="_Hlk169302533"/>
      <w:r w:rsidRPr="00EE4535">
        <w:t>-------------------------------</w:t>
      </w:r>
    </w:p>
    <w:p w14:paraId="2F8D7D00" w14:textId="77777777" w:rsidR="00EE4535" w:rsidRPr="00EE4535" w:rsidRDefault="00EE4535" w:rsidP="00100BEC">
      <w:pPr>
        <w:spacing w:after="0" w:line="240" w:lineRule="auto"/>
        <w:jc w:val="center"/>
      </w:pPr>
      <w:r w:rsidRPr="00EE4535">
        <w:t>Insert Table 1 about here</w:t>
      </w:r>
    </w:p>
    <w:p w14:paraId="620145AF" w14:textId="77777777" w:rsidR="00EE4535" w:rsidRPr="00EE4535" w:rsidRDefault="00EE4535" w:rsidP="00100BEC">
      <w:pPr>
        <w:spacing w:after="0" w:line="240" w:lineRule="auto"/>
        <w:jc w:val="center"/>
      </w:pPr>
      <w:r w:rsidRPr="00EE4535">
        <w:t>------------------------------</w:t>
      </w:r>
    </w:p>
    <w:bookmarkEnd w:id="22"/>
    <w:p w14:paraId="65DB3EDC" w14:textId="0E16DA44" w:rsidR="00EE4535" w:rsidRPr="00EE4535" w:rsidRDefault="00EE4535" w:rsidP="00EE4535">
      <w:pPr>
        <w:spacing w:line="240" w:lineRule="auto"/>
        <w:ind w:firstLineChars="200" w:firstLine="480"/>
      </w:pPr>
      <w:r w:rsidRPr="00EE4535">
        <w:t xml:space="preserve"> To test Hypothesis 2</w:t>
      </w:r>
      <w:bookmarkStart w:id="23" w:name="_Hlk153987704"/>
      <w:r w:rsidRPr="00EE4535">
        <w:t xml:space="preserve">, we constructed </w:t>
      </w:r>
      <w:r w:rsidRPr="00EE4535">
        <w:rPr>
          <w:i/>
          <w:iCs/>
        </w:rPr>
        <w:t xml:space="preserve">King's foreign honors, </w:t>
      </w:r>
      <w:r w:rsidRPr="00FF2B4A">
        <w:t>which is</w:t>
      </w:r>
      <w:r w:rsidRPr="00EE4535">
        <w:t xml:space="preserve"> a yearly count of foreign honors granted to the focal king by foreign countries that not among the GCC countries. This variable ranges from 0 to 7. The honors bestowed upon national leaders by foreign countries are often referred to as medals, orders, and honorary titles, depending on the traditions and protocols of the issuing country. For instance, such honors may include Honorary Knight Commander of the Order of St Michael and St George from the United Kingdom, Cavaliere di Gran Croce from Italy, etc. These recognitions are usually awarded to acknowledge a leader's contributions to international cooperation, peace, and development, reflecting the king’s influence that extend to foreign countries.</w:t>
      </w:r>
      <w:r w:rsidRPr="00FF2B4A">
        <w:t xml:space="preserve"> </w:t>
      </w:r>
      <w:r w:rsidRPr="00EE4535">
        <w:t>Table 2 shows a snapshot of the foreign honors of Kings from the United Arab Emirates, Bahrain, and Qatar in 2005.</w:t>
      </w:r>
    </w:p>
    <w:p w14:paraId="27077A88" w14:textId="77777777" w:rsidR="00EE4535" w:rsidRPr="00EE4535" w:rsidRDefault="00EE4535" w:rsidP="00100BEC">
      <w:pPr>
        <w:spacing w:after="0" w:line="240" w:lineRule="auto"/>
        <w:jc w:val="center"/>
      </w:pPr>
      <w:r w:rsidRPr="00EE4535">
        <w:t>-------------------------------</w:t>
      </w:r>
    </w:p>
    <w:p w14:paraId="64F46981" w14:textId="77777777" w:rsidR="00EE4535" w:rsidRPr="00EE4535" w:rsidRDefault="00EE4535" w:rsidP="00100BEC">
      <w:pPr>
        <w:spacing w:after="0" w:line="240" w:lineRule="auto"/>
        <w:jc w:val="center"/>
      </w:pPr>
      <w:r w:rsidRPr="00EE4535">
        <w:t>Insert Table 2 about here</w:t>
      </w:r>
    </w:p>
    <w:p w14:paraId="0F805940" w14:textId="77777777" w:rsidR="00EE4535" w:rsidRPr="00EE4535" w:rsidRDefault="00EE4535" w:rsidP="00100BEC">
      <w:pPr>
        <w:spacing w:after="0" w:line="240" w:lineRule="auto"/>
        <w:jc w:val="center"/>
      </w:pPr>
      <w:r w:rsidRPr="00EE4535">
        <w:t>------------------------------</w:t>
      </w:r>
    </w:p>
    <w:p w14:paraId="49ECA87E" w14:textId="4B630A34" w:rsidR="00EE4535" w:rsidRPr="00EE4535" w:rsidRDefault="00EE4535" w:rsidP="00EE4535">
      <w:pPr>
        <w:spacing w:line="240" w:lineRule="auto"/>
        <w:ind w:firstLineChars="200" w:firstLine="480"/>
      </w:pPr>
      <w:r w:rsidRPr="00EE4535">
        <w:t xml:space="preserve">We employed </w:t>
      </w:r>
      <w:r w:rsidRPr="00EE4535">
        <w:rPr>
          <w:i/>
          <w:iCs/>
        </w:rPr>
        <w:t>Prince's military influence</w:t>
      </w:r>
      <w:r w:rsidRPr="00EE4535">
        <w:t xml:space="preserve"> </w:t>
      </w:r>
      <w:proofErr w:type="gramStart"/>
      <w:r w:rsidRPr="00EE4535">
        <w:t>to</w:t>
      </w:r>
      <w:proofErr w:type="gramEnd"/>
      <w:r w:rsidRPr="00EE4535">
        <w:t xml:space="preserve"> test Hypothesis 3, which is a binary variable</w:t>
      </w:r>
      <w:bookmarkStart w:id="24" w:name="OLE_LINK2"/>
      <w:r w:rsidRPr="00EE4535">
        <w:t>, taking the value of 1 if a crown prince has ever held military positions and 0 otherwise.</w:t>
      </w:r>
      <w:bookmarkEnd w:id="23"/>
      <w:bookmarkEnd w:id="24"/>
      <w:r w:rsidRPr="00EE4535">
        <w:t xml:space="preserve"> Crown </w:t>
      </w:r>
      <w:proofErr w:type="spellStart"/>
      <w:r w:rsidRPr="00EE4535">
        <w:t>princes</w:t>
      </w:r>
      <w:proofErr w:type="spellEnd"/>
      <w:r w:rsidRPr="00EE4535">
        <w:t xml:space="preserve"> typically hold military positions such as Minister of Defense, </w:t>
      </w:r>
      <w:proofErr w:type="gramStart"/>
      <w:r w:rsidRPr="00EE4535">
        <w:t>First</w:t>
      </w:r>
      <w:proofErr w:type="gramEnd"/>
      <w:r w:rsidRPr="00EE4535">
        <w:t> military officer, overseeing and commanding all military branches (e.g., Army, Navy, Air Force, Marine Corps). These experiences greatly enhanced their influence and consolidated their power within the country. Table 3 presents examples of crown princes and their military positions.</w:t>
      </w:r>
    </w:p>
    <w:p w14:paraId="1708C51D" w14:textId="77777777" w:rsidR="00EE4535" w:rsidRPr="00EE4535" w:rsidRDefault="00EE4535" w:rsidP="00100BEC">
      <w:pPr>
        <w:spacing w:after="0" w:line="240" w:lineRule="auto"/>
        <w:jc w:val="center"/>
      </w:pPr>
      <w:r w:rsidRPr="00EE4535">
        <w:lastRenderedPageBreak/>
        <w:t>-------------------------------</w:t>
      </w:r>
    </w:p>
    <w:p w14:paraId="467EAD1F" w14:textId="77777777" w:rsidR="00EE4535" w:rsidRPr="00EE4535" w:rsidRDefault="00EE4535" w:rsidP="00100BEC">
      <w:pPr>
        <w:spacing w:after="0" w:line="240" w:lineRule="auto"/>
        <w:jc w:val="center"/>
      </w:pPr>
      <w:r w:rsidRPr="00EE4535">
        <w:t>Insert Table 3 about here</w:t>
      </w:r>
    </w:p>
    <w:p w14:paraId="04C451F6" w14:textId="77777777" w:rsidR="00EE4535" w:rsidRPr="00EE4535" w:rsidRDefault="00EE4535" w:rsidP="00100BEC">
      <w:pPr>
        <w:spacing w:after="0" w:line="240" w:lineRule="auto"/>
        <w:jc w:val="center"/>
      </w:pPr>
      <w:r w:rsidRPr="00EE4535">
        <w:t>------------------------------</w:t>
      </w:r>
    </w:p>
    <w:p w14:paraId="7A88F9B8" w14:textId="6AAFC3B9" w:rsidR="00EE4535" w:rsidRPr="00EE4535" w:rsidRDefault="00EE4535" w:rsidP="00EE4535">
      <w:pPr>
        <w:spacing w:line="240" w:lineRule="auto"/>
        <w:ind w:firstLineChars="200" w:firstLine="480"/>
      </w:pPr>
      <w:r w:rsidRPr="00EE4535">
        <w:t xml:space="preserve">For Hypothesis 4, we constructed </w:t>
      </w:r>
      <w:r w:rsidRPr="00EE4535">
        <w:rPr>
          <w:i/>
          <w:iCs/>
        </w:rPr>
        <w:t>King-Prince differences</w:t>
      </w:r>
      <w:r w:rsidRPr="00EE4535">
        <w:t xml:space="preserve">, which was a composite measure that denotes the differences in personal traits between the king and prince. Following previous studies, we took three steps to create it </w:t>
      </w:r>
      <w:r w:rsidRPr="00EE4535">
        <w:fldChar w:fldCharType="begin"/>
      </w:r>
      <w:r w:rsidRPr="00EE4535">
        <w:instrText xml:space="preserve"> ADDIN EN.CITE &lt;EndNote&gt;&lt;Cite&gt;&lt;Author&gt;Crook&lt;/Author&gt;&lt;Year&gt;2011&lt;/Year&gt;&lt;RecNum&gt;177&lt;/RecNum&gt;&lt;DisplayText&gt;(Crook et al., 2011, DeCarolis and Deeds, 1999)&lt;/DisplayText&gt;&lt;record&gt;&lt;rec-number&gt;177&lt;/rec-number&gt;&lt;foreign-keys&gt;&lt;key app="EN" db-id="ta95fx9215vppiefzvh5drv7v0dsvepa0pz0" timestamp="1718717405" guid="a74999af-3e99-4e2d-bf7b-98905319ff34"&gt;177&lt;/key&gt;&lt;/foreign-keys&gt;&lt;ref-type name="Journal Article"&gt;17&lt;/ref-type&gt;&lt;contributors&gt;&lt;authors&gt;&lt;author&gt;Crook, T Russell&lt;/author&gt;&lt;author&gt;Todd, Samuel Y&lt;/author&gt;&lt;author&gt;Combs, James G&lt;/author&gt;&lt;author&gt;Woehr, David J&lt;/author&gt;&lt;author&gt;Ketchen Jr, David J&lt;/author&gt;&lt;/authors&gt;&lt;/contributors&gt;&lt;titles&gt;&lt;title&gt;Does human capital matter? A meta-analysis of the relationship between human capital and firm performance&lt;/title&gt;&lt;secondary-title&gt;Journal of applied psychology&lt;/secondary-title&gt;&lt;/titles&gt;&lt;periodical&gt;&lt;full-title&gt;Journal of applied psychology&lt;/full-title&gt;&lt;/periodical&gt;&lt;pages&gt;443&lt;/pages&gt;&lt;volume&gt;96&lt;/volume&gt;&lt;number&gt;3&lt;/number&gt;&lt;dates&gt;&lt;year&gt;2011&lt;/year&gt;&lt;/dates&gt;&lt;isbn&gt;1939-1854&lt;/isbn&gt;&lt;urls&gt;&lt;/urls&gt;&lt;/record&gt;&lt;/Cite&gt;&lt;Cite&gt;&lt;Author&gt;DeCarolis&lt;/Author&gt;&lt;Year&gt;1999&lt;/Year&gt;&lt;RecNum&gt;175&lt;/RecNum&gt;&lt;record&gt;&lt;rec-number&gt;175&lt;/rec-number&gt;&lt;foreign-keys&gt;&lt;key app="EN" db-id="ta95fx9215vppiefzvh5drv7v0dsvepa0pz0" timestamp="1718717206" guid="acb6214d-902f-42d3-9ab1-7a0b7786f2c5"&gt;175&lt;/key&gt;&lt;/foreign-keys&gt;&lt;ref-type name="Journal Article"&gt;17&lt;/ref-type&gt;&lt;contributors&gt;&lt;authors&gt;&lt;author&gt;DeCarolis, Donna Marie&lt;/author&gt;&lt;author&gt;Deeds, David L&lt;/author&gt;&lt;/authors&gt;&lt;/contributors&gt;&lt;titles&gt;&lt;title&gt;The impact of stocks and flows of organizational knowledge on firm performance: An empirical investigation of the biotechnology industry&lt;/title&gt;&lt;secondary-title&gt;Strategic management journal&lt;/secondary-title&gt;&lt;/titles&gt;&lt;periodical&gt;&lt;full-title&gt;Strategic Management Journal&lt;/full-title&gt;&lt;/periodical&gt;&lt;pages&gt;953-968&lt;/pages&gt;&lt;volume&gt;20&lt;/volume&gt;&lt;number&gt;10&lt;/number&gt;&lt;dates&gt;&lt;year&gt;1999&lt;/year&gt;&lt;/dates&gt;&lt;isbn&gt;0143-2095&lt;/isbn&gt;&lt;urls&gt;&lt;/urls&gt;&lt;/record&gt;&lt;/Cite&gt;&lt;/EndNote&gt;</w:instrText>
      </w:r>
      <w:r w:rsidRPr="00EE4535">
        <w:fldChar w:fldCharType="separate"/>
      </w:r>
      <w:r w:rsidRPr="00EE4535">
        <w:rPr>
          <w:noProof/>
        </w:rPr>
        <w:t>(Crook et al., 2011, DeCarolis and Deeds, 1999)</w:t>
      </w:r>
      <w:r w:rsidRPr="00EE4535">
        <w:fldChar w:fldCharType="end"/>
      </w:r>
      <w:r w:rsidRPr="00EE4535">
        <w:t xml:space="preserve">. First, we chose four characteristics of each king and crown prince that could lead to different style of monarchical leadership: </w:t>
      </w:r>
      <w:r w:rsidRPr="00EE4535">
        <w:rPr>
          <w:i/>
          <w:iCs/>
        </w:rPr>
        <w:t>political experience</w:t>
      </w:r>
      <w:r w:rsidRPr="00EE4535">
        <w:t xml:space="preserve">, </w:t>
      </w:r>
      <w:r w:rsidRPr="00EE4535">
        <w:rPr>
          <w:i/>
          <w:iCs/>
        </w:rPr>
        <w:t>education level</w:t>
      </w:r>
      <w:r w:rsidRPr="00EE4535">
        <w:t xml:space="preserve">, </w:t>
      </w:r>
      <w:r w:rsidRPr="00EE4535">
        <w:rPr>
          <w:i/>
          <w:iCs/>
        </w:rPr>
        <w:t>overseas experience</w:t>
      </w:r>
      <w:r w:rsidRPr="00EE4535">
        <w:t xml:space="preserve"> and </w:t>
      </w:r>
      <w:r w:rsidRPr="00EE4535">
        <w:rPr>
          <w:i/>
          <w:iCs/>
        </w:rPr>
        <w:t>age</w:t>
      </w:r>
      <w:r w:rsidRPr="00EE4535">
        <w:t xml:space="preserve">. </w:t>
      </w:r>
      <w:r w:rsidRPr="00FF2B4A">
        <w:rPr>
          <w:i/>
          <w:iCs/>
        </w:rPr>
        <w:t>Political experience</w:t>
      </w:r>
      <w:r w:rsidRPr="00EE4535">
        <w:t xml:space="preserve"> is measured in years, denoting the tenure of a king or crown prince in administrative positions, ranging from 0 to 71 years. </w:t>
      </w:r>
      <w:r w:rsidRPr="00FF2B4A">
        <w:rPr>
          <w:i/>
          <w:iCs/>
        </w:rPr>
        <w:t>Education level</w:t>
      </w:r>
      <w:r w:rsidRPr="00EE4535">
        <w:t xml:space="preserve"> is a categorical variable ranging from 1 to 6, where kings or princes without any systematic education training defined as level 1. Primary school, princes’ school, high school, bachelor’s degree, and master’s degree are assigned levels 2 to 6, respectively. </w:t>
      </w:r>
      <w:r w:rsidRPr="00FF2B4A">
        <w:rPr>
          <w:i/>
          <w:iCs/>
        </w:rPr>
        <w:t>Overseas experience</w:t>
      </w:r>
      <w:r w:rsidRPr="00EE4535">
        <w:t xml:space="preserve"> is an estimated yearly count based on the study abroad of kings and crown princes, as the royal family's long-term overseas experience is mostly due to studying abroad, primarily in the United Kingdom and the United States. This ranges from 2 to 8 years. Military colleges, such as the Royal Military Academy Sandhurst, offer two-year-long military education training. We estimated high school diplomas to take 3 years, bachelor’s degrees 4 years, and master’s degrees 2 years. </w:t>
      </w:r>
      <w:r w:rsidRPr="00FF2B4A">
        <w:rPr>
          <w:i/>
          <w:iCs/>
        </w:rPr>
        <w:t>Age</w:t>
      </w:r>
      <w:r w:rsidRPr="00EE4535">
        <w:t xml:space="preserve"> is measured in years, ranging from 19 to 91. Secondly, we standardized four characteristics of each king and crown prince by subtracting the mean of the characteristic, and then divide the result by the standard deviation. Finally, we calculated the absolute value of the differences between the king and crown prince for the same standardized characteristic and then took the average of these four characteristic differences to obtain the composite variable. </w:t>
      </w:r>
      <w:r w:rsidRPr="00EE4535">
        <w:rPr>
          <w:i/>
          <w:iCs/>
        </w:rPr>
        <w:t>King-Prince differences</w:t>
      </w:r>
      <w:r w:rsidRPr="00EE4535">
        <w:t xml:space="preserve"> ranges from 0.1 to 1.56.</w:t>
      </w:r>
    </w:p>
    <w:p w14:paraId="73E10040" w14:textId="2822F599" w:rsidR="00EE4535" w:rsidRPr="00EE4535" w:rsidRDefault="00EE4535" w:rsidP="00EE4535">
      <w:pPr>
        <w:spacing w:line="240" w:lineRule="auto"/>
        <w:ind w:firstLineChars="200" w:firstLine="480"/>
      </w:pPr>
      <w:r w:rsidRPr="00EE4535">
        <w:t xml:space="preserve">Control variables. We used two levels of control variables for other factors that motivate FDI entry. </w:t>
      </w:r>
      <w:r w:rsidRPr="00FF2B4A">
        <w:t>All five variables are created based on data acquired from the WDI database operated by the World Bank</w:t>
      </w:r>
      <w:r w:rsidRPr="00EE4535">
        <w:t xml:space="preserve">. The first level is </w:t>
      </w:r>
      <w:proofErr w:type="gramStart"/>
      <w:r w:rsidRPr="00EE4535">
        <w:t>host</w:t>
      </w:r>
      <w:proofErr w:type="gramEnd"/>
      <w:r w:rsidRPr="00EE4535">
        <w:t xml:space="preserve"> country characteristics in six aspects</w:t>
      </w:r>
      <w:r w:rsidRPr="00EE4535">
        <w:rPr>
          <w:strike/>
        </w:rPr>
        <w:t>.</w:t>
      </w:r>
      <w:r w:rsidRPr="00EE4535">
        <w:t xml:space="preserve"> From previous studies </w:t>
      </w:r>
      <w:r w:rsidRPr="00EE4535">
        <w:fldChar w:fldCharType="begin"/>
      </w:r>
      <w:r w:rsidRPr="00EE4535">
        <w:instrText xml:space="preserve"> ADDIN EN.CITE &lt;EndNote&gt;&lt;Cite&gt;&lt;Author&gt;Kaufmann&lt;/Author&gt;&lt;Year&gt;2003&lt;/Year&gt;&lt;RecNum&gt;86&lt;/RecNum&gt;&lt;DisplayText&gt;(Kaufmann et al., 2003, Wu et al., 2016)&lt;/DisplayText&gt;&lt;record&gt;&lt;rec-number&gt;86&lt;/rec-number&gt;&lt;foreign-keys&gt;&lt;key app="EN" db-id="ta95fx9215vppiefzvh5drv7v0dsvepa0pz0" timestamp="1703069979" guid="83bd75c0-0628-4c77-952b-c35c835892b2"&gt;86&lt;/key&gt;&lt;/foreign-keys&gt;&lt;ref-type name="Journal Article"&gt;17&lt;/ref-type&gt;&lt;contributors&gt;&lt;authors&gt;&lt;author&gt;Kaufmann, Daniel&lt;/author&gt;&lt;author&gt;Kraay, Aart&lt;/author&gt;&lt;author&gt;Mastruzzi, Massimo&lt;/author&gt;&lt;/authors&gt;&lt;/contributors&gt;&lt;titles&gt;&lt;title&gt;Governance matters III: Governance indicators for 1996-2002&lt;/title&gt;&lt;secondary-title&gt;World bank policy research working paper&lt;/secondary-title&gt;&lt;/titles&gt;&lt;periodical&gt;&lt;full-title&gt;World bank policy research working paper&lt;/full-title&gt;&lt;/periodical&gt;&lt;number&gt;3106&lt;/number&gt;&lt;dates&gt;&lt;year&gt;2003&lt;/year&gt;&lt;/dates&gt;&lt;urls&gt;&lt;/urls&gt;&lt;/record&gt;&lt;/Cite&gt;&lt;Cite&gt;&lt;Author&gt;Wu&lt;/Author&gt;&lt;Year&gt;2016&lt;/Year&gt;&lt;RecNum&gt;85&lt;/RecNum&gt;&lt;record&gt;&lt;rec-number&gt;85&lt;/rec-number&gt;&lt;foreign-keys&gt;&lt;key app="EN" db-id="ta95fx9215vppiefzvh5drv7v0dsvepa0pz0" timestamp="1703069924" guid="77bfe076-b293-4443-9223-e0403c09843f"&gt;85&lt;/key&gt;&lt;/foreign-keys&gt;&lt;ref-type name="Journal Article"&gt;17&lt;/ref-type&gt;&lt;contributors&gt;&lt;authors&gt;&lt;author&gt;Wu, Jie&lt;/author&gt;&lt;author&gt;Wang, Chengqi&lt;/author&gt;&lt;author&gt;Hong, Junjie&lt;/author&gt;&lt;author&gt;Piperopoulos, Panagiotis&lt;/author&gt;&lt;author&gt;Zhuo, Shuaihe&lt;/author&gt;&lt;/authors&gt;&lt;/contributors&gt;&lt;titles&gt;&lt;title&gt;Internationalization and innovation performance of emerging market enterprises: The role of host-country institutional development&lt;/title&gt;&lt;secondary-title&gt;Journal of World Business&lt;/secondary-title&gt;&lt;/titles&gt;&lt;periodical&gt;&lt;full-title&gt;Journal of World Business&lt;/full-title&gt;&lt;/periodical&gt;&lt;pages&gt;251-263&lt;/pages&gt;&lt;volume&gt;51&lt;/volume&gt;&lt;number&gt;2&lt;/number&gt;&lt;dates&gt;&lt;year&gt;2016&lt;/year&gt;&lt;/dates&gt;&lt;isbn&gt;1090-9516&lt;/isbn&gt;&lt;urls&gt;&lt;/urls&gt;&lt;/record&gt;&lt;/Cite&gt;&lt;/EndNote&gt;</w:instrText>
      </w:r>
      <w:r w:rsidRPr="00EE4535">
        <w:fldChar w:fldCharType="separate"/>
      </w:r>
      <w:r w:rsidRPr="00EE4535">
        <w:rPr>
          <w:noProof/>
        </w:rPr>
        <w:t>(Kaufmann et al., 2003, Wu et al., 2016)</w:t>
      </w:r>
      <w:r w:rsidRPr="00EE4535">
        <w:fldChar w:fldCharType="end"/>
      </w:r>
      <w:r w:rsidRPr="00EE4535">
        <w:t xml:space="preserve">, we constructed the composite variable </w:t>
      </w:r>
      <w:r w:rsidRPr="00EE4535">
        <w:rPr>
          <w:i/>
          <w:iCs/>
        </w:rPr>
        <w:t>institutional development</w:t>
      </w:r>
      <w:r w:rsidRPr="00EE4535">
        <w:t>, to denote the conditions of the institutions in authoritarian countries. This is a single factor derived from factor analysis based on six highly correlated Worldwide Governance Indicators (Cronbach alpha = 0.9639 &gt; 0.95). They are</w:t>
      </w:r>
      <w:r w:rsidRPr="00EE4535" w:rsidDel="0007129B">
        <w:t xml:space="preserve"> </w:t>
      </w:r>
      <w:r w:rsidRPr="00EE4535">
        <w:t xml:space="preserve">voice and accountability, rule of law, political stability and absence of violence, government effectiveness, regulatory quality, and control of corruption. Higher scores for institutional development </w:t>
      </w:r>
      <w:proofErr w:type="gramStart"/>
      <w:r w:rsidRPr="00EE4535">
        <w:t>shows</w:t>
      </w:r>
      <w:proofErr w:type="gramEnd"/>
      <w:r w:rsidRPr="00EE4535">
        <w:t xml:space="preserve"> superior host country institutions. Gross domestic product (</w:t>
      </w:r>
      <w:r w:rsidRPr="00EE4535">
        <w:rPr>
          <w:i/>
          <w:iCs/>
        </w:rPr>
        <w:t>GDP</w:t>
      </w:r>
      <w:r w:rsidRPr="00EE4535">
        <w:t xml:space="preserve">) accounts for economic scale differences among countries. We divide the original GDP values by </w:t>
      </w:r>
      <w:bookmarkStart w:id="25" w:name="_Hlk169306425"/>
      <m:oMath>
        <m:sSup>
          <m:sSupPr>
            <m:ctrlPr>
              <w:rPr>
                <w:rFonts w:ascii="Cambria Math" w:hAnsi="Cambria Math"/>
                <w:i/>
              </w:rPr>
            </m:ctrlPr>
          </m:sSupPr>
          <m:e>
            <m:r>
              <w:rPr>
                <w:rFonts w:ascii="Cambria Math" w:hAnsi="Cambria Math"/>
              </w:rPr>
              <m:t>10</m:t>
            </m:r>
          </m:e>
          <m:sup>
            <m:r>
              <w:rPr>
                <w:rFonts w:ascii="Cambria Math" w:hAnsi="Cambria Math"/>
              </w:rPr>
              <m:t>10</m:t>
            </m:r>
          </m:sup>
        </m:sSup>
        <w:bookmarkEnd w:id="25"/>
        <m:r>
          <w:rPr>
            <w:rFonts w:ascii="Cambria Math" w:hAnsi="Cambria Math"/>
          </w:rPr>
          <m:t xml:space="preserve"> </m:t>
        </m:r>
      </m:oMath>
      <w:r w:rsidRPr="00EE4535">
        <w:t xml:space="preserve">to match its scale with other variables. </w:t>
      </w:r>
      <w:r w:rsidRPr="00EE4535">
        <w:rPr>
          <w:i/>
          <w:iCs/>
        </w:rPr>
        <w:t>GDP growth</w:t>
      </w:r>
      <w:r w:rsidRPr="00EE4535">
        <w:t xml:space="preserve"> represents the annual growth rate of GDP. These two variables reflect the economic attraction and market size of a potential host country.</w:t>
      </w:r>
      <w:r w:rsidRPr="00EE4535">
        <w:rPr>
          <w:i/>
          <w:iCs/>
        </w:rPr>
        <w:t xml:space="preserve"> FDI levels</w:t>
      </w:r>
      <w:r w:rsidRPr="00EE4535">
        <w:t xml:space="preserve"> is the absolute value of FDI net inflow, reflecting the existing condition of FDI and business environment in a host country </w:t>
      </w:r>
      <w:r w:rsidRPr="00EE4535">
        <w:fldChar w:fldCharType="begin"/>
      </w:r>
      <w:r w:rsidRPr="00EE4535">
        <w:instrText xml:space="preserve"> ADDIN EN.CITE &lt;EndNote&gt;&lt;Cite&gt;&lt;Author&gt;Delios&lt;/Author&gt;&lt;Year&gt;2000&lt;/Year&gt;&lt;RecNum&gt;88&lt;/RecNum&gt;&lt;DisplayText&gt;(Delios and Henisz, 2000, Contractor et al., 2020)&lt;/DisplayText&gt;&lt;record&gt;&lt;rec-number&gt;88&lt;/rec-number&gt;&lt;foreign-keys&gt;&lt;key app="EN" db-id="ta95fx9215vppiefzvh5drv7v0dsvepa0pz0" timestamp="1703070722" guid="f90e22e8-9128-46d9-8cb4-f70f3ffdd376"&gt;88&lt;/key&gt;&lt;/foreign-keys&gt;&lt;ref-type name="Journal Article"&gt;17&lt;/ref-type&gt;&lt;contributors&gt;&lt;authors&gt;&lt;author&gt;Delios, Andrew&lt;/author&gt;&lt;author&gt;Henisz, Witold I&lt;/author&gt;&lt;/authors&gt;&lt;/contributors&gt;&lt;titles&gt;&lt;title&gt;Japanese firms&amp;apos; investment strategies in emerging economies&lt;/title&gt;&lt;secondary-title&gt;Academy of Management journal&lt;/secondary-title&gt;&lt;/titles&gt;&lt;periodical&gt;&lt;full-title&gt;Academy of Management Journal&lt;/full-title&gt;&lt;/periodical&gt;&lt;pages&gt;305-323&lt;/pages&gt;&lt;volume&gt;43&lt;/volume&gt;&lt;number&gt;3&lt;/number&gt;&lt;dates&gt;&lt;year&gt;2000&lt;/year&gt;&lt;/dates&gt;&lt;isbn&gt;0001-4273&lt;/isbn&gt;&lt;urls&gt;&lt;/urls&gt;&lt;/record&gt;&lt;/Cite&gt;&lt;Cite&gt;&lt;Author&gt;Contractor&lt;/Author&gt;&lt;Year&gt;2020&lt;/Year&gt;&lt;RecNum&gt;174&lt;/RecNum&gt;&lt;record&gt;&lt;rec-number&gt;174&lt;/rec-number&gt;&lt;foreign-keys&gt;&lt;key app="EN" db-id="ta95fx9215vppiefzvh5drv7v0dsvepa0pz0" timestamp="1718637831" guid="e6ade735-e78e-4a20-93a7-62a54a331ad2"&gt;174&lt;/key&gt;&lt;/foreign-keys&gt;&lt;ref-type name="Journal Article"&gt;17&lt;/ref-type&gt;&lt;contributors&gt;&lt;authors&gt;&lt;author&gt;Contractor, Farok J&lt;/author&gt;&lt;author&gt;Dangol, Ramesh&lt;/author&gt;&lt;author&gt;Nuruzzaman, Nuruzzaman&lt;/author&gt;&lt;author&gt;Raghunath, Subramanyam&lt;/author&gt;&lt;/authors&gt;&lt;/contributors&gt;&lt;titles&gt;&lt;title&gt;How do country regulations and business environment impact foreign direct investment (FDI) inflows?&lt;/title&gt;&lt;secondary-title&gt;International Business Review&lt;/secondary-title&gt;&lt;/titles&gt;&lt;periodical&gt;&lt;full-title&gt;International Business Review&lt;/full-title&gt;&lt;/periodical&gt;&lt;pages&gt;101640&lt;/pages&gt;&lt;volume&gt;29&lt;/volume&gt;&lt;number&gt;2&lt;/number&gt;&lt;dates&gt;&lt;year&gt;2020&lt;/year&gt;&lt;/dates&gt;&lt;isbn&gt;0969-5931&lt;/isbn&gt;&lt;urls&gt;&lt;/urls&gt;&lt;/record&gt;&lt;/Cite&gt;&lt;/EndNote&gt;</w:instrText>
      </w:r>
      <w:r w:rsidRPr="00EE4535">
        <w:fldChar w:fldCharType="separate"/>
      </w:r>
      <w:r w:rsidRPr="00EE4535">
        <w:rPr>
          <w:noProof/>
        </w:rPr>
        <w:t>(Delios and Henisz, 2000, Contractor et al., 2020)</w:t>
      </w:r>
      <w:r w:rsidRPr="00EE4535">
        <w:fldChar w:fldCharType="end"/>
      </w:r>
      <w:r w:rsidRPr="00EE4535">
        <w:t>. We divide the absolute FDI net inflow values by</w:t>
      </w:r>
      <m:oMath>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9</m:t>
            </m:r>
          </m:sup>
        </m:sSup>
      </m:oMath>
      <w:r w:rsidRPr="00EE4535">
        <w:t xml:space="preserve"> to match its scale with other variables. Recognizing the significant attraction of natural resources in GCC countries for Japanese firms, we use the variable </w:t>
      </w:r>
      <w:r w:rsidRPr="00EE4535">
        <w:rPr>
          <w:i/>
          <w:iCs/>
        </w:rPr>
        <w:t>natural resources</w:t>
      </w:r>
      <w:r w:rsidRPr="00EE4535">
        <w:t xml:space="preserve"> based on a previous study </w:t>
      </w:r>
      <w:r w:rsidRPr="00EE4535">
        <w:fldChar w:fldCharType="begin"/>
      </w:r>
      <w:r w:rsidRPr="00EE4535">
        <w:instrText xml:space="preserve"> ADDIN EN.CITE &lt;EndNote&gt;&lt;Cite&gt;&lt;Author&gt;Kolstad&lt;/Author&gt;&lt;Year&gt;2012&lt;/Year&gt;&lt;RecNum&gt;89&lt;/RecNum&gt;&lt;DisplayText&gt;(Kolstad and Wiig, 2012)&lt;/DisplayText&gt;&lt;record&gt;&lt;rec-number&gt;89&lt;/rec-number&gt;&lt;foreign-keys&gt;&lt;key app="EN" db-id="ta95fx9215vppiefzvh5drv7v0dsvepa0pz0" timestamp="1703071050" guid="07df54d4-ee50-4998-955f-ba6e5de4b957"&gt;89&lt;/key&gt;&lt;/foreign-keys&gt;&lt;ref-type name="Journal Article"&gt;17&lt;/ref-type&gt;&lt;contributors&gt;&lt;authors&gt;&lt;author&gt;Kolstad, Ivar&lt;/author&gt;&lt;author&gt;Wiig, Arne&lt;/author&gt;&lt;/authors&gt;&lt;/contributors&gt;&lt;titles&gt;&lt;title&gt;What determines Chinese outward FDI?&lt;/title&gt;&lt;secondary-title&gt;Journal of world business&lt;/secondary-title&gt;&lt;/titles&gt;&lt;periodical&gt;&lt;full-title&gt;Journal of World Business&lt;/full-title&gt;&lt;/periodical&gt;&lt;pages&gt;26-34&lt;/pages&gt;&lt;volume&gt;47&lt;/volume&gt;&lt;number&gt;1&lt;/number&gt;&lt;dates&gt;&lt;year&gt;2012&lt;/year&gt;&lt;/dates&gt;&lt;isbn&gt;1090-9516&lt;/isbn&gt;&lt;urls&gt;&lt;/urls&gt;&lt;/record&gt;&lt;/Cite&gt;&lt;/EndNote&gt;</w:instrText>
      </w:r>
      <w:r w:rsidRPr="00EE4535">
        <w:fldChar w:fldCharType="separate"/>
      </w:r>
      <w:r w:rsidRPr="00EE4535">
        <w:rPr>
          <w:noProof/>
        </w:rPr>
        <w:t>(Kolstad and Wiig, 2012)</w:t>
      </w:r>
      <w:r w:rsidRPr="00EE4535">
        <w:fldChar w:fldCharType="end"/>
      </w:r>
      <w:r w:rsidRPr="00EE4535">
        <w:t xml:space="preserve">, which is the sum of oil rents, natural gas rents, coal rents (hard and soft), mineral rents, and forest rents.. </w:t>
      </w:r>
    </w:p>
    <w:p w14:paraId="19D3938F" w14:textId="0994E6BA" w:rsidR="00EE4535" w:rsidRPr="00EE4535" w:rsidRDefault="00EE4535" w:rsidP="00EE4535">
      <w:pPr>
        <w:spacing w:line="240" w:lineRule="auto"/>
        <w:ind w:firstLineChars="200" w:firstLine="480"/>
      </w:pPr>
      <w:r w:rsidRPr="00EE4535">
        <w:lastRenderedPageBreak/>
        <w:t xml:space="preserve">Consistent with previous study </w:t>
      </w:r>
      <w:r w:rsidRPr="00EE4535">
        <w:fldChar w:fldCharType="begin"/>
      </w:r>
      <w:r w:rsidRPr="00EE4535">
        <w:instrText xml:space="preserve"> ADDIN EN.CITE &lt;EndNote&gt;&lt;Cite&gt;&lt;Author&gt;Gleditsch&lt;/Author&gt;&lt;Year&gt;2014&lt;/Year&gt;&lt;RecNum&gt;90&lt;/RecNum&gt;&lt;DisplayText&gt;(Gleditsch et al., 2014)&lt;/DisplayText&gt;&lt;record&gt;&lt;rec-number&gt;90&lt;/rec-number&gt;&lt;foreign-keys&gt;&lt;key app="EN" db-id="ta95fx9215vppiefzvh5drv7v0dsvepa0pz0" timestamp="1703072376" guid="45c336b4-cd65-4402-bf71-5534b1afd602"&gt;90&lt;/key&gt;&lt;/foreign-keys&gt;&lt;ref-type name="Journal Article"&gt;17&lt;/ref-type&gt;&lt;contributors&gt;&lt;authors&gt;&lt;author&gt;Gleditsch, Kristian Skrede&lt;/author&gt;&lt;author&gt;Metternich, Nils W&lt;/author&gt;&lt;author&gt;Ruggeri, Andrea&lt;/author&gt;&lt;/authors&gt;&lt;/contributors&gt;&lt;titles&gt;&lt;title&gt;Data and progress in peace and conflict research&lt;/title&gt;&lt;secondary-title&gt;Journal of Peace Research&lt;/secondary-title&gt;&lt;/titles&gt;&lt;periodical&gt;&lt;full-title&gt;Journal of Peace Research&lt;/full-title&gt;&lt;/periodical&gt;&lt;pages&gt;301-314&lt;/pages&gt;&lt;volume&gt;51&lt;/volume&gt;&lt;number&gt;2&lt;/number&gt;&lt;dates&gt;&lt;year&gt;2014&lt;/year&gt;&lt;/dates&gt;&lt;isbn&gt;0022-3433&lt;/isbn&gt;&lt;urls&gt;&lt;/urls&gt;&lt;/record&gt;&lt;/Cite&gt;&lt;/EndNote&gt;</w:instrText>
      </w:r>
      <w:r w:rsidRPr="00EE4535">
        <w:fldChar w:fldCharType="separate"/>
      </w:r>
      <w:r w:rsidRPr="00EE4535">
        <w:rPr>
          <w:noProof/>
        </w:rPr>
        <w:t>(Gleditsch et al., 2014)</w:t>
      </w:r>
      <w:r w:rsidRPr="00EE4535">
        <w:fldChar w:fldCharType="end"/>
      </w:r>
      <w:r w:rsidRPr="00EE4535">
        <w:t xml:space="preserve">, we utilized the Global Data on Events, Location, and Tone, which is a comprehensive project collecting media from various channels between countries. We divided the total scores by the number of events after normalization, it assigned a score to each event based on the Goldstein scale. We utilized </w:t>
      </w:r>
      <w:r w:rsidRPr="00EE4535">
        <w:rPr>
          <w:i/>
          <w:iCs/>
        </w:rPr>
        <w:t>bilateral relations</w:t>
      </w:r>
      <w:r w:rsidRPr="00EE4535">
        <w:t xml:space="preserve"> to represent this score and higher scores show better relations with Japan. </w:t>
      </w:r>
    </w:p>
    <w:p w14:paraId="64D0959C" w14:textId="74EF969C" w:rsidR="00EE4535" w:rsidRPr="00EE4535" w:rsidRDefault="00EE4535" w:rsidP="00EE4535">
      <w:pPr>
        <w:spacing w:line="240" w:lineRule="auto"/>
        <w:ind w:firstLineChars="200" w:firstLine="480"/>
      </w:pPr>
      <w:r w:rsidRPr="00EE4535">
        <w:t xml:space="preserve">The second-level control variables are relevant to firm level. We take the logarithm of a firm’s </w:t>
      </w:r>
      <w:r w:rsidRPr="00FF2B4A">
        <w:rPr>
          <w:i/>
          <w:iCs/>
        </w:rPr>
        <w:t>total assets</w:t>
      </w:r>
      <w:r w:rsidRPr="00EE4535">
        <w:t>, acknowledging that larger firms generally are more capable for FDI. Additionally, We utilized return on assets (</w:t>
      </w:r>
      <w:r w:rsidRPr="00EE4535">
        <w:rPr>
          <w:i/>
          <w:iCs/>
        </w:rPr>
        <w:t>ROA</w:t>
      </w:r>
      <w:r w:rsidRPr="00EE4535">
        <w:t xml:space="preserve">) to reflect a firm’s financial performance that could influence its foreign investment decisions </w:t>
      </w:r>
      <w:r w:rsidRPr="00EE4535">
        <w:fldChar w:fldCharType="begin"/>
      </w:r>
      <w:r w:rsidRPr="00EE4535">
        <w:instrText xml:space="preserve"> ADDIN EN.CITE &lt;EndNote&gt;&lt;Cite&gt;&lt;Author&gt;Chang&lt;/Author&gt;&lt;Year&gt;2011&lt;/Year&gt;&lt;RecNum&gt;91&lt;/RecNum&gt;&lt;DisplayText&gt;(Chang and Rhee, 2011)&lt;/DisplayText&gt;&lt;record&gt;&lt;rec-number&gt;91&lt;/rec-number&gt;&lt;foreign-keys&gt;&lt;key app="EN" db-id="ta95fx9215vppiefzvh5drv7v0dsvepa0pz0" timestamp="1703072587" guid="4bc58794-fe19-4da6-9a36-ab4c3e4fc03b"&gt;91&lt;/key&gt;&lt;/foreign-keys&gt;&lt;ref-type name="Journal Article"&gt;17&lt;/ref-type&gt;&lt;contributors&gt;&lt;authors&gt;&lt;author&gt;Chang, Sea-Jin&lt;/author&gt;&lt;author&gt;Rhee, Jay Hyuk&lt;/author&gt;&lt;/authors&gt;&lt;/contributors&gt;&lt;titles&gt;&lt;title&gt;Rapid FDI expansion and firm performance&lt;/title&gt;&lt;secondary-title&gt;Journal of International Business Studies&lt;/secondary-title&gt;&lt;/titles&gt;&lt;periodical&gt;&lt;full-title&gt;Journal of International Business Studies&lt;/full-title&gt;&lt;/periodical&gt;&lt;pages&gt;979-994&lt;/pages&gt;&lt;volume&gt;42&lt;/volume&gt;&lt;dates&gt;&lt;year&gt;2011&lt;/year&gt;&lt;/dates&gt;&lt;isbn&gt;0047-2506&lt;/isbn&gt;&lt;urls&gt;&lt;/urls&gt;&lt;/record&gt;&lt;/Cite&gt;&lt;/EndNote&gt;</w:instrText>
      </w:r>
      <w:r w:rsidRPr="00EE4535">
        <w:fldChar w:fldCharType="separate"/>
      </w:r>
      <w:r w:rsidRPr="00EE4535">
        <w:rPr>
          <w:noProof/>
        </w:rPr>
        <w:t>(Chang and Rhee, 2011)</w:t>
      </w:r>
      <w:r w:rsidRPr="00EE4535">
        <w:fldChar w:fldCharType="end"/>
      </w:r>
      <w:r w:rsidRPr="00EE4535">
        <w:t xml:space="preserve">. </w:t>
      </w:r>
      <w:r w:rsidRPr="00EE4535">
        <w:rPr>
          <w:i/>
          <w:iCs/>
        </w:rPr>
        <w:t>FDI experience</w:t>
      </w:r>
      <w:r w:rsidRPr="00EE4535">
        <w:t xml:space="preserve"> is the number of subsidiaries a firm had in all foreign countries, reflecting firm knowledge, resources and ability of foreign investment </w:t>
      </w:r>
      <w:r w:rsidRPr="00EE4535">
        <w:fldChar w:fldCharType="begin"/>
      </w:r>
      <w:r w:rsidRPr="00EE4535">
        <w:instrText xml:space="preserve"> ADDIN EN.CITE &lt;EndNote&gt;&lt;Cite&gt;&lt;Author&gt;Makino&lt;/Author&gt;&lt;Year&gt;1996&lt;/Year&gt;&lt;RecNum&gt;92&lt;/RecNum&gt;&lt;DisplayText&gt;(Makino and Delios, 1996)&lt;/DisplayText&gt;&lt;record&gt;&lt;rec-number&gt;92&lt;/rec-number&gt;&lt;foreign-keys&gt;&lt;key app="EN" db-id="ta95fx9215vppiefzvh5drv7v0dsvepa0pz0" timestamp="1703072702" guid="9b4152d6-6a52-418e-b6ff-c9b122dc799c"&gt;92&lt;/key&gt;&lt;/foreign-keys&gt;&lt;ref-type name="Journal Article"&gt;17&lt;/ref-type&gt;&lt;contributors&gt;&lt;authors&gt;&lt;author&gt;Makino, Shige&lt;/author&gt;&lt;author&gt;Delios, Andrew&lt;/author&gt;&lt;/authors&gt;&lt;/contributors&gt;&lt;titles&gt;&lt;title&gt;Local knowledge transfer and performance: Implications for alliance formation in Asia&lt;/title&gt;&lt;secondary-title&gt;Journal of international business studies&lt;/secondary-title&gt;&lt;/titles&gt;&lt;periodical&gt;&lt;full-title&gt;Journal of International Business Studies&lt;/full-title&gt;&lt;/periodical&gt;&lt;pages&gt;905-927&lt;/pages&gt;&lt;volume&gt;27&lt;/volume&gt;&lt;dates&gt;&lt;year&gt;1996&lt;/year&gt;&lt;/dates&gt;&lt;isbn&gt;0047-2506&lt;/isbn&gt;&lt;urls&gt;&lt;/urls&gt;&lt;/record&gt;&lt;/Cite&gt;&lt;/EndNote&gt;</w:instrText>
      </w:r>
      <w:r w:rsidRPr="00EE4535">
        <w:fldChar w:fldCharType="separate"/>
      </w:r>
      <w:r w:rsidRPr="00EE4535">
        <w:rPr>
          <w:noProof/>
        </w:rPr>
        <w:t>(Makino and Delios, 1996)</w:t>
      </w:r>
      <w:r w:rsidRPr="00EE4535">
        <w:fldChar w:fldCharType="end"/>
      </w:r>
      <w:r w:rsidRPr="00EE4535">
        <w:t>.</w:t>
      </w:r>
    </w:p>
    <w:p w14:paraId="31087882" w14:textId="564BF49B" w:rsidR="00EE4535" w:rsidRPr="00EE4535" w:rsidRDefault="00EE4535" w:rsidP="00EE4535">
      <w:pPr>
        <w:spacing w:line="240" w:lineRule="auto"/>
        <w:ind w:firstLineChars="200" w:firstLine="480"/>
      </w:pPr>
      <w:r w:rsidRPr="00EE4535">
        <w:t xml:space="preserve">In additional analysis, we were able to control for subsidiary attributes. </w:t>
      </w:r>
      <w:r w:rsidRPr="00EE4535">
        <w:rPr>
          <w:i/>
          <w:iCs/>
        </w:rPr>
        <w:t>CEO nationality</w:t>
      </w:r>
      <w:r w:rsidRPr="00EE4535">
        <w:t xml:space="preserve"> is binary: it takes the value of 1 if the CEO of a subsidiary is Japanese and 0 otherwise. </w:t>
      </w:r>
      <w:r w:rsidRPr="00EE4535">
        <w:rPr>
          <w:i/>
          <w:iCs/>
        </w:rPr>
        <w:t>Joint venture</w:t>
      </w:r>
      <w:r w:rsidRPr="00EE4535">
        <w:t xml:space="preserve"> is also a binary variable, taking the value of 1 if a subsidiary has another foreign parent firm with a share of ownership larger than 5% and 0 otherwise. Additionally, according to previous studies </w:t>
      </w:r>
      <w:r w:rsidRPr="00EE4535">
        <w:fldChar w:fldCharType="begin">
          <w:fldData xml:space="preserve">PEVuZE5vdGU+PENpdGU+PEF1dGhvcj5aaGFuZzwvQXV0aG9yPjxZZWFyPjIwMTA8L1llYXI+PFJl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</w:fldData>
        </w:fldChar>
      </w:r>
      <w:r w:rsidRPr="00EE4535">
        <w:instrText xml:space="preserve"> ADDIN EN.CITE </w:instrText>
      </w:r>
      <w:r w:rsidRPr="00EE4535">
        <w:fldChar w:fldCharType="begin">
          <w:fldData xml:space="preserve">PEVuZE5vdGU+PENpdGU+PEF1dGhvcj5aaGFuZzwvQXV0aG9yPjxZZWFyPjIwMTA8L1llYXI+PFJl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</w:fldData>
        </w:fldChar>
      </w:r>
      <w:r w:rsidRPr="00EE4535">
        <w:instrText xml:space="preserve"> ADDIN EN.CITE.DATA </w:instrText>
      </w:r>
      <w:r w:rsidRPr="00EE4535">
        <w:fldChar w:fldCharType="end"/>
      </w:r>
      <w:r w:rsidRPr="00EE4535">
        <w:fldChar w:fldCharType="separate"/>
      </w:r>
      <w:r w:rsidRPr="00EE4535">
        <w:rPr>
          <w:noProof/>
        </w:rPr>
        <w:t>(Zhang et al., 2010, Park et al., 2006, Ma et al., 2013)</w:t>
      </w:r>
      <w:r w:rsidRPr="00EE4535">
        <w:fldChar w:fldCharType="end"/>
      </w:r>
      <w:r w:rsidRPr="00EE4535">
        <w:t xml:space="preserve">, </w:t>
      </w:r>
      <w:r w:rsidRPr="00EE4535">
        <w:rPr>
          <w:i/>
          <w:iCs/>
        </w:rPr>
        <w:t>productivity</w:t>
      </w:r>
      <w:r w:rsidRPr="00EE4535">
        <w:t xml:space="preserve"> is calculated by the natural log of annual sales per employee, showing the efficiency with which a subsidiary uses its resources to generate output. </w:t>
      </w:r>
      <w:r w:rsidRPr="00EE4535">
        <w:rPr>
          <w:i/>
          <w:iCs/>
        </w:rPr>
        <w:t xml:space="preserve">Size </w:t>
      </w:r>
      <w:r w:rsidRPr="00EE4535">
        <w:t xml:space="preserve">represents the number of employees in a subsidiary. </w:t>
      </w:r>
    </w:p>
    <w:p w14:paraId="2D03F037" w14:textId="779C19B9" w:rsidR="00EE4535" w:rsidRPr="00EE4535" w:rsidRDefault="00EE4535" w:rsidP="00EE4535">
      <w:pPr>
        <w:spacing w:line="240" w:lineRule="auto"/>
        <w:jc w:val="center"/>
        <w:rPr>
          <w:b/>
          <w:bCs/>
        </w:rPr>
      </w:pPr>
      <w:r w:rsidRPr="00EE4535">
        <w:rPr>
          <w:b/>
          <w:bCs/>
        </w:rPr>
        <w:t>R</w:t>
      </w:r>
      <w:r>
        <w:rPr>
          <w:rFonts w:hint="eastAsia"/>
          <w:b/>
          <w:bCs/>
        </w:rPr>
        <w:t>esults</w:t>
      </w:r>
    </w:p>
    <w:p w14:paraId="0B23316B" w14:textId="77777777" w:rsidR="00EE4535" w:rsidRPr="00EE4535" w:rsidRDefault="00EE4535" w:rsidP="00EE4535">
      <w:pPr>
        <w:spacing w:line="240" w:lineRule="auto"/>
        <w:rPr>
          <w:i/>
          <w:iCs/>
        </w:rPr>
      </w:pPr>
      <w:r w:rsidRPr="00EE4535">
        <w:rPr>
          <w:i/>
          <w:iCs/>
        </w:rPr>
        <w:t>Estimation Strategy</w:t>
      </w:r>
    </w:p>
    <w:p w14:paraId="602B9BA1" w14:textId="77777777" w:rsidR="00EE4535" w:rsidRPr="00EE4535" w:rsidRDefault="00EE4535" w:rsidP="00EE4535">
      <w:pPr>
        <w:spacing w:line="240" w:lineRule="auto"/>
      </w:pPr>
      <w:r w:rsidRPr="00EE4535">
        <w:t xml:space="preserve">Our sample employs a firm-year-country structure, for which we adopted an appropriate strategy to achieve unbiased estimates. We utilized a </w:t>
      </w:r>
      <w:r w:rsidRPr="00FF2B4A">
        <w:rPr>
          <w:i/>
          <w:iCs/>
        </w:rPr>
        <w:t>conditional logistic regression model</w:t>
      </w:r>
      <w:r w:rsidRPr="00EE4535">
        <w:t xml:space="preserve">, grouping observations by firm </w:t>
      </w:r>
      <w:r w:rsidRPr="00EE4535">
        <w:fldChar w:fldCharType="begin"/>
      </w:r>
      <w:r w:rsidRPr="00EE4535">
        <w:instrText xml:space="preserve"> ADDIN EN.CITE &lt;EndNote&gt;&lt;Cite&gt;&lt;Author&gt;Henisz&lt;/Author&gt;&lt;Year&gt;2001&lt;/Year&gt;&lt;RecNum&gt;94&lt;/RecNum&gt;&lt;DisplayText&gt;(Henisz and Delios, 2001, Albino‐Pimentel et al., 2018)&lt;/DisplayText&gt;&lt;record&gt;&lt;rec-number&gt;94&lt;/rec-number&gt;&lt;foreign-keys&gt;&lt;key app="EN" db-id="ta95fx9215vppiefzvh5drv7v0dsvepa0pz0" timestamp="1703132471" guid="97f6afb3-c918-4e49-998a-b3c130d8e557"&gt;94&lt;/key&gt;&lt;/foreign-keys&gt;&lt;ref-type name="Journal Article"&gt;17&lt;/ref-type&gt;&lt;contributors&gt;&lt;authors&gt;&lt;author&gt;Henisz, Witold J&lt;/author&gt;&lt;author&gt;Delios, Andrew&lt;/author&gt;&lt;/authors&gt;&lt;/contributors&gt;&lt;titles&gt;&lt;title&gt;Uncertainty, imitation, and plant location: Japanese multinational corporations, 1990‐1996&lt;/title&gt;&lt;secondary-title&gt;Administrative science quarterly&lt;/secondary-title&gt;&lt;/titles&gt;&lt;periodical&gt;&lt;full-title&gt;Administrative Science Quarterly&lt;/full-title&gt;&lt;/periodical&gt;&lt;pages&gt;443-475&lt;/pages&gt;&lt;volume&gt;46&lt;/volume&gt;&lt;number&gt;3&lt;/number&gt;&lt;dates&gt;&lt;year&gt;2001&lt;/year&gt;&lt;/dates&gt;&lt;isbn&gt;0001-8392&lt;/isbn&gt;&lt;urls&gt;&lt;/urls&gt;&lt;/record&gt;&lt;/Cite&gt;&lt;Cite&gt;&lt;Author&gt;Albino‐Pimentel&lt;/Author&gt;&lt;Year&gt;2018&lt;/Year&gt;&lt;RecNum&gt;93&lt;/RecNum&gt;&lt;record&gt;&lt;rec-number&gt;93&lt;/rec-number&gt;&lt;foreign-keys&gt;&lt;key app="EN" db-id="ta95fx9215vppiefzvh5drv7v0dsvepa0pz0" timestamp="1703132374" guid="04855a0a-7795-4d10-b8c9-71f480273f9b"&gt;93&lt;/key&gt;&lt;/foreign-keys&gt;&lt;ref-type name="Journal Article"&gt;17&lt;/ref-type&gt;&lt;contributors&gt;&lt;authors&gt;&lt;author&gt;Albino‐Pimentel, Joao&lt;/author&gt;&lt;author&gt;Dussauge, Pierre&lt;/author&gt;&lt;author&gt;Shaver, J Myles&lt;/author&gt;&lt;/authors&gt;&lt;/contributors&gt;&lt;titles&gt;&lt;title&gt;Firm non‐market capabilities and the effect of supranational institutional safeguards on the location choice of international investments&lt;/title&gt;&lt;secondary-title&gt;Strategic Management Journal&lt;/secondary-title&gt;&lt;/titles&gt;&lt;periodical&gt;&lt;full-title&gt;Strategic Management Journal&lt;/full-title&gt;&lt;/periodical&gt;&lt;pages&gt;2770-2793&lt;/pages&gt;&lt;volume&gt;39&lt;/volume&gt;&lt;number&gt;10&lt;/number&gt;&lt;dates&gt;&lt;year&gt;2018&lt;/year&gt;&lt;/dates&gt;&lt;isbn&gt;0143-2095&lt;/isbn&gt;&lt;urls&gt;&lt;/urls&gt;&lt;/record&gt;&lt;/Cite&gt;&lt;/EndNote&gt;</w:instrText>
      </w:r>
      <w:r w:rsidRPr="00EE4535">
        <w:fldChar w:fldCharType="separate"/>
      </w:r>
      <w:r w:rsidRPr="00EE4535">
        <w:rPr>
          <w:noProof/>
        </w:rPr>
        <w:t>(Henisz and Delios, 2001, Albino‐Pimentel et al., 2018)</w:t>
      </w:r>
      <w:r w:rsidRPr="00EE4535">
        <w:fldChar w:fldCharType="end"/>
      </w:r>
      <w:r w:rsidRPr="00EE4535">
        <w:t>. This model combines country and year as choice sets, evaluating the relative likelihood of a firm's FDI host country choice depends on country factors, succession conditions, and king and crown prince characteristics (e.g., foreign honors, military experience and their differences). The conditional logistic model accounts for changes in attributes over time within groups, while removing constant variables, thereby effectively controlling for industry effects and other fixed characteristics specific to each firm. Robust standard errors were then applied post-estimation to address common features shared by host countries in attracting Japanese FDI. To mitigate potential endogeneity issues caused by simultaneity, all explanatory variables were lagged by one year.</w:t>
      </w:r>
    </w:p>
    <w:p w14:paraId="03FE4D74" w14:textId="77777777" w:rsidR="00EE4535" w:rsidRPr="00EE4535" w:rsidRDefault="00EE4535" w:rsidP="00EE4535">
      <w:pPr>
        <w:spacing w:line="240" w:lineRule="auto"/>
      </w:pPr>
      <w:r w:rsidRPr="00EE4535">
        <w:t xml:space="preserve">   Our additional sample of survival analysis has applied an unbalanced panel with a subsidiary-year structure. We applied a </w:t>
      </w:r>
      <w:r w:rsidRPr="00FF2B4A">
        <w:rPr>
          <w:i/>
          <w:iCs/>
        </w:rPr>
        <w:t>subsidiary fixed effects logistic regression model</w:t>
      </w:r>
      <w:r w:rsidRPr="00EE4535">
        <w:t xml:space="preserve"> on the factors influencing the subsidiary exit likelihood </w:t>
      </w:r>
      <w:r w:rsidRPr="00EE4535">
        <w:fldChar w:fldCharType="begin">
          <w:fldData xml:space="preserve">PEVuZE5vdGU+PENpdGU+PEF1dGhvcj5EZWxpb3M8L0F1dGhvcj48WWVhcj4yMDAxPC9ZZWFyPjxS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</w:fldData>
        </w:fldChar>
      </w:r>
      <w:r w:rsidRPr="00EE4535">
        <w:instrText xml:space="preserve"> ADDIN EN.CITE </w:instrText>
      </w:r>
      <w:r w:rsidRPr="00EE4535">
        <w:fldChar w:fldCharType="begin">
          <w:fldData xml:space="preserve">PEVuZE5vdGU+PENpdGU+PEF1dGhvcj5EZWxpb3M8L0F1dGhvcj48WWVhcj4yMDAxPC9ZZWFyPjxS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</w:fldData>
        </w:fldChar>
      </w:r>
      <w:r w:rsidRPr="00EE4535">
        <w:instrText xml:space="preserve"> ADDIN EN.CITE.DATA </w:instrText>
      </w:r>
      <w:r w:rsidRPr="00EE4535">
        <w:fldChar w:fldCharType="end"/>
      </w:r>
      <w:r w:rsidRPr="00EE4535">
        <w:fldChar w:fldCharType="separate"/>
      </w:r>
      <w:r w:rsidRPr="00EE4535">
        <w:rPr>
          <w:noProof/>
        </w:rPr>
        <w:t>(Delios and Beamish, 2001, Gaur et al., 2019, Hu et al., 2023)</w:t>
      </w:r>
      <w:r w:rsidRPr="00EE4535">
        <w:fldChar w:fldCharType="end"/>
      </w:r>
      <w:r w:rsidRPr="00EE4535">
        <w:t xml:space="preserve">. We lagged all explanatory variables by one year to mitigate potential endogeneity issues caused by simultaneity. </w:t>
      </w:r>
    </w:p>
    <w:p w14:paraId="4DEE0613" w14:textId="77777777" w:rsidR="00EE4535" w:rsidRPr="00EE4535" w:rsidRDefault="00EE4535" w:rsidP="00EE4535">
      <w:pPr>
        <w:spacing w:line="240" w:lineRule="auto"/>
        <w:rPr>
          <w:i/>
          <w:iCs/>
        </w:rPr>
      </w:pPr>
      <w:r w:rsidRPr="00EE4535">
        <w:rPr>
          <w:i/>
          <w:iCs/>
        </w:rPr>
        <w:t>Statistical Analysis</w:t>
      </w:r>
    </w:p>
    <w:p w14:paraId="3F6BE3D0" w14:textId="77777777" w:rsidR="00EE4535" w:rsidRPr="00EE4535" w:rsidRDefault="00EE4535" w:rsidP="00EE4535">
      <w:pPr>
        <w:spacing w:line="240" w:lineRule="auto"/>
      </w:pPr>
      <w:r w:rsidRPr="00EE4535">
        <w:lastRenderedPageBreak/>
        <w:t>Table 4 provides descriptive statistics for the primary variables utilized in the study, along with their correlation matrix. The mean of the variance inflation factor (VIF) values is 1.77 indicating a few concerns of multicollinearity.</w:t>
      </w:r>
    </w:p>
    <w:p w14:paraId="290F8565" w14:textId="77777777" w:rsidR="00EE4535" w:rsidRPr="00EE4535" w:rsidRDefault="00EE4535" w:rsidP="00100BEC">
      <w:pPr>
        <w:spacing w:after="0" w:line="240" w:lineRule="auto"/>
        <w:jc w:val="center"/>
      </w:pPr>
      <w:r w:rsidRPr="00EE4535">
        <w:t>-------------------------------</w:t>
      </w:r>
    </w:p>
    <w:p w14:paraId="537D3D92" w14:textId="77777777" w:rsidR="00EE4535" w:rsidRPr="00EE4535" w:rsidRDefault="00EE4535" w:rsidP="00100BEC">
      <w:pPr>
        <w:spacing w:after="0" w:line="240" w:lineRule="auto"/>
        <w:jc w:val="center"/>
      </w:pPr>
      <w:r w:rsidRPr="00EE4535">
        <w:t>Insert Table 4 here</w:t>
      </w:r>
    </w:p>
    <w:p w14:paraId="06AFE7A1" w14:textId="77777777" w:rsidR="00EE4535" w:rsidRPr="00EE4535" w:rsidRDefault="00EE4535" w:rsidP="00100BEC">
      <w:pPr>
        <w:spacing w:after="0" w:line="240" w:lineRule="auto"/>
        <w:jc w:val="center"/>
      </w:pPr>
      <w:r w:rsidRPr="00EE4535">
        <w:t>-------------------------------</w:t>
      </w:r>
    </w:p>
    <w:p w14:paraId="2555B9F2" w14:textId="65E1A233" w:rsidR="00EE4535" w:rsidRPr="00EE4535" w:rsidRDefault="00EE4535" w:rsidP="00EE4535">
      <w:pPr>
        <w:spacing w:line="240" w:lineRule="auto"/>
        <w:ind w:firstLineChars="200" w:firstLine="480"/>
      </w:pPr>
      <w:r w:rsidRPr="00EE4535">
        <w:t>Table 5 displays the regression results for testing the relationship between succession and Japanese FDI entry propensity using conditional logit models. The estimated coefficients are reported accompanied by robust standard errors. Model (1) serves as the baseline model, incorporating all control variables. Four country-level variables have positive estimated coefficients, such as</w:t>
      </w:r>
      <w:r w:rsidRPr="00EE4535">
        <w:rPr>
          <w:i/>
          <w:iCs/>
        </w:rPr>
        <w:t xml:space="preserve"> institutional development </w:t>
      </w:r>
      <w:r w:rsidRPr="00EE4535">
        <w:t>(</w:t>
      </w:r>
      <w:r w:rsidRPr="00EE4535">
        <w:rPr>
          <w:i/>
          <w:iCs/>
        </w:rPr>
        <w:t>p</w:t>
      </w:r>
      <w:r w:rsidRPr="00EE4535">
        <w:t xml:space="preserve"> &lt; 0.001), </w:t>
      </w:r>
      <w:r w:rsidRPr="00EE4535">
        <w:rPr>
          <w:i/>
          <w:iCs/>
        </w:rPr>
        <w:t xml:space="preserve">GDP </w:t>
      </w:r>
      <w:r w:rsidRPr="00EE4535">
        <w:t>(</w:t>
      </w:r>
      <w:bookmarkStart w:id="26" w:name="_Hlk169652789"/>
      <w:r w:rsidRPr="00EE4535">
        <w:rPr>
          <w:i/>
          <w:iCs/>
        </w:rPr>
        <w:t>p</w:t>
      </w:r>
      <w:r w:rsidRPr="00EE4535">
        <w:t xml:space="preserve"> &lt; 0.001</w:t>
      </w:r>
      <w:bookmarkEnd w:id="26"/>
      <w:r w:rsidRPr="00EE4535">
        <w:t xml:space="preserve">), </w:t>
      </w:r>
      <w:r w:rsidRPr="00EE4535">
        <w:rPr>
          <w:i/>
          <w:iCs/>
        </w:rPr>
        <w:t>GDP growth</w:t>
      </w:r>
      <w:r w:rsidRPr="00EE4535">
        <w:t xml:space="preserve"> (</w:t>
      </w:r>
      <w:r w:rsidRPr="00EE4535">
        <w:rPr>
          <w:i/>
          <w:iCs/>
        </w:rPr>
        <w:t>p</w:t>
      </w:r>
      <w:r w:rsidRPr="00EE4535">
        <w:t xml:space="preserve"> &lt; 0.05), and </w:t>
      </w:r>
      <w:r w:rsidRPr="00EE4535">
        <w:rPr>
          <w:i/>
          <w:iCs/>
        </w:rPr>
        <w:t>FDI levels</w:t>
      </w:r>
      <w:r w:rsidRPr="00EE4535">
        <w:t xml:space="preserve"> (</w:t>
      </w:r>
      <w:r w:rsidRPr="00EE4535">
        <w:rPr>
          <w:i/>
          <w:iCs/>
        </w:rPr>
        <w:t>p</w:t>
      </w:r>
      <w:r w:rsidRPr="00EE4535">
        <w:t xml:space="preserve"> &lt; 0.01). In contrast, </w:t>
      </w:r>
      <w:r w:rsidRPr="00EE4535">
        <w:rPr>
          <w:i/>
          <w:iCs/>
        </w:rPr>
        <w:t>natural resources</w:t>
      </w:r>
      <w:r w:rsidRPr="00EE4535">
        <w:t xml:space="preserve"> and </w:t>
      </w:r>
      <w:r w:rsidRPr="00FF2B4A">
        <w:rPr>
          <w:i/>
          <w:iCs/>
        </w:rPr>
        <w:t>bilateral relations</w:t>
      </w:r>
      <w:r w:rsidRPr="00FF2B4A">
        <w:t xml:space="preserve"> have negative estimated coefficients</w:t>
      </w:r>
      <w:r w:rsidRPr="00EE4535">
        <w:t xml:space="preserve"> (</w:t>
      </w:r>
      <w:r w:rsidRPr="00EE4535">
        <w:rPr>
          <w:i/>
          <w:iCs/>
        </w:rPr>
        <w:t>p</w:t>
      </w:r>
      <w:r w:rsidRPr="00EE4535">
        <w:t xml:space="preserve"> &lt; 0.01 and </w:t>
      </w:r>
      <w:r w:rsidRPr="00EE4535">
        <w:rPr>
          <w:i/>
          <w:iCs/>
        </w:rPr>
        <w:t>p</w:t>
      </w:r>
      <w:r w:rsidRPr="00EE4535">
        <w:t xml:space="preserve"> &lt; 0.001, respectively). This suggests that Japanese firms prefer countries with a sizable market, well-established institutions, advanced economies. Simultaneously, they are more likely to be attracted to countries with lower natural resources exports, which signals the potential of higher growth. For the firm-level attributes, </w:t>
      </w:r>
      <w:r w:rsidRPr="00EE4535">
        <w:rPr>
          <w:i/>
          <w:iCs/>
        </w:rPr>
        <w:t xml:space="preserve">Total assets </w:t>
      </w:r>
      <w:r w:rsidRPr="00EE4535">
        <w:t>(</w:t>
      </w:r>
      <w:r w:rsidRPr="00EE4535">
        <w:rPr>
          <w:i/>
          <w:iCs/>
        </w:rPr>
        <w:t>p</w:t>
      </w:r>
      <w:r w:rsidRPr="00EE4535">
        <w:t xml:space="preserve"> = 0.655) and </w:t>
      </w:r>
      <w:r w:rsidRPr="00EE4535">
        <w:rPr>
          <w:i/>
          <w:iCs/>
        </w:rPr>
        <w:t xml:space="preserve">ROA </w:t>
      </w:r>
      <w:r w:rsidRPr="00EE4535">
        <w:t>(</w:t>
      </w:r>
      <w:r w:rsidRPr="00EE4535">
        <w:rPr>
          <w:i/>
          <w:iCs/>
        </w:rPr>
        <w:t>p</w:t>
      </w:r>
      <w:r w:rsidRPr="00EE4535">
        <w:t xml:space="preserve"> = 0.791) have zero estimated coefficients. </w:t>
      </w:r>
      <w:r w:rsidRPr="00EE4535">
        <w:rPr>
          <w:i/>
          <w:iCs/>
        </w:rPr>
        <w:t>FDI experience</w:t>
      </w:r>
      <w:r w:rsidRPr="00EE4535">
        <w:t xml:space="preserve"> has a positive estimated coefficient (</w:t>
      </w:r>
      <w:r w:rsidRPr="00EE4535">
        <w:rPr>
          <w:i/>
          <w:iCs/>
        </w:rPr>
        <w:t>p</w:t>
      </w:r>
      <w:r w:rsidRPr="00EE4535">
        <w:t xml:space="preserve"> &lt; 0.001), showing experience in GCC markets encourage consequent entries. </w:t>
      </w:r>
    </w:p>
    <w:p w14:paraId="64CB4411" w14:textId="77777777" w:rsidR="00EE4535" w:rsidRPr="00EE4535" w:rsidRDefault="00EE4535" w:rsidP="00EE4535">
      <w:pPr>
        <w:spacing w:line="240" w:lineRule="auto"/>
        <w:ind w:firstLineChars="200" w:firstLine="480"/>
      </w:pPr>
      <w:r w:rsidRPr="00EE4535">
        <w:t xml:space="preserve">The focal moderators, </w:t>
      </w:r>
      <w:r w:rsidRPr="00EE4535">
        <w:rPr>
          <w:i/>
          <w:iCs/>
        </w:rPr>
        <w:t xml:space="preserve">king's foreign honors </w:t>
      </w:r>
      <w:r w:rsidRPr="00EE4535">
        <w:t>(</w:t>
      </w:r>
      <w:r w:rsidRPr="00EE4535">
        <w:rPr>
          <w:i/>
          <w:iCs/>
        </w:rPr>
        <w:t>p</w:t>
      </w:r>
      <w:r w:rsidRPr="00EE4535">
        <w:t xml:space="preserve"> = 0.848)</w:t>
      </w:r>
      <w:r w:rsidRPr="00EE4535">
        <w:rPr>
          <w:i/>
          <w:iCs/>
        </w:rPr>
        <w:t xml:space="preserve"> </w:t>
      </w:r>
      <w:r w:rsidRPr="00EE4535">
        <w:t xml:space="preserve">and </w:t>
      </w:r>
      <w:r w:rsidRPr="00EE4535">
        <w:rPr>
          <w:i/>
          <w:iCs/>
        </w:rPr>
        <w:t xml:space="preserve">prince's military influence </w:t>
      </w:r>
      <w:r w:rsidRPr="00EE4535">
        <w:t>(</w:t>
      </w:r>
      <w:r w:rsidRPr="00EE4535">
        <w:rPr>
          <w:i/>
          <w:iCs/>
        </w:rPr>
        <w:t>p</w:t>
      </w:r>
      <w:r w:rsidRPr="00EE4535">
        <w:t xml:space="preserve"> = 0.35)</w:t>
      </w:r>
      <w:r w:rsidRPr="00EE4535">
        <w:rPr>
          <w:i/>
          <w:iCs/>
        </w:rPr>
        <w:t xml:space="preserve"> </w:t>
      </w:r>
      <w:r w:rsidRPr="00EE4535">
        <w:t>have coefficient estimates equal to zero, but</w:t>
      </w:r>
      <w:r w:rsidRPr="00EE4535">
        <w:rPr>
          <w:i/>
          <w:iCs/>
        </w:rPr>
        <w:t xml:space="preserve"> King-Prince differences</w:t>
      </w:r>
      <w:r w:rsidRPr="00EE4535">
        <w:t xml:space="preserve"> (β = -1.28, </w:t>
      </w:r>
      <w:r w:rsidRPr="00EE4535">
        <w:rPr>
          <w:i/>
          <w:iCs/>
        </w:rPr>
        <w:t>p</w:t>
      </w:r>
      <w:r w:rsidRPr="00EE4535">
        <w:t xml:space="preserve"> &lt; 0.001) have a </w:t>
      </w:r>
      <w:r w:rsidRPr="00FF2B4A">
        <w:t>negative estimated coefficient</w:t>
      </w:r>
      <w:r w:rsidRPr="00EE4535">
        <w:t xml:space="preserve">. </w:t>
      </w:r>
    </w:p>
    <w:p w14:paraId="64FF2122" w14:textId="1C186FBF" w:rsidR="00EE4535" w:rsidRPr="00EE4535" w:rsidRDefault="00EE4535" w:rsidP="00EE4535">
      <w:pPr>
        <w:spacing w:line="240" w:lineRule="auto"/>
        <w:ind w:firstLineChars="200" w:firstLine="480"/>
      </w:pPr>
      <w:r w:rsidRPr="00EE4535">
        <w:t xml:space="preserve">Model (3) - (6) test Hypothesis 1 regarding the overall impact of the monarch’s succession on FDI entries. </w:t>
      </w:r>
      <w:bookmarkStart w:id="27" w:name="_Hlk169660582"/>
      <w:r w:rsidRPr="00EE4535">
        <w:t xml:space="preserve">The focal independent variable </w:t>
      </w:r>
      <w:r w:rsidRPr="00EE4535">
        <w:rPr>
          <w:i/>
          <w:iCs/>
        </w:rPr>
        <w:t>succession</w:t>
      </w:r>
      <w:r w:rsidRPr="00EE4535">
        <w:t xml:space="preserve"> has a negative coefficient (β = -1.32, </w:t>
      </w:r>
      <w:r w:rsidRPr="00EE4535">
        <w:rPr>
          <w:i/>
          <w:iCs/>
        </w:rPr>
        <w:t>p</w:t>
      </w:r>
      <w:r w:rsidRPr="00EE4535">
        <w:t xml:space="preserve"> &lt; 0.01) entered in model (3). </w:t>
      </w:r>
      <w:bookmarkStart w:id="28" w:name="_Hlk154064044"/>
      <w:r w:rsidRPr="00EE4535">
        <w:t xml:space="preserve">We used </w:t>
      </w:r>
      <w:bookmarkEnd w:id="28"/>
      <w:r w:rsidRPr="00EE4535">
        <w:t xml:space="preserve">models (4) - (6) to explore diverse successions with varying relationships between the incumbent and successor. The estimated coefficient of </w:t>
      </w:r>
      <w:r w:rsidRPr="00EE4535">
        <w:rPr>
          <w:i/>
          <w:iCs/>
        </w:rPr>
        <w:t xml:space="preserve">hereditary succession </w:t>
      </w:r>
      <w:r w:rsidRPr="00EE4535">
        <w:t>(</w:t>
      </w:r>
      <w:r w:rsidRPr="00EE4535">
        <w:rPr>
          <w:i/>
          <w:iCs/>
        </w:rPr>
        <w:t>p</w:t>
      </w:r>
      <w:r w:rsidRPr="00EE4535">
        <w:t xml:space="preserve"> = 0.553) is zero indicating irrelevance to the dependent variable, while </w:t>
      </w:r>
      <w:r w:rsidRPr="00EE4535">
        <w:rPr>
          <w:i/>
          <w:iCs/>
        </w:rPr>
        <w:t>fraternal succession</w:t>
      </w:r>
      <w:r w:rsidRPr="00EE4535">
        <w:t xml:space="preserve"> (β = –2.05, </w:t>
      </w:r>
      <w:r w:rsidRPr="00EE4535">
        <w:rPr>
          <w:i/>
          <w:iCs/>
        </w:rPr>
        <w:t>p</w:t>
      </w:r>
      <w:r w:rsidRPr="00EE4535">
        <w:t xml:space="preserve"> &lt; 0.01) and </w:t>
      </w:r>
      <w:r w:rsidRPr="00EE4535">
        <w:rPr>
          <w:i/>
          <w:iCs/>
        </w:rPr>
        <w:t>other successions</w:t>
      </w:r>
      <w:r w:rsidRPr="00EE4535">
        <w:t xml:space="preserve"> </w:t>
      </w:r>
      <w:bookmarkStart w:id="29" w:name="_Hlk169655921"/>
      <w:r w:rsidRPr="00EE4535">
        <w:t>(</w:t>
      </w:r>
      <w:bookmarkStart w:id="30" w:name="_Hlk154063165"/>
      <w:r w:rsidRPr="00EE4535">
        <w:t>β =</w:t>
      </w:r>
      <w:bookmarkEnd w:id="30"/>
      <w:r w:rsidRPr="00EE4535">
        <w:t xml:space="preserve"> –12.24, </w:t>
      </w:r>
      <w:r w:rsidRPr="00EE4535">
        <w:rPr>
          <w:i/>
          <w:iCs/>
        </w:rPr>
        <w:t>p</w:t>
      </w:r>
      <w:r w:rsidRPr="00EE4535">
        <w:t xml:space="preserve"> &lt; 0.001)</w:t>
      </w:r>
      <w:bookmarkEnd w:id="29"/>
      <w:r w:rsidRPr="00EE4535">
        <w:t xml:space="preserve"> have negative estimated coefficients. </w:t>
      </w:r>
    </w:p>
    <w:p w14:paraId="2AA6F0D7" w14:textId="2A2C24C7" w:rsidR="00EE4535" w:rsidRPr="00FF2B4A" w:rsidRDefault="00EE4535" w:rsidP="00EE4535">
      <w:pPr>
        <w:spacing w:line="240" w:lineRule="auto"/>
        <w:ind w:firstLineChars="200" w:firstLine="480"/>
        <w:rPr>
          <w:color w:val="FF0000"/>
        </w:rPr>
      </w:pPr>
      <w:r w:rsidRPr="00EE4535">
        <w:t xml:space="preserve">According to prior effect size studies </w:t>
      </w:r>
      <w:r w:rsidRPr="00EE4535">
        <w:fldChar w:fldCharType="begin"/>
      </w:r>
      <w:r w:rsidRPr="00EE4535">
        <w:instrText xml:space="preserve"> ADDIN EN.CITE &lt;EndNote&gt;&lt;Cite&gt;&lt;Author&gt;Fey&lt;/Author&gt;&lt;Year&gt;2023&lt;/Year&gt;&lt;RecNum&gt;179&lt;/RecNum&gt;&lt;DisplayText&gt;(Fey et al., 2023)&lt;/DisplayText&gt;&lt;record&gt;&lt;rec-number&gt;179&lt;/rec-number&gt;&lt;foreign-keys&gt;&lt;key app="EN" db-id="ta95fx9215vppiefzvh5drv7v0dsvepa0pz0" timestamp="1718734890" guid="c4b25753-4449-42f6-a5fc-56cda02901e0"&gt;179&lt;/key&gt;&lt;/foreign-keys&gt;&lt;ref-type name="Journal Article"&gt;17&lt;/ref-type&gt;&lt;contributors&gt;&lt;authors&gt;&lt;author&gt;Fey, Carl F&lt;/author&gt;&lt;author&gt;Hu, Tianyou&lt;/author&gt;&lt;author&gt;Delios, Andrew&lt;/author&gt;&lt;/authors&gt;&lt;/contributors&gt;&lt;titles&gt;&lt;title&gt;The measurement and communication of effect sizes in management research&lt;/title&gt;&lt;secondary-title&gt;Management and Organization Review&lt;/secondary-title&gt;&lt;/titles&gt;&lt;periodical&gt;&lt;full-title&gt;Management and Organization Review&lt;/full-title&gt;&lt;/periodical&gt;&lt;pages&gt;176-197&lt;/pages&gt;&lt;volume&gt;19&lt;/volume&gt;&lt;number&gt;1&lt;/number&gt;&lt;dates&gt;&lt;year&gt;2023&lt;/year&gt;&lt;/dates&gt;&lt;isbn&gt;1740-8776&lt;/isbn&gt;&lt;urls&gt;&lt;/urls&gt;&lt;/record&gt;&lt;/Cite&gt;&lt;/EndNote&gt;</w:instrText>
      </w:r>
      <w:r w:rsidRPr="00EE4535">
        <w:fldChar w:fldCharType="separate"/>
      </w:r>
      <w:r w:rsidRPr="00EE4535">
        <w:rPr>
          <w:noProof/>
        </w:rPr>
        <w:t>(Fey et al., 2023)</w:t>
      </w:r>
      <w:r w:rsidRPr="00EE4535">
        <w:fldChar w:fldCharType="end"/>
      </w:r>
      <w:r w:rsidRPr="00EE4535">
        <w:t xml:space="preserve">, models (3) reveals that when a monarch’s succession occurs in a host country, a firm's likelihood of engaging in FDI to enter the host country is </w:t>
      </w:r>
      <w:r w:rsidRPr="00435AFB">
        <w:t xml:space="preserve">reduced </w:t>
      </w:r>
      <w:r w:rsidRPr="00FF2B4A">
        <w:t xml:space="preserve">by 73.3%. </w:t>
      </w:r>
      <w:r w:rsidRPr="00435AFB">
        <w:t>If</w:t>
      </w:r>
      <w:r w:rsidRPr="00EE4535">
        <w:t xml:space="preserve"> the succession of the throne occurs between brothers, the willingness of Japanese firms to entry as FDI decreased by 87.1%. If the succession of the throne is neither between father and son nor between brothers, FDI decreased by nearly 100%.</w:t>
      </w:r>
    </w:p>
    <w:bookmarkEnd w:id="27"/>
    <w:p w14:paraId="50401404" w14:textId="77777777" w:rsidR="00EE4535" w:rsidRPr="00EE4535" w:rsidRDefault="00EE4535" w:rsidP="00EE4535">
      <w:pPr>
        <w:spacing w:line="240" w:lineRule="auto"/>
        <w:ind w:firstLineChars="200" w:firstLine="480"/>
      </w:pPr>
      <w:r w:rsidRPr="00EE4535">
        <w:t xml:space="preserve">In models (7) - (8), we change the dependent variable </w:t>
      </w:r>
      <w:r w:rsidRPr="00EE4535">
        <w:rPr>
          <w:i/>
          <w:iCs/>
        </w:rPr>
        <w:t>exit</w:t>
      </w:r>
      <w:r w:rsidRPr="00EE4535">
        <w:t xml:space="preserve"> to a </w:t>
      </w:r>
      <w:r w:rsidRPr="00EE4535">
        <w:rPr>
          <w:i/>
          <w:iCs/>
        </w:rPr>
        <w:t xml:space="preserve">two </w:t>
      </w:r>
      <w:proofErr w:type="gramStart"/>
      <w:r w:rsidRPr="00EE4535">
        <w:rPr>
          <w:i/>
          <w:iCs/>
        </w:rPr>
        <w:t>years</w:t>
      </w:r>
      <w:proofErr w:type="gramEnd"/>
      <w:r w:rsidRPr="00EE4535">
        <w:rPr>
          <w:i/>
          <w:iCs/>
        </w:rPr>
        <w:t xml:space="preserve"> entry sum</w:t>
      </w:r>
      <w:r w:rsidRPr="00EE4535">
        <w:t xml:space="preserve"> and a </w:t>
      </w:r>
      <w:r w:rsidRPr="00EE4535">
        <w:rPr>
          <w:i/>
          <w:iCs/>
        </w:rPr>
        <w:t>three years entry sum</w:t>
      </w:r>
      <w:r w:rsidRPr="00EE4535">
        <w:t>. The focal independent variable succession still has negative coefficients (</w:t>
      </w:r>
      <w:bookmarkStart w:id="31" w:name="_Hlk169657594"/>
      <w:r w:rsidRPr="00EE4535">
        <w:t xml:space="preserve">β = -0.66, p &lt; 0.01 </w:t>
      </w:r>
      <w:bookmarkEnd w:id="31"/>
      <w:r w:rsidRPr="00EE4535">
        <w:t xml:space="preserve">and β = -0.92, p &lt; 0.01, respectively), reflecting the halt strategy of Japanese firms will persist into the following years when faced with succession. A firm’s FDI propensity to enter the host country declined by 48.2% for two years and 60.2% for three years. </w:t>
      </w:r>
    </w:p>
    <w:p w14:paraId="454CCEF8" w14:textId="412CD4CA" w:rsidR="00EE4535" w:rsidRPr="00EE4535" w:rsidRDefault="00EE4535" w:rsidP="00EE4535">
      <w:pPr>
        <w:spacing w:line="240" w:lineRule="auto"/>
        <w:ind w:firstLineChars="200" w:firstLine="480"/>
      </w:pPr>
      <w:r w:rsidRPr="00EE4535">
        <w:lastRenderedPageBreak/>
        <w:t xml:space="preserve">The findings suggest that Japanese firms tend to temporarily halt direct investments in the face of succession in authoritarian countries, especially when the blood ties between the incumbent and successor are more distant. Thus, we found robust support for Hypothesis 1. </w:t>
      </w:r>
    </w:p>
    <w:p w14:paraId="39428B36" w14:textId="77777777" w:rsidR="00EE4535" w:rsidRPr="00EE4535" w:rsidRDefault="00EE4535" w:rsidP="00100BEC">
      <w:pPr>
        <w:spacing w:after="0" w:line="240" w:lineRule="auto"/>
        <w:jc w:val="center"/>
      </w:pPr>
      <w:r w:rsidRPr="00EE4535">
        <w:t>------------------------------</w:t>
      </w:r>
    </w:p>
    <w:p w14:paraId="48E36824" w14:textId="77777777" w:rsidR="00EE4535" w:rsidRPr="00EE4535" w:rsidRDefault="00EE4535" w:rsidP="00100BEC">
      <w:pPr>
        <w:spacing w:after="0" w:line="240" w:lineRule="auto"/>
        <w:jc w:val="center"/>
      </w:pPr>
      <w:r w:rsidRPr="00EE4535">
        <w:t>Insert Table 5 here</w:t>
      </w:r>
    </w:p>
    <w:p w14:paraId="571EF888" w14:textId="77777777" w:rsidR="00EE4535" w:rsidRPr="00EE4535" w:rsidRDefault="00EE4535" w:rsidP="00100BEC">
      <w:pPr>
        <w:spacing w:after="0" w:line="240" w:lineRule="auto"/>
        <w:jc w:val="center"/>
      </w:pPr>
      <w:r w:rsidRPr="00EE4535">
        <w:t>-------------------------------</w:t>
      </w:r>
    </w:p>
    <w:p w14:paraId="5A314FDF" w14:textId="5EFC6E0D" w:rsidR="00EE4535" w:rsidRPr="00EE4535" w:rsidRDefault="00EE4535" w:rsidP="00EE4535">
      <w:pPr>
        <w:spacing w:line="240" w:lineRule="auto"/>
        <w:ind w:firstLineChars="200" w:firstLine="480"/>
      </w:pPr>
      <w:r w:rsidRPr="00FF2B4A">
        <w:t>In model (9) - (12) of Table 6</w:t>
      </w:r>
      <w:r w:rsidRPr="00435AFB">
        <w:t>, we</w:t>
      </w:r>
      <w:r w:rsidRPr="00EE4535">
        <w:t xml:space="preserve"> employed an interaction analysis to test Hypothesis 2-4 using three variables: </w:t>
      </w:r>
      <w:bookmarkStart w:id="32" w:name="_Hlk169657830"/>
      <w:r w:rsidRPr="00EE4535">
        <w:rPr>
          <w:i/>
          <w:iCs/>
        </w:rPr>
        <w:t>prince's military influence</w:t>
      </w:r>
      <w:r w:rsidRPr="00EE4535">
        <w:t xml:space="preserve"> </w:t>
      </w:r>
      <w:bookmarkEnd w:id="32"/>
      <w:r w:rsidRPr="00EE4535">
        <w:t xml:space="preserve">as a binary variable, and </w:t>
      </w:r>
      <w:r w:rsidRPr="00EE4535">
        <w:rPr>
          <w:i/>
          <w:iCs/>
        </w:rPr>
        <w:t>king's foreign honors</w:t>
      </w:r>
      <w:r w:rsidRPr="00EE4535">
        <w:t xml:space="preserve">, </w:t>
      </w:r>
      <w:r w:rsidRPr="00EE4535">
        <w:rPr>
          <w:i/>
          <w:iCs/>
        </w:rPr>
        <w:t>King-Prince differences</w:t>
      </w:r>
      <w:r w:rsidRPr="00EE4535">
        <w:t xml:space="preserve"> as continuous variables. As shown in model (9) of Table 5, the interaction term with </w:t>
      </w:r>
      <w:r w:rsidRPr="00EE4535">
        <w:rPr>
          <w:i/>
          <w:iCs/>
        </w:rPr>
        <w:t>king's foreign honors</w:t>
      </w:r>
      <w:r w:rsidRPr="00EE4535">
        <w:t xml:space="preserve"> yielded significant results (β = -11.61, p &lt; 0.001). It reflects that the death of a king with more honors aggravated the negative effect of succession on FDI entry and provides solid support for Hypothesis 2. In model (10), we then used the binary variable </w:t>
      </w:r>
      <w:r w:rsidRPr="00EE4535">
        <w:rPr>
          <w:i/>
          <w:iCs/>
        </w:rPr>
        <w:t>prince's military influence</w:t>
      </w:r>
      <w:r w:rsidRPr="00EE4535">
        <w:t xml:space="preserve"> to split the crown princes into two subgroups. The interaction term with crown prince generated a significant result (β = 11.99, p &lt; 0.001). Effect size analysis shows that crown princes who assumed military positions can mitigate the negative impact of succession on 26.7% of FDI entries, which supports Hypothesis 3. We utilized the interaction term with </w:t>
      </w:r>
      <w:r w:rsidRPr="00EE4535">
        <w:rPr>
          <w:i/>
          <w:iCs/>
        </w:rPr>
        <w:t>King-Prince differences</w:t>
      </w:r>
      <w:r w:rsidRPr="00EE4535">
        <w:t xml:space="preserve"> in model (11), yielding significant results (β = 3.68, p &lt; 0.001). It suggests that the greater of differences between the crown prince and king, the greater the promotion of foreign investment, delivering strong evidence for Hypothesis 4. Model (12) contains all these variables and interaction terms. These results indicate that Japanese firms did not want to see the death of a king who has been awarded more foreign honors recently but preferred authoritarian countries where the crown prince possesses more military power and greater differences between king and crown prince there.</w:t>
      </w:r>
    </w:p>
    <w:p w14:paraId="30D20F61" w14:textId="77777777" w:rsidR="00EE4535" w:rsidRPr="00EE4535" w:rsidRDefault="00EE4535" w:rsidP="00100BEC">
      <w:pPr>
        <w:spacing w:after="0" w:line="240" w:lineRule="auto"/>
        <w:jc w:val="center"/>
      </w:pPr>
      <w:r w:rsidRPr="00EE4535">
        <w:t>-------------------------------</w:t>
      </w:r>
    </w:p>
    <w:p w14:paraId="05A4CF43" w14:textId="77777777" w:rsidR="00EE4535" w:rsidRPr="00EE4535" w:rsidRDefault="00EE4535" w:rsidP="00100BEC">
      <w:pPr>
        <w:spacing w:after="0" w:line="240" w:lineRule="auto"/>
        <w:jc w:val="center"/>
      </w:pPr>
      <w:r w:rsidRPr="00EE4535">
        <w:t>Insert Table 6 here</w:t>
      </w:r>
    </w:p>
    <w:p w14:paraId="1EAFFAB5" w14:textId="77777777" w:rsidR="00EE4535" w:rsidRPr="00EE4535" w:rsidRDefault="00EE4535" w:rsidP="00100BEC">
      <w:pPr>
        <w:spacing w:after="0" w:line="240" w:lineRule="auto"/>
        <w:jc w:val="center"/>
      </w:pPr>
      <w:r w:rsidRPr="00EE4535">
        <w:t>-------------------------------</w:t>
      </w:r>
    </w:p>
    <w:p w14:paraId="6031C286" w14:textId="77777777" w:rsidR="00EE4535" w:rsidRDefault="00EE4535" w:rsidP="00EE4535">
      <w:pPr>
        <w:spacing w:line="240" w:lineRule="auto"/>
        <w:ind w:firstLineChars="200" w:firstLine="480"/>
      </w:pPr>
      <w:r w:rsidRPr="00FF2B4A">
        <w:t>In models (13) - (16) of Table 7,</w:t>
      </w:r>
      <w:r w:rsidRPr="00435AFB">
        <w:t xml:space="preserve"> we</w:t>
      </w:r>
      <w:r w:rsidRPr="00EE4535">
        <w:t xml:space="preserve"> conducted a survival analysis using </w:t>
      </w:r>
      <w:r w:rsidRPr="00EE4535">
        <w:rPr>
          <w:i/>
          <w:iCs/>
        </w:rPr>
        <w:t>exit</w:t>
      </w:r>
      <w:r w:rsidRPr="00EE4535">
        <w:t xml:space="preserve"> as the dependent variable. The focal independent variable </w:t>
      </w:r>
      <w:r w:rsidRPr="00EE4535">
        <w:rPr>
          <w:i/>
          <w:iCs/>
        </w:rPr>
        <w:t>succession</w:t>
      </w:r>
      <w:r w:rsidRPr="00EE4535">
        <w:t xml:space="preserve"> obtained a positive coefficient (β = 3.19, </w:t>
      </w:r>
      <w:r w:rsidRPr="00EE4535">
        <w:rPr>
          <w:i/>
          <w:iCs/>
        </w:rPr>
        <w:t>p</w:t>
      </w:r>
      <w:r w:rsidRPr="00EE4535">
        <w:t xml:space="preserve"> &lt; 0.01) entered in model (13). It reflects that Japanese firms may withdraw their direct investment in the face of succession in host countries. We used model (14) - (16) to verify diverse successions with varying relationships between the incumbent and successor. The estimated coefficient of </w:t>
      </w:r>
      <w:r w:rsidRPr="00EE4535">
        <w:rPr>
          <w:i/>
          <w:iCs/>
        </w:rPr>
        <w:t xml:space="preserve">hereditary succession </w:t>
      </w:r>
      <w:r w:rsidRPr="00EE4535">
        <w:t>(</w:t>
      </w:r>
      <w:r w:rsidRPr="00EE4535">
        <w:rPr>
          <w:i/>
          <w:iCs/>
        </w:rPr>
        <w:t>p</w:t>
      </w:r>
      <w:r w:rsidRPr="00EE4535">
        <w:t xml:space="preserve"> = 0.111) and</w:t>
      </w:r>
      <w:r w:rsidRPr="00EE4535">
        <w:rPr>
          <w:i/>
          <w:iCs/>
        </w:rPr>
        <w:t xml:space="preserve"> fraternal succession</w:t>
      </w:r>
      <w:r w:rsidRPr="00EE4535">
        <w:t xml:space="preserve"> (</w:t>
      </w:r>
      <w:r w:rsidRPr="00EE4535">
        <w:rPr>
          <w:i/>
          <w:iCs/>
        </w:rPr>
        <w:t>p</w:t>
      </w:r>
      <w:r w:rsidRPr="00EE4535">
        <w:t xml:space="preserve"> = 0.088)) is zero indicating irrelevance to the dependent variable, while </w:t>
      </w:r>
      <w:r w:rsidRPr="00EE4535">
        <w:rPr>
          <w:i/>
          <w:iCs/>
        </w:rPr>
        <w:t>other successions</w:t>
      </w:r>
      <w:r w:rsidRPr="00EE4535">
        <w:t xml:space="preserve"> (β = 4.53, </w:t>
      </w:r>
      <w:r w:rsidRPr="00EE4535">
        <w:rPr>
          <w:i/>
          <w:iCs/>
        </w:rPr>
        <w:t>p</w:t>
      </w:r>
      <w:r w:rsidRPr="00EE4535">
        <w:t xml:space="preserve"> &lt; 0.05) have a positive estimated coefficient. The findings suggest that Japanese firms tend to exit from authoritarian countries where are faced with succession, especially when the blood ties are more irrelevant between the incumbent and successor. An effect size analysis for models (13) denotes that when a monarch’s succession occurs in a host country, a firm’s FDI propensity to exit the host country increased by 75.6%.</w:t>
      </w:r>
    </w:p>
    <w:p w14:paraId="0CB4939D" w14:textId="77777777" w:rsidR="00100BEC" w:rsidRDefault="00100BEC" w:rsidP="00EE4535">
      <w:pPr>
        <w:spacing w:line="240" w:lineRule="auto"/>
        <w:ind w:firstLineChars="200" w:firstLine="480"/>
      </w:pPr>
    </w:p>
    <w:p w14:paraId="4D1D4851" w14:textId="77777777" w:rsidR="00100BEC" w:rsidRPr="00EE4535" w:rsidRDefault="00100BEC" w:rsidP="00EE4535">
      <w:pPr>
        <w:spacing w:line="240" w:lineRule="auto"/>
        <w:ind w:firstLineChars="200" w:firstLine="480"/>
      </w:pPr>
    </w:p>
    <w:p w14:paraId="70008789" w14:textId="77777777" w:rsidR="00EE4535" w:rsidRPr="00EE4535" w:rsidRDefault="00EE4535" w:rsidP="00100BEC">
      <w:pPr>
        <w:spacing w:after="0" w:line="240" w:lineRule="auto"/>
        <w:jc w:val="center"/>
      </w:pPr>
      <w:r w:rsidRPr="00EE4535">
        <w:lastRenderedPageBreak/>
        <w:t>-------------------------------</w:t>
      </w:r>
    </w:p>
    <w:p w14:paraId="5F5C9272" w14:textId="77777777" w:rsidR="00EE4535" w:rsidRPr="00EE4535" w:rsidRDefault="00EE4535" w:rsidP="00100BEC">
      <w:pPr>
        <w:spacing w:after="0" w:line="240" w:lineRule="auto"/>
        <w:jc w:val="center"/>
      </w:pPr>
      <w:r w:rsidRPr="00EE4535">
        <w:t>Insert Table 7 here</w:t>
      </w:r>
    </w:p>
    <w:p w14:paraId="0DC4658D" w14:textId="76ACA7E0" w:rsidR="002621E2" w:rsidRPr="00C6786A" w:rsidRDefault="00EE4535" w:rsidP="00100BEC">
      <w:pPr>
        <w:spacing w:after="0" w:line="240" w:lineRule="auto"/>
        <w:jc w:val="center"/>
      </w:pPr>
      <w:r w:rsidRPr="00EE4535">
        <w:t>-------------------------------</w:t>
      </w:r>
    </w:p>
    <w:p w14:paraId="0AB07573" w14:textId="77777777" w:rsidR="00100BEC" w:rsidRDefault="00100BEC" w:rsidP="00AF7792">
      <w:pPr>
        <w:spacing w:line="240" w:lineRule="auto"/>
        <w:jc w:val="center"/>
        <w:rPr>
          <w:b/>
          <w:bCs/>
        </w:rPr>
      </w:pPr>
    </w:p>
    <w:p w14:paraId="198FB5F7" w14:textId="776C2410" w:rsidR="00596418" w:rsidRDefault="00AF7792" w:rsidP="00AF7792">
      <w:pPr>
        <w:spacing w:line="240" w:lineRule="auto"/>
        <w:jc w:val="center"/>
      </w:pPr>
      <w:r w:rsidRPr="00D87930">
        <w:rPr>
          <w:b/>
          <w:bCs/>
        </w:rPr>
        <w:t>Discussion</w:t>
      </w:r>
    </w:p>
    <w:p w14:paraId="394494E8" w14:textId="77777777" w:rsidR="00596418" w:rsidRDefault="00596418" w:rsidP="00772913">
      <w:pPr>
        <w:spacing w:line="240" w:lineRule="auto"/>
      </w:pPr>
      <w:r>
        <w:t>Our motivation for undertaking this study is rooted in recognizing the critical juncture where political successions intersect with authoritarian regimes, precipitating uncertainties and potential policy shifts in the business environment for foreign firms. The intricacies of how foreign firms maneuver through these challenges are of paramount importance for policymakers, investors, and scholars alike.</w:t>
      </w:r>
    </w:p>
    <w:p w14:paraId="05BCB2F3" w14:textId="1516DE37" w:rsidR="00596418" w:rsidRDefault="00596418" w:rsidP="00772913">
      <w:pPr>
        <w:spacing w:line="240" w:lineRule="auto"/>
        <w:ind w:firstLine="720"/>
      </w:pPr>
      <w:r>
        <w:t xml:space="preserve">The GCC countries, renowned for their institutionalized monarchical successions and oil-rich economies, present a unique context ripe for exploration. By delving into the dynamics of succession within these nations, we aim to shed light on the nuanced relationship between </w:t>
      </w:r>
      <w:r w:rsidR="00BD2AA8">
        <w:rPr>
          <w:rFonts w:hint="eastAsia"/>
        </w:rPr>
        <w:t>power</w:t>
      </w:r>
      <w:r w:rsidR="00BD2AA8">
        <w:t xml:space="preserve"> </w:t>
      </w:r>
      <w:r>
        <w:t>transitions and foreign investment strategies. Understanding how foreign firms navigate the uncertainties introduced by succession events in these authoritarian regimes holds significant implications for shaping informed policy decisions, investment strategies, and scholarly discourse.</w:t>
      </w:r>
    </w:p>
    <w:p w14:paraId="0AC5DCCD" w14:textId="2807856C" w:rsidR="00F7573C" w:rsidRPr="00772913" w:rsidRDefault="00F7573C" w:rsidP="00772913">
      <w:pPr>
        <w:spacing w:line="240" w:lineRule="auto"/>
      </w:pPr>
      <w:r>
        <w:tab/>
      </w:r>
      <w:r w:rsidRPr="00772913">
        <w:t xml:space="preserve">Our first contribution enhances the literature on the political environment in international business by delving into the impact of political successions on foreign firms. While the political landscape of a host country typically evolves gradually, successions present a unique opportunity to witness sudden and impactful transformations, particularly in nations characterized by highly centralized political power </w:t>
      </w:r>
      <w:r w:rsidR="00E01D1B">
        <w:fldChar w:fldCharType="begin"/>
      </w:r>
      <w:r w:rsidR="00AF7792">
        <w:instrText xml:space="preserve"> ADDIN EN.CITE &lt;EndNote&gt;&lt;Cite&gt;&lt;Author&gt;Geddes&lt;/Author&gt;&lt;Year&gt;1999&lt;/Year&gt;&lt;RecNum&gt;190&lt;/RecNum&gt;&lt;DisplayText&gt;(Geddes, 1999)&lt;/DisplayText&gt;&lt;record&gt;&lt;rec-number&gt;190&lt;/rec-number&gt;&lt;foreign-keys&gt;&lt;key app="EN" db-id="ta95fx9215vppiefzvh5drv7v0dsvepa0pz0" timestamp="1708923890"&gt;190&lt;/key&gt;&lt;/foreign-keys&gt;&lt;ref-type name="Journal Article"&gt;17&lt;/ref-type&gt;&lt;contributors&gt;&lt;authors&gt;&lt;author&gt;Barbara Geddes&lt;/author&gt;&lt;/authors&gt;&lt;/contributors&gt;&lt;titles&gt;&lt;title&gt;What Do We Know About Democratization After Twenty Years?&lt;/title&gt;&lt;secondary-title&gt;Annual Review of Political Science&lt;/secondary-title&gt;&lt;/titles&gt;&lt;periodical&gt;&lt;full-title&gt;Annual Review of Political Science&lt;/full-title&gt;&lt;/periodical&gt;&lt;pages&gt;115-144&lt;/pages&gt;&lt;volume&gt;2&lt;/volume&gt;&lt;number&gt;1&lt;/number&gt;&lt;keywords&gt;&lt;keyword&gt;democratization,transition,regime,authoritarian,military&lt;/keyword&gt;&lt;/keywords&gt;&lt;dates&gt;&lt;year&gt;1999&lt;/year&gt;&lt;/dates&gt;&lt;urls&gt;&lt;related-urls&gt;&lt;url&gt;https://www.annualreviews.org/doi/abs/10.1146/annurev.polisci.2.1.115&lt;/url&gt;&lt;/related-urls&gt;&lt;/urls&gt;&lt;electronic-resource-num&gt;10.1146/annurev.polisci.2.1.115&lt;/electronic-resource-num&gt;&lt;/record&gt;&lt;/Cite&gt;&lt;/EndNote&gt;</w:instrText>
      </w:r>
      <w:r w:rsidR="00E01D1B">
        <w:fldChar w:fldCharType="separate"/>
      </w:r>
      <w:r w:rsidR="00AF7792">
        <w:rPr>
          <w:noProof/>
        </w:rPr>
        <w:t>(Geddes, 1999)</w:t>
      </w:r>
      <w:r w:rsidR="00E01D1B">
        <w:fldChar w:fldCharType="end"/>
      </w:r>
      <w:r w:rsidRPr="00772913">
        <w:t xml:space="preserve">. Our theoretical insights advance the understanding of how successions can affect foreign firms operating in authoritarian regimes, highlighting the need for firms to be vigilant during such events. The changes brought about by successions, including shifts in personnel and political dynamics, can create heightened uncertainty for investment decisions </w:t>
      </w:r>
      <w:r w:rsidR="00E01D1B">
        <w:fldChar w:fldCharType="begin"/>
      </w:r>
      <w:r w:rsidR="005F728D">
        <w:instrText xml:space="preserve"> ADDIN EN.CITE &lt;EndNote&gt;&lt;Cite&gt;&lt;Author&gt;Olson&lt;/Author&gt;&lt;Year&gt;1993&lt;/Year&gt;&lt;RecNum&gt;56&lt;/RecNum&gt;&lt;DisplayText&gt;(Olson, 1993)&lt;/DisplayText&gt;&lt;record&gt;&lt;rec-number&gt;56&lt;/rec-number&gt;&lt;foreign-keys&gt;&lt;key app="EN" db-id="ta95fx9215vppiefzvh5drv7v0dsvepa0pz0" timestamp="1697130174" guid="2a706db0-83c6-43b3-be1c-9cdf5786d0b6"&gt;56&lt;/key&gt;&lt;/foreign-keys&gt;&lt;ref-type name="Journal Article"&gt;17&lt;/ref-type&gt;&lt;contributors&gt;&lt;authors&gt;&lt;author&gt;Olson, Mancur&lt;/author&gt;&lt;/authors&gt;&lt;/contributors&gt;&lt;titles&gt;&lt;title&gt;Dictatorship, democracy, and development&lt;/title&gt;&lt;secondary-title&gt;American political science review&lt;/secondary-title&gt;&lt;/titles&gt;&lt;periodical&gt;&lt;full-title&gt;American Political Science Review&lt;/full-title&gt;&lt;/periodical&gt;&lt;pages&gt;567-576&lt;/pages&gt;&lt;volume&gt;87&lt;/volume&gt;&lt;number&gt;3&lt;/number&gt;&lt;dates&gt;&lt;year&gt;1993&lt;/year&gt;&lt;/dates&gt;&lt;isbn&gt;1537-5943&lt;/isbn&gt;&lt;urls&gt;&lt;/urls&gt;&lt;/record&gt;&lt;/Cite&gt;&lt;/EndNote&gt;</w:instrText>
      </w:r>
      <w:r w:rsidR="00E01D1B">
        <w:fldChar w:fldCharType="separate"/>
      </w:r>
      <w:r w:rsidR="00AF7792">
        <w:rPr>
          <w:noProof/>
        </w:rPr>
        <w:t>(Olson, 1993)</w:t>
      </w:r>
      <w:r w:rsidR="00E01D1B">
        <w:fldChar w:fldCharType="end"/>
      </w:r>
      <w:r w:rsidRPr="00772913">
        <w:t>. Our empirical investigation validates the significance of succession as a key factor influencing firms</w:t>
      </w:r>
      <w:r>
        <w:t>’</w:t>
      </w:r>
      <w:r w:rsidRPr="00772913">
        <w:t xml:space="preserve"> strategies for direct investment, adding a nuanced layer to existing knowledge on how firms navigate </w:t>
      </w:r>
      <w:r w:rsidR="00BD2AA8">
        <w:rPr>
          <w:rFonts w:hint="eastAsia"/>
        </w:rPr>
        <w:t>power</w:t>
      </w:r>
      <w:r w:rsidR="00BD2AA8" w:rsidRPr="00772913">
        <w:t xml:space="preserve"> </w:t>
      </w:r>
      <w:r w:rsidRPr="00772913">
        <w:t>transitions.</w:t>
      </w:r>
    </w:p>
    <w:p w14:paraId="56BB4147" w14:textId="67ECE447" w:rsidR="00F7573C" w:rsidRDefault="00F7573C">
      <w:pPr>
        <w:spacing w:after="0" w:line="240" w:lineRule="auto"/>
        <w:ind w:firstLine="720"/>
      </w:pPr>
      <w:r w:rsidRPr="00F7573C">
        <w:t xml:space="preserve">Second, we explore the crucial role of </w:t>
      </w:r>
      <w:r w:rsidR="004B7433">
        <w:rPr>
          <w:rFonts w:hint="eastAsia"/>
        </w:rPr>
        <w:t xml:space="preserve">incumbent king and </w:t>
      </w:r>
      <w:r w:rsidRPr="00F7573C">
        <w:t>anticipated successors in shaping foreign firms</w:t>
      </w:r>
      <w:r>
        <w:t>’</w:t>
      </w:r>
      <w:r w:rsidRPr="00F7573C">
        <w:t xml:space="preserve"> decisions on FDI in autocratic regimes. While previous research has emphasized the importance of political stability for foreign investments, our study focuses specifically on the </w:t>
      </w:r>
      <w:r w:rsidR="00661CD6">
        <w:rPr>
          <w:rFonts w:hint="eastAsia"/>
        </w:rPr>
        <w:t xml:space="preserve">central policy making roles such as </w:t>
      </w:r>
      <w:r w:rsidR="004B7433">
        <w:rPr>
          <w:rFonts w:hint="eastAsia"/>
        </w:rPr>
        <w:t>king</w:t>
      </w:r>
      <w:r w:rsidR="00661CD6">
        <w:rPr>
          <w:rFonts w:hint="eastAsia"/>
        </w:rPr>
        <w:t xml:space="preserve"> and</w:t>
      </w:r>
      <w:r w:rsidR="004B7433">
        <w:rPr>
          <w:rFonts w:hint="eastAsia"/>
        </w:rPr>
        <w:t xml:space="preserve"> </w:t>
      </w:r>
      <w:r w:rsidRPr="00F7573C">
        <w:t xml:space="preserve">anticipated successor. </w:t>
      </w:r>
      <w:bookmarkStart w:id="33" w:name="OLE_LINK18"/>
      <w:r w:rsidRPr="00F7573C">
        <w:t xml:space="preserve">Our theoretical framework centers on the stability of power transitions during succession, prompting an examination of attributes such as </w:t>
      </w:r>
      <w:r w:rsidR="00661CD6">
        <w:rPr>
          <w:rFonts w:hint="eastAsia"/>
        </w:rPr>
        <w:t xml:space="preserve">foreign honors, </w:t>
      </w:r>
      <w:r w:rsidRPr="00F7573C">
        <w:t xml:space="preserve">military influence and </w:t>
      </w:r>
      <w:r w:rsidR="00661CD6">
        <w:rPr>
          <w:rFonts w:hint="eastAsia"/>
        </w:rPr>
        <w:t>differences between</w:t>
      </w:r>
      <w:r w:rsidR="00661CD6" w:rsidRPr="00661CD6">
        <w:t xml:space="preserve"> successive rulers</w:t>
      </w:r>
      <w:r w:rsidRPr="00F7573C">
        <w:t xml:space="preserve">, which can instill confidence in foreign firms </w:t>
      </w:r>
      <w:bookmarkEnd w:id="33"/>
      <w:r w:rsidR="00E01D1B">
        <w:fldChar w:fldCharType="begin"/>
      </w:r>
      <w:r w:rsidR="005F728D">
        <w:instrText xml:space="preserve"> ADDIN EN.CITE &lt;EndNote&gt;&lt;Cite&gt;&lt;Author&gt;Meng&lt;/Author&gt;&lt;Year&gt;2017&lt;/Year&gt;&lt;RecNum&gt;147&lt;/RecNum&gt;&lt;DisplayText&gt;(Meng and Palmer-Rubin, 2017)&lt;/DisplayText&gt;&lt;record&gt;&lt;rec-number&gt;147&lt;/rec-number&gt;&lt;foreign-keys&gt;&lt;key app="EN" db-id="ta95fx9215vppiefzvh5drv7v0dsvepa0pz0" timestamp="1708845575" guid="12a7528e-87e5-4d8e-beb1-7d41ee1370ae"&gt;147&lt;/key&gt;&lt;/foreign-keys&gt;&lt;ref-type name="Journal Article"&gt;17&lt;/ref-type&gt;&lt;contributors&gt;&lt;authors&gt;&lt;author&gt;Meng, Anne&lt;/author&gt;&lt;author&gt;Palmer-Rubin, Brian&lt;/author&gt;&lt;/authors&gt;&lt;/contributors&gt;&lt;titles&gt;&lt;title&gt;Gerrymandering opposition: minority-concentrated districts and electoral competition in Mexico&lt;/title&gt;&lt;secondary-title&gt;Studies in Comparative International Development&lt;/secondary-title&gt;&lt;/titles&gt;&lt;periodical&gt;&lt;full-title&gt;Studies in Comparative International Development&lt;/full-title&gt;&lt;/periodical&gt;&lt;pages&gt;64-86&lt;/pages&gt;&lt;volume&gt;52&lt;/volume&gt;&lt;dates&gt;&lt;year&gt;2017&lt;/year&gt;&lt;/dates&gt;&lt;isbn&gt;0039-3606&lt;/isbn&gt;&lt;urls&gt;&lt;/urls&gt;&lt;/record&gt;&lt;/Cite&gt;&lt;/EndNote&gt;</w:instrText>
      </w:r>
      <w:r w:rsidR="00E01D1B">
        <w:fldChar w:fldCharType="separate"/>
      </w:r>
      <w:r w:rsidR="00AF7792">
        <w:rPr>
          <w:noProof/>
        </w:rPr>
        <w:t>(Meng and Palmer-Rubin, 2017)</w:t>
      </w:r>
      <w:r w:rsidR="00E01D1B">
        <w:fldChar w:fldCharType="end"/>
      </w:r>
      <w:r w:rsidRPr="00F7573C">
        <w:t xml:space="preserve">. </w:t>
      </w:r>
      <w:r w:rsidR="00661CD6" w:rsidRPr="00661CD6">
        <w:t xml:space="preserve"> This difference encompasses various aspects, including political experience, overseas experience, education level, and age, which can cultivate a ruler’s</w:t>
      </w:r>
      <w:r w:rsidR="00661CD6">
        <w:rPr>
          <w:rFonts w:hint="eastAsia"/>
        </w:rPr>
        <w:t xml:space="preserve"> </w:t>
      </w:r>
      <w:r w:rsidRPr="00F7573C">
        <w:t>openness to foreign investments, thereby shaping the landscape for FDI in the host country. By integrating traditional IB analysis with an emphasis on personal traits, our approach enriches the understanding of the nuanced factors influencing FDI decisions amidst successions.</w:t>
      </w:r>
    </w:p>
    <w:p w14:paraId="49291713" w14:textId="77777777" w:rsidR="002B4709" w:rsidRDefault="002B4709">
      <w:pPr>
        <w:spacing w:after="0" w:line="240" w:lineRule="auto"/>
        <w:ind w:firstLine="720"/>
      </w:pPr>
    </w:p>
    <w:p w14:paraId="4541838D" w14:textId="073185F3" w:rsidR="00364A4F" w:rsidRDefault="00F7573C" w:rsidP="00F7573C">
      <w:pPr>
        <w:spacing w:after="0" w:line="240" w:lineRule="auto"/>
        <w:ind w:firstLine="720"/>
      </w:pPr>
      <w:r w:rsidRPr="00F7573C">
        <w:lastRenderedPageBreak/>
        <w:t>Thirdly, our theoretical framework extends existing theories by shedding light on the complexities of foreign investments in authoritarian regimes, particularly during political successions. Drawing on empirical evidence from authoritarian regimes in GCC countries, we introduce the concept that successions may present opportunities for the political environment to develop favorably for foreign investment</w:t>
      </w:r>
      <w:r>
        <w:t xml:space="preserve">. </w:t>
      </w:r>
      <w:r w:rsidRPr="00F7573C">
        <w:t xml:space="preserve">Despite the challenges involved, our study contributes to a deeper understanding of the FDI strategies of firms operating in such contexts. By recognizing the potential for favorable developments in the political environment during successions, our research adds a nuanced perspective to the dynamics of foreign investments in authoritarian regimes </w:t>
      </w:r>
      <w:r w:rsidR="00E01D1B">
        <w:fldChar w:fldCharType="begin"/>
      </w:r>
      <w:r w:rsidR="005F728D">
        <w:instrText xml:space="preserve"> ADDIN EN.CITE &lt;EndNote&gt;&lt;Cite&gt;&lt;Author&gt;Bak&lt;/Author&gt;&lt;Year&gt;2016&lt;/Year&gt;&lt;RecNum&gt;16&lt;/RecNum&gt;&lt;DisplayText&gt;(Bak, 2016)&lt;/DisplayText&gt;&lt;record&gt;&lt;rec-number&gt;16&lt;/rec-number&gt;&lt;foreign-keys&gt;&lt;key app="EN" db-id="ta95fx9215vppiefzvh5drv7v0dsvepa0pz0" timestamp="1695732756" guid="952ac1d4-1d9c-4a68-8597-397c178220ed"&gt;16&lt;/key&gt;&lt;/foreign-keys&gt;&lt;ref-type name="Journal Article"&gt;17&lt;/ref-type&gt;&lt;contributors&gt;&lt;authors&gt;&lt;author&gt;Bak, Daehee&lt;/author&gt;&lt;/authors&gt;&lt;/contributors&gt;&lt;titles&gt;&lt;title&gt;Political Investment Cycles in Democracies and Autocracies&lt;/title&gt;&lt;secondary-title&gt;International Interactions&lt;/secondary-title&gt;&lt;/titles&gt;&lt;periodical&gt;&lt;full-title&gt;International Interactions&lt;/full-title&gt;&lt;/periodical&gt;&lt;pages&gt;797-819&lt;/pages&gt;&lt;volume&gt;42&lt;/volume&gt;&lt;number&gt;5&lt;/number&gt;&lt;section&gt;797&lt;/section&gt;&lt;dates&gt;&lt;year&gt;2016&lt;/year&gt;&lt;/dates&gt;&lt;isbn&gt;0305-0629&amp;#xD;1547-7444&lt;/isbn&gt;&lt;urls&gt;&lt;/urls&gt;&lt;electronic-resource-num&gt;10.1080/03050629.2016.1173547&lt;/electronic-resource-num&gt;&lt;/record&gt;&lt;/Cite&gt;&lt;/EndNote&gt;</w:instrText>
      </w:r>
      <w:r w:rsidR="00E01D1B">
        <w:fldChar w:fldCharType="separate"/>
      </w:r>
      <w:r w:rsidR="00AF7792">
        <w:rPr>
          <w:noProof/>
        </w:rPr>
        <w:t>(Bak, 2016)</w:t>
      </w:r>
      <w:r w:rsidR="00E01D1B">
        <w:fldChar w:fldCharType="end"/>
      </w:r>
      <w:r w:rsidRPr="00F7573C">
        <w:t>.</w:t>
      </w:r>
    </w:p>
    <w:p w14:paraId="3F7DD7E8" w14:textId="77777777" w:rsidR="00364A4F" w:rsidRDefault="00364A4F" w:rsidP="00364A4F">
      <w:pPr>
        <w:spacing w:after="0" w:line="240" w:lineRule="auto"/>
        <w:ind w:firstLine="720"/>
      </w:pPr>
    </w:p>
    <w:p w14:paraId="3F263C87" w14:textId="59D0A38A" w:rsidR="00F7573C" w:rsidRPr="00FA73AC" w:rsidRDefault="00364A4F" w:rsidP="00772913">
      <w:pPr>
        <w:spacing w:after="0" w:line="240" w:lineRule="auto"/>
        <w:ind w:firstLine="720"/>
      </w:pPr>
      <w:r>
        <w:t>Our study offers insights into Japanese firms' investment behavior in the GCC countries during succession events, although caution is needed when generalizing findings to firms from other regions. Similarly, while shedding light on the impact of succession events in authoritarian regimes on foreign investment, our study's contextual specificity to the GCC countries requires careful consideration. Additionally, the reliance on quantitative analysis may not fully capture the nuances of foreign firms' investment decision-making during succession events. Future research could benefit from incorporating qualitative methods or case studies to provide a more comprehensive understanding. Despite these limitations, our study presents avenues for future research, including exploring the role of geopolitical factors and market dynamics in shaping foreign investment decisions during succession events.</w:t>
      </w:r>
    </w:p>
    <w:p w14:paraId="20B045F7" w14:textId="77777777" w:rsidR="00203239" w:rsidRPr="00AF7792" w:rsidRDefault="00203239" w:rsidP="00C6786A">
      <w:pPr>
        <w:spacing w:after="0" w:line="240" w:lineRule="auto"/>
        <w:rPr>
          <w:b/>
          <w:bCs/>
        </w:rPr>
      </w:pPr>
    </w:p>
    <w:p w14:paraId="4BF8CA6A" w14:textId="0D4D51B2" w:rsidR="00DB04DC" w:rsidRPr="00FA73AC" w:rsidRDefault="00AF7792" w:rsidP="00772913">
      <w:pPr>
        <w:spacing w:line="240" w:lineRule="auto"/>
        <w:jc w:val="center"/>
        <w:rPr>
          <w:b/>
          <w:bCs/>
        </w:rPr>
      </w:pPr>
      <w:r>
        <w:rPr>
          <w:rFonts w:hint="eastAsia"/>
          <w:b/>
          <w:bCs/>
        </w:rPr>
        <w:t>Conclusion</w:t>
      </w:r>
    </w:p>
    <w:p w14:paraId="2A683418" w14:textId="2AD5DC3D" w:rsidR="006B4DE5" w:rsidRPr="00FA73AC" w:rsidRDefault="00661689" w:rsidP="00772913">
      <w:pPr>
        <w:spacing w:after="0" w:line="240" w:lineRule="auto"/>
      </w:pPr>
      <w:r>
        <w:t>We investigate</w:t>
      </w:r>
      <w:r w:rsidR="00364A4F">
        <w:t xml:space="preserve"> how monarchical successions in authoritarian regimes influence Japanese firms' FDI decisions in the GCC countries. We found that Japanese firms </w:t>
      </w:r>
      <w:r w:rsidR="00203239">
        <w:t>temporarily</w:t>
      </w:r>
      <w:r w:rsidR="00364A4F">
        <w:t xml:space="preserve"> pause their FDI activities briefly during succession periods. </w:t>
      </w:r>
      <w:r>
        <w:t xml:space="preserve">We also found that firms would evaluate </w:t>
      </w:r>
      <w:r w:rsidR="00364A4F">
        <w:t xml:space="preserve">the </w:t>
      </w:r>
      <w:r w:rsidR="00BD2AA8">
        <w:rPr>
          <w:rFonts w:hint="eastAsia"/>
        </w:rPr>
        <w:t>foreign honors awarded to the king</w:t>
      </w:r>
      <w:r w:rsidR="005957E6">
        <w:rPr>
          <w:rFonts w:hint="eastAsia"/>
        </w:rPr>
        <w:t>,</w:t>
      </w:r>
      <w:r w:rsidR="00BD2AA8">
        <w:rPr>
          <w:rFonts w:hint="eastAsia"/>
        </w:rPr>
        <w:t xml:space="preserve"> </w:t>
      </w:r>
      <w:r w:rsidR="005957E6">
        <w:rPr>
          <w:rFonts w:hint="eastAsia"/>
        </w:rPr>
        <w:t xml:space="preserve">military influence of </w:t>
      </w:r>
      <w:r w:rsidR="00364A4F">
        <w:t>anticipated successor</w:t>
      </w:r>
      <w:r w:rsidR="005957E6">
        <w:rPr>
          <w:rFonts w:hint="eastAsia"/>
        </w:rPr>
        <w:t xml:space="preserve"> and differences between them.</w:t>
      </w:r>
      <w:r w:rsidR="005E04E8">
        <w:t xml:space="preserve"> </w:t>
      </w:r>
      <w:r w:rsidR="005957E6">
        <w:rPr>
          <w:rFonts w:hint="eastAsia"/>
        </w:rPr>
        <w:t>The halt of foreign firms entering</w:t>
      </w:r>
      <w:r w:rsidR="005E04E8">
        <w:t xml:space="preserve"> the host countries </w:t>
      </w:r>
      <w:r w:rsidR="005957E6">
        <w:t>aggravates</w:t>
      </w:r>
      <w:r w:rsidR="005957E6">
        <w:rPr>
          <w:rFonts w:hint="eastAsia"/>
        </w:rPr>
        <w:t xml:space="preserve"> when the deceased king has greater foreign recognition </w:t>
      </w:r>
      <w:r w:rsidR="005869B7">
        <w:rPr>
          <w:rFonts w:hint="eastAsia"/>
        </w:rPr>
        <w:t>but</w:t>
      </w:r>
      <w:r w:rsidR="005957E6">
        <w:rPr>
          <w:rFonts w:hint="eastAsia"/>
        </w:rPr>
        <w:t xml:space="preserve"> mitigates when</w:t>
      </w:r>
      <w:r w:rsidR="005957E6">
        <w:t xml:space="preserve"> </w:t>
      </w:r>
      <w:r w:rsidR="005957E6">
        <w:rPr>
          <w:rFonts w:hint="eastAsia"/>
        </w:rPr>
        <w:t>the</w:t>
      </w:r>
      <w:r w:rsidR="005957E6">
        <w:t xml:space="preserve"> </w:t>
      </w:r>
      <w:r w:rsidR="005E04E8">
        <w:t>crown prince</w:t>
      </w:r>
      <w:r w:rsidR="005957E6" w:rsidRPr="005957E6">
        <w:t xml:space="preserve"> possesses significant</w:t>
      </w:r>
      <w:r w:rsidR="005957E6">
        <w:rPr>
          <w:rFonts w:hint="eastAsia"/>
        </w:rPr>
        <w:t xml:space="preserve"> </w:t>
      </w:r>
      <w:r w:rsidR="00364A4F">
        <w:t>military influence,</w:t>
      </w:r>
      <w:r w:rsidR="005957E6">
        <w:rPr>
          <w:rFonts w:hint="eastAsia"/>
        </w:rPr>
        <w:t xml:space="preserve"> </w:t>
      </w:r>
      <w:r w:rsidR="005869B7" w:rsidRPr="005869B7">
        <w:t>and a markedly different profile compared to the deceased king</w:t>
      </w:r>
      <w:r w:rsidR="00364A4F">
        <w:t>. These findings contribute valuable insights into the intricate relationship between p</w:t>
      </w:r>
      <w:r w:rsidR="005957E6">
        <w:rPr>
          <w:rFonts w:hint="eastAsia"/>
        </w:rPr>
        <w:t>ower</w:t>
      </w:r>
      <w:r w:rsidR="00364A4F">
        <w:t xml:space="preserve"> transitions and foreign investment strategies, offering a deeper understanding of FDI complexities in authoritarian regimes </w:t>
      </w:r>
      <w:r>
        <w:t xml:space="preserve">regarding </w:t>
      </w:r>
      <w:r w:rsidR="00364A4F">
        <w:t xml:space="preserve">succession </w:t>
      </w:r>
      <w:r>
        <w:t xml:space="preserve">and successors. </w:t>
      </w:r>
    </w:p>
    <w:p w14:paraId="5AB3D26D" w14:textId="77777777" w:rsidR="00100BEC" w:rsidRDefault="00100BEC">
      <w:pPr>
        <w:spacing w:after="160" w:line="259" w:lineRule="auto"/>
        <w:rPr>
          <w:b/>
        </w:rPr>
      </w:pPr>
      <w:r>
        <w:rPr>
          <w:b/>
        </w:rPr>
        <w:br w:type="page"/>
      </w:r>
    </w:p>
    <w:p w14:paraId="227A17D5" w14:textId="2E96652A" w:rsidR="00DB04DC" w:rsidRPr="00FA73AC" w:rsidRDefault="00AF7792" w:rsidP="00DB04DC">
      <w:pPr>
        <w:jc w:val="center"/>
        <w:rPr>
          <w:b/>
        </w:rPr>
      </w:pPr>
      <w:r>
        <w:rPr>
          <w:rFonts w:hint="eastAsia"/>
          <w:b/>
        </w:rPr>
        <w:lastRenderedPageBreak/>
        <w:t>References</w:t>
      </w:r>
    </w:p>
    <w:p w14:paraId="63E09EA0" w14:textId="77777777" w:rsidR="00C6786A" w:rsidRPr="00C6786A" w:rsidRDefault="00DB04DC" w:rsidP="00C6786A">
      <w:pPr>
        <w:pStyle w:val="EndNoteBibliography"/>
        <w:spacing w:after="0"/>
        <w:ind w:left="720" w:hanging="720"/>
      </w:pPr>
      <w:r w:rsidRPr="00FA73AC">
        <w:fldChar w:fldCharType="begin"/>
      </w:r>
      <w:r w:rsidRPr="00FA73AC">
        <w:instrText xml:space="preserve"> ADDIN EN.REFLIST </w:instrText>
      </w:r>
      <w:r w:rsidRPr="00FA73AC">
        <w:fldChar w:fldCharType="separate"/>
      </w:r>
      <w:r w:rsidR="00C6786A" w:rsidRPr="00C6786A">
        <w:t xml:space="preserve">Abadie, A., A. Diamond and J. Hainmueller (2015). 'Comparative politics and the synthetic control method', </w:t>
      </w:r>
      <w:r w:rsidR="00C6786A" w:rsidRPr="00C6786A">
        <w:rPr>
          <w:i/>
        </w:rPr>
        <w:t>American Journal of Political Science,</w:t>
      </w:r>
      <w:r w:rsidR="00C6786A" w:rsidRPr="00C6786A">
        <w:t xml:space="preserve"> </w:t>
      </w:r>
      <w:r w:rsidR="00C6786A" w:rsidRPr="00C6786A">
        <w:rPr>
          <w:b/>
        </w:rPr>
        <w:t xml:space="preserve">59, </w:t>
      </w:r>
      <w:r w:rsidR="00C6786A" w:rsidRPr="00C6786A">
        <w:t>pp. 495-510.</w:t>
      </w:r>
    </w:p>
    <w:p w14:paraId="3239D954" w14:textId="77777777" w:rsidR="00C6786A" w:rsidRPr="00C6786A" w:rsidRDefault="00C6786A" w:rsidP="00C6786A">
      <w:pPr>
        <w:pStyle w:val="EndNoteBibliography"/>
        <w:spacing w:after="0"/>
        <w:ind w:left="720" w:hanging="720"/>
      </w:pPr>
      <w:r w:rsidRPr="00C6786A">
        <w:t xml:space="preserve">Albino‐Pimentel, J., P. Dussauge and J. M. Shaver (2018). 'Firm non‐market capabilities and the effect of supranational institutional safeguards on the location choice of international investments', </w:t>
      </w:r>
      <w:r w:rsidRPr="00C6786A">
        <w:rPr>
          <w:i/>
        </w:rPr>
        <w:t>Strategic Management Journal,</w:t>
      </w:r>
      <w:r w:rsidRPr="00C6786A">
        <w:t xml:space="preserve"> </w:t>
      </w:r>
      <w:r w:rsidRPr="00C6786A">
        <w:rPr>
          <w:b/>
        </w:rPr>
        <w:t xml:space="preserve">39, </w:t>
      </w:r>
      <w:r w:rsidRPr="00C6786A">
        <w:t>pp. 2770-2793.</w:t>
      </w:r>
    </w:p>
    <w:p w14:paraId="5C4073D9" w14:textId="77777777" w:rsidR="00C6786A" w:rsidRPr="00C6786A" w:rsidRDefault="00C6786A" w:rsidP="00C6786A">
      <w:pPr>
        <w:pStyle w:val="EndNoteBibliography"/>
        <w:spacing w:after="0"/>
        <w:ind w:left="720" w:hanging="720"/>
      </w:pPr>
      <w:r w:rsidRPr="00C6786A">
        <w:t xml:space="preserve">Bak, D. (2016). 'Political Investment Cycles in Democracies and Autocracies', </w:t>
      </w:r>
      <w:r w:rsidRPr="00C6786A">
        <w:rPr>
          <w:i/>
        </w:rPr>
        <w:t>International Interactions,</w:t>
      </w:r>
      <w:r w:rsidRPr="00C6786A">
        <w:t xml:space="preserve"> </w:t>
      </w:r>
      <w:r w:rsidRPr="00C6786A">
        <w:rPr>
          <w:b/>
        </w:rPr>
        <w:t xml:space="preserve">42, </w:t>
      </w:r>
      <w:r w:rsidRPr="00C6786A">
        <w:t>pp. 797-819.</w:t>
      </w:r>
    </w:p>
    <w:p w14:paraId="08E01499" w14:textId="77777777" w:rsidR="00C6786A" w:rsidRPr="00C6786A" w:rsidRDefault="00C6786A" w:rsidP="00C6786A">
      <w:pPr>
        <w:pStyle w:val="EndNoteBibliography"/>
        <w:spacing w:after="0"/>
        <w:ind w:left="720" w:hanging="720"/>
      </w:pPr>
      <w:r w:rsidRPr="00C6786A">
        <w:t xml:space="preserve">Bertola, G. and R. J. Caballero (1994). 'Irreversibility and aggregate investment', </w:t>
      </w:r>
      <w:r w:rsidRPr="00C6786A">
        <w:rPr>
          <w:i/>
        </w:rPr>
        <w:t>The Review of Economic Studies,</w:t>
      </w:r>
      <w:r w:rsidRPr="00C6786A">
        <w:t xml:space="preserve"> </w:t>
      </w:r>
      <w:r w:rsidRPr="00C6786A">
        <w:rPr>
          <w:b/>
        </w:rPr>
        <w:t xml:space="preserve">61, </w:t>
      </w:r>
      <w:r w:rsidRPr="00C6786A">
        <w:t>pp. 223-246.</w:t>
      </w:r>
    </w:p>
    <w:p w14:paraId="60FA07CA" w14:textId="77777777" w:rsidR="00C6786A" w:rsidRPr="00C6786A" w:rsidRDefault="00C6786A" w:rsidP="00C6786A">
      <w:pPr>
        <w:pStyle w:val="EndNoteBibliography"/>
        <w:spacing w:after="0"/>
        <w:ind w:left="720" w:hanging="720"/>
      </w:pPr>
      <w:r w:rsidRPr="00C6786A">
        <w:t xml:space="preserve">Bienen, H. and N. Van de Walle (1992). 'A proportional hazard model of leadership duration', </w:t>
      </w:r>
      <w:r w:rsidRPr="00C6786A">
        <w:rPr>
          <w:i/>
        </w:rPr>
        <w:t>The Journal of Politics,</w:t>
      </w:r>
      <w:r w:rsidRPr="00C6786A">
        <w:t xml:space="preserve"> </w:t>
      </w:r>
      <w:r w:rsidRPr="00C6786A">
        <w:rPr>
          <w:b/>
        </w:rPr>
        <w:t xml:space="preserve">54, </w:t>
      </w:r>
      <w:r w:rsidRPr="00C6786A">
        <w:t>pp. 685-717.</w:t>
      </w:r>
    </w:p>
    <w:p w14:paraId="5632CE9A" w14:textId="77777777" w:rsidR="00C6786A" w:rsidRPr="00C6786A" w:rsidRDefault="00C6786A" w:rsidP="00C6786A">
      <w:pPr>
        <w:pStyle w:val="EndNoteBibliography"/>
        <w:spacing w:after="0"/>
        <w:ind w:left="720" w:hanging="720"/>
      </w:pPr>
      <w:r w:rsidRPr="00C6786A">
        <w:t xml:space="preserve">Billingsley, A. (2009). </w:t>
      </w:r>
      <w:r w:rsidRPr="00C6786A">
        <w:rPr>
          <w:i/>
        </w:rPr>
        <w:t xml:space="preserve">Political succession in the Arab world: constitutions, family loyalties and Islam, </w:t>
      </w:r>
      <w:r w:rsidRPr="00C6786A">
        <w:t>Routledge.</w:t>
      </w:r>
    </w:p>
    <w:p w14:paraId="52FBD966" w14:textId="77777777" w:rsidR="00C6786A" w:rsidRPr="00C6786A" w:rsidRDefault="00C6786A" w:rsidP="00C6786A">
      <w:pPr>
        <w:pStyle w:val="EndNoteBibliography"/>
        <w:spacing w:after="0"/>
        <w:ind w:left="720" w:hanging="720"/>
      </w:pPr>
      <w:r w:rsidRPr="00C6786A">
        <w:t xml:space="preserve">Brownlee, J. (2007). 'Hereditary succession in modern autocracies', </w:t>
      </w:r>
      <w:r w:rsidRPr="00C6786A">
        <w:rPr>
          <w:i/>
        </w:rPr>
        <w:t>World politics,</w:t>
      </w:r>
      <w:r w:rsidRPr="00C6786A">
        <w:t xml:space="preserve"> </w:t>
      </w:r>
      <w:r w:rsidRPr="00C6786A">
        <w:rPr>
          <w:b/>
        </w:rPr>
        <w:t xml:space="preserve">59, </w:t>
      </w:r>
      <w:r w:rsidRPr="00C6786A">
        <w:t>pp. 595-628.</w:t>
      </w:r>
    </w:p>
    <w:p w14:paraId="22205E70" w14:textId="77777777" w:rsidR="00C6786A" w:rsidRPr="00C6786A" w:rsidRDefault="00C6786A" w:rsidP="00C6786A">
      <w:pPr>
        <w:pStyle w:val="EndNoteBibliography"/>
        <w:spacing w:after="0"/>
        <w:ind w:left="720" w:hanging="720"/>
      </w:pPr>
      <w:r w:rsidRPr="00C6786A">
        <w:t xml:space="preserve">Bynander, F. and P. 't Hart (2006). 'When Power Changes Hands: The Political Psychology of Leadership Succession in Democracies', </w:t>
      </w:r>
      <w:r w:rsidRPr="00C6786A">
        <w:rPr>
          <w:i/>
        </w:rPr>
        <w:t>Political Psychology,</w:t>
      </w:r>
      <w:r w:rsidRPr="00C6786A">
        <w:t xml:space="preserve"> </w:t>
      </w:r>
      <w:r w:rsidRPr="00C6786A">
        <w:rPr>
          <w:b/>
        </w:rPr>
        <w:t xml:space="preserve">27, </w:t>
      </w:r>
      <w:r w:rsidRPr="00C6786A">
        <w:t>pp. 707-730.</w:t>
      </w:r>
    </w:p>
    <w:p w14:paraId="6AA74252" w14:textId="77777777" w:rsidR="00C6786A" w:rsidRPr="00C6786A" w:rsidRDefault="00C6786A" w:rsidP="00C6786A">
      <w:pPr>
        <w:pStyle w:val="EndNoteBibliography"/>
        <w:spacing w:after="0"/>
        <w:ind w:left="720" w:hanging="720"/>
      </w:pPr>
      <w:r w:rsidRPr="00C6786A">
        <w:t xml:space="preserve">Canes-Wrone, B. and J.-K. Park (2012). 'Electoral business cycles in OECD countries', </w:t>
      </w:r>
      <w:r w:rsidRPr="00C6786A">
        <w:rPr>
          <w:i/>
        </w:rPr>
        <w:t>American political science review,</w:t>
      </w:r>
      <w:r w:rsidRPr="00C6786A">
        <w:t xml:space="preserve"> </w:t>
      </w:r>
      <w:r w:rsidRPr="00C6786A">
        <w:rPr>
          <w:b/>
        </w:rPr>
        <w:t xml:space="preserve">106, </w:t>
      </w:r>
      <w:r w:rsidRPr="00C6786A">
        <w:t>pp. 103-122.</w:t>
      </w:r>
    </w:p>
    <w:p w14:paraId="41E05281" w14:textId="77777777" w:rsidR="00C6786A" w:rsidRPr="00C6786A" w:rsidRDefault="00C6786A" w:rsidP="00C6786A">
      <w:pPr>
        <w:pStyle w:val="EndNoteBibliography"/>
        <w:spacing w:after="0"/>
        <w:ind w:left="720" w:hanging="720"/>
      </w:pPr>
      <w:r w:rsidRPr="00C6786A">
        <w:t xml:space="preserve">Cantori, L. J., T. Jacoby, S. Carapico, S. Shehata, E. Lust–Okar, B. Bargu–Hasturk, G. E. Robinson and E. Al–Kitbi (2002). 'Political Succession in the Middle East', </w:t>
      </w:r>
      <w:r w:rsidRPr="00C6786A">
        <w:rPr>
          <w:i/>
        </w:rPr>
        <w:t>Middle East Policy,</w:t>
      </w:r>
      <w:r w:rsidRPr="00C6786A">
        <w:t xml:space="preserve"> </w:t>
      </w:r>
      <w:r w:rsidRPr="00C6786A">
        <w:rPr>
          <w:b/>
        </w:rPr>
        <w:t xml:space="preserve">9, </w:t>
      </w:r>
      <w:r w:rsidRPr="00C6786A">
        <w:t>pp. 105-123.</w:t>
      </w:r>
    </w:p>
    <w:p w14:paraId="42146F04" w14:textId="77777777" w:rsidR="00C6786A" w:rsidRPr="00C6786A" w:rsidRDefault="00C6786A" w:rsidP="00C6786A">
      <w:pPr>
        <w:pStyle w:val="EndNoteBibliography"/>
        <w:spacing w:after="0"/>
        <w:ind w:left="720" w:hanging="720"/>
      </w:pPr>
      <w:r w:rsidRPr="00C6786A">
        <w:t xml:space="preserve">Cao, C., X. Li and G. Liu (2017). 'Political Uncertainty and Cross-Border Acquisitions', </w:t>
      </w:r>
      <w:r w:rsidRPr="00C6786A">
        <w:rPr>
          <w:i/>
        </w:rPr>
        <w:t>Review of Finance,</w:t>
      </w:r>
      <w:r w:rsidRPr="00C6786A">
        <w:t xml:space="preserve"> </w:t>
      </w:r>
      <w:r w:rsidRPr="00C6786A">
        <w:rPr>
          <w:b/>
        </w:rPr>
        <w:t xml:space="preserve">23, </w:t>
      </w:r>
      <w:r w:rsidRPr="00C6786A">
        <w:t>pp. 439-470.</w:t>
      </w:r>
    </w:p>
    <w:p w14:paraId="412B2BD8" w14:textId="77777777" w:rsidR="00C6786A" w:rsidRPr="00C6786A" w:rsidRDefault="00C6786A" w:rsidP="00C6786A">
      <w:pPr>
        <w:pStyle w:val="EndNoteBibliography"/>
        <w:spacing w:after="0"/>
        <w:ind w:left="720" w:hanging="720"/>
      </w:pPr>
      <w:r w:rsidRPr="00C6786A">
        <w:t xml:space="preserve">CASTANHO SILVA, B. (2024). 'No votes for old men: Leaders' age and youth turnout in comparative perspective', </w:t>
      </w:r>
      <w:r w:rsidRPr="00C6786A">
        <w:rPr>
          <w:i/>
        </w:rPr>
        <w:t>European Journal of Political Research</w:t>
      </w:r>
      <w:r w:rsidRPr="00C6786A">
        <w:t>.</w:t>
      </w:r>
    </w:p>
    <w:p w14:paraId="51B2E9C4" w14:textId="77777777" w:rsidR="00C6786A" w:rsidRPr="00C6786A" w:rsidRDefault="00C6786A" w:rsidP="00C6786A">
      <w:pPr>
        <w:pStyle w:val="EndNoteBibliography"/>
        <w:spacing w:after="0"/>
        <w:ind w:left="720" w:hanging="720"/>
      </w:pPr>
      <w:r w:rsidRPr="00C6786A">
        <w:t xml:space="preserve">Centeno, M. A. (1997). 'Blood and Debt: War and Taxation in Nineteenth‐Century Latin America', </w:t>
      </w:r>
      <w:r w:rsidRPr="00C6786A">
        <w:rPr>
          <w:i/>
        </w:rPr>
        <w:t>American Journal of Sociology,</w:t>
      </w:r>
      <w:r w:rsidRPr="00C6786A">
        <w:t xml:space="preserve"> </w:t>
      </w:r>
      <w:r w:rsidRPr="00C6786A">
        <w:rPr>
          <w:b/>
        </w:rPr>
        <w:t xml:space="preserve">102, </w:t>
      </w:r>
      <w:r w:rsidRPr="00C6786A">
        <w:t>pp. 1565-1605.</w:t>
      </w:r>
    </w:p>
    <w:p w14:paraId="7E387240" w14:textId="77777777" w:rsidR="00C6786A" w:rsidRPr="00C6786A" w:rsidRDefault="00C6786A" w:rsidP="00C6786A">
      <w:pPr>
        <w:pStyle w:val="EndNoteBibliography"/>
        <w:spacing w:after="0"/>
        <w:ind w:left="720" w:hanging="720"/>
      </w:pPr>
      <w:r w:rsidRPr="00C6786A">
        <w:t xml:space="preserve">Chang, S.-J. and J. H. Rhee (2011). 'Rapid FDI expansion and firm performance', </w:t>
      </w:r>
      <w:r w:rsidRPr="00C6786A">
        <w:rPr>
          <w:i/>
        </w:rPr>
        <w:t>Journal of International Business Studies,</w:t>
      </w:r>
      <w:r w:rsidRPr="00C6786A">
        <w:t xml:space="preserve"> </w:t>
      </w:r>
      <w:r w:rsidRPr="00C6786A">
        <w:rPr>
          <w:b/>
        </w:rPr>
        <w:t xml:space="preserve">42, </w:t>
      </w:r>
      <w:r w:rsidRPr="00C6786A">
        <w:t>pp. 979-994.</w:t>
      </w:r>
    </w:p>
    <w:p w14:paraId="22E4DD8C" w14:textId="77777777" w:rsidR="00C6786A" w:rsidRPr="00C6786A" w:rsidRDefault="00C6786A" w:rsidP="00C6786A">
      <w:pPr>
        <w:pStyle w:val="EndNoteBibliography"/>
        <w:spacing w:after="0"/>
        <w:ind w:left="720" w:hanging="720"/>
      </w:pPr>
      <w:r w:rsidRPr="00C6786A">
        <w:t xml:space="preserve">Chen, K., H. Nie and Z. Ge (2019). 'Policy uncertainty and FDI: Evidence from national elections', </w:t>
      </w:r>
      <w:r w:rsidRPr="00C6786A">
        <w:rPr>
          <w:i/>
        </w:rPr>
        <w:t>The Journal of International Trade &amp; Economic Development,</w:t>
      </w:r>
      <w:r w:rsidRPr="00C6786A">
        <w:t xml:space="preserve"> </w:t>
      </w:r>
      <w:r w:rsidRPr="00C6786A">
        <w:rPr>
          <w:b/>
        </w:rPr>
        <w:t xml:space="preserve">28, </w:t>
      </w:r>
      <w:r w:rsidRPr="00C6786A">
        <w:t>pp. 419-428.</w:t>
      </w:r>
    </w:p>
    <w:p w14:paraId="02CC8463" w14:textId="77777777" w:rsidR="00C6786A" w:rsidRPr="00C6786A" w:rsidRDefault="00C6786A" w:rsidP="00C6786A">
      <w:pPr>
        <w:pStyle w:val="EndNoteBibliography"/>
        <w:spacing w:after="0"/>
        <w:ind w:left="720" w:hanging="720"/>
      </w:pPr>
      <w:r w:rsidRPr="00C6786A">
        <w:t xml:space="preserve">Clapham, C. (1988). 'Epilogue: Political succession in the Third World', </w:t>
      </w:r>
      <w:r w:rsidRPr="00C6786A">
        <w:rPr>
          <w:i/>
        </w:rPr>
        <w:t>Third World Quarterly,</w:t>
      </w:r>
      <w:r w:rsidRPr="00C6786A">
        <w:t xml:space="preserve"> </w:t>
      </w:r>
      <w:r w:rsidRPr="00C6786A">
        <w:rPr>
          <w:b/>
        </w:rPr>
        <w:t xml:space="preserve">10, </w:t>
      </w:r>
      <w:r w:rsidRPr="00C6786A">
        <w:t>pp. 281-288.</w:t>
      </w:r>
    </w:p>
    <w:p w14:paraId="2D56D48B" w14:textId="77777777" w:rsidR="00C6786A" w:rsidRPr="00C6786A" w:rsidRDefault="00C6786A" w:rsidP="00C6786A">
      <w:pPr>
        <w:pStyle w:val="EndNoteBibliography"/>
        <w:spacing w:after="0"/>
        <w:ind w:left="720" w:hanging="720"/>
      </w:pPr>
      <w:r w:rsidRPr="00C6786A">
        <w:t xml:space="preserve">Contractor, F. J., R. Dangol, N. Nuruzzaman and S. Raghunath (2020). 'How do country regulations and business environment impact foreign direct investment (FDI) inflows?', </w:t>
      </w:r>
      <w:r w:rsidRPr="00C6786A">
        <w:rPr>
          <w:i/>
        </w:rPr>
        <w:t>International Business Review,</w:t>
      </w:r>
      <w:r w:rsidRPr="00C6786A">
        <w:t xml:space="preserve"> </w:t>
      </w:r>
      <w:r w:rsidRPr="00C6786A">
        <w:rPr>
          <w:b/>
        </w:rPr>
        <w:t xml:space="preserve">29, </w:t>
      </w:r>
      <w:r w:rsidRPr="00C6786A">
        <w:t>p. 101640.</w:t>
      </w:r>
    </w:p>
    <w:p w14:paraId="5411537A" w14:textId="77777777" w:rsidR="00C6786A" w:rsidRPr="00C6786A" w:rsidRDefault="00C6786A" w:rsidP="00C6786A">
      <w:pPr>
        <w:pStyle w:val="EndNoteBibliography"/>
        <w:spacing w:after="0"/>
        <w:ind w:left="720" w:hanging="720"/>
      </w:pPr>
      <w:r w:rsidRPr="00C6786A">
        <w:t xml:space="preserve">Cormier, D. J., M. A. Frantz, E. Rand and J. Stein (2016). 'Physiatrist referral preferences for postacute stroke rehabilitation', </w:t>
      </w:r>
      <w:r w:rsidRPr="00C6786A">
        <w:rPr>
          <w:i/>
        </w:rPr>
        <w:t>Medicine (Baltimore),</w:t>
      </w:r>
      <w:r w:rsidRPr="00C6786A">
        <w:t xml:space="preserve"> </w:t>
      </w:r>
      <w:r w:rsidRPr="00C6786A">
        <w:rPr>
          <w:b/>
        </w:rPr>
        <w:t xml:space="preserve">95, </w:t>
      </w:r>
      <w:r w:rsidRPr="00C6786A">
        <w:t>p. e4356.</w:t>
      </w:r>
    </w:p>
    <w:p w14:paraId="7F2B2720" w14:textId="77777777" w:rsidR="00C6786A" w:rsidRPr="00C6786A" w:rsidRDefault="00C6786A" w:rsidP="00C6786A">
      <w:pPr>
        <w:pStyle w:val="EndNoteBibliography"/>
        <w:spacing w:after="0"/>
        <w:ind w:left="720" w:hanging="720"/>
      </w:pPr>
      <w:r w:rsidRPr="00C6786A">
        <w:t xml:space="preserve">Crook, T. R., S. Y. Todd, J. G. Combs, D. J. Woehr and D. J. Ketchen Jr (2011). 'Does human capital matter? A meta-analysis of the relationship between human capital and firm performance', </w:t>
      </w:r>
      <w:r w:rsidRPr="00C6786A">
        <w:rPr>
          <w:i/>
        </w:rPr>
        <w:t>Journal of applied psychology,</w:t>
      </w:r>
      <w:r w:rsidRPr="00C6786A">
        <w:t xml:space="preserve"> </w:t>
      </w:r>
      <w:r w:rsidRPr="00C6786A">
        <w:rPr>
          <w:b/>
        </w:rPr>
        <w:t xml:space="preserve">96, </w:t>
      </w:r>
      <w:r w:rsidRPr="00C6786A">
        <w:t>p. 443.</w:t>
      </w:r>
    </w:p>
    <w:p w14:paraId="0DA53499" w14:textId="77777777" w:rsidR="00C6786A" w:rsidRPr="00C6786A" w:rsidRDefault="00C6786A" w:rsidP="00C6786A">
      <w:pPr>
        <w:pStyle w:val="EndNoteBibliography"/>
        <w:spacing w:after="0"/>
        <w:ind w:left="720" w:hanging="720"/>
      </w:pPr>
      <w:r w:rsidRPr="00C6786A">
        <w:lastRenderedPageBreak/>
        <w:t xml:space="preserve">DeCarolis, D. M. and D. L. Deeds (1999). 'The impact of stocks and flows of organizational knowledge on firm performance: An empirical investigation of the biotechnology industry', </w:t>
      </w:r>
      <w:r w:rsidRPr="00C6786A">
        <w:rPr>
          <w:i/>
        </w:rPr>
        <w:t>Strategic management journal,</w:t>
      </w:r>
      <w:r w:rsidRPr="00C6786A">
        <w:t xml:space="preserve"> </w:t>
      </w:r>
      <w:r w:rsidRPr="00C6786A">
        <w:rPr>
          <w:b/>
        </w:rPr>
        <w:t xml:space="preserve">20, </w:t>
      </w:r>
      <w:r w:rsidRPr="00C6786A">
        <w:t>pp. 953-968.</w:t>
      </w:r>
    </w:p>
    <w:p w14:paraId="2C80AFEF" w14:textId="77777777" w:rsidR="00C6786A" w:rsidRPr="00C6786A" w:rsidRDefault="00C6786A" w:rsidP="00C6786A">
      <w:pPr>
        <w:pStyle w:val="EndNoteBibliography"/>
        <w:spacing w:after="0"/>
        <w:ind w:left="720" w:hanging="720"/>
      </w:pPr>
      <w:r w:rsidRPr="00C6786A">
        <w:t xml:space="preserve">Delios, A. and P. W. Beamish (2001). 'Survival and profitability: The roles of experience and intangible assets in foreign subsidiary performance', </w:t>
      </w:r>
      <w:r w:rsidRPr="00C6786A">
        <w:rPr>
          <w:i/>
        </w:rPr>
        <w:t>Academy of Management journal,</w:t>
      </w:r>
      <w:r w:rsidRPr="00C6786A">
        <w:t xml:space="preserve"> </w:t>
      </w:r>
      <w:r w:rsidRPr="00C6786A">
        <w:rPr>
          <w:b/>
        </w:rPr>
        <w:t xml:space="preserve">44, </w:t>
      </w:r>
      <w:r w:rsidRPr="00C6786A">
        <w:t>pp. 1028-1038.</w:t>
      </w:r>
    </w:p>
    <w:p w14:paraId="34DFBBE0" w14:textId="77777777" w:rsidR="00C6786A" w:rsidRPr="00C6786A" w:rsidRDefault="00C6786A" w:rsidP="00C6786A">
      <w:pPr>
        <w:pStyle w:val="EndNoteBibliography"/>
        <w:spacing w:after="0"/>
        <w:ind w:left="720" w:hanging="720"/>
      </w:pPr>
      <w:r w:rsidRPr="00C6786A">
        <w:t xml:space="preserve">Delios, A. and W. I. Henisz (2000). 'Japanese firms' investment strategies in emerging economies', </w:t>
      </w:r>
      <w:r w:rsidRPr="00C6786A">
        <w:rPr>
          <w:i/>
        </w:rPr>
        <w:t>Academy of Management journal,</w:t>
      </w:r>
      <w:r w:rsidRPr="00C6786A">
        <w:t xml:space="preserve"> </w:t>
      </w:r>
      <w:r w:rsidRPr="00C6786A">
        <w:rPr>
          <w:b/>
        </w:rPr>
        <w:t xml:space="preserve">43, </w:t>
      </w:r>
      <w:r w:rsidRPr="00C6786A">
        <w:t>pp. 305-323.</w:t>
      </w:r>
    </w:p>
    <w:p w14:paraId="131FB214" w14:textId="77777777" w:rsidR="00C6786A" w:rsidRPr="00C6786A" w:rsidRDefault="00C6786A" w:rsidP="00C6786A">
      <w:pPr>
        <w:pStyle w:val="EndNoteBibliography"/>
        <w:spacing w:after="0"/>
        <w:ind w:left="720" w:hanging="720"/>
      </w:pPr>
      <w:r w:rsidRPr="00C6786A">
        <w:t xml:space="preserve">Delios, A. and W. J. Henisz (2003). 'Political hazards, experience, and sequential entry strategies: the international expansion of Japanese firms, 1980–1998', </w:t>
      </w:r>
      <w:r w:rsidRPr="00C6786A">
        <w:rPr>
          <w:i/>
        </w:rPr>
        <w:t>Strategic Management Journal,</w:t>
      </w:r>
      <w:r w:rsidRPr="00C6786A">
        <w:t xml:space="preserve"> </w:t>
      </w:r>
      <w:r w:rsidRPr="00C6786A">
        <w:rPr>
          <w:b/>
        </w:rPr>
        <w:t xml:space="preserve">24, </w:t>
      </w:r>
      <w:r w:rsidRPr="00C6786A">
        <w:t>pp. 1153-1164.</w:t>
      </w:r>
    </w:p>
    <w:p w14:paraId="39663EBD" w14:textId="77777777" w:rsidR="00C6786A" w:rsidRPr="00C6786A" w:rsidRDefault="00C6786A" w:rsidP="00C6786A">
      <w:pPr>
        <w:pStyle w:val="EndNoteBibliography"/>
        <w:spacing w:after="0"/>
        <w:ind w:left="720" w:hanging="720"/>
      </w:pPr>
      <w:r w:rsidRPr="00C6786A">
        <w:t xml:space="preserve">Dixit, A. (1992). 'Investment and hysteresis', </w:t>
      </w:r>
      <w:r w:rsidRPr="00C6786A">
        <w:rPr>
          <w:i/>
        </w:rPr>
        <w:t>Journal of economic perspectives,</w:t>
      </w:r>
      <w:r w:rsidRPr="00C6786A">
        <w:t xml:space="preserve"> </w:t>
      </w:r>
      <w:r w:rsidRPr="00C6786A">
        <w:rPr>
          <w:b/>
        </w:rPr>
        <w:t xml:space="preserve">6, </w:t>
      </w:r>
      <w:r w:rsidRPr="00C6786A">
        <w:t>pp. 107-132.</w:t>
      </w:r>
    </w:p>
    <w:p w14:paraId="63CF4263" w14:textId="77777777" w:rsidR="00C6786A" w:rsidRPr="00C6786A" w:rsidRDefault="00C6786A" w:rsidP="00C6786A">
      <w:pPr>
        <w:pStyle w:val="EndNoteBibliography"/>
        <w:spacing w:after="0"/>
        <w:ind w:left="720" w:hanging="720"/>
      </w:pPr>
      <w:r w:rsidRPr="00C6786A">
        <w:t xml:space="preserve">Eden, L. and S. Lenway (2001). 'Introduction to the symposium multinationals: The Janus face of globalization', </w:t>
      </w:r>
      <w:r w:rsidRPr="00C6786A">
        <w:rPr>
          <w:i/>
        </w:rPr>
        <w:t>Journal of International Business Studies,</w:t>
      </w:r>
      <w:r w:rsidRPr="00C6786A">
        <w:t xml:space="preserve"> </w:t>
      </w:r>
      <w:r w:rsidRPr="00C6786A">
        <w:rPr>
          <w:b/>
        </w:rPr>
        <w:t xml:space="preserve">32, </w:t>
      </w:r>
      <w:r w:rsidRPr="00C6786A">
        <w:t>pp. 383-400.</w:t>
      </w:r>
    </w:p>
    <w:p w14:paraId="0C84C017" w14:textId="77777777" w:rsidR="00C6786A" w:rsidRPr="00C6786A" w:rsidRDefault="00C6786A" w:rsidP="00C6786A">
      <w:pPr>
        <w:pStyle w:val="EndNoteBibliography"/>
        <w:spacing w:after="0"/>
        <w:ind w:left="720" w:hanging="720"/>
      </w:pPr>
      <w:r w:rsidRPr="00C6786A">
        <w:t xml:space="preserve">Estrin, S. and M. Prevezer (2010). 'A survey on institutions and new firm entry: How and why do entry rates differ in emerging markets?', </w:t>
      </w:r>
      <w:r w:rsidRPr="00C6786A">
        <w:rPr>
          <w:i/>
        </w:rPr>
        <w:t>Economic Systems,</w:t>
      </w:r>
      <w:r w:rsidRPr="00C6786A">
        <w:t xml:space="preserve"> </w:t>
      </w:r>
      <w:r w:rsidRPr="00C6786A">
        <w:rPr>
          <w:b/>
        </w:rPr>
        <w:t xml:space="preserve">34, </w:t>
      </w:r>
      <w:r w:rsidRPr="00C6786A">
        <w:t>pp. 289-308.</w:t>
      </w:r>
    </w:p>
    <w:p w14:paraId="7B921967" w14:textId="77777777" w:rsidR="00C6786A" w:rsidRPr="00C6786A" w:rsidRDefault="00C6786A" w:rsidP="00C6786A">
      <w:pPr>
        <w:pStyle w:val="EndNoteBibliography"/>
        <w:spacing w:after="0"/>
        <w:ind w:left="720" w:hanging="720"/>
      </w:pPr>
      <w:r w:rsidRPr="00C6786A">
        <w:t xml:space="preserve">Fey, C. F., T. Hu and A. Delios (2023). 'The measurement and communication of effect sizes in management research', </w:t>
      </w:r>
      <w:r w:rsidRPr="00C6786A">
        <w:rPr>
          <w:i/>
        </w:rPr>
        <w:t>Management and Organization Review,</w:t>
      </w:r>
      <w:r w:rsidRPr="00C6786A">
        <w:t xml:space="preserve"> </w:t>
      </w:r>
      <w:r w:rsidRPr="00C6786A">
        <w:rPr>
          <w:b/>
        </w:rPr>
        <w:t xml:space="preserve">19, </w:t>
      </w:r>
      <w:r w:rsidRPr="00C6786A">
        <w:t>pp. 176-197.</w:t>
      </w:r>
    </w:p>
    <w:p w14:paraId="355A224E" w14:textId="77777777" w:rsidR="00C6786A" w:rsidRPr="00C6786A" w:rsidRDefault="00C6786A" w:rsidP="00C6786A">
      <w:pPr>
        <w:pStyle w:val="EndNoteBibliography"/>
        <w:spacing w:after="0"/>
        <w:ind w:left="720" w:hanging="720"/>
      </w:pPr>
      <w:r w:rsidRPr="00C6786A">
        <w:t xml:space="preserve">Frantz, E. and E. A. Stein (2017). 'Countering Coups: Leadership Succession Rules in Dictatorships', </w:t>
      </w:r>
      <w:r w:rsidRPr="00C6786A">
        <w:rPr>
          <w:i/>
        </w:rPr>
        <w:t>Comparative Political Studies,</w:t>
      </w:r>
      <w:r w:rsidRPr="00C6786A">
        <w:t xml:space="preserve"> </w:t>
      </w:r>
      <w:r w:rsidRPr="00C6786A">
        <w:rPr>
          <w:b/>
        </w:rPr>
        <w:t xml:space="preserve">50, </w:t>
      </w:r>
      <w:r w:rsidRPr="00C6786A">
        <w:t>pp. 935-962.</w:t>
      </w:r>
    </w:p>
    <w:p w14:paraId="4E04A89E" w14:textId="77777777" w:rsidR="00C6786A" w:rsidRPr="00C6786A" w:rsidRDefault="00C6786A" w:rsidP="00C6786A">
      <w:pPr>
        <w:pStyle w:val="EndNoteBibliography"/>
        <w:spacing w:after="0"/>
        <w:ind w:left="720" w:hanging="720"/>
      </w:pPr>
      <w:r w:rsidRPr="00C6786A">
        <w:t xml:space="preserve">Frey, B. S. (2006). 'Giving and receiving awards', </w:t>
      </w:r>
      <w:r w:rsidRPr="00C6786A">
        <w:rPr>
          <w:i/>
        </w:rPr>
        <w:t>Perspectives on Psychological Science,</w:t>
      </w:r>
      <w:r w:rsidRPr="00C6786A">
        <w:t xml:space="preserve"> </w:t>
      </w:r>
      <w:r w:rsidRPr="00C6786A">
        <w:rPr>
          <w:b/>
        </w:rPr>
        <w:t xml:space="preserve">1, </w:t>
      </w:r>
      <w:r w:rsidRPr="00C6786A">
        <w:t>pp. 377-388.</w:t>
      </w:r>
    </w:p>
    <w:p w14:paraId="6D7C642C" w14:textId="77777777" w:rsidR="00C6786A" w:rsidRPr="00C6786A" w:rsidRDefault="00C6786A" w:rsidP="00C6786A">
      <w:pPr>
        <w:pStyle w:val="EndNoteBibliography"/>
        <w:spacing w:after="0"/>
        <w:ind w:left="720" w:hanging="720"/>
      </w:pPr>
      <w:r w:rsidRPr="00C6786A">
        <w:t xml:space="preserve">Garfinkel, M. R. and A. Glazer (1994). 'Does Electoral Uncertainty Cause Economic Fluctuations?', </w:t>
      </w:r>
      <w:r w:rsidRPr="00C6786A">
        <w:rPr>
          <w:i/>
        </w:rPr>
        <w:t>The American Economic Review,</w:t>
      </w:r>
      <w:r w:rsidRPr="00C6786A">
        <w:t xml:space="preserve"> </w:t>
      </w:r>
      <w:r w:rsidRPr="00C6786A">
        <w:rPr>
          <w:b/>
        </w:rPr>
        <w:t xml:space="preserve">84, </w:t>
      </w:r>
      <w:r w:rsidRPr="00C6786A">
        <w:t>pp. 169-173.</w:t>
      </w:r>
    </w:p>
    <w:p w14:paraId="7E00F3A6" w14:textId="77777777" w:rsidR="00C6786A" w:rsidRPr="00C6786A" w:rsidRDefault="00C6786A" w:rsidP="00C6786A">
      <w:pPr>
        <w:pStyle w:val="EndNoteBibliography"/>
        <w:spacing w:after="0"/>
        <w:ind w:left="720" w:hanging="720"/>
      </w:pPr>
      <w:r w:rsidRPr="00C6786A">
        <w:t xml:space="preserve">Gaur, A. S., C. Pattnaik, D. Singh and J. Y. Lee (2019). 'Internalization advantage and subsidiary performance: The role of business group affiliation and host country characteristics', </w:t>
      </w:r>
      <w:r w:rsidRPr="00C6786A">
        <w:rPr>
          <w:i/>
        </w:rPr>
        <w:t>Journal of International Business Studies,</w:t>
      </w:r>
      <w:r w:rsidRPr="00C6786A">
        <w:t xml:space="preserve"> </w:t>
      </w:r>
      <w:r w:rsidRPr="00C6786A">
        <w:rPr>
          <w:b/>
        </w:rPr>
        <w:t xml:space="preserve">50, </w:t>
      </w:r>
      <w:r w:rsidRPr="00C6786A">
        <w:t>pp. 1253-1282.</w:t>
      </w:r>
    </w:p>
    <w:p w14:paraId="38B0C8E2" w14:textId="77777777" w:rsidR="00C6786A" w:rsidRPr="00C6786A" w:rsidRDefault="00C6786A" w:rsidP="00C6786A">
      <w:pPr>
        <w:pStyle w:val="EndNoteBibliography"/>
        <w:spacing w:after="0"/>
        <w:ind w:left="720" w:hanging="720"/>
      </w:pPr>
      <w:r w:rsidRPr="00C6786A">
        <w:t xml:space="preserve">Geddes, B. (1999). 'What Do We Know About Democratization After Twenty Years?', </w:t>
      </w:r>
      <w:r w:rsidRPr="00C6786A">
        <w:rPr>
          <w:i/>
        </w:rPr>
        <w:t>Annual Review of Political Science,</w:t>
      </w:r>
      <w:r w:rsidRPr="00C6786A">
        <w:t xml:space="preserve"> </w:t>
      </w:r>
      <w:r w:rsidRPr="00C6786A">
        <w:rPr>
          <w:b/>
        </w:rPr>
        <w:t xml:space="preserve">2, </w:t>
      </w:r>
      <w:r w:rsidRPr="00C6786A">
        <w:t>pp. 115-144.</w:t>
      </w:r>
    </w:p>
    <w:p w14:paraId="264A4EEF" w14:textId="77777777" w:rsidR="00C6786A" w:rsidRPr="00C6786A" w:rsidRDefault="00C6786A" w:rsidP="00C6786A">
      <w:pPr>
        <w:pStyle w:val="EndNoteBibliography"/>
        <w:spacing w:after="0"/>
        <w:ind w:left="720" w:hanging="720"/>
      </w:pPr>
      <w:r w:rsidRPr="00C6786A">
        <w:t xml:space="preserve">Gleditsch, K. S., N. W. Metternich and A. Ruggeri (2014). 'Data and progress in peace and conflict research', </w:t>
      </w:r>
      <w:r w:rsidRPr="00C6786A">
        <w:rPr>
          <w:i/>
        </w:rPr>
        <w:t>Journal of Peace Research,</w:t>
      </w:r>
      <w:r w:rsidRPr="00C6786A">
        <w:t xml:space="preserve"> </w:t>
      </w:r>
      <w:r w:rsidRPr="00C6786A">
        <w:rPr>
          <w:b/>
        </w:rPr>
        <w:t xml:space="preserve">51, </w:t>
      </w:r>
      <w:r w:rsidRPr="00C6786A">
        <w:t>pp. 301-314.</w:t>
      </w:r>
    </w:p>
    <w:p w14:paraId="2B28D589" w14:textId="77777777" w:rsidR="00C6786A" w:rsidRPr="00C6786A" w:rsidRDefault="00C6786A" w:rsidP="00C6786A">
      <w:pPr>
        <w:pStyle w:val="EndNoteBibliography"/>
        <w:spacing w:after="0"/>
        <w:ind w:left="720" w:hanging="720"/>
      </w:pPr>
      <w:r w:rsidRPr="00C6786A">
        <w:t xml:space="preserve">Govea, R. M. and J. D. Holm (1998). 'Crisis, violence and political succession in Africa', </w:t>
      </w:r>
      <w:r w:rsidRPr="00C6786A">
        <w:rPr>
          <w:i/>
        </w:rPr>
        <w:t>Third World Quarterly,</w:t>
      </w:r>
      <w:r w:rsidRPr="00C6786A">
        <w:t xml:space="preserve"> </w:t>
      </w:r>
      <w:r w:rsidRPr="00C6786A">
        <w:rPr>
          <w:b/>
        </w:rPr>
        <w:t xml:space="preserve">19, </w:t>
      </w:r>
      <w:r w:rsidRPr="00C6786A">
        <w:t>pp. 129-148.</w:t>
      </w:r>
    </w:p>
    <w:p w14:paraId="515E763F" w14:textId="77777777" w:rsidR="00C6786A" w:rsidRPr="00C6786A" w:rsidRDefault="00C6786A" w:rsidP="00C6786A">
      <w:pPr>
        <w:pStyle w:val="EndNoteBibliography"/>
        <w:spacing w:after="0"/>
        <w:ind w:left="720" w:hanging="720"/>
      </w:pPr>
      <w:r w:rsidRPr="00C6786A">
        <w:t xml:space="preserve">Helms, L. (2020). 'Leadership succession in politics: The democracy/autocracy divide revisited', </w:t>
      </w:r>
      <w:r w:rsidRPr="00C6786A">
        <w:rPr>
          <w:i/>
        </w:rPr>
        <w:t>The British Journal of Politics and International Relations,</w:t>
      </w:r>
      <w:r w:rsidRPr="00C6786A">
        <w:t xml:space="preserve"> </w:t>
      </w:r>
      <w:r w:rsidRPr="00C6786A">
        <w:rPr>
          <w:b/>
        </w:rPr>
        <w:t xml:space="preserve">22, </w:t>
      </w:r>
      <w:r w:rsidRPr="00C6786A">
        <w:t>pp. 328-346.</w:t>
      </w:r>
    </w:p>
    <w:p w14:paraId="6BFEF3CF" w14:textId="77777777" w:rsidR="00C6786A" w:rsidRPr="00C6786A" w:rsidRDefault="00C6786A" w:rsidP="00C6786A">
      <w:pPr>
        <w:pStyle w:val="EndNoteBibliography"/>
        <w:spacing w:after="0"/>
        <w:ind w:left="720" w:hanging="720"/>
      </w:pPr>
      <w:r w:rsidRPr="00C6786A">
        <w:t xml:space="preserve">Henisz, W. J. and A. Delios (2001). 'Uncertainty, imitation, and plant location: Japanese multinational corporations, 1990‐1996', </w:t>
      </w:r>
      <w:r w:rsidRPr="00C6786A">
        <w:rPr>
          <w:i/>
        </w:rPr>
        <w:t>Administrative science quarterly,</w:t>
      </w:r>
      <w:r w:rsidRPr="00C6786A">
        <w:t xml:space="preserve"> </w:t>
      </w:r>
      <w:r w:rsidRPr="00C6786A">
        <w:rPr>
          <w:b/>
        </w:rPr>
        <w:t xml:space="preserve">46, </w:t>
      </w:r>
      <w:r w:rsidRPr="00C6786A">
        <w:t>pp. 443-475.</w:t>
      </w:r>
    </w:p>
    <w:p w14:paraId="575999EB" w14:textId="77777777" w:rsidR="00C6786A" w:rsidRPr="00C6786A" w:rsidRDefault="00C6786A" w:rsidP="00C6786A">
      <w:pPr>
        <w:pStyle w:val="EndNoteBibliography"/>
        <w:spacing w:after="0"/>
        <w:ind w:left="720" w:hanging="720"/>
      </w:pPr>
      <w:r w:rsidRPr="00C6786A">
        <w:t xml:space="preserve">Herb, M. (1999). </w:t>
      </w:r>
      <w:r w:rsidRPr="00C6786A">
        <w:rPr>
          <w:i/>
        </w:rPr>
        <w:t xml:space="preserve">All in the family: absolutism, revolution, and democracy in Middle Eastern monarchies, </w:t>
      </w:r>
      <w:r w:rsidRPr="00C6786A">
        <w:t>State University of New York Press.</w:t>
      </w:r>
    </w:p>
    <w:p w14:paraId="57FF20CD" w14:textId="77777777" w:rsidR="00C6786A" w:rsidRPr="00C6786A" w:rsidRDefault="00C6786A" w:rsidP="00C6786A">
      <w:pPr>
        <w:pStyle w:val="EndNoteBibliography"/>
        <w:spacing w:after="0"/>
        <w:ind w:left="720" w:hanging="720"/>
      </w:pPr>
      <w:r w:rsidRPr="00C6786A">
        <w:lastRenderedPageBreak/>
        <w:t xml:space="preserve">Hu, C., J. Li and K. H. Yun (2023). 'Re-examining foreign subsidiary survival in a transition economy: Impact of market identity overlap and conflict', </w:t>
      </w:r>
      <w:r w:rsidRPr="00C6786A">
        <w:rPr>
          <w:i/>
        </w:rPr>
        <w:t>Journal of World Business,</w:t>
      </w:r>
      <w:r w:rsidRPr="00C6786A">
        <w:t xml:space="preserve"> </w:t>
      </w:r>
      <w:r w:rsidRPr="00C6786A">
        <w:rPr>
          <w:b/>
        </w:rPr>
        <w:t xml:space="preserve">58, </w:t>
      </w:r>
      <w:r w:rsidRPr="00C6786A">
        <w:t>p. 101432.</w:t>
      </w:r>
    </w:p>
    <w:p w14:paraId="46C20201" w14:textId="77777777" w:rsidR="00C6786A" w:rsidRPr="00C6786A" w:rsidRDefault="00C6786A" w:rsidP="00C6786A">
      <w:pPr>
        <w:pStyle w:val="EndNoteBibliography"/>
        <w:spacing w:after="0"/>
        <w:ind w:left="720" w:hanging="720"/>
      </w:pPr>
      <w:r w:rsidRPr="00C6786A">
        <w:t xml:space="preserve">Hu, T., S. Natarajan and A. Delios (2021). 'Sister cities, cross-national FDI, and the subnational FDI location decision', </w:t>
      </w:r>
      <w:r w:rsidRPr="00C6786A">
        <w:rPr>
          <w:i/>
        </w:rPr>
        <w:t>Journal of International Business Studies,</w:t>
      </w:r>
      <w:r w:rsidRPr="00C6786A">
        <w:t xml:space="preserve"> </w:t>
      </w:r>
      <w:r w:rsidRPr="00C6786A">
        <w:rPr>
          <w:b/>
        </w:rPr>
        <w:t xml:space="preserve">52, </w:t>
      </w:r>
      <w:r w:rsidRPr="00C6786A">
        <w:t>pp. 1279-1301.</w:t>
      </w:r>
    </w:p>
    <w:p w14:paraId="314995BC" w14:textId="77777777" w:rsidR="00C6786A" w:rsidRPr="00C6786A" w:rsidRDefault="00C6786A" w:rsidP="00C6786A">
      <w:pPr>
        <w:pStyle w:val="EndNoteBibliography"/>
        <w:spacing w:after="0"/>
        <w:ind w:left="720" w:hanging="720"/>
      </w:pPr>
      <w:r w:rsidRPr="00C6786A">
        <w:t xml:space="preserve">Jensen, N. (2008). 'Political risk, democratic institutions, and foreign direct investment', </w:t>
      </w:r>
      <w:r w:rsidRPr="00C6786A">
        <w:rPr>
          <w:i/>
        </w:rPr>
        <w:t>The Journal of Politics,</w:t>
      </w:r>
      <w:r w:rsidRPr="00C6786A">
        <w:t xml:space="preserve"> </w:t>
      </w:r>
      <w:r w:rsidRPr="00C6786A">
        <w:rPr>
          <w:b/>
        </w:rPr>
        <w:t xml:space="preserve">70, </w:t>
      </w:r>
      <w:r w:rsidRPr="00C6786A">
        <w:t>pp. 1040-1052.</w:t>
      </w:r>
    </w:p>
    <w:p w14:paraId="3FE963CB" w14:textId="77777777" w:rsidR="00C6786A" w:rsidRPr="00C6786A" w:rsidRDefault="00C6786A" w:rsidP="00C6786A">
      <w:pPr>
        <w:pStyle w:val="EndNoteBibliography"/>
        <w:spacing w:after="0"/>
        <w:ind w:left="720" w:hanging="720"/>
      </w:pPr>
      <w:r w:rsidRPr="00C6786A">
        <w:t xml:space="preserve">Jones, B. F. and B. A. Olken (2005). 'Do leaders matter? National leadership and growth since World War II', </w:t>
      </w:r>
      <w:r w:rsidRPr="00C6786A">
        <w:rPr>
          <w:i/>
        </w:rPr>
        <w:t>The Quarterly Journal of Economics,</w:t>
      </w:r>
      <w:r w:rsidRPr="00C6786A">
        <w:t xml:space="preserve"> </w:t>
      </w:r>
      <w:r w:rsidRPr="00C6786A">
        <w:rPr>
          <w:b/>
        </w:rPr>
        <w:t xml:space="preserve">120, </w:t>
      </w:r>
      <w:r w:rsidRPr="00C6786A">
        <w:t>pp. 835-864.</w:t>
      </w:r>
    </w:p>
    <w:p w14:paraId="3F46D9FA" w14:textId="77777777" w:rsidR="00C6786A" w:rsidRPr="00C6786A" w:rsidRDefault="00C6786A" w:rsidP="00C6786A">
      <w:pPr>
        <w:pStyle w:val="EndNoteBibliography"/>
        <w:spacing w:after="0"/>
        <w:ind w:left="720" w:hanging="720"/>
      </w:pPr>
      <w:r w:rsidRPr="00C6786A">
        <w:t xml:space="preserve">Julio, B. and Y. Yook (2012). 'Political Uncertainty and Corporate Investment Cycles', </w:t>
      </w:r>
      <w:r w:rsidRPr="00C6786A">
        <w:rPr>
          <w:i/>
        </w:rPr>
        <w:t>The Journal of Finance,</w:t>
      </w:r>
      <w:r w:rsidRPr="00C6786A">
        <w:t xml:space="preserve"> </w:t>
      </w:r>
      <w:r w:rsidRPr="00C6786A">
        <w:rPr>
          <w:b/>
        </w:rPr>
        <w:t xml:space="preserve">67, </w:t>
      </w:r>
      <w:r w:rsidRPr="00C6786A">
        <w:t>pp. 45-83.</w:t>
      </w:r>
    </w:p>
    <w:p w14:paraId="426057FE" w14:textId="77777777" w:rsidR="00C6786A" w:rsidRPr="00C6786A" w:rsidRDefault="00C6786A" w:rsidP="00C6786A">
      <w:pPr>
        <w:pStyle w:val="EndNoteBibliography"/>
        <w:spacing w:after="0"/>
        <w:ind w:left="720" w:hanging="720"/>
      </w:pPr>
      <w:r w:rsidRPr="00C6786A">
        <w:t xml:space="preserve">Julio, B. and Y. Yook (2016). 'Policy uncertainty, irreversibility, and cross-border flows of capital', </w:t>
      </w:r>
      <w:r w:rsidRPr="00C6786A">
        <w:rPr>
          <w:i/>
        </w:rPr>
        <w:t>Journal of International Economics,</w:t>
      </w:r>
      <w:r w:rsidRPr="00C6786A">
        <w:t xml:space="preserve"> </w:t>
      </w:r>
      <w:r w:rsidRPr="00C6786A">
        <w:rPr>
          <w:b/>
        </w:rPr>
        <w:t xml:space="preserve">103, </w:t>
      </w:r>
      <w:r w:rsidRPr="00C6786A">
        <w:t>pp. 13-26.</w:t>
      </w:r>
    </w:p>
    <w:p w14:paraId="331450BC" w14:textId="77777777" w:rsidR="00C6786A" w:rsidRPr="00C6786A" w:rsidRDefault="00C6786A" w:rsidP="00C6786A">
      <w:pPr>
        <w:pStyle w:val="EndNoteBibliography"/>
        <w:spacing w:after="0"/>
        <w:ind w:left="720" w:hanging="720"/>
      </w:pPr>
      <w:r w:rsidRPr="00C6786A">
        <w:t xml:space="preserve">Kaufmann, D., A. Kraay and M. Mastruzzi (2003). 'Governance matters III: Governance indicators for 1996-2002', </w:t>
      </w:r>
      <w:r w:rsidRPr="00C6786A">
        <w:rPr>
          <w:i/>
        </w:rPr>
        <w:t>World bank policy research working paper</w:t>
      </w:r>
      <w:r w:rsidRPr="00C6786A">
        <w:t>.</w:t>
      </w:r>
    </w:p>
    <w:p w14:paraId="492FCB43" w14:textId="77777777" w:rsidR="00C6786A" w:rsidRPr="00C6786A" w:rsidRDefault="00C6786A" w:rsidP="00C6786A">
      <w:pPr>
        <w:pStyle w:val="EndNoteBibliography"/>
        <w:spacing w:after="0"/>
        <w:ind w:left="720" w:hanging="720"/>
      </w:pPr>
      <w:r w:rsidRPr="00C6786A">
        <w:t xml:space="preserve">Kobrin, S. J. (1979). 'Political Risk: A Review and Reconsideration', </w:t>
      </w:r>
      <w:r w:rsidRPr="00C6786A">
        <w:rPr>
          <w:i/>
        </w:rPr>
        <w:t>Journal of International Business Studies,</w:t>
      </w:r>
      <w:r w:rsidRPr="00C6786A">
        <w:t xml:space="preserve"> </w:t>
      </w:r>
      <w:r w:rsidRPr="00C6786A">
        <w:rPr>
          <w:b/>
        </w:rPr>
        <w:t xml:space="preserve">10, </w:t>
      </w:r>
      <w:r w:rsidRPr="00C6786A">
        <w:t>pp. 67-80.</w:t>
      </w:r>
    </w:p>
    <w:p w14:paraId="0D656498" w14:textId="77777777" w:rsidR="00C6786A" w:rsidRPr="00C6786A" w:rsidRDefault="00C6786A" w:rsidP="00C6786A">
      <w:pPr>
        <w:pStyle w:val="EndNoteBibliography"/>
        <w:spacing w:after="0"/>
        <w:ind w:left="720" w:hanging="720"/>
      </w:pPr>
      <w:r w:rsidRPr="00C6786A">
        <w:t xml:space="preserve">Kokkonen, A. and A. Sundell (2014). 'Delivering Stability—Primogeniture and Autocratic Survival in European Monarchies 1000–1800', </w:t>
      </w:r>
      <w:r w:rsidRPr="00C6786A">
        <w:rPr>
          <w:i/>
        </w:rPr>
        <w:t>American Political Science Review,</w:t>
      </w:r>
      <w:r w:rsidRPr="00C6786A">
        <w:t xml:space="preserve"> </w:t>
      </w:r>
      <w:r w:rsidRPr="00C6786A">
        <w:rPr>
          <w:b/>
        </w:rPr>
        <w:t xml:space="preserve">108, </w:t>
      </w:r>
      <w:r w:rsidRPr="00C6786A">
        <w:t>pp. 438-453.</w:t>
      </w:r>
    </w:p>
    <w:p w14:paraId="779F3E57" w14:textId="77777777" w:rsidR="00C6786A" w:rsidRPr="00C6786A" w:rsidRDefault="00C6786A" w:rsidP="00C6786A">
      <w:pPr>
        <w:pStyle w:val="EndNoteBibliography"/>
        <w:spacing w:after="0"/>
        <w:ind w:left="720" w:hanging="720"/>
      </w:pPr>
      <w:r w:rsidRPr="00C6786A">
        <w:t>Kokkonen, A. and A. Sundell (2017). 'The King is Dead: Political Succession and War in Europe, 1000–1799'.</w:t>
      </w:r>
    </w:p>
    <w:p w14:paraId="106E6265" w14:textId="77777777" w:rsidR="00C6786A" w:rsidRPr="00C6786A" w:rsidRDefault="00C6786A" w:rsidP="00C6786A">
      <w:pPr>
        <w:pStyle w:val="EndNoteBibliography"/>
        <w:spacing w:after="0"/>
        <w:ind w:left="720" w:hanging="720"/>
      </w:pPr>
      <w:r w:rsidRPr="00C6786A">
        <w:t xml:space="preserve">Kolstad, I. and A. Wiig (2012). 'What determines Chinese outward FDI?', </w:t>
      </w:r>
      <w:r w:rsidRPr="00C6786A">
        <w:rPr>
          <w:i/>
        </w:rPr>
        <w:t>Journal of world business,</w:t>
      </w:r>
      <w:r w:rsidRPr="00C6786A">
        <w:t xml:space="preserve"> </w:t>
      </w:r>
      <w:r w:rsidRPr="00C6786A">
        <w:rPr>
          <w:b/>
        </w:rPr>
        <w:t xml:space="preserve">47, </w:t>
      </w:r>
      <w:r w:rsidRPr="00C6786A">
        <w:t>pp. 26-34.</w:t>
      </w:r>
    </w:p>
    <w:p w14:paraId="258742F2" w14:textId="77777777" w:rsidR="00C6786A" w:rsidRPr="00C6786A" w:rsidRDefault="00C6786A" w:rsidP="00C6786A">
      <w:pPr>
        <w:pStyle w:val="EndNoteBibliography"/>
        <w:spacing w:after="0"/>
        <w:ind w:left="720" w:hanging="720"/>
      </w:pPr>
      <w:r w:rsidRPr="00C6786A">
        <w:t xml:space="preserve">Krause, G. A. (2005). 'Electoral Incentives, Political Business Cycles and Macroeconomic Performance: Empirical Evidence from Post-War US Personal Income Growth', </w:t>
      </w:r>
      <w:r w:rsidRPr="00C6786A">
        <w:rPr>
          <w:i/>
        </w:rPr>
        <w:t>British Journal of Political Science,</w:t>
      </w:r>
      <w:r w:rsidRPr="00C6786A">
        <w:t xml:space="preserve"> </w:t>
      </w:r>
      <w:r w:rsidRPr="00C6786A">
        <w:rPr>
          <w:b/>
        </w:rPr>
        <w:t xml:space="preserve">35, </w:t>
      </w:r>
      <w:r w:rsidRPr="00C6786A">
        <w:t>pp. 77-101.</w:t>
      </w:r>
    </w:p>
    <w:p w14:paraId="1622855D" w14:textId="77777777" w:rsidR="00C6786A" w:rsidRPr="00C6786A" w:rsidRDefault="00C6786A" w:rsidP="00C6786A">
      <w:pPr>
        <w:pStyle w:val="EndNoteBibliography"/>
        <w:spacing w:after="0"/>
        <w:ind w:left="720" w:hanging="720"/>
      </w:pPr>
      <w:r w:rsidRPr="00C6786A">
        <w:t xml:space="preserve">Krishnarajan, S. (2019). 'Economic crisis, natural resources, and irregular leader removal in autocracies', </w:t>
      </w:r>
      <w:r w:rsidRPr="00C6786A">
        <w:rPr>
          <w:i/>
        </w:rPr>
        <w:t>International Studies Quarterly,</w:t>
      </w:r>
      <w:r w:rsidRPr="00C6786A">
        <w:t xml:space="preserve"> </w:t>
      </w:r>
      <w:r w:rsidRPr="00C6786A">
        <w:rPr>
          <w:b/>
        </w:rPr>
        <w:t xml:space="preserve">63, </w:t>
      </w:r>
      <w:r w:rsidRPr="00C6786A">
        <w:t>pp. 726-741.</w:t>
      </w:r>
    </w:p>
    <w:p w14:paraId="02BFA34E" w14:textId="77777777" w:rsidR="00C6786A" w:rsidRPr="00C6786A" w:rsidRDefault="00C6786A" w:rsidP="00C6786A">
      <w:pPr>
        <w:pStyle w:val="EndNoteBibliography"/>
        <w:spacing w:after="0"/>
        <w:ind w:left="720" w:hanging="720"/>
      </w:pPr>
      <w:r w:rsidRPr="00C6786A">
        <w:t xml:space="preserve">Kurrild-Klitgaard, P. (2000). 'The constitutional economics of autocratic succession', </w:t>
      </w:r>
      <w:r w:rsidRPr="00C6786A">
        <w:rPr>
          <w:i/>
        </w:rPr>
        <w:t>Public Choice,</w:t>
      </w:r>
      <w:r w:rsidRPr="00C6786A">
        <w:t xml:space="preserve"> </w:t>
      </w:r>
      <w:r w:rsidRPr="00C6786A">
        <w:rPr>
          <w:b/>
        </w:rPr>
        <w:t xml:space="preserve">103, </w:t>
      </w:r>
      <w:r w:rsidRPr="00C6786A">
        <w:t>pp. 63-84.</w:t>
      </w:r>
    </w:p>
    <w:p w14:paraId="47BF894F" w14:textId="77777777" w:rsidR="00C6786A" w:rsidRPr="00C6786A" w:rsidRDefault="00C6786A" w:rsidP="00C6786A">
      <w:pPr>
        <w:pStyle w:val="EndNoteBibliography"/>
        <w:spacing w:after="0"/>
        <w:ind w:left="720" w:hanging="720"/>
      </w:pPr>
      <w:r w:rsidRPr="00C6786A">
        <w:t xml:space="preserve">Luo, X. and C.-N. Chung (2005). 'Keeping it all in the family: The role of particularistic relationships in business group performance during institutional transition', </w:t>
      </w:r>
      <w:r w:rsidRPr="00C6786A">
        <w:rPr>
          <w:i/>
        </w:rPr>
        <w:t>Administrative Science Quarterly,</w:t>
      </w:r>
      <w:r w:rsidRPr="00C6786A">
        <w:t xml:space="preserve"> </w:t>
      </w:r>
      <w:r w:rsidRPr="00C6786A">
        <w:rPr>
          <w:b/>
        </w:rPr>
        <w:t xml:space="preserve">50, </w:t>
      </w:r>
      <w:r w:rsidRPr="00C6786A">
        <w:t>pp. 404-439.</w:t>
      </w:r>
    </w:p>
    <w:p w14:paraId="0347155A" w14:textId="77777777" w:rsidR="00C6786A" w:rsidRPr="00C6786A" w:rsidRDefault="00C6786A" w:rsidP="00C6786A">
      <w:pPr>
        <w:pStyle w:val="EndNoteBibliography"/>
        <w:spacing w:after="0"/>
        <w:ind w:left="720" w:hanging="720"/>
      </w:pPr>
      <w:r w:rsidRPr="00C6786A">
        <w:t xml:space="preserve">Luo, Y., H. Zhang and J. Bu (2019). 'Developed country MNEs investing in developing economies: Progress and prospect', </w:t>
      </w:r>
      <w:r w:rsidRPr="00C6786A">
        <w:rPr>
          <w:i/>
        </w:rPr>
        <w:t>Journal of International Business Studies,</w:t>
      </w:r>
      <w:r w:rsidRPr="00C6786A">
        <w:t xml:space="preserve"> </w:t>
      </w:r>
      <w:r w:rsidRPr="00C6786A">
        <w:rPr>
          <w:b/>
        </w:rPr>
        <w:t xml:space="preserve">50, </w:t>
      </w:r>
      <w:r w:rsidRPr="00C6786A">
        <w:t>pp. 633-667.</w:t>
      </w:r>
    </w:p>
    <w:p w14:paraId="7ABDD7FD" w14:textId="77777777" w:rsidR="00C6786A" w:rsidRPr="00C6786A" w:rsidRDefault="00C6786A" w:rsidP="00C6786A">
      <w:pPr>
        <w:pStyle w:val="EndNoteBibliography"/>
        <w:spacing w:after="0"/>
        <w:ind w:left="720" w:hanging="720"/>
      </w:pPr>
      <w:r w:rsidRPr="00C6786A">
        <w:t xml:space="preserve">Ma, X., T. W. Tong and M. Fitza (2013). 'How much does subnational region matter to foreign subsidiary performance? Evidence from Fortune Global 500 Corporations’ investment in China', </w:t>
      </w:r>
      <w:r w:rsidRPr="00C6786A">
        <w:rPr>
          <w:i/>
        </w:rPr>
        <w:t>Journal of International Business Studies,</w:t>
      </w:r>
      <w:r w:rsidRPr="00C6786A">
        <w:t xml:space="preserve"> </w:t>
      </w:r>
      <w:r w:rsidRPr="00C6786A">
        <w:rPr>
          <w:b/>
        </w:rPr>
        <w:t xml:space="preserve">44, </w:t>
      </w:r>
      <w:r w:rsidRPr="00C6786A">
        <w:t>pp. 66-87.</w:t>
      </w:r>
    </w:p>
    <w:p w14:paraId="7B965562" w14:textId="77777777" w:rsidR="00C6786A" w:rsidRPr="00C6786A" w:rsidRDefault="00C6786A" w:rsidP="00C6786A">
      <w:pPr>
        <w:pStyle w:val="EndNoteBibliography"/>
        <w:spacing w:after="0"/>
        <w:ind w:left="720" w:hanging="720"/>
      </w:pPr>
      <w:r w:rsidRPr="00C6786A">
        <w:t xml:space="preserve">Makino, S. and A. Delios (1996). 'Local knowledge transfer and performance: Implications for alliance formation in Asia', </w:t>
      </w:r>
      <w:r w:rsidRPr="00C6786A">
        <w:rPr>
          <w:i/>
        </w:rPr>
        <w:t>Journal of international business studies,</w:t>
      </w:r>
      <w:r w:rsidRPr="00C6786A">
        <w:t xml:space="preserve"> </w:t>
      </w:r>
      <w:r w:rsidRPr="00C6786A">
        <w:rPr>
          <w:b/>
        </w:rPr>
        <w:t xml:space="preserve">27, </w:t>
      </w:r>
      <w:r w:rsidRPr="00C6786A">
        <w:t>pp. 905-927.</w:t>
      </w:r>
    </w:p>
    <w:p w14:paraId="3326C1B9" w14:textId="77777777" w:rsidR="00C6786A" w:rsidRPr="00C6786A" w:rsidRDefault="00C6786A" w:rsidP="00C6786A">
      <w:pPr>
        <w:pStyle w:val="EndNoteBibliography"/>
        <w:spacing w:after="0"/>
        <w:ind w:left="720" w:hanging="720"/>
      </w:pPr>
      <w:r w:rsidRPr="00C6786A">
        <w:lastRenderedPageBreak/>
        <w:t xml:space="preserve">McLean, E. V. and M. T. Radtke (2018). 'Political relations, leader stability, and economic coercion', </w:t>
      </w:r>
      <w:r w:rsidRPr="00C6786A">
        <w:rPr>
          <w:i/>
        </w:rPr>
        <w:t>International Studies Quarterly,</w:t>
      </w:r>
      <w:r w:rsidRPr="00C6786A">
        <w:t xml:space="preserve"> </w:t>
      </w:r>
      <w:r w:rsidRPr="00C6786A">
        <w:rPr>
          <w:b/>
        </w:rPr>
        <w:t xml:space="preserve">62, </w:t>
      </w:r>
      <w:r w:rsidRPr="00C6786A">
        <w:t>pp. 357-370.</w:t>
      </w:r>
    </w:p>
    <w:p w14:paraId="5F1E186F" w14:textId="77777777" w:rsidR="00C6786A" w:rsidRPr="00C6786A" w:rsidRDefault="00C6786A" w:rsidP="00C6786A">
      <w:pPr>
        <w:pStyle w:val="EndNoteBibliography"/>
        <w:spacing w:after="0"/>
        <w:ind w:left="720" w:hanging="720"/>
      </w:pPr>
      <w:r w:rsidRPr="00C6786A">
        <w:t xml:space="preserve">Meng, A. and B. Palmer-Rubin (2017). 'Gerrymandering opposition: minority-concentrated districts and electoral competition in Mexico', </w:t>
      </w:r>
      <w:r w:rsidRPr="00C6786A">
        <w:rPr>
          <w:i/>
        </w:rPr>
        <w:t>Studies in Comparative International Development,</w:t>
      </w:r>
      <w:r w:rsidRPr="00C6786A">
        <w:t xml:space="preserve"> </w:t>
      </w:r>
      <w:r w:rsidRPr="00C6786A">
        <w:rPr>
          <w:b/>
        </w:rPr>
        <w:t xml:space="preserve">52, </w:t>
      </w:r>
      <w:r w:rsidRPr="00C6786A">
        <w:t>pp. 64-86.</w:t>
      </w:r>
    </w:p>
    <w:p w14:paraId="7A408056" w14:textId="77777777" w:rsidR="00C6786A" w:rsidRPr="00C6786A" w:rsidRDefault="00C6786A" w:rsidP="00C6786A">
      <w:pPr>
        <w:pStyle w:val="EndNoteBibliography"/>
        <w:spacing w:after="0"/>
        <w:ind w:left="720" w:hanging="720"/>
      </w:pPr>
      <w:r w:rsidRPr="00C6786A">
        <w:t xml:space="preserve">Mitchell, W., J. M. Shaver and B. Yeung (1994). 'Foreign entrant survival and foreign market share: Canadian companies' experience in United States medical sector markets', </w:t>
      </w:r>
      <w:r w:rsidRPr="00C6786A">
        <w:rPr>
          <w:i/>
        </w:rPr>
        <w:t>Strategic Management Journal,</w:t>
      </w:r>
      <w:r w:rsidRPr="00C6786A">
        <w:t xml:space="preserve"> </w:t>
      </w:r>
      <w:r w:rsidRPr="00C6786A">
        <w:rPr>
          <w:b/>
        </w:rPr>
        <w:t xml:space="preserve">15, </w:t>
      </w:r>
      <w:r w:rsidRPr="00C6786A">
        <w:t>pp. 555-567.</w:t>
      </w:r>
    </w:p>
    <w:p w14:paraId="63C0FC2A" w14:textId="77777777" w:rsidR="00C6786A" w:rsidRPr="00C6786A" w:rsidRDefault="00C6786A" w:rsidP="00C6786A">
      <w:pPr>
        <w:pStyle w:val="EndNoteBibliography"/>
        <w:spacing w:after="0"/>
        <w:ind w:left="720" w:hanging="720"/>
      </w:pPr>
      <w:r w:rsidRPr="00C6786A">
        <w:t xml:space="preserve">Nigh, D. (1985). 'The Effect of Political Events on United States Direct Foreign Investment: A Pooled Time-Series Cross-Sectional Analysis', </w:t>
      </w:r>
      <w:r w:rsidRPr="00C6786A">
        <w:rPr>
          <w:i/>
        </w:rPr>
        <w:t>Journal of International Business Studies,</w:t>
      </w:r>
      <w:r w:rsidRPr="00C6786A">
        <w:t xml:space="preserve"> </w:t>
      </w:r>
      <w:r w:rsidRPr="00C6786A">
        <w:rPr>
          <w:b/>
        </w:rPr>
        <w:t xml:space="preserve">16, </w:t>
      </w:r>
      <w:r w:rsidRPr="00C6786A">
        <w:t>pp. 1-17.</w:t>
      </w:r>
    </w:p>
    <w:p w14:paraId="0F797F71" w14:textId="77777777" w:rsidR="00C6786A" w:rsidRPr="00C6786A" w:rsidRDefault="00C6786A" w:rsidP="00C6786A">
      <w:pPr>
        <w:pStyle w:val="EndNoteBibliography"/>
        <w:spacing w:after="0"/>
        <w:ind w:left="720" w:hanging="720"/>
      </w:pPr>
      <w:r w:rsidRPr="00C6786A">
        <w:t xml:space="preserve">Olson, M. (1993). 'Dictatorship, democracy, and development', </w:t>
      </w:r>
      <w:r w:rsidRPr="00C6786A">
        <w:rPr>
          <w:i/>
        </w:rPr>
        <w:t>American political science review,</w:t>
      </w:r>
      <w:r w:rsidRPr="00C6786A">
        <w:t xml:space="preserve"> </w:t>
      </w:r>
      <w:r w:rsidRPr="00C6786A">
        <w:rPr>
          <w:b/>
        </w:rPr>
        <w:t xml:space="preserve">87, </w:t>
      </w:r>
      <w:r w:rsidRPr="00C6786A">
        <w:t>pp. 567-576.</w:t>
      </w:r>
    </w:p>
    <w:p w14:paraId="51FCDDF4" w14:textId="77777777" w:rsidR="00C6786A" w:rsidRPr="00C6786A" w:rsidRDefault="00C6786A" w:rsidP="00C6786A">
      <w:pPr>
        <w:pStyle w:val="EndNoteBibliography"/>
        <w:spacing w:after="0"/>
        <w:ind w:left="720" w:hanging="720"/>
      </w:pPr>
      <w:r w:rsidRPr="00C6786A">
        <w:t xml:space="preserve">Park, S. H., S. Li and D. K. Tse (2006). 'Market liberalization and firm performance during China's economic transition', </w:t>
      </w:r>
      <w:r w:rsidRPr="00C6786A">
        <w:rPr>
          <w:i/>
        </w:rPr>
        <w:t>Journal of International Business Studies,</w:t>
      </w:r>
      <w:r w:rsidRPr="00C6786A">
        <w:t xml:space="preserve"> </w:t>
      </w:r>
      <w:r w:rsidRPr="00C6786A">
        <w:rPr>
          <w:b/>
        </w:rPr>
        <w:t xml:space="preserve">37, </w:t>
      </w:r>
      <w:r w:rsidRPr="00C6786A">
        <w:t>pp. 127-147.</w:t>
      </w:r>
    </w:p>
    <w:p w14:paraId="45C02D7E" w14:textId="77777777" w:rsidR="00C6786A" w:rsidRPr="00C6786A" w:rsidRDefault="00C6786A" w:rsidP="00C6786A">
      <w:pPr>
        <w:pStyle w:val="EndNoteBibliography"/>
        <w:spacing w:after="0"/>
        <w:ind w:left="720" w:hanging="720"/>
      </w:pPr>
      <w:r w:rsidRPr="00C6786A">
        <w:t xml:space="preserve">Phillips, S. H. (2004). </w:t>
      </w:r>
      <w:r w:rsidRPr="00C6786A">
        <w:rPr>
          <w:i/>
        </w:rPr>
        <w:t xml:space="preserve">Review of the honours system, </w:t>
      </w:r>
      <w:r w:rsidRPr="00C6786A">
        <w:t>Cabinet Office London.</w:t>
      </w:r>
    </w:p>
    <w:p w14:paraId="60B53D4C" w14:textId="77777777" w:rsidR="00C6786A" w:rsidRPr="00C6786A" w:rsidRDefault="00C6786A" w:rsidP="00C6786A">
      <w:pPr>
        <w:pStyle w:val="EndNoteBibliography"/>
        <w:spacing w:after="0"/>
        <w:ind w:left="720" w:hanging="720"/>
      </w:pPr>
      <w:r w:rsidRPr="00C6786A">
        <w:t xml:space="preserve">Rathmell, A. and K. Schulze (2000). 'Political reform in the Gulf: The case of Qatar', </w:t>
      </w:r>
      <w:r w:rsidRPr="00C6786A">
        <w:rPr>
          <w:i/>
        </w:rPr>
        <w:t>Middle Eastern Studies</w:t>
      </w:r>
      <w:r w:rsidRPr="00C6786A">
        <w:rPr>
          <w:b/>
        </w:rPr>
        <w:t xml:space="preserve">, </w:t>
      </w:r>
      <w:r w:rsidRPr="00C6786A">
        <w:t>pp. 47-62.</w:t>
      </w:r>
    </w:p>
    <w:p w14:paraId="240720AC" w14:textId="77777777" w:rsidR="00C6786A" w:rsidRPr="00C6786A" w:rsidRDefault="00C6786A" w:rsidP="00C6786A">
      <w:pPr>
        <w:pStyle w:val="EndNoteBibliography"/>
        <w:spacing w:after="0"/>
        <w:ind w:left="720" w:hanging="720"/>
      </w:pPr>
      <w:r w:rsidRPr="00C6786A">
        <w:t xml:space="preserve">Rivoli, P. and E. Salorio (1996). 'Foreign direct investment and investment under uncertainty', </w:t>
      </w:r>
      <w:r w:rsidRPr="00C6786A">
        <w:rPr>
          <w:i/>
        </w:rPr>
        <w:t>Journal of International Business Studies,</w:t>
      </w:r>
      <w:r w:rsidRPr="00C6786A">
        <w:t xml:space="preserve"> </w:t>
      </w:r>
      <w:r w:rsidRPr="00C6786A">
        <w:rPr>
          <w:b/>
        </w:rPr>
        <w:t xml:space="preserve">27, </w:t>
      </w:r>
      <w:r w:rsidRPr="00C6786A">
        <w:t>pp. 335-357.</w:t>
      </w:r>
    </w:p>
    <w:p w14:paraId="28229E7A" w14:textId="77777777" w:rsidR="00C6786A" w:rsidRPr="00C6786A" w:rsidRDefault="00C6786A" w:rsidP="00C6786A">
      <w:pPr>
        <w:pStyle w:val="EndNoteBibliography"/>
        <w:spacing w:after="0"/>
        <w:ind w:left="720" w:hanging="720"/>
      </w:pPr>
      <w:r w:rsidRPr="00C6786A">
        <w:t xml:space="preserve">Rodrik, D. (1991). 'Policy uncertainty and private investment in developing countries', </w:t>
      </w:r>
      <w:r w:rsidRPr="00C6786A">
        <w:rPr>
          <w:i/>
        </w:rPr>
        <w:t>Journal of Development Economics,</w:t>
      </w:r>
      <w:r w:rsidRPr="00C6786A">
        <w:t xml:space="preserve"> </w:t>
      </w:r>
      <w:r w:rsidRPr="00C6786A">
        <w:rPr>
          <w:b/>
        </w:rPr>
        <w:t xml:space="preserve">36, </w:t>
      </w:r>
      <w:r w:rsidRPr="00C6786A">
        <w:t>pp. 229-242.</w:t>
      </w:r>
    </w:p>
    <w:p w14:paraId="06CCAF62" w14:textId="77777777" w:rsidR="00C6786A" w:rsidRPr="00C6786A" w:rsidRDefault="00C6786A" w:rsidP="00C6786A">
      <w:pPr>
        <w:pStyle w:val="EndNoteBibliography"/>
        <w:spacing w:after="0"/>
        <w:ind w:left="720" w:hanging="720"/>
      </w:pPr>
      <w:r w:rsidRPr="00C6786A">
        <w:t xml:space="preserve">Rooney, B. and M. DiLorenzo (2021). 'Political turnover, regime type, and investment behavior', </w:t>
      </w:r>
      <w:r w:rsidRPr="00C6786A">
        <w:rPr>
          <w:i/>
        </w:rPr>
        <w:t>International Interactions,</w:t>
      </w:r>
      <w:r w:rsidRPr="00C6786A">
        <w:t xml:space="preserve"> </w:t>
      </w:r>
      <w:r w:rsidRPr="00C6786A">
        <w:rPr>
          <w:b/>
        </w:rPr>
        <w:t xml:space="preserve">47, </w:t>
      </w:r>
      <w:r w:rsidRPr="00C6786A">
        <w:t>pp. 777-793.</w:t>
      </w:r>
    </w:p>
    <w:p w14:paraId="1784995B" w14:textId="77777777" w:rsidR="00C6786A" w:rsidRPr="00C6786A" w:rsidRDefault="00C6786A" w:rsidP="00C6786A">
      <w:pPr>
        <w:pStyle w:val="EndNoteBibliography"/>
        <w:spacing w:after="0"/>
        <w:ind w:left="720" w:hanging="720"/>
      </w:pPr>
      <w:r w:rsidRPr="00C6786A">
        <w:t xml:space="preserve">Schultz, K. A. (1995). 'The politics of the political business cycle', </w:t>
      </w:r>
      <w:r w:rsidRPr="00C6786A">
        <w:rPr>
          <w:i/>
        </w:rPr>
        <w:t>British Journal of Political Science,</w:t>
      </w:r>
      <w:r w:rsidRPr="00C6786A">
        <w:t xml:space="preserve"> </w:t>
      </w:r>
      <w:r w:rsidRPr="00C6786A">
        <w:rPr>
          <w:b/>
        </w:rPr>
        <w:t xml:space="preserve">25, </w:t>
      </w:r>
      <w:r w:rsidRPr="00C6786A">
        <w:t>pp. 79-99.</w:t>
      </w:r>
    </w:p>
    <w:p w14:paraId="5E87E3F3" w14:textId="77777777" w:rsidR="00C6786A" w:rsidRPr="00C6786A" w:rsidRDefault="00C6786A" w:rsidP="00C6786A">
      <w:pPr>
        <w:pStyle w:val="EndNoteBibliography"/>
        <w:spacing w:after="0"/>
        <w:ind w:left="720" w:hanging="720"/>
      </w:pPr>
      <w:r w:rsidRPr="00C6786A">
        <w:t xml:space="preserve">Sevi, S. (2021). 'Do young voters vote for young leaders?', </w:t>
      </w:r>
      <w:r w:rsidRPr="00C6786A">
        <w:rPr>
          <w:i/>
        </w:rPr>
        <w:t>Electoral Studies,</w:t>
      </w:r>
      <w:r w:rsidRPr="00C6786A">
        <w:t xml:space="preserve"> </w:t>
      </w:r>
      <w:r w:rsidRPr="00C6786A">
        <w:rPr>
          <w:b/>
        </w:rPr>
        <w:t xml:space="preserve">69, </w:t>
      </w:r>
      <w:r w:rsidRPr="00C6786A">
        <w:t>p. 102200.</w:t>
      </w:r>
    </w:p>
    <w:p w14:paraId="377EFB3B" w14:textId="77777777" w:rsidR="00C6786A" w:rsidRPr="00C6786A" w:rsidRDefault="00C6786A" w:rsidP="00C6786A">
      <w:pPr>
        <w:pStyle w:val="EndNoteBibliography"/>
        <w:spacing w:after="0"/>
        <w:ind w:left="720" w:hanging="720"/>
      </w:pPr>
      <w:r w:rsidRPr="00C6786A">
        <w:t xml:space="preserve">Trigeorgis, L. (1996). </w:t>
      </w:r>
      <w:r w:rsidRPr="00C6786A">
        <w:rPr>
          <w:i/>
        </w:rPr>
        <w:t xml:space="preserve">Real options: Managerial flexibility and strategy in resource allocation, </w:t>
      </w:r>
      <w:r w:rsidRPr="00C6786A">
        <w:t>MIT press.</w:t>
      </w:r>
    </w:p>
    <w:p w14:paraId="67C28AE0" w14:textId="77777777" w:rsidR="00C6786A" w:rsidRPr="00C6786A" w:rsidRDefault="00C6786A" w:rsidP="00C6786A">
      <w:pPr>
        <w:pStyle w:val="EndNoteBibliography"/>
        <w:spacing w:after="0"/>
        <w:ind w:left="720" w:hanging="720"/>
        <w:rPr>
          <w:i/>
        </w:rPr>
      </w:pPr>
      <w:r w:rsidRPr="00C6786A">
        <w:t xml:space="preserve">UNCTAD (2023). World investment report 2023: Investing in Sustainable Energy for All. </w:t>
      </w:r>
      <w:r w:rsidRPr="00C6786A">
        <w:rPr>
          <w:i/>
        </w:rPr>
        <w:t>New York City.</w:t>
      </w:r>
    </w:p>
    <w:p w14:paraId="708A9993" w14:textId="77777777" w:rsidR="00C6786A" w:rsidRPr="00C6786A" w:rsidRDefault="00C6786A" w:rsidP="00C6786A">
      <w:pPr>
        <w:pStyle w:val="EndNoteBibliography"/>
        <w:spacing w:after="0"/>
        <w:ind w:left="720" w:hanging="720"/>
      </w:pPr>
      <w:r w:rsidRPr="00C6786A">
        <w:t xml:space="preserve">Vernon, R. (1971). 'Sovereignty at bay: The multinational spread of US enterprises Basic Books', </w:t>
      </w:r>
      <w:r w:rsidRPr="00C6786A">
        <w:rPr>
          <w:i/>
        </w:rPr>
        <w:t>New York, NY, USA</w:t>
      </w:r>
      <w:r w:rsidRPr="00C6786A">
        <w:t>.</w:t>
      </w:r>
    </w:p>
    <w:p w14:paraId="4DE3D3C9" w14:textId="77777777" w:rsidR="00C6786A" w:rsidRPr="00C6786A" w:rsidRDefault="00C6786A" w:rsidP="00C6786A">
      <w:pPr>
        <w:pStyle w:val="EndNoteBibliography"/>
        <w:spacing w:after="0"/>
        <w:ind w:left="720" w:hanging="720"/>
      </w:pPr>
      <w:r w:rsidRPr="00C6786A">
        <w:t xml:space="preserve">Wu, J., C. Wang, J. Hong, P. Piperopoulos and S. Zhuo (2016). 'Internationalization and innovation performance of emerging market enterprises: The role of host-country institutional development', </w:t>
      </w:r>
      <w:r w:rsidRPr="00C6786A">
        <w:rPr>
          <w:i/>
        </w:rPr>
        <w:t>Journal of World Business,</w:t>
      </w:r>
      <w:r w:rsidRPr="00C6786A">
        <w:t xml:space="preserve"> </w:t>
      </w:r>
      <w:r w:rsidRPr="00C6786A">
        <w:rPr>
          <w:b/>
        </w:rPr>
        <w:t xml:space="preserve">51, </w:t>
      </w:r>
      <w:r w:rsidRPr="00C6786A">
        <w:t>pp. 251-263.</w:t>
      </w:r>
    </w:p>
    <w:p w14:paraId="75139BC2" w14:textId="77777777" w:rsidR="00C6786A" w:rsidRPr="00C6786A" w:rsidRDefault="00C6786A" w:rsidP="00C6786A">
      <w:pPr>
        <w:pStyle w:val="EndNoteBibliography"/>
        <w:ind w:left="720" w:hanging="720"/>
      </w:pPr>
      <w:r w:rsidRPr="00C6786A">
        <w:t xml:space="preserve">Zhang, Y., H. Li, Y. Li and L. A. Zhou (2010). 'FDI spillovers in an emerging market: the role of foreign firms' country origin diversity and domestic firms' absorptive capacity', </w:t>
      </w:r>
      <w:r w:rsidRPr="00C6786A">
        <w:rPr>
          <w:i/>
        </w:rPr>
        <w:t>Strategic Management Journal,</w:t>
      </w:r>
      <w:r w:rsidRPr="00C6786A">
        <w:t xml:space="preserve"> </w:t>
      </w:r>
      <w:r w:rsidRPr="00C6786A">
        <w:rPr>
          <w:b/>
        </w:rPr>
        <w:t xml:space="preserve">31, </w:t>
      </w:r>
      <w:r w:rsidRPr="00C6786A">
        <w:t>pp. 969-989.</w:t>
      </w:r>
    </w:p>
    <w:p w14:paraId="61128520" w14:textId="226418AE" w:rsidR="00414E54" w:rsidRDefault="00DB04DC" w:rsidP="00DB04DC">
      <w:pPr>
        <w:spacing w:line="360" w:lineRule="auto"/>
        <w:sectPr w:rsidR="00414E54" w:rsidSect="00E44BEF">
          <w:footerReference w:type="default" r:id="rId8"/>
          <w:pgSz w:w="12240" w:h="15840"/>
          <w:pgMar w:top="1440" w:right="1800" w:bottom="1440" w:left="1800" w:header="720" w:footer="720" w:gutter="0"/>
          <w:cols w:space="720"/>
          <w:docGrid w:linePitch="360"/>
        </w:sectPr>
      </w:pPr>
      <w:r w:rsidRPr="00FA73AC">
        <w:fldChar w:fldCharType="end"/>
      </w:r>
    </w:p>
    <w:p w14:paraId="6804629F" w14:textId="08866C60" w:rsidR="00B90B6D" w:rsidRPr="00456F16" w:rsidRDefault="00B90B6D" w:rsidP="00EF5076">
      <w:pPr>
        <w:jc w:val="center"/>
        <w:rPr>
          <w:b/>
          <w:bCs/>
        </w:rPr>
      </w:pPr>
    </w:p>
    <w:p w14:paraId="67BE11B0" w14:textId="60EAB1CD" w:rsidR="009C352D" w:rsidRDefault="009C352D" w:rsidP="009C352D">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90"/>
      </w:tblGrid>
      <w:tr w:rsidR="00911E06" w14:paraId="786386B2" w14:textId="77777777" w:rsidTr="00911E06">
        <w:tc>
          <w:tcPr>
            <w:tcW w:w="14390" w:type="dxa"/>
          </w:tcPr>
          <w:p w14:paraId="05D285CC" w14:textId="619672A8" w:rsidR="00911E06" w:rsidRDefault="00911E06" w:rsidP="00911E06">
            <w:pPr>
              <w:pStyle w:val="Caption"/>
              <w:jc w:val="center"/>
              <w:rPr>
                <w:rFonts w:ascii="Times New Roman" w:hAnsi="Times New Roman" w:cs="Times New Roman"/>
                <w:sz w:val="24"/>
                <w:szCs w:val="24"/>
              </w:rPr>
            </w:pPr>
            <w:r>
              <w:rPr>
                <w:rFonts w:hint="eastAsia"/>
                <w:b/>
                <w:bCs/>
                <w:noProof/>
              </w:rPr>
              <w:drawing>
                <wp:inline distT="0" distB="0" distL="0" distR="0" wp14:anchorId="63B97A62" wp14:editId="58D9A7A6">
                  <wp:extent cx="8315864" cy="4677674"/>
                  <wp:effectExtent l="0" t="0" r="9525" b="8890"/>
                  <wp:docPr id="1658375574" name="图片 5"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75574" name="图片 5" descr="图表, 折线图&#10;&#10;描述已自动生成"/>
                          <pic:cNvPicPr/>
                        </pic:nvPicPr>
                        <pic:blipFill>
                          <a:blip r:embed="rId9">
                            <a:extLst>
                              <a:ext uri="{28A0092B-C50C-407E-A947-70E740481C1C}">
                                <a14:useLocalDpi xmlns:a14="http://schemas.microsoft.com/office/drawing/2010/main" val="0"/>
                              </a:ext>
                            </a:extLst>
                          </a:blip>
                          <a:stretch>
                            <a:fillRect/>
                          </a:stretch>
                        </pic:blipFill>
                        <pic:spPr>
                          <a:xfrm>
                            <a:off x="0" y="0"/>
                            <a:ext cx="8372846" cy="4709726"/>
                          </a:xfrm>
                          <a:prstGeom prst="rect">
                            <a:avLst/>
                          </a:prstGeom>
                        </pic:spPr>
                      </pic:pic>
                    </a:graphicData>
                  </a:graphic>
                </wp:inline>
              </w:drawing>
            </w:r>
          </w:p>
        </w:tc>
      </w:tr>
      <w:tr w:rsidR="00911E06" w14:paraId="57CCD5FA" w14:textId="77777777" w:rsidTr="00911E06">
        <w:tc>
          <w:tcPr>
            <w:tcW w:w="14390" w:type="dxa"/>
          </w:tcPr>
          <w:p w14:paraId="438A6C3C" w14:textId="08DE1A11" w:rsidR="00911E06" w:rsidRPr="00E30763" w:rsidRDefault="00911E06" w:rsidP="00911E06">
            <w:pPr>
              <w:pStyle w:val="Caption"/>
              <w:rPr>
                <w:rFonts w:ascii="Times New Roman" w:hAnsi="Times New Roman" w:cs="Times New Roman"/>
                <w:sz w:val="22"/>
                <w:szCs w:val="22"/>
              </w:rPr>
            </w:pPr>
            <w:r w:rsidRPr="00E30763">
              <w:rPr>
                <w:rFonts w:ascii="Times New Roman" w:hAnsi="Times New Roman" w:cs="Times New Roman"/>
                <w:i/>
                <w:iCs/>
                <w:sz w:val="22"/>
                <w:szCs w:val="22"/>
              </w:rPr>
              <w:t>Note:</w:t>
            </w:r>
            <w:r w:rsidRPr="00E30763">
              <w:rPr>
                <w:rFonts w:ascii="Times New Roman" w:hAnsi="Times New Roman" w:cs="Times New Roman"/>
                <w:sz w:val="22"/>
                <w:szCs w:val="22"/>
              </w:rPr>
              <w:t xml:space="preserve"> 1) Japanese subsidiaries in Qatar, Oman, Kuwait, and Bahrain follow the scales of the y-axis on the </w:t>
            </w:r>
            <w:proofErr w:type="gramStart"/>
            <w:r w:rsidRPr="00E30763">
              <w:rPr>
                <w:rFonts w:ascii="Times New Roman" w:hAnsi="Times New Roman" w:cs="Times New Roman"/>
                <w:sz w:val="22"/>
                <w:szCs w:val="22"/>
              </w:rPr>
              <w:t>left hand</w:t>
            </w:r>
            <w:proofErr w:type="gramEnd"/>
            <w:r w:rsidRPr="00E30763">
              <w:rPr>
                <w:rFonts w:ascii="Times New Roman" w:hAnsi="Times New Roman" w:cs="Times New Roman"/>
                <w:sz w:val="22"/>
                <w:szCs w:val="22"/>
              </w:rPr>
              <w:t xml:space="preserve"> side, while </w:t>
            </w:r>
            <w:r w:rsidR="0055483D">
              <w:rPr>
                <w:rFonts w:ascii="Times New Roman" w:hAnsi="Times New Roman" w:cs="Times New Roman"/>
                <w:sz w:val="22"/>
                <w:szCs w:val="22"/>
              </w:rPr>
              <w:t>those</w:t>
            </w:r>
            <w:r w:rsidRPr="00E30763">
              <w:rPr>
                <w:rFonts w:ascii="Times New Roman" w:hAnsi="Times New Roman" w:cs="Times New Roman"/>
                <w:sz w:val="22"/>
                <w:szCs w:val="22"/>
              </w:rPr>
              <w:t xml:space="preserve"> in Saudi Arabia follow the right-hand y-axis. 2) On the overlapped lines, successions are denoted for Qatar (1995), United Arab Emirates (2004) and Saudi Arabia (2005). </w:t>
            </w:r>
          </w:p>
          <w:p w14:paraId="1D336595" w14:textId="77777777" w:rsidR="00911E06" w:rsidRPr="00E30763" w:rsidRDefault="00911E06" w:rsidP="00EF5076">
            <w:pPr>
              <w:pStyle w:val="Caption"/>
              <w:rPr>
                <w:rFonts w:ascii="Times New Roman" w:hAnsi="Times New Roman" w:cs="Times New Roman"/>
                <w:sz w:val="22"/>
                <w:szCs w:val="22"/>
              </w:rPr>
            </w:pPr>
          </w:p>
        </w:tc>
      </w:tr>
      <w:tr w:rsidR="00911E06" w14:paraId="085312B7" w14:textId="77777777" w:rsidTr="00911E06">
        <w:tc>
          <w:tcPr>
            <w:tcW w:w="14390" w:type="dxa"/>
          </w:tcPr>
          <w:p w14:paraId="6839B148" w14:textId="29028F26" w:rsidR="00911E06" w:rsidRPr="00D87930" w:rsidRDefault="00911E06" w:rsidP="00911E06">
            <w:pPr>
              <w:pStyle w:val="Caption"/>
              <w:jc w:val="center"/>
              <w:rPr>
                <w:rFonts w:ascii="Times New Roman" w:hAnsi="Times New Roman" w:cs="Times New Roman"/>
                <w:i/>
                <w:iCs/>
                <w:sz w:val="24"/>
                <w:szCs w:val="24"/>
              </w:rPr>
            </w:pPr>
            <w:r w:rsidRPr="00D87930">
              <w:rPr>
                <w:rFonts w:ascii="Times New Roman" w:hAnsi="Times New Roman" w:cs="Times New Roman"/>
                <w:i/>
                <w:iCs/>
                <w:sz w:val="24"/>
                <w:szCs w:val="24"/>
              </w:rPr>
              <w:t xml:space="preserve">Figure 1. Japanese FDI </w:t>
            </w:r>
            <w:r w:rsidR="001E7553" w:rsidRPr="00D87930">
              <w:rPr>
                <w:rFonts w:ascii="Times New Roman" w:hAnsi="Times New Roman" w:cs="Times New Roman"/>
                <w:i/>
                <w:iCs/>
                <w:sz w:val="24"/>
                <w:szCs w:val="24"/>
              </w:rPr>
              <w:t xml:space="preserve">in </w:t>
            </w:r>
            <w:r w:rsidRPr="00D87930">
              <w:rPr>
                <w:rFonts w:ascii="Times New Roman" w:hAnsi="Times New Roman" w:cs="Times New Roman"/>
                <w:i/>
                <w:iCs/>
                <w:sz w:val="24"/>
                <w:szCs w:val="24"/>
              </w:rPr>
              <w:t>GCC Countries</w:t>
            </w:r>
          </w:p>
        </w:tc>
      </w:tr>
    </w:tbl>
    <w:p w14:paraId="795B707B" w14:textId="77777777" w:rsidR="00D91E8B" w:rsidRDefault="00D91E8B" w:rsidP="003373BD">
      <w:pPr>
        <w:sectPr w:rsidR="00D91E8B" w:rsidSect="00E44BEF">
          <w:pgSz w:w="15840" w:h="12240" w:orient="landscape" w:code="1"/>
          <w:pgMar w:top="720" w:right="720" w:bottom="720" w:left="720" w:header="720" w:footer="720" w:gutter="0"/>
          <w:cols w:space="720"/>
          <w:docGrid w:linePitch="360"/>
        </w:sectPr>
      </w:pPr>
    </w:p>
    <w:tbl>
      <w:tblPr>
        <w:tblW w:w="14440" w:type="dxa"/>
        <w:jc w:val="center"/>
        <w:tblLook w:val="04A0" w:firstRow="1" w:lastRow="0" w:firstColumn="1" w:lastColumn="0" w:noHBand="0" w:noVBand="1"/>
      </w:tblPr>
      <w:tblGrid>
        <w:gridCol w:w="1440"/>
        <w:gridCol w:w="880"/>
        <w:gridCol w:w="2980"/>
        <w:gridCol w:w="3780"/>
        <w:gridCol w:w="3620"/>
        <w:gridCol w:w="1740"/>
      </w:tblGrid>
      <w:tr w:rsidR="00D91E8B" w:rsidRPr="00D91E8B" w14:paraId="44C41FC9" w14:textId="77777777" w:rsidTr="00D91E8B">
        <w:trPr>
          <w:trHeight w:val="413"/>
          <w:jc w:val="center"/>
        </w:trPr>
        <w:tc>
          <w:tcPr>
            <w:tcW w:w="14440" w:type="dxa"/>
            <w:gridSpan w:val="6"/>
            <w:tcBorders>
              <w:top w:val="nil"/>
              <w:left w:val="nil"/>
              <w:bottom w:val="nil"/>
              <w:right w:val="nil"/>
            </w:tcBorders>
            <w:shd w:val="clear" w:color="auto" w:fill="auto"/>
            <w:noWrap/>
            <w:vAlign w:val="center"/>
            <w:hideMark/>
          </w:tcPr>
          <w:p w14:paraId="61EFBA1F" w14:textId="77777777" w:rsidR="00D91E8B" w:rsidRPr="00D91E8B" w:rsidRDefault="00D91E8B" w:rsidP="00D91E8B">
            <w:pPr>
              <w:spacing w:after="0" w:line="240" w:lineRule="auto"/>
              <w:rPr>
                <w:rFonts w:eastAsia="Times New Roman"/>
                <w:b/>
                <w:bCs/>
                <w:color w:val="000000"/>
              </w:rPr>
            </w:pPr>
            <w:bookmarkStart w:id="34" w:name="RANGE!A1:F21"/>
            <w:r w:rsidRPr="00D91E8B">
              <w:rPr>
                <w:rFonts w:eastAsia="Times New Roman"/>
                <w:b/>
                <w:bCs/>
                <w:color w:val="000000"/>
              </w:rPr>
              <w:lastRenderedPageBreak/>
              <w:t>Table 1. The monarchical successions in GCC countries in recent decades</w:t>
            </w:r>
            <w:bookmarkEnd w:id="34"/>
          </w:p>
        </w:tc>
      </w:tr>
      <w:tr w:rsidR="00D91E8B" w:rsidRPr="00D91E8B" w14:paraId="2E4CFF78" w14:textId="77777777" w:rsidTr="00D91E8B">
        <w:trPr>
          <w:trHeight w:val="1200"/>
          <w:jc w:val="center"/>
        </w:trPr>
        <w:tc>
          <w:tcPr>
            <w:tcW w:w="1440" w:type="dxa"/>
            <w:tcBorders>
              <w:top w:val="single" w:sz="4" w:space="0" w:color="auto"/>
              <w:left w:val="nil"/>
              <w:bottom w:val="single" w:sz="4" w:space="0" w:color="auto"/>
              <w:right w:val="nil"/>
            </w:tcBorders>
            <w:shd w:val="clear" w:color="auto" w:fill="auto"/>
            <w:vAlign w:val="center"/>
            <w:hideMark/>
          </w:tcPr>
          <w:p w14:paraId="33044AC5" w14:textId="77777777" w:rsidR="00D91E8B" w:rsidRPr="00D91E8B" w:rsidRDefault="00D91E8B" w:rsidP="00D91E8B">
            <w:pPr>
              <w:spacing w:after="0" w:line="240" w:lineRule="auto"/>
              <w:jc w:val="center"/>
              <w:rPr>
                <w:rFonts w:eastAsia="Times New Roman"/>
                <w:b/>
                <w:bCs/>
                <w:color w:val="000000"/>
              </w:rPr>
            </w:pPr>
            <w:r w:rsidRPr="00D91E8B">
              <w:rPr>
                <w:rFonts w:eastAsia="Times New Roman"/>
                <w:b/>
                <w:bCs/>
                <w:color w:val="000000"/>
              </w:rPr>
              <w:t>Country</w:t>
            </w:r>
          </w:p>
        </w:tc>
        <w:tc>
          <w:tcPr>
            <w:tcW w:w="880" w:type="dxa"/>
            <w:tcBorders>
              <w:top w:val="single" w:sz="4" w:space="0" w:color="auto"/>
              <w:left w:val="nil"/>
              <w:bottom w:val="single" w:sz="4" w:space="0" w:color="auto"/>
              <w:right w:val="nil"/>
            </w:tcBorders>
            <w:shd w:val="clear" w:color="auto" w:fill="auto"/>
            <w:vAlign w:val="center"/>
            <w:hideMark/>
          </w:tcPr>
          <w:p w14:paraId="46B53EDC" w14:textId="77777777" w:rsidR="00D91E8B" w:rsidRPr="00D91E8B" w:rsidRDefault="00D91E8B" w:rsidP="00D91E8B">
            <w:pPr>
              <w:spacing w:after="0" w:line="240" w:lineRule="auto"/>
              <w:jc w:val="center"/>
              <w:rPr>
                <w:rFonts w:eastAsia="Times New Roman"/>
                <w:b/>
                <w:bCs/>
                <w:color w:val="000000"/>
              </w:rPr>
            </w:pPr>
            <w:r w:rsidRPr="00D91E8B">
              <w:rPr>
                <w:rFonts w:eastAsia="Times New Roman"/>
                <w:b/>
                <w:bCs/>
                <w:color w:val="000000"/>
              </w:rPr>
              <w:t>Year</w:t>
            </w:r>
          </w:p>
        </w:tc>
        <w:tc>
          <w:tcPr>
            <w:tcW w:w="2980" w:type="dxa"/>
            <w:tcBorders>
              <w:top w:val="single" w:sz="4" w:space="0" w:color="auto"/>
              <w:left w:val="nil"/>
              <w:bottom w:val="single" w:sz="4" w:space="0" w:color="auto"/>
              <w:right w:val="nil"/>
            </w:tcBorders>
            <w:shd w:val="clear" w:color="auto" w:fill="auto"/>
            <w:noWrap/>
            <w:vAlign w:val="center"/>
            <w:hideMark/>
          </w:tcPr>
          <w:p w14:paraId="323948DA" w14:textId="77777777" w:rsidR="00D91E8B" w:rsidRPr="00D91E8B" w:rsidRDefault="00D91E8B" w:rsidP="00D91E8B">
            <w:pPr>
              <w:spacing w:after="0" w:line="240" w:lineRule="auto"/>
              <w:jc w:val="center"/>
              <w:rPr>
                <w:rFonts w:eastAsia="Times New Roman"/>
                <w:b/>
                <w:bCs/>
                <w:color w:val="000000"/>
              </w:rPr>
            </w:pPr>
            <w:r w:rsidRPr="00D91E8B">
              <w:rPr>
                <w:rFonts w:eastAsia="Times New Roman"/>
                <w:b/>
                <w:bCs/>
                <w:color w:val="000000"/>
              </w:rPr>
              <w:t>Causes of succession</w:t>
            </w:r>
          </w:p>
        </w:tc>
        <w:tc>
          <w:tcPr>
            <w:tcW w:w="3780" w:type="dxa"/>
            <w:tcBorders>
              <w:top w:val="single" w:sz="4" w:space="0" w:color="auto"/>
              <w:left w:val="nil"/>
              <w:bottom w:val="single" w:sz="4" w:space="0" w:color="auto"/>
              <w:right w:val="nil"/>
            </w:tcBorders>
            <w:shd w:val="clear" w:color="auto" w:fill="auto"/>
            <w:vAlign w:val="center"/>
            <w:hideMark/>
          </w:tcPr>
          <w:p w14:paraId="5AAC9F3F" w14:textId="77777777" w:rsidR="00D91E8B" w:rsidRPr="00D91E8B" w:rsidRDefault="00D91E8B" w:rsidP="00D91E8B">
            <w:pPr>
              <w:spacing w:after="0" w:line="240" w:lineRule="auto"/>
              <w:jc w:val="center"/>
              <w:rPr>
                <w:rFonts w:eastAsia="Times New Roman"/>
                <w:b/>
                <w:bCs/>
                <w:color w:val="000000"/>
              </w:rPr>
            </w:pPr>
            <w:r w:rsidRPr="00D91E8B">
              <w:rPr>
                <w:rFonts w:eastAsia="Times New Roman"/>
                <w:b/>
                <w:bCs/>
                <w:color w:val="000000"/>
              </w:rPr>
              <w:t>Incumbent King and His Birth Year</w:t>
            </w:r>
          </w:p>
        </w:tc>
        <w:tc>
          <w:tcPr>
            <w:tcW w:w="3620" w:type="dxa"/>
            <w:tcBorders>
              <w:top w:val="single" w:sz="4" w:space="0" w:color="auto"/>
              <w:left w:val="nil"/>
              <w:bottom w:val="single" w:sz="4" w:space="0" w:color="auto"/>
              <w:right w:val="nil"/>
            </w:tcBorders>
            <w:shd w:val="clear" w:color="auto" w:fill="auto"/>
            <w:vAlign w:val="center"/>
            <w:hideMark/>
          </w:tcPr>
          <w:p w14:paraId="2B661BBD" w14:textId="77777777" w:rsidR="00D91E8B" w:rsidRPr="00D91E8B" w:rsidRDefault="00D91E8B" w:rsidP="00D91E8B">
            <w:pPr>
              <w:spacing w:after="0" w:line="240" w:lineRule="auto"/>
              <w:jc w:val="center"/>
              <w:rPr>
                <w:rFonts w:eastAsia="Times New Roman"/>
                <w:b/>
                <w:bCs/>
                <w:color w:val="000000"/>
              </w:rPr>
            </w:pPr>
            <w:r w:rsidRPr="00D91E8B">
              <w:rPr>
                <w:rFonts w:eastAsia="Times New Roman"/>
                <w:b/>
                <w:bCs/>
                <w:color w:val="000000"/>
              </w:rPr>
              <w:t>Successor and His Birth Year</w:t>
            </w:r>
          </w:p>
        </w:tc>
        <w:tc>
          <w:tcPr>
            <w:tcW w:w="1740" w:type="dxa"/>
            <w:tcBorders>
              <w:top w:val="single" w:sz="4" w:space="0" w:color="auto"/>
              <w:left w:val="nil"/>
              <w:bottom w:val="single" w:sz="4" w:space="0" w:color="auto"/>
              <w:right w:val="nil"/>
            </w:tcBorders>
            <w:shd w:val="clear" w:color="auto" w:fill="auto"/>
            <w:vAlign w:val="center"/>
            <w:hideMark/>
          </w:tcPr>
          <w:p w14:paraId="0742F210" w14:textId="77777777" w:rsidR="00D91E8B" w:rsidRPr="00D91E8B" w:rsidRDefault="00D91E8B" w:rsidP="00D91E8B">
            <w:pPr>
              <w:spacing w:after="0" w:line="240" w:lineRule="auto"/>
              <w:jc w:val="center"/>
              <w:rPr>
                <w:rFonts w:eastAsia="Times New Roman"/>
                <w:b/>
                <w:bCs/>
                <w:color w:val="000000"/>
              </w:rPr>
            </w:pPr>
            <w:r w:rsidRPr="00D91E8B">
              <w:rPr>
                <w:rFonts w:eastAsia="Times New Roman"/>
                <w:b/>
                <w:bCs/>
                <w:color w:val="000000"/>
              </w:rPr>
              <w:t>Relationship between Incumbent and Successor</w:t>
            </w:r>
          </w:p>
        </w:tc>
      </w:tr>
      <w:tr w:rsidR="00D91E8B" w:rsidRPr="00D91E8B" w14:paraId="66B88F7D" w14:textId="77777777" w:rsidTr="00D91E8B">
        <w:trPr>
          <w:trHeight w:val="400"/>
          <w:jc w:val="center"/>
        </w:trPr>
        <w:tc>
          <w:tcPr>
            <w:tcW w:w="1440" w:type="dxa"/>
            <w:vMerge w:val="restart"/>
            <w:tcBorders>
              <w:top w:val="nil"/>
              <w:left w:val="nil"/>
              <w:bottom w:val="nil"/>
              <w:right w:val="single" w:sz="4" w:space="0" w:color="auto"/>
            </w:tcBorders>
            <w:shd w:val="clear" w:color="auto" w:fill="auto"/>
            <w:vAlign w:val="center"/>
            <w:hideMark/>
          </w:tcPr>
          <w:p w14:paraId="5AF16626"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Saudi Arabia</w:t>
            </w:r>
          </w:p>
        </w:tc>
        <w:tc>
          <w:tcPr>
            <w:tcW w:w="880" w:type="dxa"/>
            <w:vMerge w:val="restart"/>
            <w:tcBorders>
              <w:top w:val="nil"/>
              <w:left w:val="single" w:sz="4" w:space="0" w:color="auto"/>
              <w:bottom w:val="nil"/>
              <w:right w:val="single" w:sz="4" w:space="0" w:color="auto"/>
            </w:tcBorders>
            <w:shd w:val="clear" w:color="auto" w:fill="auto"/>
            <w:vAlign w:val="center"/>
            <w:hideMark/>
          </w:tcPr>
          <w:p w14:paraId="79E8AB8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2005</w:t>
            </w:r>
          </w:p>
        </w:tc>
        <w:tc>
          <w:tcPr>
            <w:tcW w:w="2980" w:type="dxa"/>
            <w:vMerge w:val="restart"/>
            <w:tcBorders>
              <w:top w:val="nil"/>
              <w:left w:val="single" w:sz="4" w:space="0" w:color="auto"/>
              <w:bottom w:val="nil"/>
              <w:right w:val="single" w:sz="4" w:space="0" w:color="auto"/>
            </w:tcBorders>
            <w:shd w:val="clear" w:color="auto" w:fill="auto"/>
            <w:vAlign w:val="center"/>
            <w:hideMark/>
          </w:tcPr>
          <w:p w14:paraId="6E0A21B4"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Death of the incumbent</w:t>
            </w:r>
          </w:p>
        </w:tc>
        <w:tc>
          <w:tcPr>
            <w:tcW w:w="3780" w:type="dxa"/>
            <w:tcBorders>
              <w:top w:val="nil"/>
              <w:left w:val="nil"/>
              <w:bottom w:val="nil"/>
              <w:right w:val="single" w:sz="4" w:space="0" w:color="auto"/>
            </w:tcBorders>
            <w:shd w:val="clear" w:color="auto" w:fill="auto"/>
            <w:vAlign w:val="bottom"/>
            <w:hideMark/>
          </w:tcPr>
          <w:p w14:paraId="15BBDC5F"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Fahd bin Abdulaziz Al Saud </w:t>
            </w:r>
          </w:p>
        </w:tc>
        <w:tc>
          <w:tcPr>
            <w:tcW w:w="3620" w:type="dxa"/>
            <w:tcBorders>
              <w:top w:val="nil"/>
              <w:left w:val="nil"/>
              <w:bottom w:val="nil"/>
              <w:right w:val="single" w:sz="4" w:space="0" w:color="auto"/>
            </w:tcBorders>
            <w:shd w:val="clear" w:color="auto" w:fill="auto"/>
            <w:vAlign w:val="bottom"/>
            <w:hideMark/>
          </w:tcPr>
          <w:p w14:paraId="6301E43A"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Abdullah bin Abdulaziz Al Saud </w:t>
            </w:r>
          </w:p>
        </w:tc>
        <w:tc>
          <w:tcPr>
            <w:tcW w:w="1740" w:type="dxa"/>
            <w:vMerge w:val="restart"/>
            <w:tcBorders>
              <w:top w:val="nil"/>
              <w:left w:val="single" w:sz="4" w:space="0" w:color="auto"/>
              <w:bottom w:val="nil"/>
              <w:right w:val="nil"/>
            </w:tcBorders>
            <w:shd w:val="clear" w:color="auto" w:fill="auto"/>
            <w:vAlign w:val="center"/>
            <w:hideMark/>
          </w:tcPr>
          <w:p w14:paraId="5A9D7C5B"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Brothers</w:t>
            </w:r>
          </w:p>
        </w:tc>
      </w:tr>
      <w:tr w:rsidR="00D91E8B" w:rsidRPr="00D91E8B" w14:paraId="4FB5D381" w14:textId="77777777" w:rsidTr="00D91E8B">
        <w:trPr>
          <w:trHeight w:val="400"/>
          <w:jc w:val="center"/>
        </w:trPr>
        <w:tc>
          <w:tcPr>
            <w:tcW w:w="1440" w:type="dxa"/>
            <w:vMerge/>
            <w:tcBorders>
              <w:top w:val="nil"/>
              <w:left w:val="nil"/>
              <w:bottom w:val="nil"/>
              <w:right w:val="single" w:sz="4" w:space="0" w:color="auto"/>
            </w:tcBorders>
            <w:vAlign w:val="center"/>
            <w:hideMark/>
          </w:tcPr>
          <w:p w14:paraId="5165A5D8" w14:textId="77777777" w:rsidR="00D91E8B" w:rsidRPr="00D91E8B" w:rsidRDefault="00D91E8B" w:rsidP="00D91E8B">
            <w:pPr>
              <w:spacing w:after="0" w:line="240" w:lineRule="auto"/>
              <w:rPr>
                <w:rFonts w:eastAsia="Times New Roman"/>
                <w:color w:val="000000"/>
              </w:rPr>
            </w:pPr>
          </w:p>
        </w:tc>
        <w:tc>
          <w:tcPr>
            <w:tcW w:w="880" w:type="dxa"/>
            <w:vMerge/>
            <w:tcBorders>
              <w:top w:val="nil"/>
              <w:left w:val="single" w:sz="4" w:space="0" w:color="auto"/>
              <w:bottom w:val="nil"/>
              <w:right w:val="single" w:sz="4" w:space="0" w:color="auto"/>
            </w:tcBorders>
            <w:vAlign w:val="center"/>
            <w:hideMark/>
          </w:tcPr>
          <w:p w14:paraId="43983DD7" w14:textId="77777777" w:rsidR="00D91E8B" w:rsidRPr="00D91E8B" w:rsidRDefault="00D91E8B" w:rsidP="00D91E8B">
            <w:pPr>
              <w:spacing w:after="0" w:line="240" w:lineRule="auto"/>
              <w:rPr>
                <w:rFonts w:eastAsia="Times New Roman"/>
                <w:color w:val="000000"/>
              </w:rPr>
            </w:pPr>
          </w:p>
        </w:tc>
        <w:tc>
          <w:tcPr>
            <w:tcW w:w="2980" w:type="dxa"/>
            <w:vMerge/>
            <w:tcBorders>
              <w:top w:val="nil"/>
              <w:left w:val="single" w:sz="4" w:space="0" w:color="auto"/>
              <w:bottom w:val="nil"/>
              <w:right w:val="single" w:sz="4" w:space="0" w:color="auto"/>
            </w:tcBorders>
            <w:vAlign w:val="center"/>
            <w:hideMark/>
          </w:tcPr>
          <w:p w14:paraId="428929F0" w14:textId="77777777" w:rsidR="00D91E8B" w:rsidRPr="00D91E8B" w:rsidRDefault="00D91E8B" w:rsidP="00D91E8B">
            <w:pPr>
              <w:spacing w:after="0" w:line="240" w:lineRule="auto"/>
              <w:rPr>
                <w:rFonts w:eastAsia="Times New Roman"/>
                <w:color w:val="000000"/>
              </w:rPr>
            </w:pPr>
          </w:p>
        </w:tc>
        <w:tc>
          <w:tcPr>
            <w:tcW w:w="3780" w:type="dxa"/>
            <w:tcBorders>
              <w:top w:val="nil"/>
              <w:left w:val="nil"/>
              <w:bottom w:val="nil"/>
              <w:right w:val="single" w:sz="4" w:space="0" w:color="auto"/>
            </w:tcBorders>
            <w:shd w:val="clear" w:color="auto" w:fill="auto"/>
            <w:hideMark/>
          </w:tcPr>
          <w:p w14:paraId="231AA4F2"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(1920)</w:t>
            </w:r>
          </w:p>
        </w:tc>
        <w:tc>
          <w:tcPr>
            <w:tcW w:w="3620" w:type="dxa"/>
            <w:tcBorders>
              <w:top w:val="nil"/>
              <w:left w:val="nil"/>
              <w:bottom w:val="nil"/>
              <w:right w:val="single" w:sz="4" w:space="0" w:color="auto"/>
            </w:tcBorders>
            <w:shd w:val="clear" w:color="auto" w:fill="auto"/>
            <w:hideMark/>
          </w:tcPr>
          <w:p w14:paraId="503699B3"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(1924)</w:t>
            </w:r>
          </w:p>
        </w:tc>
        <w:tc>
          <w:tcPr>
            <w:tcW w:w="1740" w:type="dxa"/>
            <w:vMerge/>
            <w:tcBorders>
              <w:top w:val="nil"/>
              <w:left w:val="single" w:sz="4" w:space="0" w:color="auto"/>
              <w:bottom w:val="nil"/>
              <w:right w:val="nil"/>
            </w:tcBorders>
            <w:vAlign w:val="center"/>
            <w:hideMark/>
          </w:tcPr>
          <w:p w14:paraId="59B3544C" w14:textId="77777777" w:rsidR="00D91E8B" w:rsidRPr="00D91E8B" w:rsidRDefault="00D91E8B" w:rsidP="00D91E8B">
            <w:pPr>
              <w:spacing w:after="0" w:line="240" w:lineRule="auto"/>
              <w:rPr>
                <w:rFonts w:eastAsia="Times New Roman"/>
                <w:color w:val="000000"/>
              </w:rPr>
            </w:pPr>
          </w:p>
        </w:tc>
      </w:tr>
      <w:tr w:rsidR="00D91E8B" w:rsidRPr="00D91E8B" w14:paraId="4C19A396" w14:textId="77777777" w:rsidTr="00D91E8B">
        <w:trPr>
          <w:trHeight w:val="400"/>
          <w:jc w:val="center"/>
        </w:trPr>
        <w:tc>
          <w:tcPr>
            <w:tcW w:w="1440" w:type="dxa"/>
            <w:vMerge w:val="restart"/>
            <w:tcBorders>
              <w:top w:val="nil"/>
              <w:left w:val="nil"/>
              <w:bottom w:val="nil"/>
              <w:right w:val="single" w:sz="4" w:space="0" w:color="auto"/>
            </w:tcBorders>
            <w:shd w:val="clear" w:color="auto" w:fill="auto"/>
            <w:vAlign w:val="center"/>
            <w:hideMark/>
          </w:tcPr>
          <w:p w14:paraId="0D7FEB49"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Saudi Arabia</w:t>
            </w:r>
          </w:p>
        </w:tc>
        <w:tc>
          <w:tcPr>
            <w:tcW w:w="880" w:type="dxa"/>
            <w:vMerge w:val="restart"/>
            <w:tcBorders>
              <w:top w:val="nil"/>
              <w:left w:val="single" w:sz="4" w:space="0" w:color="auto"/>
              <w:bottom w:val="nil"/>
              <w:right w:val="single" w:sz="4" w:space="0" w:color="auto"/>
            </w:tcBorders>
            <w:shd w:val="clear" w:color="auto" w:fill="auto"/>
            <w:vAlign w:val="center"/>
            <w:hideMark/>
          </w:tcPr>
          <w:p w14:paraId="7F7206D0"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2015</w:t>
            </w:r>
          </w:p>
        </w:tc>
        <w:tc>
          <w:tcPr>
            <w:tcW w:w="2980" w:type="dxa"/>
            <w:vMerge w:val="restart"/>
            <w:tcBorders>
              <w:top w:val="nil"/>
              <w:left w:val="single" w:sz="4" w:space="0" w:color="auto"/>
              <w:bottom w:val="nil"/>
              <w:right w:val="single" w:sz="4" w:space="0" w:color="auto"/>
            </w:tcBorders>
            <w:shd w:val="clear" w:color="auto" w:fill="auto"/>
            <w:vAlign w:val="center"/>
            <w:hideMark/>
          </w:tcPr>
          <w:p w14:paraId="547C5BB6"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Death of the incumbent</w:t>
            </w:r>
          </w:p>
        </w:tc>
        <w:tc>
          <w:tcPr>
            <w:tcW w:w="3780" w:type="dxa"/>
            <w:tcBorders>
              <w:top w:val="nil"/>
              <w:left w:val="nil"/>
              <w:bottom w:val="nil"/>
              <w:right w:val="single" w:sz="4" w:space="0" w:color="auto"/>
            </w:tcBorders>
            <w:shd w:val="clear" w:color="auto" w:fill="auto"/>
            <w:vAlign w:val="bottom"/>
            <w:hideMark/>
          </w:tcPr>
          <w:p w14:paraId="41D74296"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Abdullah bin Abdulaziz Al Saud </w:t>
            </w:r>
          </w:p>
        </w:tc>
        <w:tc>
          <w:tcPr>
            <w:tcW w:w="3620" w:type="dxa"/>
            <w:tcBorders>
              <w:top w:val="nil"/>
              <w:left w:val="nil"/>
              <w:bottom w:val="nil"/>
              <w:right w:val="single" w:sz="4" w:space="0" w:color="auto"/>
            </w:tcBorders>
            <w:shd w:val="clear" w:color="auto" w:fill="auto"/>
            <w:vAlign w:val="bottom"/>
            <w:hideMark/>
          </w:tcPr>
          <w:p w14:paraId="7A225CCA"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Salman bin Abdulaziz Al Saud </w:t>
            </w:r>
          </w:p>
        </w:tc>
        <w:tc>
          <w:tcPr>
            <w:tcW w:w="1740" w:type="dxa"/>
            <w:vMerge w:val="restart"/>
            <w:tcBorders>
              <w:top w:val="nil"/>
              <w:left w:val="single" w:sz="4" w:space="0" w:color="auto"/>
              <w:bottom w:val="nil"/>
              <w:right w:val="nil"/>
            </w:tcBorders>
            <w:shd w:val="clear" w:color="auto" w:fill="auto"/>
            <w:vAlign w:val="center"/>
            <w:hideMark/>
          </w:tcPr>
          <w:p w14:paraId="134EAB98"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Brothers</w:t>
            </w:r>
          </w:p>
        </w:tc>
      </w:tr>
      <w:tr w:rsidR="00D91E8B" w:rsidRPr="00D91E8B" w14:paraId="0D8CE0DC" w14:textId="77777777" w:rsidTr="00D91E8B">
        <w:trPr>
          <w:trHeight w:val="400"/>
          <w:jc w:val="center"/>
        </w:trPr>
        <w:tc>
          <w:tcPr>
            <w:tcW w:w="1440" w:type="dxa"/>
            <w:vMerge/>
            <w:tcBorders>
              <w:top w:val="nil"/>
              <w:left w:val="nil"/>
              <w:bottom w:val="nil"/>
              <w:right w:val="single" w:sz="4" w:space="0" w:color="auto"/>
            </w:tcBorders>
            <w:vAlign w:val="center"/>
            <w:hideMark/>
          </w:tcPr>
          <w:p w14:paraId="0EA58245" w14:textId="77777777" w:rsidR="00D91E8B" w:rsidRPr="00D91E8B" w:rsidRDefault="00D91E8B" w:rsidP="00D91E8B">
            <w:pPr>
              <w:spacing w:after="0" w:line="240" w:lineRule="auto"/>
              <w:rPr>
                <w:rFonts w:eastAsia="Times New Roman"/>
                <w:color w:val="000000"/>
              </w:rPr>
            </w:pPr>
          </w:p>
        </w:tc>
        <w:tc>
          <w:tcPr>
            <w:tcW w:w="880" w:type="dxa"/>
            <w:vMerge/>
            <w:tcBorders>
              <w:top w:val="nil"/>
              <w:left w:val="single" w:sz="4" w:space="0" w:color="auto"/>
              <w:bottom w:val="nil"/>
              <w:right w:val="single" w:sz="4" w:space="0" w:color="auto"/>
            </w:tcBorders>
            <w:vAlign w:val="center"/>
            <w:hideMark/>
          </w:tcPr>
          <w:p w14:paraId="7E833D32" w14:textId="77777777" w:rsidR="00D91E8B" w:rsidRPr="00D91E8B" w:rsidRDefault="00D91E8B" w:rsidP="00D91E8B">
            <w:pPr>
              <w:spacing w:after="0" w:line="240" w:lineRule="auto"/>
              <w:rPr>
                <w:rFonts w:eastAsia="Times New Roman"/>
                <w:color w:val="000000"/>
              </w:rPr>
            </w:pPr>
          </w:p>
        </w:tc>
        <w:tc>
          <w:tcPr>
            <w:tcW w:w="2980" w:type="dxa"/>
            <w:vMerge/>
            <w:tcBorders>
              <w:top w:val="nil"/>
              <w:left w:val="single" w:sz="4" w:space="0" w:color="auto"/>
              <w:bottom w:val="nil"/>
              <w:right w:val="single" w:sz="4" w:space="0" w:color="auto"/>
            </w:tcBorders>
            <w:vAlign w:val="center"/>
            <w:hideMark/>
          </w:tcPr>
          <w:p w14:paraId="0BCFA6D8" w14:textId="77777777" w:rsidR="00D91E8B" w:rsidRPr="00D91E8B" w:rsidRDefault="00D91E8B" w:rsidP="00D91E8B">
            <w:pPr>
              <w:spacing w:after="0" w:line="240" w:lineRule="auto"/>
              <w:rPr>
                <w:rFonts w:eastAsia="Times New Roman"/>
                <w:color w:val="000000"/>
              </w:rPr>
            </w:pPr>
          </w:p>
        </w:tc>
        <w:tc>
          <w:tcPr>
            <w:tcW w:w="3780" w:type="dxa"/>
            <w:tcBorders>
              <w:top w:val="nil"/>
              <w:left w:val="nil"/>
              <w:bottom w:val="nil"/>
              <w:right w:val="single" w:sz="4" w:space="0" w:color="auto"/>
            </w:tcBorders>
            <w:shd w:val="clear" w:color="auto" w:fill="auto"/>
            <w:hideMark/>
          </w:tcPr>
          <w:p w14:paraId="384073BA"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(1924)</w:t>
            </w:r>
          </w:p>
        </w:tc>
        <w:tc>
          <w:tcPr>
            <w:tcW w:w="3620" w:type="dxa"/>
            <w:tcBorders>
              <w:top w:val="nil"/>
              <w:left w:val="nil"/>
              <w:bottom w:val="nil"/>
              <w:right w:val="single" w:sz="4" w:space="0" w:color="auto"/>
            </w:tcBorders>
            <w:shd w:val="clear" w:color="auto" w:fill="auto"/>
            <w:hideMark/>
          </w:tcPr>
          <w:p w14:paraId="1BA47672"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(1935)</w:t>
            </w:r>
          </w:p>
        </w:tc>
        <w:tc>
          <w:tcPr>
            <w:tcW w:w="1740" w:type="dxa"/>
            <w:vMerge/>
            <w:tcBorders>
              <w:top w:val="nil"/>
              <w:left w:val="single" w:sz="4" w:space="0" w:color="auto"/>
              <w:bottom w:val="nil"/>
              <w:right w:val="nil"/>
            </w:tcBorders>
            <w:vAlign w:val="center"/>
            <w:hideMark/>
          </w:tcPr>
          <w:p w14:paraId="0F60BF05" w14:textId="77777777" w:rsidR="00D91E8B" w:rsidRPr="00D91E8B" w:rsidRDefault="00D91E8B" w:rsidP="00D91E8B">
            <w:pPr>
              <w:spacing w:after="0" w:line="240" w:lineRule="auto"/>
              <w:rPr>
                <w:rFonts w:eastAsia="Times New Roman"/>
                <w:color w:val="000000"/>
              </w:rPr>
            </w:pPr>
          </w:p>
        </w:tc>
      </w:tr>
      <w:tr w:rsidR="00D91E8B" w:rsidRPr="00D91E8B" w14:paraId="7A05B352" w14:textId="77777777" w:rsidTr="00D91E8B">
        <w:trPr>
          <w:trHeight w:val="400"/>
          <w:jc w:val="center"/>
        </w:trPr>
        <w:tc>
          <w:tcPr>
            <w:tcW w:w="1440" w:type="dxa"/>
            <w:vMerge w:val="restart"/>
            <w:tcBorders>
              <w:top w:val="nil"/>
              <w:left w:val="nil"/>
              <w:bottom w:val="nil"/>
              <w:right w:val="single" w:sz="4" w:space="0" w:color="auto"/>
            </w:tcBorders>
            <w:shd w:val="clear" w:color="auto" w:fill="auto"/>
            <w:vAlign w:val="center"/>
            <w:hideMark/>
          </w:tcPr>
          <w:p w14:paraId="709B1AAE"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Qatar</w:t>
            </w:r>
          </w:p>
        </w:tc>
        <w:tc>
          <w:tcPr>
            <w:tcW w:w="880" w:type="dxa"/>
            <w:vMerge w:val="restart"/>
            <w:tcBorders>
              <w:top w:val="nil"/>
              <w:left w:val="single" w:sz="4" w:space="0" w:color="auto"/>
              <w:bottom w:val="nil"/>
              <w:right w:val="single" w:sz="4" w:space="0" w:color="auto"/>
            </w:tcBorders>
            <w:shd w:val="clear" w:color="auto" w:fill="auto"/>
            <w:vAlign w:val="center"/>
            <w:hideMark/>
          </w:tcPr>
          <w:p w14:paraId="095B7F59"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1995</w:t>
            </w:r>
          </w:p>
        </w:tc>
        <w:tc>
          <w:tcPr>
            <w:tcW w:w="2980" w:type="dxa"/>
            <w:vMerge w:val="restart"/>
            <w:tcBorders>
              <w:top w:val="nil"/>
              <w:left w:val="single" w:sz="4" w:space="0" w:color="auto"/>
              <w:bottom w:val="nil"/>
              <w:right w:val="single" w:sz="4" w:space="0" w:color="auto"/>
            </w:tcBorders>
            <w:shd w:val="clear" w:color="auto" w:fill="auto"/>
            <w:vAlign w:val="center"/>
            <w:hideMark/>
          </w:tcPr>
          <w:p w14:paraId="16312FCF"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Coup initiated by Hamad bin Khalifa Al Than</w:t>
            </w:r>
          </w:p>
        </w:tc>
        <w:tc>
          <w:tcPr>
            <w:tcW w:w="3780" w:type="dxa"/>
            <w:tcBorders>
              <w:top w:val="nil"/>
              <w:left w:val="nil"/>
              <w:bottom w:val="nil"/>
              <w:right w:val="single" w:sz="4" w:space="0" w:color="auto"/>
            </w:tcBorders>
            <w:shd w:val="clear" w:color="auto" w:fill="auto"/>
            <w:vAlign w:val="bottom"/>
            <w:hideMark/>
          </w:tcPr>
          <w:p w14:paraId="7803CDB2"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Khalifa bin Hamad Al Thani </w:t>
            </w:r>
          </w:p>
        </w:tc>
        <w:tc>
          <w:tcPr>
            <w:tcW w:w="3620" w:type="dxa"/>
            <w:tcBorders>
              <w:top w:val="nil"/>
              <w:left w:val="nil"/>
              <w:bottom w:val="nil"/>
              <w:right w:val="single" w:sz="4" w:space="0" w:color="auto"/>
            </w:tcBorders>
            <w:shd w:val="clear" w:color="auto" w:fill="auto"/>
            <w:vAlign w:val="bottom"/>
            <w:hideMark/>
          </w:tcPr>
          <w:p w14:paraId="44F71A07"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Hamad bin Khalifa Al Than </w:t>
            </w:r>
          </w:p>
        </w:tc>
        <w:tc>
          <w:tcPr>
            <w:tcW w:w="1740" w:type="dxa"/>
            <w:vMerge w:val="restart"/>
            <w:tcBorders>
              <w:top w:val="nil"/>
              <w:left w:val="single" w:sz="4" w:space="0" w:color="auto"/>
              <w:bottom w:val="nil"/>
              <w:right w:val="nil"/>
            </w:tcBorders>
            <w:shd w:val="clear" w:color="auto" w:fill="auto"/>
            <w:vAlign w:val="center"/>
            <w:hideMark/>
          </w:tcPr>
          <w:p w14:paraId="56AE5BD4"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Cousins</w:t>
            </w:r>
          </w:p>
        </w:tc>
      </w:tr>
      <w:tr w:rsidR="00D91E8B" w:rsidRPr="00D91E8B" w14:paraId="4D6C97BD" w14:textId="77777777" w:rsidTr="00D91E8B">
        <w:trPr>
          <w:trHeight w:val="400"/>
          <w:jc w:val="center"/>
        </w:trPr>
        <w:tc>
          <w:tcPr>
            <w:tcW w:w="1440" w:type="dxa"/>
            <w:vMerge/>
            <w:tcBorders>
              <w:top w:val="nil"/>
              <w:left w:val="nil"/>
              <w:bottom w:val="nil"/>
              <w:right w:val="single" w:sz="4" w:space="0" w:color="auto"/>
            </w:tcBorders>
            <w:vAlign w:val="center"/>
            <w:hideMark/>
          </w:tcPr>
          <w:p w14:paraId="47BD52CA" w14:textId="77777777" w:rsidR="00D91E8B" w:rsidRPr="00D91E8B" w:rsidRDefault="00D91E8B" w:rsidP="00D91E8B">
            <w:pPr>
              <w:spacing w:after="0" w:line="240" w:lineRule="auto"/>
              <w:rPr>
                <w:rFonts w:eastAsia="Times New Roman"/>
                <w:color w:val="000000"/>
              </w:rPr>
            </w:pPr>
          </w:p>
        </w:tc>
        <w:tc>
          <w:tcPr>
            <w:tcW w:w="880" w:type="dxa"/>
            <w:vMerge/>
            <w:tcBorders>
              <w:top w:val="nil"/>
              <w:left w:val="single" w:sz="4" w:space="0" w:color="auto"/>
              <w:bottom w:val="nil"/>
              <w:right w:val="single" w:sz="4" w:space="0" w:color="auto"/>
            </w:tcBorders>
            <w:vAlign w:val="center"/>
            <w:hideMark/>
          </w:tcPr>
          <w:p w14:paraId="451DEEEB" w14:textId="77777777" w:rsidR="00D91E8B" w:rsidRPr="00D91E8B" w:rsidRDefault="00D91E8B" w:rsidP="00D91E8B">
            <w:pPr>
              <w:spacing w:after="0" w:line="240" w:lineRule="auto"/>
              <w:rPr>
                <w:rFonts w:eastAsia="Times New Roman"/>
                <w:color w:val="000000"/>
              </w:rPr>
            </w:pPr>
          </w:p>
        </w:tc>
        <w:tc>
          <w:tcPr>
            <w:tcW w:w="2980" w:type="dxa"/>
            <w:vMerge/>
            <w:tcBorders>
              <w:top w:val="nil"/>
              <w:left w:val="single" w:sz="4" w:space="0" w:color="auto"/>
              <w:bottom w:val="nil"/>
              <w:right w:val="single" w:sz="4" w:space="0" w:color="auto"/>
            </w:tcBorders>
            <w:vAlign w:val="center"/>
            <w:hideMark/>
          </w:tcPr>
          <w:p w14:paraId="2863778D" w14:textId="77777777" w:rsidR="00D91E8B" w:rsidRPr="00D91E8B" w:rsidRDefault="00D91E8B" w:rsidP="00D91E8B">
            <w:pPr>
              <w:spacing w:after="0" w:line="240" w:lineRule="auto"/>
              <w:rPr>
                <w:rFonts w:eastAsia="Times New Roman"/>
                <w:color w:val="000000"/>
              </w:rPr>
            </w:pPr>
          </w:p>
        </w:tc>
        <w:tc>
          <w:tcPr>
            <w:tcW w:w="3780" w:type="dxa"/>
            <w:tcBorders>
              <w:top w:val="nil"/>
              <w:left w:val="nil"/>
              <w:bottom w:val="nil"/>
              <w:right w:val="single" w:sz="4" w:space="0" w:color="auto"/>
            </w:tcBorders>
            <w:shd w:val="clear" w:color="auto" w:fill="auto"/>
            <w:hideMark/>
          </w:tcPr>
          <w:p w14:paraId="0AEE2F52"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(1932)</w:t>
            </w:r>
          </w:p>
        </w:tc>
        <w:tc>
          <w:tcPr>
            <w:tcW w:w="3620" w:type="dxa"/>
            <w:tcBorders>
              <w:top w:val="nil"/>
              <w:left w:val="nil"/>
              <w:bottom w:val="nil"/>
              <w:right w:val="single" w:sz="4" w:space="0" w:color="auto"/>
            </w:tcBorders>
            <w:shd w:val="clear" w:color="auto" w:fill="auto"/>
            <w:hideMark/>
          </w:tcPr>
          <w:p w14:paraId="6E9A211F"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(1952)</w:t>
            </w:r>
          </w:p>
        </w:tc>
        <w:tc>
          <w:tcPr>
            <w:tcW w:w="1740" w:type="dxa"/>
            <w:vMerge/>
            <w:tcBorders>
              <w:top w:val="nil"/>
              <w:left w:val="single" w:sz="4" w:space="0" w:color="auto"/>
              <w:bottom w:val="nil"/>
              <w:right w:val="nil"/>
            </w:tcBorders>
            <w:vAlign w:val="center"/>
            <w:hideMark/>
          </w:tcPr>
          <w:p w14:paraId="29F59547" w14:textId="77777777" w:rsidR="00D91E8B" w:rsidRPr="00D91E8B" w:rsidRDefault="00D91E8B" w:rsidP="00D91E8B">
            <w:pPr>
              <w:spacing w:after="0" w:line="240" w:lineRule="auto"/>
              <w:rPr>
                <w:rFonts w:eastAsia="Times New Roman"/>
                <w:color w:val="000000"/>
              </w:rPr>
            </w:pPr>
          </w:p>
        </w:tc>
      </w:tr>
      <w:tr w:rsidR="00D91E8B" w:rsidRPr="00D91E8B" w14:paraId="0230C984" w14:textId="77777777" w:rsidTr="00D91E8B">
        <w:trPr>
          <w:trHeight w:val="400"/>
          <w:jc w:val="center"/>
        </w:trPr>
        <w:tc>
          <w:tcPr>
            <w:tcW w:w="1440" w:type="dxa"/>
            <w:vMerge w:val="restart"/>
            <w:tcBorders>
              <w:top w:val="nil"/>
              <w:left w:val="nil"/>
              <w:bottom w:val="nil"/>
              <w:right w:val="single" w:sz="4" w:space="0" w:color="auto"/>
            </w:tcBorders>
            <w:shd w:val="clear" w:color="auto" w:fill="auto"/>
            <w:vAlign w:val="center"/>
            <w:hideMark/>
          </w:tcPr>
          <w:p w14:paraId="5A060A6C"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Qatar</w:t>
            </w:r>
          </w:p>
        </w:tc>
        <w:tc>
          <w:tcPr>
            <w:tcW w:w="880" w:type="dxa"/>
            <w:vMerge w:val="restart"/>
            <w:tcBorders>
              <w:top w:val="nil"/>
              <w:left w:val="single" w:sz="4" w:space="0" w:color="auto"/>
              <w:bottom w:val="nil"/>
              <w:right w:val="single" w:sz="4" w:space="0" w:color="auto"/>
            </w:tcBorders>
            <w:shd w:val="clear" w:color="auto" w:fill="auto"/>
            <w:vAlign w:val="center"/>
            <w:hideMark/>
          </w:tcPr>
          <w:p w14:paraId="34CAA62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2013</w:t>
            </w:r>
          </w:p>
        </w:tc>
        <w:tc>
          <w:tcPr>
            <w:tcW w:w="2980" w:type="dxa"/>
            <w:vMerge w:val="restart"/>
            <w:tcBorders>
              <w:top w:val="nil"/>
              <w:left w:val="single" w:sz="4" w:space="0" w:color="auto"/>
              <w:bottom w:val="nil"/>
              <w:right w:val="single" w:sz="4" w:space="0" w:color="auto"/>
            </w:tcBorders>
            <w:shd w:val="clear" w:color="auto" w:fill="auto"/>
            <w:vAlign w:val="center"/>
            <w:hideMark/>
          </w:tcPr>
          <w:p w14:paraId="5D54121C"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Abdication of the incumbent</w:t>
            </w:r>
          </w:p>
        </w:tc>
        <w:tc>
          <w:tcPr>
            <w:tcW w:w="3780" w:type="dxa"/>
            <w:tcBorders>
              <w:top w:val="nil"/>
              <w:left w:val="nil"/>
              <w:bottom w:val="nil"/>
              <w:right w:val="single" w:sz="4" w:space="0" w:color="auto"/>
            </w:tcBorders>
            <w:shd w:val="clear" w:color="auto" w:fill="auto"/>
            <w:vAlign w:val="bottom"/>
            <w:hideMark/>
          </w:tcPr>
          <w:p w14:paraId="7D479901"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Hamad bin Khalifa Al Than </w:t>
            </w:r>
          </w:p>
        </w:tc>
        <w:tc>
          <w:tcPr>
            <w:tcW w:w="3620" w:type="dxa"/>
            <w:tcBorders>
              <w:top w:val="nil"/>
              <w:left w:val="nil"/>
              <w:bottom w:val="nil"/>
              <w:right w:val="single" w:sz="4" w:space="0" w:color="auto"/>
            </w:tcBorders>
            <w:shd w:val="clear" w:color="auto" w:fill="auto"/>
            <w:vAlign w:val="bottom"/>
            <w:hideMark/>
          </w:tcPr>
          <w:p w14:paraId="3EC5BD97"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Tamim bin Hamad Al Thani </w:t>
            </w:r>
          </w:p>
        </w:tc>
        <w:tc>
          <w:tcPr>
            <w:tcW w:w="1740" w:type="dxa"/>
            <w:vMerge w:val="restart"/>
            <w:tcBorders>
              <w:top w:val="nil"/>
              <w:left w:val="single" w:sz="4" w:space="0" w:color="auto"/>
              <w:bottom w:val="nil"/>
              <w:right w:val="nil"/>
            </w:tcBorders>
            <w:shd w:val="clear" w:color="auto" w:fill="auto"/>
            <w:vAlign w:val="center"/>
            <w:hideMark/>
          </w:tcPr>
          <w:p w14:paraId="43071801"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Son</w:t>
            </w:r>
          </w:p>
        </w:tc>
      </w:tr>
      <w:tr w:rsidR="00D91E8B" w:rsidRPr="00D91E8B" w14:paraId="33675C9A" w14:textId="77777777" w:rsidTr="00D91E8B">
        <w:trPr>
          <w:trHeight w:val="400"/>
          <w:jc w:val="center"/>
        </w:trPr>
        <w:tc>
          <w:tcPr>
            <w:tcW w:w="1440" w:type="dxa"/>
            <w:vMerge/>
            <w:tcBorders>
              <w:top w:val="nil"/>
              <w:left w:val="nil"/>
              <w:bottom w:val="nil"/>
              <w:right w:val="single" w:sz="4" w:space="0" w:color="auto"/>
            </w:tcBorders>
            <w:vAlign w:val="center"/>
            <w:hideMark/>
          </w:tcPr>
          <w:p w14:paraId="24AF76B1" w14:textId="77777777" w:rsidR="00D91E8B" w:rsidRPr="00D91E8B" w:rsidRDefault="00D91E8B" w:rsidP="00D91E8B">
            <w:pPr>
              <w:spacing w:after="0" w:line="240" w:lineRule="auto"/>
              <w:rPr>
                <w:rFonts w:eastAsia="Times New Roman"/>
                <w:color w:val="000000"/>
              </w:rPr>
            </w:pPr>
          </w:p>
        </w:tc>
        <w:tc>
          <w:tcPr>
            <w:tcW w:w="880" w:type="dxa"/>
            <w:vMerge/>
            <w:tcBorders>
              <w:top w:val="nil"/>
              <w:left w:val="single" w:sz="4" w:space="0" w:color="auto"/>
              <w:bottom w:val="nil"/>
              <w:right w:val="single" w:sz="4" w:space="0" w:color="auto"/>
            </w:tcBorders>
            <w:vAlign w:val="center"/>
            <w:hideMark/>
          </w:tcPr>
          <w:p w14:paraId="7A691E72" w14:textId="77777777" w:rsidR="00D91E8B" w:rsidRPr="00D91E8B" w:rsidRDefault="00D91E8B" w:rsidP="00D91E8B">
            <w:pPr>
              <w:spacing w:after="0" w:line="240" w:lineRule="auto"/>
              <w:rPr>
                <w:rFonts w:eastAsia="Times New Roman"/>
                <w:color w:val="000000"/>
              </w:rPr>
            </w:pPr>
          </w:p>
        </w:tc>
        <w:tc>
          <w:tcPr>
            <w:tcW w:w="2980" w:type="dxa"/>
            <w:vMerge/>
            <w:tcBorders>
              <w:top w:val="nil"/>
              <w:left w:val="single" w:sz="4" w:space="0" w:color="auto"/>
              <w:bottom w:val="nil"/>
              <w:right w:val="single" w:sz="4" w:space="0" w:color="auto"/>
            </w:tcBorders>
            <w:vAlign w:val="center"/>
            <w:hideMark/>
          </w:tcPr>
          <w:p w14:paraId="2DC1EA76" w14:textId="77777777" w:rsidR="00D91E8B" w:rsidRPr="00D91E8B" w:rsidRDefault="00D91E8B" w:rsidP="00D91E8B">
            <w:pPr>
              <w:spacing w:after="0" w:line="240" w:lineRule="auto"/>
              <w:rPr>
                <w:rFonts w:eastAsia="Times New Roman"/>
                <w:color w:val="000000"/>
              </w:rPr>
            </w:pPr>
          </w:p>
        </w:tc>
        <w:tc>
          <w:tcPr>
            <w:tcW w:w="3780" w:type="dxa"/>
            <w:tcBorders>
              <w:top w:val="nil"/>
              <w:left w:val="nil"/>
              <w:bottom w:val="nil"/>
              <w:right w:val="single" w:sz="4" w:space="0" w:color="auto"/>
            </w:tcBorders>
            <w:shd w:val="clear" w:color="auto" w:fill="auto"/>
            <w:hideMark/>
          </w:tcPr>
          <w:p w14:paraId="034C6BD7"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(1952)</w:t>
            </w:r>
          </w:p>
        </w:tc>
        <w:tc>
          <w:tcPr>
            <w:tcW w:w="3620" w:type="dxa"/>
            <w:tcBorders>
              <w:top w:val="nil"/>
              <w:left w:val="nil"/>
              <w:bottom w:val="nil"/>
              <w:right w:val="single" w:sz="4" w:space="0" w:color="auto"/>
            </w:tcBorders>
            <w:shd w:val="clear" w:color="auto" w:fill="auto"/>
            <w:hideMark/>
          </w:tcPr>
          <w:p w14:paraId="25D1C8B6"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(1980)</w:t>
            </w:r>
          </w:p>
        </w:tc>
        <w:tc>
          <w:tcPr>
            <w:tcW w:w="1740" w:type="dxa"/>
            <w:vMerge/>
            <w:tcBorders>
              <w:top w:val="nil"/>
              <w:left w:val="single" w:sz="4" w:space="0" w:color="auto"/>
              <w:bottom w:val="nil"/>
              <w:right w:val="nil"/>
            </w:tcBorders>
            <w:vAlign w:val="center"/>
            <w:hideMark/>
          </w:tcPr>
          <w:p w14:paraId="7C0DAB08" w14:textId="77777777" w:rsidR="00D91E8B" w:rsidRPr="00D91E8B" w:rsidRDefault="00D91E8B" w:rsidP="00D91E8B">
            <w:pPr>
              <w:spacing w:after="0" w:line="240" w:lineRule="auto"/>
              <w:rPr>
                <w:rFonts w:eastAsia="Times New Roman"/>
                <w:color w:val="000000"/>
              </w:rPr>
            </w:pPr>
          </w:p>
        </w:tc>
      </w:tr>
      <w:tr w:rsidR="00D91E8B" w:rsidRPr="00D91E8B" w14:paraId="0567DF18" w14:textId="77777777" w:rsidTr="00D91E8B">
        <w:trPr>
          <w:trHeight w:val="400"/>
          <w:jc w:val="center"/>
        </w:trPr>
        <w:tc>
          <w:tcPr>
            <w:tcW w:w="1440" w:type="dxa"/>
            <w:vMerge w:val="restart"/>
            <w:tcBorders>
              <w:top w:val="nil"/>
              <w:left w:val="nil"/>
              <w:bottom w:val="nil"/>
              <w:right w:val="single" w:sz="4" w:space="0" w:color="auto"/>
            </w:tcBorders>
            <w:shd w:val="clear" w:color="auto" w:fill="auto"/>
            <w:vAlign w:val="center"/>
            <w:hideMark/>
          </w:tcPr>
          <w:p w14:paraId="1F583BD1"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United Arab Emirates</w:t>
            </w:r>
          </w:p>
        </w:tc>
        <w:tc>
          <w:tcPr>
            <w:tcW w:w="880" w:type="dxa"/>
            <w:vMerge w:val="restart"/>
            <w:tcBorders>
              <w:top w:val="nil"/>
              <w:left w:val="single" w:sz="4" w:space="0" w:color="auto"/>
              <w:bottom w:val="nil"/>
              <w:right w:val="single" w:sz="4" w:space="0" w:color="auto"/>
            </w:tcBorders>
            <w:shd w:val="clear" w:color="auto" w:fill="auto"/>
            <w:vAlign w:val="center"/>
            <w:hideMark/>
          </w:tcPr>
          <w:p w14:paraId="16FB796D"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2004</w:t>
            </w:r>
          </w:p>
        </w:tc>
        <w:tc>
          <w:tcPr>
            <w:tcW w:w="2980" w:type="dxa"/>
            <w:vMerge w:val="restart"/>
            <w:tcBorders>
              <w:top w:val="nil"/>
              <w:left w:val="single" w:sz="4" w:space="0" w:color="auto"/>
              <w:bottom w:val="nil"/>
              <w:right w:val="single" w:sz="4" w:space="0" w:color="auto"/>
            </w:tcBorders>
            <w:shd w:val="clear" w:color="auto" w:fill="auto"/>
            <w:vAlign w:val="center"/>
            <w:hideMark/>
          </w:tcPr>
          <w:p w14:paraId="486DFC6D"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Death of the incumbent</w:t>
            </w:r>
          </w:p>
        </w:tc>
        <w:tc>
          <w:tcPr>
            <w:tcW w:w="3780" w:type="dxa"/>
            <w:tcBorders>
              <w:top w:val="nil"/>
              <w:left w:val="nil"/>
              <w:bottom w:val="nil"/>
              <w:right w:val="single" w:sz="4" w:space="0" w:color="auto"/>
            </w:tcBorders>
            <w:shd w:val="clear" w:color="auto" w:fill="auto"/>
            <w:vAlign w:val="bottom"/>
            <w:hideMark/>
          </w:tcPr>
          <w:p w14:paraId="3E79B36B"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Zayed bin Sultan Al Nahyan</w:t>
            </w:r>
          </w:p>
        </w:tc>
        <w:tc>
          <w:tcPr>
            <w:tcW w:w="3620" w:type="dxa"/>
            <w:tcBorders>
              <w:top w:val="nil"/>
              <w:left w:val="nil"/>
              <w:bottom w:val="nil"/>
              <w:right w:val="single" w:sz="4" w:space="0" w:color="auto"/>
            </w:tcBorders>
            <w:shd w:val="clear" w:color="auto" w:fill="auto"/>
            <w:vAlign w:val="bottom"/>
            <w:hideMark/>
          </w:tcPr>
          <w:p w14:paraId="5DE4F732"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Khalifa bin Zayed Al Nahyan</w:t>
            </w:r>
          </w:p>
        </w:tc>
        <w:tc>
          <w:tcPr>
            <w:tcW w:w="1740" w:type="dxa"/>
            <w:vMerge w:val="restart"/>
            <w:tcBorders>
              <w:top w:val="nil"/>
              <w:left w:val="single" w:sz="4" w:space="0" w:color="auto"/>
              <w:bottom w:val="nil"/>
              <w:right w:val="nil"/>
            </w:tcBorders>
            <w:shd w:val="clear" w:color="auto" w:fill="auto"/>
            <w:vAlign w:val="center"/>
            <w:hideMark/>
          </w:tcPr>
          <w:p w14:paraId="33EC2583"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Brothers</w:t>
            </w:r>
          </w:p>
        </w:tc>
      </w:tr>
      <w:tr w:rsidR="00D91E8B" w:rsidRPr="00D91E8B" w14:paraId="08271F7D" w14:textId="77777777" w:rsidTr="00D91E8B">
        <w:trPr>
          <w:trHeight w:val="400"/>
          <w:jc w:val="center"/>
        </w:trPr>
        <w:tc>
          <w:tcPr>
            <w:tcW w:w="1440" w:type="dxa"/>
            <w:vMerge/>
            <w:tcBorders>
              <w:top w:val="nil"/>
              <w:left w:val="nil"/>
              <w:bottom w:val="nil"/>
              <w:right w:val="single" w:sz="4" w:space="0" w:color="auto"/>
            </w:tcBorders>
            <w:vAlign w:val="center"/>
            <w:hideMark/>
          </w:tcPr>
          <w:p w14:paraId="7CE660A6" w14:textId="77777777" w:rsidR="00D91E8B" w:rsidRPr="00D91E8B" w:rsidRDefault="00D91E8B" w:rsidP="00D91E8B">
            <w:pPr>
              <w:spacing w:after="0" w:line="240" w:lineRule="auto"/>
              <w:rPr>
                <w:rFonts w:eastAsia="Times New Roman"/>
                <w:color w:val="000000"/>
              </w:rPr>
            </w:pPr>
          </w:p>
        </w:tc>
        <w:tc>
          <w:tcPr>
            <w:tcW w:w="880" w:type="dxa"/>
            <w:vMerge/>
            <w:tcBorders>
              <w:top w:val="nil"/>
              <w:left w:val="single" w:sz="4" w:space="0" w:color="auto"/>
              <w:bottom w:val="nil"/>
              <w:right w:val="single" w:sz="4" w:space="0" w:color="auto"/>
            </w:tcBorders>
            <w:vAlign w:val="center"/>
            <w:hideMark/>
          </w:tcPr>
          <w:p w14:paraId="2D16C4B4" w14:textId="77777777" w:rsidR="00D91E8B" w:rsidRPr="00D91E8B" w:rsidRDefault="00D91E8B" w:rsidP="00D91E8B">
            <w:pPr>
              <w:spacing w:after="0" w:line="240" w:lineRule="auto"/>
              <w:rPr>
                <w:rFonts w:eastAsia="Times New Roman"/>
                <w:color w:val="000000"/>
              </w:rPr>
            </w:pPr>
          </w:p>
        </w:tc>
        <w:tc>
          <w:tcPr>
            <w:tcW w:w="2980" w:type="dxa"/>
            <w:vMerge/>
            <w:tcBorders>
              <w:top w:val="nil"/>
              <w:left w:val="single" w:sz="4" w:space="0" w:color="auto"/>
              <w:bottom w:val="nil"/>
              <w:right w:val="single" w:sz="4" w:space="0" w:color="auto"/>
            </w:tcBorders>
            <w:vAlign w:val="center"/>
            <w:hideMark/>
          </w:tcPr>
          <w:p w14:paraId="5D8505BB" w14:textId="77777777" w:rsidR="00D91E8B" w:rsidRPr="00D91E8B" w:rsidRDefault="00D91E8B" w:rsidP="00D91E8B">
            <w:pPr>
              <w:spacing w:after="0" w:line="240" w:lineRule="auto"/>
              <w:rPr>
                <w:rFonts w:eastAsia="Times New Roman"/>
                <w:color w:val="000000"/>
              </w:rPr>
            </w:pPr>
          </w:p>
        </w:tc>
        <w:tc>
          <w:tcPr>
            <w:tcW w:w="3780" w:type="dxa"/>
            <w:tcBorders>
              <w:top w:val="nil"/>
              <w:left w:val="nil"/>
              <w:bottom w:val="nil"/>
              <w:right w:val="single" w:sz="4" w:space="0" w:color="auto"/>
            </w:tcBorders>
            <w:shd w:val="clear" w:color="auto" w:fill="auto"/>
            <w:hideMark/>
          </w:tcPr>
          <w:p w14:paraId="5339B6B1"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(1918)</w:t>
            </w:r>
          </w:p>
        </w:tc>
        <w:tc>
          <w:tcPr>
            <w:tcW w:w="3620" w:type="dxa"/>
            <w:tcBorders>
              <w:top w:val="nil"/>
              <w:left w:val="nil"/>
              <w:bottom w:val="nil"/>
              <w:right w:val="single" w:sz="4" w:space="0" w:color="auto"/>
            </w:tcBorders>
            <w:shd w:val="clear" w:color="auto" w:fill="auto"/>
            <w:hideMark/>
          </w:tcPr>
          <w:p w14:paraId="68228362"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(1948)</w:t>
            </w:r>
          </w:p>
        </w:tc>
        <w:tc>
          <w:tcPr>
            <w:tcW w:w="1740" w:type="dxa"/>
            <w:vMerge/>
            <w:tcBorders>
              <w:top w:val="nil"/>
              <w:left w:val="single" w:sz="4" w:space="0" w:color="auto"/>
              <w:bottom w:val="nil"/>
              <w:right w:val="nil"/>
            </w:tcBorders>
            <w:vAlign w:val="center"/>
            <w:hideMark/>
          </w:tcPr>
          <w:p w14:paraId="0F1733B3" w14:textId="77777777" w:rsidR="00D91E8B" w:rsidRPr="00D91E8B" w:rsidRDefault="00D91E8B" w:rsidP="00D91E8B">
            <w:pPr>
              <w:spacing w:after="0" w:line="240" w:lineRule="auto"/>
              <w:rPr>
                <w:rFonts w:eastAsia="Times New Roman"/>
                <w:color w:val="000000"/>
              </w:rPr>
            </w:pPr>
          </w:p>
        </w:tc>
      </w:tr>
      <w:tr w:rsidR="00D91E8B" w:rsidRPr="00D91E8B" w14:paraId="5A813588" w14:textId="77777777" w:rsidTr="00D91E8B">
        <w:trPr>
          <w:trHeight w:val="400"/>
          <w:jc w:val="center"/>
        </w:trPr>
        <w:tc>
          <w:tcPr>
            <w:tcW w:w="1440" w:type="dxa"/>
            <w:vMerge w:val="restart"/>
            <w:tcBorders>
              <w:top w:val="nil"/>
              <w:left w:val="nil"/>
              <w:bottom w:val="nil"/>
              <w:right w:val="single" w:sz="4" w:space="0" w:color="auto"/>
            </w:tcBorders>
            <w:shd w:val="clear" w:color="auto" w:fill="auto"/>
            <w:vAlign w:val="center"/>
            <w:hideMark/>
          </w:tcPr>
          <w:p w14:paraId="5FEFC07F"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Bahrain</w:t>
            </w:r>
          </w:p>
        </w:tc>
        <w:tc>
          <w:tcPr>
            <w:tcW w:w="880" w:type="dxa"/>
            <w:vMerge w:val="restart"/>
            <w:tcBorders>
              <w:top w:val="nil"/>
              <w:left w:val="single" w:sz="4" w:space="0" w:color="auto"/>
              <w:bottom w:val="nil"/>
              <w:right w:val="single" w:sz="4" w:space="0" w:color="auto"/>
            </w:tcBorders>
            <w:shd w:val="clear" w:color="auto" w:fill="auto"/>
            <w:vAlign w:val="center"/>
            <w:hideMark/>
          </w:tcPr>
          <w:p w14:paraId="0BB8A9E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1999</w:t>
            </w:r>
          </w:p>
        </w:tc>
        <w:tc>
          <w:tcPr>
            <w:tcW w:w="2980" w:type="dxa"/>
            <w:vMerge w:val="restart"/>
            <w:tcBorders>
              <w:top w:val="nil"/>
              <w:left w:val="single" w:sz="4" w:space="0" w:color="auto"/>
              <w:bottom w:val="nil"/>
              <w:right w:val="single" w:sz="4" w:space="0" w:color="auto"/>
            </w:tcBorders>
            <w:shd w:val="clear" w:color="auto" w:fill="auto"/>
            <w:vAlign w:val="center"/>
            <w:hideMark/>
          </w:tcPr>
          <w:p w14:paraId="465B77C9"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Death of the incumbent</w:t>
            </w:r>
          </w:p>
        </w:tc>
        <w:tc>
          <w:tcPr>
            <w:tcW w:w="3780" w:type="dxa"/>
            <w:tcBorders>
              <w:top w:val="nil"/>
              <w:left w:val="nil"/>
              <w:bottom w:val="nil"/>
              <w:right w:val="single" w:sz="4" w:space="0" w:color="auto"/>
            </w:tcBorders>
            <w:shd w:val="clear" w:color="auto" w:fill="auto"/>
            <w:vAlign w:val="bottom"/>
            <w:hideMark/>
          </w:tcPr>
          <w:p w14:paraId="3E0F2493"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Isa bin Salman Al Khalifa</w:t>
            </w:r>
          </w:p>
        </w:tc>
        <w:tc>
          <w:tcPr>
            <w:tcW w:w="3620" w:type="dxa"/>
            <w:tcBorders>
              <w:top w:val="nil"/>
              <w:left w:val="nil"/>
              <w:bottom w:val="nil"/>
              <w:right w:val="single" w:sz="4" w:space="0" w:color="auto"/>
            </w:tcBorders>
            <w:shd w:val="clear" w:color="auto" w:fill="auto"/>
            <w:vAlign w:val="bottom"/>
            <w:hideMark/>
          </w:tcPr>
          <w:p w14:paraId="65FAEAF9"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Hamad bin Isa Al Khalifa </w:t>
            </w:r>
          </w:p>
        </w:tc>
        <w:tc>
          <w:tcPr>
            <w:tcW w:w="1740" w:type="dxa"/>
            <w:vMerge w:val="restart"/>
            <w:tcBorders>
              <w:top w:val="nil"/>
              <w:left w:val="single" w:sz="4" w:space="0" w:color="auto"/>
              <w:bottom w:val="nil"/>
              <w:right w:val="nil"/>
            </w:tcBorders>
            <w:shd w:val="clear" w:color="auto" w:fill="auto"/>
            <w:vAlign w:val="center"/>
            <w:hideMark/>
          </w:tcPr>
          <w:p w14:paraId="66154EE9"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Son</w:t>
            </w:r>
          </w:p>
        </w:tc>
      </w:tr>
      <w:tr w:rsidR="00D91E8B" w:rsidRPr="00D91E8B" w14:paraId="10D156B1" w14:textId="77777777" w:rsidTr="00D91E8B">
        <w:trPr>
          <w:trHeight w:val="400"/>
          <w:jc w:val="center"/>
        </w:trPr>
        <w:tc>
          <w:tcPr>
            <w:tcW w:w="1440" w:type="dxa"/>
            <w:vMerge/>
            <w:tcBorders>
              <w:top w:val="nil"/>
              <w:left w:val="nil"/>
              <w:bottom w:val="nil"/>
              <w:right w:val="single" w:sz="4" w:space="0" w:color="auto"/>
            </w:tcBorders>
            <w:vAlign w:val="center"/>
            <w:hideMark/>
          </w:tcPr>
          <w:p w14:paraId="29EF8A09" w14:textId="77777777" w:rsidR="00D91E8B" w:rsidRPr="00D91E8B" w:rsidRDefault="00D91E8B" w:rsidP="00D91E8B">
            <w:pPr>
              <w:spacing w:after="0" w:line="240" w:lineRule="auto"/>
              <w:rPr>
                <w:rFonts w:eastAsia="Times New Roman"/>
                <w:color w:val="000000"/>
              </w:rPr>
            </w:pPr>
          </w:p>
        </w:tc>
        <w:tc>
          <w:tcPr>
            <w:tcW w:w="880" w:type="dxa"/>
            <w:vMerge/>
            <w:tcBorders>
              <w:top w:val="nil"/>
              <w:left w:val="single" w:sz="4" w:space="0" w:color="auto"/>
              <w:bottom w:val="nil"/>
              <w:right w:val="single" w:sz="4" w:space="0" w:color="auto"/>
            </w:tcBorders>
            <w:vAlign w:val="center"/>
            <w:hideMark/>
          </w:tcPr>
          <w:p w14:paraId="658F36C3" w14:textId="77777777" w:rsidR="00D91E8B" w:rsidRPr="00D91E8B" w:rsidRDefault="00D91E8B" w:rsidP="00D91E8B">
            <w:pPr>
              <w:spacing w:after="0" w:line="240" w:lineRule="auto"/>
              <w:rPr>
                <w:rFonts w:eastAsia="Times New Roman"/>
                <w:color w:val="000000"/>
              </w:rPr>
            </w:pPr>
          </w:p>
        </w:tc>
        <w:tc>
          <w:tcPr>
            <w:tcW w:w="2980" w:type="dxa"/>
            <w:vMerge/>
            <w:tcBorders>
              <w:top w:val="nil"/>
              <w:left w:val="single" w:sz="4" w:space="0" w:color="auto"/>
              <w:bottom w:val="nil"/>
              <w:right w:val="single" w:sz="4" w:space="0" w:color="auto"/>
            </w:tcBorders>
            <w:vAlign w:val="center"/>
            <w:hideMark/>
          </w:tcPr>
          <w:p w14:paraId="4234B939" w14:textId="77777777" w:rsidR="00D91E8B" w:rsidRPr="00D91E8B" w:rsidRDefault="00D91E8B" w:rsidP="00D91E8B">
            <w:pPr>
              <w:spacing w:after="0" w:line="240" w:lineRule="auto"/>
              <w:rPr>
                <w:rFonts w:eastAsia="Times New Roman"/>
                <w:color w:val="000000"/>
              </w:rPr>
            </w:pPr>
          </w:p>
        </w:tc>
        <w:tc>
          <w:tcPr>
            <w:tcW w:w="3780" w:type="dxa"/>
            <w:tcBorders>
              <w:top w:val="nil"/>
              <w:left w:val="nil"/>
              <w:bottom w:val="nil"/>
              <w:right w:val="single" w:sz="4" w:space="0" w:color="auto"/>
            </w:tcBorders>
            <w:shd w:val="clear" w:color="auto" w:fill="auto"/>
            <w:hideMark/>
          </w:tcPr>
          <w:p w14:paraId="7BB28623"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(1931)</w:t>
            </w:r>
          </w:p>
        </w:tc>
        <w:tc>
          <w:tcPr>
            <w:tcW w:w="3620" w:type="dxa"/>
            <w:tcBorders>
              <w:top w:val="nil"/>
              <w:left w:val="nil"/>
              <w:bottom w:val="nil"/>
              <w:right w:val="single" w:sz="4" w:space="0" w:color="auto"/>
            </w:tcBorders>
            <w:shd w:val="clear" w:color="auto" w:fill="auto"/>
            <w:hideMark/>
          </w:tcPr>
          <w:p w14:paraId="0AD0E30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(1950)</w:t>
            </w:r>
          </w:p>
        </w:tc>
        <w:tc>
          <w:tcPr>
            <w:tcW w:w="1740" w:type="dxa"/>
            <w:vMerge/>
            <w:tcBorders>
              <w:top w:val="nil"/>
              <w:left w:val="single" w:sz="4" w:space="0" w:color="auto"/>
              <w:bottom w:val="nil"/>
              <w:right w:val="nil"/>
            </w:tcBorders>
            <w:vAlign w:val="center"/>
            <w:hideMark/>
          </w:tcPr>
          <w:p w14:paraId="0AA25631" w14:textId="77777777" w:rsidR="00D91E8B" w:rsidRPr="00D91E8B" w:rsidRDefault="00D91E8B" w:rsidP="00D91E8B">
            <w:pPr>
              <w:spacing w:after="0" w:line="240" w:lineRule="auto"/>
              <w:rPr>
                <w:rFonts w:eastAsia="Times New Roman"/>
                <w:color w:val="000000"/>
              </w:rPr>
            </w:pPr>
          </w:p>
        </w:tc>
      </w:tr>
      <w:tr w:rsidR="00D91E8B" w:rsidRPr="00D91E8B" w14:paraId="4F2E0277" w14:textId="77777777" w:rsidTr="00D91E8B">
        <w:trPr>
          <w:trHeight w:val="400"/>
          <w:jc w:val="center"/>
        </w:trPr>
        <w:tc>
          <w:tcPr>
            <w:tcW w:w="1440" w:type="dxa"/>
            <w:vMerge w:val="restart"/>
            <w:tcBorders>
              <w:top w:val="nil"/>
              <w:left w:val="nil"/>
              <w:bottom w:val="nil"/>
              <w:right w:val="single" w:sz="4" w:space="0" w:color="auto"/>
            </w:tcBorders>
            <w:shd w:val="clear" w:color="auto" w:fill="auto"/>
            <w:vAlign w:val="center"/>
            <w:hideMark/>
          </w:tcPr>
          <w:p w14:paraId="49F78351"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Kuwait*</w:t>
            </w:r>
          </w:p>
        </w:tc>
        <w:tc>
          <w:tcPr>
            <w:tcW w:w="880" w:type="dxa"/>
            <w:vMerge w:val="restart"/>
            <w:tcBorders>
              <w:top w:val="nil"/>
              <w:left w:val="single" w:sz="4" w:space="0" w:color="auto"/>
              <w:bottom w:val="nil"/>
              <w:right w:val="single" w:sz="4" w:space="0" w:color="auto"/>
            </w:tcBorders>
            <w:shd w:val="clear" w:color="auto" w:fill="auto"/>
            <w:vAlign w:val="center"/>
            <w:hideMark/>
          </w:tcPr>
          <w:p w14:paraId="37758B0D"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2006</w:t>
            </w:r>
          </w:p>
        </w:tc>
        <w:tc>
          <w:tcPr>
            <w:tcW w:w="2980" w:type="dxa"/>
            <w:vMerge w:val="restart"/>
            <w:tcBorders>
              <w:top w:val="nil"/>
              <w:left w:val="single" w:sz="4" w:space="0" w:color="auto"/>
              <w:bottom w:val="nil"/>
              <w:right w:val="single" w:sz="4" w:space="0" w:color="auto"/>
            </w:tcBorders>
            <w:shd w:val="clear" w:color="auto" w:fill="auto"/>
            <w:vAlign w:val="center"/>
            <w:hideMark/>
          </w:tcPr>
          <w:p w14:paraId="3364364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Death of the incumbent</w:t>
            </w:r>
          </w:p>
        </w:tc>
        <w:tc>
          <w:tcPr>
            <w:tcW w:w="3780" w:type="dxa"/>
            <w:tcBorders>
              <w:top w:val="nil"/>
              <w:left w:val="nil"/>
              <w:bottom w:val="nil"/>
              <w:right w:val="single" w:sz="4" w:space="0" w:color="auto"/>
            </w:tcBorders>
            <w:shd w:val="clear" w:color="auto" w:fill="auto"/>
            <w:vAlign w:val="bottom"/>
            <w:hideMark/>
          </w:tcPr>
          <w:p w14:paraId="268349B7"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Jaber Al-Ahmad Al-Sabah </w:t>
            </w:r>
          </w:p>
        </w:tc>
        <w:tc>
          <w:tcPr>
            <w:tcW w:w="3620" w:type="dxa"/>
            <w:tcBorders>
              <w:top w:val="nil"/>
              <w:left w:val="nil"/>
              <w:bottom w:val="nil"/>
              <w:right w:val="single" w:sz="4" w:space="0" w:color="auto"/>
            </w:tcBorders>
            <w:shd w:val="clear" w:color="auto" w:fill="auto"/>
            <w:vAlign w:val="bottom"/>
            <w:hideMark/>
          </w:tcPr>
          <w:p w14:paraId="15AFB7FE"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Sabah Al-Ahmad Al-Jaber Al-Sabah </w:t>
            </w:r>
          </w:p>
        </w:tc>
        <w:tc>
          <w:tcPr>
            <w:tcW w:w="1740" w:type="dxa"/>
            <w:vMerge w:val="restart"/>
            <w:tcBorders>
              <w:top w:val="nil"/>
              <w:left w:val="single" w:sz="4" w:space="0" w:color="auto"/>
              <w:bottom w:val="nil"/>
              <w:right w:val="nil"/>
            </w:tcBorders>
            <w:shd w:val="clear" w:color="auto" w:fill="auto"/>
            <w:vAlign w:val="center"/>
            <w:hideMark/>
          </w:tcPr>
          <w:p w14:paraId="11323BD5"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Nephew</w:t>
            </w:r>
          </w:p>
        </w:tc>
      </w:tr>
      <w:tr w:rsidR="00D91E8B" w:rsidRPr="00D91E8B" w14:paraId="7E2F390E" w14:textId="77777777" w:rsidTr="00D91E8B">
        <w:trPr>
          <w:trHeight w:val="400"/>
          <w:jc w:val="center"/>
        </w:trPr>
        <w:tc>
          <w:tcPr>
            <w:tcW w:w="1440" w:type="dxa"/>
            <w:vMerge/>
            <w:tcBorders>
              <w:top w:val="nil"/>
              <w:left w:val="nil"/>
              <w:bottom w:val="nil"/>
              <w:right w:val="single" w:sz="4" w:space="0" w:color="auto"/>
            </w:tcBorders>
            <w:vAlign w:val="center"/>
            <w:hideMark/>
          </w:tcPr>
          <w:p w14:paraId="33216FE4" w14:textId="77777777" w:rsidR="00D91E8B" w:rsidRPr="00D91E8B" w:rsidRDefault="00D91E8B" w:rsidP="00D91E8B">
            <w:pPr>
              <w:spacing w:after="0" w:line="240" w:lineRule="auto"/>
              <w:rPr>
                <w:rFonts w:eastAsia="Times New Roman"/>
                <w:color w:val="000000"/>
              </w:rPr>
            </w:pPr>
          </w:p>
        </w:tc>
        <w:tc>
          <w:tcPr>
            <w:tcW w:w="880" w:type="dxa"/>
            <w:vMerge/>
            <w:tcBorders>
              <w:top w:val="nil"/>
              <w:left w:val="single" w:sz="4" w:space="0" w:color="auto"/>
              <w:bottom w:val="nil"/>
              <w:right w:val="single" w:sz="4" w:space="0" w:color="auto"/>
            </w:tcBorders>
            <w:vAlign w:val="center"/>
            <w:hideMark/>
          </w:tcPr>
          <w:p w14:paraId="24CE3D72" w14:textId="77777777" w:rsidR="00D91E8B" w:rsidRPr="00D91E8B" w:rsidRDefault="00D91E8B" w:rsidP="00D91E8B">
            <w:pPr>
              <w:spacing w:after="0" w:line="240" w:lineRule="auto"/>
              <w:rPr>
                <w:rFonts w:eastAsia="Times New Roman"/>
                <w:color w:val="000000"/>
              </w:rPr>
            </w:pPr>
          </w:p>
        </w:tc>
        <w:tc>
          <w:tcPr>
            <w:tcW w:w="2980" w:type="dxa"/>
            <w:vMerge/>
            <w:tcBorders>
              <w:top w:val="nil"/>
              <w:left w:val="single" w:sz="4" w:space="0" w:color="auto"/>
              <w:bottom w:val="nil"/>
              <w:right w:val="single" w:sz="4" w:space="0" w:color="auto"/>
            </w:tcBorders>
            <w:vAlign w:val="center"/>
            <w:hideMark/>
          </w:tcPr>
          <w:p w14:paraId="1717FA0F" w14:textId="77777777" w:rsidR="00D91E8B" w:rsidRPr="00D91E8B" w:rsidRDefault="00D91E8B" w:rsidP="00D91E8B">
            <w:pPr>
              <w:spacing w:after="0" w:line="240" w:lineRule="auto"/>
              <w:rPr>
                <w:rFonts w:eastAsia="Times New Roman"/>
                <w:color w:val="000000"/>
              </w:rPr>
            </w:pPr>
          </w:p>
        </w:tc>
        <w:tc>
          <w:tcPr>
            <w:tcW w:w="3780" w:type="dxa"/>
            <w:tcBorders>
              <w:top w:val="nil"/>
              <w:left w:val="nil"/>
              <w:bottom w:val="nil"/>
              <w:right w:val="single" w:sz="4" w:space="0" w:color="auto"/>
            </w:tcBorders>
            <w:shd w:val="clear" w:color="auto" w:fill="auto"/>
            <w:hideMark/>
          </w:tcPr>
          <w:p w14:paraId="0DE0DB6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(1926)</w:t>
            </w:r>
          </w:p>
        </w:tc>
        <w:tc>
          <w:tcPr>
            <w:tcW w:w="3620" w:type="dxa"/>
            <w:tcBorders>
              <w:top w:val="nil"/>
              <w:left w:val="nil"/>
              <w:bottom w:val="nil"/>
              <w:right w:val="single" w:sz="4" w:space="0" w:color="auto"/>
            </w:tcBorders>
            <w:shd w:val="clear" w:color="auto" w:fill="auto"/>
            <w:hideMark/>
          </w:tcPr>
          <w:p w14:paraId="064DE2FA"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(1929)</w:t>
            </w:r>
          </w:p>
        </w:tc>
        <w:tc>
          <w:tcPr>
            <w:tcW w:w="1740" w:type="dxa"/>
            <w:vMerge/>
            <w:tcBorders>
              <w:top w:val="nil"/>
              <w:left w:val="single" w:sz="4" w:space="0" w:color="auto"/>
              <w:bottom w:val="nil"/>
              <w:right w:val="nil"/>
            </w:tcBorders>
            <w:vAlign w:val="center"/>
            <w:hideMark/>
          </w:tcPr>
          <w:p w14:paraId="75093B27" w14:textId="77777777" w:rsidR="00D91E8B" w:rsidRPr="00D91E8B" w:rsidRDefault="00D91E8B" w:rsidP="00D91E8B">
            <w:pPr>
              <w:spacing w:after="0" w:line="240" w:lineRule="auto"/>
              <w:rPr>
                <w:rFonts w:eastAsia="Times New Roman"/>
                <w:color w:val="000000"/>
              </w:rPr>
            </w:pPr>
          </w:p>
        </w:tc>
      </w:tr>
      <w:tr w:rsidR="00D91E8B" w:rsidRPr="00D91E8B" w14:paraId="7FAC6F28" w14:textId="77777777" w:rsidTr="00D91E8B">
        <w:trPr>
          <w:trHeight w:val="400"/>
          <w:jc w:val="center"/>
        </w:trPr>
        <w:tc>
          <w:tcPr>
            <w:tcW w:w="1440" w:type="dxa"/>
            <w:vMerge w:val="restart"/>
            <w:tcBorders>
              <w:top w:val="nil"/>
              <w:left w:val="nil"/>
              <w:bottom w:val="nil"/>
              <w:right w:val="single" w:sz="4" w:space="0" w:color="auto"/>
            </w:tcBorders>
            <w:shd w:val="clear" w:color="auto" w:fill="auto"/>
            <w:vAlign w:val="center"/>
            <w:hideMark/>
          </w:tcPr>
          <w:p w14:paraId="74ACD1E2"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Kuwait</w:t>
            </w:r>
          </w:p>
        </w:tc>
        <w:tc>
          <w:tcPr>
            <w:tcW w:w="880" w:type="dxa"/>
            <w:vMerge w:val="restart"/>
            <w:tcBorders>
              <w:top w:val="nil"/>
              <w:left w:val="single" w:sz="4" w:space="0" w:color="auto"/>
              <w:bottom w:val="nil"/>
              <w:right w:val="single" w:sz="4" w:space="0" w:color="auto"/>
            </w:tcBorders>
            <w:shd w:val="clear" w:color="auto" w:fill="auto"/>
            <w:vAlign w:val="center"/>
            <w:hideMark/>
          </w:tcPr>
          <w:p w14:paraId="24FCB86D"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2020</w:t>
            </w:r>
          </w:p>
        </w:tc>
        <w:tc>
          <w:tcPr>
            <w:tcW w:w="2980" w:type="dxa"/>
            <w:vMerge w:val="restart"/>
            <w:tcBorders>
              <w:top w:val="nil"/>
              <w:left w:val="single" w:sz="4" w:space="0" w:color="auto"/>
              <w:bottom w:val="nil"/>
              <w:right w:val="single" w:sz="4" w:space="0" w:color="auto"/>
            </w:tcBorders>
            <w:shd w:val="clear" w:color="auto" w:fill="auto"/>
            <w:vAlign w:val="center"/>
            <w:hideMark/>
          </w:tcPr>
          <w:p w14:paraId="0E3BE1AD"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Death of the incumbent</w:t>
            </w:r>
          </w:p>
        </w:tc>
        <w:tc>
          <w:tcPr>
            <w:tcW w:w="3780" w:type="dxa"/>
            <w:tcBorders>
              <w:top w:val="nil"/>
              <w:left w:val="nil"/>
              <w:bottom w:val="nil"/>
              <w:right w:val="single" w:sz="4" w:space="0" w:color="auto"/>
            </w:tcBorders>
            <w:shd w:val="clear" w:color="auto" w:fill="auto"/>
            <w:vAlign w:val="bottom"/>
            <w:hideMark/>
          </w:tcPr>
          <w:p w14:paraId="2A4D668B"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Sabah Al-Ahmad Al-Jaber Al-Sabah </w:t>
            </w:r>
          </w:p>
        </w:tc>
        <w:tc>
          <w:tcPr>
            <w:tcW w:w="3620" w:type="dxa"/>
            <w:tcBorders>
              <w:top w:val="nil"/>
              <w:left w:val="nil"/>
              <w:bottom w:val="nil"/>
              <w:right w:val="single" w:sz="4" w:space="0" w:color="auto"/>
            </w:tcBorders>
            <w:shd w:val="clear" w:color="auto" w:fill="auto"/>
            <w:vAlign w:val="bottom"/>
            <w:hideMark/>
          </w:tcPr>
          <w:p w14:paraId="76639AEA"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Nawaf Al-Ahmad Al-Jaber Al-Sabah </w:t>
            </w:r>
          </w:p>
        </w:tc>
        <w:tc>
          <w:tcPr>
            <w:tcW w:w="1740" w:type="dxa"/>
            <w:vMerge w:val="restart"/>
            <w:tcBorders>
              <w:top w:val="nil"/>
              <w:left w:val="single" w:sz="4" w:space="0" w:color="auto"/>
              <w:bottom w:val="nil"/>
              <w:right w:val="nil"/>
            </w:tcBorders>
            <w:shd w:val="clear" w:color="auto" w:fill="auto"/>
            <w:vAlign w:val="center"/>
            <w:hideMark/>
          </w:tcPr>
          <w:p w14:paraId="663AFA97"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Cousins</w:t>
            </w:r>
          </w:p>
        </w:tc>
      </w:tr>
      <w:tr w:rsidR="00D91E8B" w:rsidRPr="00D91E8B" w14:paraId="38FB0E57" w14:textId="77777777" w:rsidTr="00D91E8B">
        <w:trPr>
          <w:trHeight w:val="400"/>
          <w:jc w:val="center"/>
        </w:trPr>
        <w:tc>
          <w:tcPr>
            <w:tcW w:w="1440" w:type="dxa"/>
            <w:vMerge/>
            <w:tcBorders>
              <w:top w:val="nil"/>
              <w:left w:val="nil"/>
              <w:bottom w:val="nil"/>
              <w:right w:val="single" w:sz="4" w:space="0" w:color="auto"/>
            </w:tcBorders>
            <w:vAlign w:val="center"/>
            <w:hideMark/>
          </w:tcPr>
          <w:p w14:paraId="15315ED9" w14:textId="77777777" w:rsidR="00D91E8B" w:rsidRPr="00D91E8B" w:rsidRDefault="00D91E8B" w:rsidP="00D91E8B">
            <w:pPr>
              <w:spacing w:after="0" w:line="240" w:lineRule="auto"/>
              <w:rPr>
                <w:rFonts w:eastAsia="Times New Roman"/>
                <w:color w:val="000000"/>
              </w:rPr>
            </w:pPr>
          </w:p>
        </w:tc>
        <w:tc>
          <w:tcPr>
            <w:tcW w:w="880" w:type="dxa"/>
            <w:vMerge/>
            <w:tcBorders>
              <w:top w:val="nil"/>
              <w:left w:val="single" w:sz="4" w:space="0" w:color="auto"/>
              <w:bottom w:val="nil"/>
              <w:right w:val="single" w:sz="4" w:space="0" w:color="auto"/>
            </w:tcBorders>
            <w:vAlign w:val="center"/>
            <w:hideMark/>
          </w:tcPr>
          <w:p w14:paraId="2210747D" w14:textId="77777777" w:rsidR="00D91E8B" w:rsidRPr="00D91E8B" w:rsidRDefault="00D91E8B" w:rsidP="00D91E8B">
            <w:pPr>
              <w:spacing w:after="0" w:line="240" w:lineRule="auto"/>
              <w:rPr>
                <w:rFonts w:eastAsia="Times New Roman"/>
                <w:color w:val="000000"/>
              </w:rPr>
            </w:pPr>
          </w:p>
        </w:tc>
        <w:tc>
          <w:tcPr>
            <w:tcW w:w="2980" w:type="dxa"/>
            <w:vMerge/>
            <w:tcBorders>
              <w:top w:val="nil"/>
              <w:left w:val="single" w:sz="4" w:space="0" w:color="auto"/>
              <w:bottom w:val="nil"/>
              <w:right w:val="single" w:sz="4" w:space="0" w:color="auto"/>
            </w:tcBorders>
            <w:vAlign w:val="center"/>
            <w:hideMark/>
          </w:tcPr>
          <w:p w14:paraId="6C51A817" w14:textId="77777777" w:rsidR="00D91E8B" w:rsidRPr="00D91E8B" w:rsidRDefault="00D91E8B" w:rsidP="00D91E8B">
            <w:pPr>
              <w:spacing w:after="0" w:line="240" w:lineRule="auto"/>
              <w:rPr>
                <w:rFonts w:eastAsia="Times New Roman"/>
                <w:color w:val="000000"/>
              </w:rPr>
            </w:pPr>
          </w:p>
        </w:tc>
        <w:tc>
          <w:tcPr>
            <w:tcW w:w="3780" w:type="dxa"/>
            <w:tcBorders>
              <w:top w:val="nil"/>
              <w:left w:val="nil"/>
              <w:bottom w:val="nil"/>
              <w:right w:val="single" w:sz="4" w:space="0" w:color="auto"/>
            </w:tcBorders>
            <w:shd w:val="clear" w:color="auto" w:fill="auto"/>
            <w:hideMark/>
          </w:tcPr>
          <w:p w14:paraId="13AA5B8A"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(1929)</w:t>
            </w:r>
          </w:p>
        </w:tc>
        <w:tc>
          <w:tcPr>
            <w:tcW w:w="3620" w:type="dxa"/>
            <w:tcBorders>
              <w:top w:val="nil"/>
              <w:left w:val="nil"/>
              <w:bottom w:val="nil"/>
              <w:right w:val="single" w:sz="4" w:space="0" w:color="auto"/>
            </w:tcBorders>
            <w:shd w:val="clear" w:color="auto" w:fill="auto"/>
            <w:hideMark/>
          </w:tcPr>
          <w:p w14:paraId="0986873E"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(1937)</w:t>
            </w:r>
          </w:p>
        </w:tc>
        <w:tc>
          <w:tcPr>
            <w:tcW w:w="1740" w:type="dxa"/>
            <w:vMerge/>
            <w:tcBorders>
              <w:top w:val="nil"/>
              <w:left w:val="single" w:sz="4" w:space="0" w:color="auto"/>
              <w:bottom w:val="nil"/>
              <w:right w:val="nil"/>
            </w:tcBorders>
            <w:vAlign w:val="center"/>
            <w:hideMark/>
          </w:tcPr>
          <w:p w14:paraId="08FEFB4A" w14:textId="77777777" w:rsidR="00D91E8B" w:rsidRPr="00D91E8B" w:rsidRDefault="00D91E8B" w:rsidP="00D91E8B">
            <w:pPr>
              <w:spacing w:after="0" w:line="240" w:lineRule="auto"/>
              <w:rPr>
                <w:rFonts w:eastAsia="Times New Roman"/>
                <w:color w:val="000000"/>
              </w:rPr>
            </w:pPr>
          </w:p>
        </w:tc>
      </w:tr>
      <w:tr w:rsidR="00D91E8B" w:rsidRPr="00D91E8B" w14:paraId="6AE59276" w14:textId="77777777" w:rsidTr="00D91E8B">
        <w:trPr>
          <w:trHeight w:val="400"/>
          <w:jc w:val="center"/>
        </w:trPr>
        <w:tc>
          <w:tcPr>
            <w:tcW w:w="1440" w:type="dxa"/>
            <w:vMerge w:val="restart"/>
            <w:tcBorders>
              <w:top w:val="nil"/>
              <w:left w:val="nil"/>
              <w:bottom w:val="single" w:sz="4" w:space="0" w:color="000000"/>
              <w:right w:val="single" w:sz="4" w:space="0" w:color="auto"/>
            </w:tcBorders>
            <w:shd w:val="clear" w:color="auto" w:fill="auto"/>
            <w:vAlign w:val="center"/>
            <w:hideMark/>
          </w:tcPr>
          <w:p w14:paraId="1261EBE3"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Oman</w:t>
            </w:r>
          </w:p>
        </w:tc>
        <w:tc>
          <w:tcPr>
            <w:tcW w:w="880" w:type="dxa"/>
            <w:vMerge w:val="restart"/>
            <w:tcBorders>
              <w:top w:val="nil"/>
              <w:left w:val="single" w:sz="4" w:space="0" w:color="auto"/>
              <w:bottom w:val="single" w:sz="4" w:space="0" w:color="000000"/>
              <w:right w:val="single" w:sz="4" w:space="0" w:color="auto"/>
            </w:tcBorders>
            <w:shd w:val="clear" w:color="auto" w:fill="auto"/>
            <w:vAlign w:val="center"/>
            <w:hideMark/>
          </w:tcPr>
          <w:p w14:paraId="51A3137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2020</w:t>
            </w:r>
          </w:p>
        </w:tc>
        <w:tc>
          <w:tcPr>
            <w:tcW w:w="2980" w:type="dxa"/>
            <w:vMerge w:val="restart"/>
            <w:tcBorders>
              <w:top w:val="nil"/>
              <w:left w:val="single" w:sz="4" w:space="0" w:color="auto"/>
              <w:bottom w:val="single" w:sz="4" w:space="0" w:color="000000"/>
              <w:right w:val="single" w:sz="4" w:space="0" w:color="auto"/>
            </w:tcBorders>
            <w:shd w:val="clear" w:color="auto" w:fill="auto"/>
            <w:vAlign w:val="center"/>
            <w:hideMark/>
          </w:tcPr>
          <w:p w14:paraId="782FB32B"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Death of the incumbent</w:t>
            </w:r>
          </w:p>
        </w:tc>
        <w:tc>
          <w:tcPr>
            <w:tcW w:w="3780" w:type="dxa"/>
            <w:tcBorders>
              <w:top w:val="nil"/>
              <w:left w:val="nil"/>
              <w:bottom w:val="nil"/>
              <w:right w:val="single" w:sz="4" w:space="0" w:color="auto"/>
            </w:tcBorders>
            <w:shd w:val="clear" w:color="auto" w:fill="auto"/>
            <w:vAlign w:val="bottom"/>
            <w:hideMark/>
          </w:tcPr>
          <w:p w14:paraId="58F97620"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Qaboos bin Said Al Said </w:t>
            </w:r>
          </w:p>
        </w:tc>
        <w:tc>
          <w:tcPr>
            <w:tcW w:w="3620" w:type="dxa"/>
            <w:tcBorders>
              <w:top w:val="nil"/>
              <w:left w:val="nil"/>
              <w:bottom w:val="nil"/>
              <w:right w:val="single" w:sz="4" w:space="0" w:color="auto"/>
            </w:tcBorders>
            <w:shd w:val="clear" w:color="auto" w:fill="auto"/>
            <w:vAlign w:val="bottom"/>
            <w:hideMark/>
          </w:tcPr>
          <w:p w14:paraId="75358D0D"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Haitham bin Tariq Al Said</w:t>
            </w:r>
          </w:p>
        </w:tc>
        <w:tc>
          <w:tcPr>
            <w:tcW w:w="1740" w:type="dxa"/>
            <w:vMerge w:val="restart"/>
            <w:tcBorders>
              <w:top w:val="nil"/>
              <w:left w:val="single" w:sz="4" w:space="0" w:color="auto"/>
              <w:bottom w:val="single" w:sz="4" w:space="0" w:color="000000"/>
              <w:right w:val="nil"/>
            </w:tcBorders>
            <w:shd w:val="clear" w:color="auto" w:fill="auto"/>
            <w:vAlign w:val="center"/>
            <w:hideMark/>
          </w:tcPr>
          <w:p w14:paraId="22712D5A"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Nephew</w:t>
            </w:r>
          </w:p>
        </w:tc>
      </w:tr>
      <w:tr w:rsidR="00D91E8B" w:rsidRPr="00D91E8B" w14:paraId="70C3B42E" w14:textId="77777777" w:rsidTr="00D91E8B">
        <w:trPr>
          <w:trHeight w:val="400"/>
          <w:jc w:val="center"/>
        </w:trPr>
        <w:tc>
          <w:tcPr>
            <w:tcW w:w="1440" w:type="dxa"/>
            <w:vMerge/>
            <w:tcBorders>
              <w:top w:val="nil"/>
              <w:left w:val="nil"/>
              <w:bottom w:val="single" w:sz="4" w:space="0" w:color="000000"/>
              <w:right w:val="single" w:sz="4" w:space="0" w:color="auto"/>
            </w:tcBorders>
            <w:vAlign w:val="center"/>
            <w:hideMark/>
          </w:tcPr>
          <w:p w14:paraId="04309EA0" w14:textId="77777777" w:rsidR="00D91E8B" w:rsidRPr="00D91E8B" w:rsidRDefault="00D91E8B" w:rsidP="00D91E8B">
            <w:pPr>
              <w:spacing w:after="0" w:line="240" w:lineRule="auto"/>
              <w:rPr>
                <w:rFonts w:eastAsia="Times New Roman"/>
                <w:color w:val="000000"/>
              </w:rPr>
            </w:pPr>
          </w:p>
        </w:tc>
        <w:tc>
          <w:tcPr>
            <w:tcW w:w="880" w:type="dxa"/>
            <w:vMerge/>
            <w:tcBorders>
              <w:top w:val="nil"/>
              <w:left w:val="single" w:sz="4" w:space="0" w:color="auto"/>
              <w:bottom w:val="single" w:sz="4" w:space="0" w:color="000000"/>
              <w:right w:val="single" w:sz="4" w:space="0" w:color="auto"/>
            </w:tcBorders>
            <w:vAlign w:val="center"/>
            <w:hideMark/>
          </w:tcPr>
          <w:p w14:paraId="58420703" w14:textId="77777777" w:rsidR="00D91E8B" w:rsidRPr="00D91E8B" w:rsidRDefault="00D91E8B" w:rsidP="00D91E8B">
            <w:pPr>
              <w:spacing w:after="0" w:line="240" w:lineRule="auto"/>
              <w:rPr>
                <w:rFonts w:eastAsia="Times New Roman"/>
                <w:color w:val="000000"/>
              </w:rPr>
            </w:pPr>
          </w:p>
        </w:tc>
        <w:tc>
          <w:tcPr>
            <w:tcW w:w="2980" w:type="dxa"/>
            <w:vMerge/>
            <w:tcBorders>
              <w:top w:val="nil"/>
              <w:left w:val="single" w:sz="4" w:space="0" w:color="auto"/>
              <w:bottom w:val="single" w:sz="4" w:space="0" w:color="000000"/>
              <w:right w:val="single" w:sz="4" w:space="0" w:color="auto"/>
            </w:tcBorders>
            <w:vAlign w:val="center"/>
            <w:hideMark/>
          </w:tcPr>
          <w:p w14:paraId="7813E257" w14:textId="77777777" w:rsidR="00D91E8B" w:rsidRPr="00D91E8B" w:rsidRDefault="00D91E8B" w:rsidP="00D91E8B">
            <w:pPr>
              <w:spacing w:after="0" w:line="240" w:lineRule="auto"/>
              <w:rPr>
                <w:rFonts w:eastAsia="Times New Roman"/>
                <w:color w:val="000000"/>
              </w:rPr>
            </w:pPr>
          </w:p>
        </w:tc>
        <w:tc>
          <w:tcPr>
            <w:tcW w:w="3780" w:type="dxa"/>
            <w:tcBorders>
              <w:top w:val="nil"/>
              <w:left w:val="nil"/>
              <w:bottom w:val="nil"/>
              <w:right w:val="single" w:sz="4" w:space="0" w:color="auto"/>
            </w:tcBorders>
            <w:shd w:val="clear" w:color="auto" w:fill="auto"/>
            <w:hideMark/>
          </w:tcPr>
          <w:p w14:paraId="2DDF252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(1940)</w:t>
            </w:r>
          </w:p>
        </w:tc>
        <w:tc>
          <w:tcPr>
            <w:tcW w:w="3620" w:type="dxa"/>
            <w:tcBorders>
              <w:top w:val="nil"/>
              <w:left w:val="nil"/>
              <w:bottom w:val="nil"/>
              <w:right w:val="single" w:sz="4" w:space="0" w:color="auto"/>
            </w:tcBorders>
            <w:shd w:val="clear" w:color="auto" w:fill="auto"/>
            <w:hideMark/>
          </w:tcPr>
          <w:p w14:paraId="64A14B9E"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(1955)</w:t>
            </w:r>
          </w:p>
        </w:tc>
        <w:tc>
          <w:tcPr>
            <w:tcW w:w="1740" w:type="dxa"/>
            <w:vMerge/>
            <w:tcBorders>
              <w:top w:val="nil"/>
              <w:left w:val="single" w:sz="4" w:space="0" w:color="auto"/>
              <w:bottom w:val="single" w:sz="4" w:space="0" w:color="000000"/>
              <w:right w:val="nil"/>
            </w:tcBorders>
            <w:vAlign w:val="center"/>
            <w:hideMark/>
          </w:tcPr>
          <w:p w14:paraId="1ADECF4E" w14:textId="77777777" w:rsidR="00D91E8B" w:rsidRPr="00D91E8B" w:rsidRDefault="00D91E8B" w:rsidP="00D91E8B">
            <w:pPr>
              <w:spacing w:after="0" w:line="240" w:lineRule="auto"/>
              <w:rPr>
                <w:rFonts w:eastAsia="Times New Roman"/>
                <w:color w:val="000000"/>
              </w:rPr>
            </w:pPr>
          </w:p>
        </w:tc>
      </w:tr>
      <w:tr w:rsidR="00D91E8B" w:rsidRPr="00D91E8B" w14:paraId="36BFAB7A" w14:textId="77777777" w:rsidTr="00D91E8B">
        <w:trPr>
          <w:trHeight w:val="308"/>
          <w:jc w:val="center"/>
        </w:trPr>
        <w:tc>
          <w:tcPr>
            <w:tcW w:w="14440" w:type="dxa"/>
            <w:gridSpan w:val="6"/>
            <w:tcBorders>
              <w:top w:val="single" w:sz="4" w:space="0" w:color="auto"/>
              <w:left w:val="nil"/>
              <w:bottom w:val="nil"/>
              <w:right w:val="nil"/>
            </w:tcBorders>
            <w:shd w:val="clear" w:color="auto" w:fill="auto"/>
            <w:vAlign w:val="center"/>
            <w:hideMark/>
          </w:tcPr>
          <w:p w14:paraId="1EE4488A" w14:textId="77777777" w:rsidR="00D91E8B" w:rsidRPr="00D91E8B" w:rsidRDefault="00D91E8B" w:rsidP="00D91E8B">
            <w:pPr>
              <w:spacing w:after="0" w:line="240" w:lineRule="auto"/>
              <w:rPr>
                <w:rFonts w:eastAsia="Times New Roman"/>
                <w:color w:val="000000"/>
              </w:rPr>
            </w:pPr>
            <w:r w:rsidRPr="00D91E8B">
              <w:rPr>
                <w:rFonts w:eastAsia="Times New Roman"/>
                <w:i/>
                <w:iCs/>
                <w:color w:val="000000"/>
              </w:rPr>
              <w:t>*Note:</w:t>
            </w:r>
            <w:r w:rsidRPr="00D91E8B">
              <w:rPr>
                <w:rFonts w:eastAsia="Times New Roman"/>
                <w:color w:val="000000"/>
              </w:rPr>
              <w:t xml:space="preserve"> In 2006, Saad Al-Salim Al-Sabah had reigned the monarchy in Kuwait for 8 days. This succession is excluded from our analysis.</w:t>
            </w:r>
          </w:p>
        </w:tc>
      </w:tr>
    </w:tbl>
    <w:p w14:paraId="672FE12C" w14:textId="77777777" w:rsidR="00D91E8B" w:rsidRDefault="00D91E8B" w:rsidP="003373BD">
      <w:pPr>
        <w:sectPr w:rsidR="00D91E8B" w:rsidSect="00E44BEF">
          <w:pgSz w:w="15840" w:h="12240" w:orient="landscape" w:code="1"/>
          <w:pgMar w:top="720" w:right="720" w:bottom="720" w:left="720" w:header="720" w:footer="720" w:gutter="0"/>
          <w:cols w:space="720"/>
          <w:docGrid w:linePitch="360"/>
        </w:sectPr>
      </w:pPr>
    </w:p>
    <w:tbl>
      <w:tblPr>
        <w:tblW w:w="10900" w:type="dxa"/>
        <w:jc w:val="center"/>
        <w:tblLook w:val="04A0" w:firstRow="1" w:lastRow="0" w:firstColumn="1" w:lastColumn="0" w:noHBand="0" w:noVBand="1"/>
      </w:tblPr>
      <w:tblGrid>
        <w:gridCol w:w="1340"/>
        <w:gridCol w:w="1680"/>
        <w:gridCol w:w="681"/>
        <w:gridCol w:w="5619"/>
        <w:gridCol w:w="1580"/>
      </w:tblGrid>
      <w:tr w:rsidR="00D91E8B" w:rsidRPr="00D91E8B" w14:paraId="74B0F8F8" w14:textId="77777777" w:rsidTr="00D91E8B">
        <w:trPr>
          <w:trHeight w:val="360"/>
          <w:jc w:val="center"/>
        </w:trPr>
        <w:tc>
          <w:tcPr>
            <w:tcW w:w="10900" w:type="dxa"/>
            <w:gridSpan w:val="5"/>
            <w:tcBorders>
              <w:top w:val="nil"/>
              <w:left w:val="nil"/>
              <w:bottom w:val="single" w:sz="4" w:space="0" w:color="auto"/>
              <w:right w:val="single" w:sz="4" w:space="0" w:color="auto"/>
            </w:tcBorders>
            <w:shd w:val="clear" w:color="auto" w:fill="auto"/>
            <w:noWrap/>
            <w:vAlign w:val="center"/>
            <w:hideMark/>
          </w:tcPr>
          <w:p w14:paraId="4DD16232" w14:textId="77777777" w:rsidR="00D91E8B" w:rsidRPr="00D91E8B" w:rsidRDefault="00D91E8B" w:rsidP="00D91E8B">
            <w:pPr>
              <w:spacing w:after="0" w:line="240" w:lineRule="auto"/>
              <w:rPr>
                <w:rFonts w:eastAsia="Times New Roman"/>
                <w:b/>
                <w:bCs/>
                <w:color w:val="000000"/>
                <w:sz w:val="22"/>
                <w:szCs w:val="22"/>
              </w:rPr>
            </w:pPr>
            <w:r w:rsidRPr="00D91E8B">
              <w:rPr>
                <w:rFonts w:eastAsia="Times New Roman"/>
                <w:b/>
                <w:bCs/>
                <w:color w:val="000000"/>
                <w:sz w:val="22"/>
                <w:szCs w:val="22"/>
              </w:rPr>
              <w:lastRenderedPageBreak/>
              <w:t>Table 2. A snapshot of the foreign honors of Kings in 2005</w:t>
            </w:r>
          </w:p>
        </w:tc>
      </w:tr>
      <w:tr w:rsidR="00D91E8B" w:rsidRPr="00D91E8B" w14:paraId="196B2014" w14:textId="77777777" w:rsidTr="00D91E8B">
        <w:trPr>
          <w:trHeight w:val="540"/>
          <w:jc w:val="center"/>
        </w:trPr>
        <w:tc>
          <w:tcPr>
            <w:tcW w:w="1340" w:type="dxa"/>
            <w:tcBorders>
              <w:top w:val="nil"/>
              <w:left w:val="nil"/>
              <w:bottom w:val="single" w:sz="4" w:space="0" w:color="auto"/>
              <w:right w:val="single" w:sz="4" w:space="0" w:color="auto"/>
            </w:tcBorders>
            <w:shd w:val="clear" w:color="auto" w:fill="auto"/>
            <w:vAlign w:val="center"/>
            <w:hideMark/>
          </w:tcPr>
          <w:p w14:paraId="444C3602" w14:textId="77777777" w:rsidR="00D91E8B" w:rsidRPr="00D91E8B" w:rsidRDefault="00D91E8B" w:rsidP="00D91E8B">
            <w:pPr>
              <w:spacing w:after="0" w:line="240" w:lineRule="auto"/>
              <w:jc w:val="center"/>
              <w:rPr>
                <w:rFonts w:eastAsia="Times New Roman"/>
                <w:b/>
                <w:bCs/>
                <w:color w:val="000000"/>
                <w:sz w:val="22"/>
                <w:szCs w:val="22"/>
              </w:rPr>
            </w:pPr>
            <w:r w:rsidRPr="00D91E8B">
              <w:rPr>
                <w:rFonts w:eastAsia="Times New Roman"/>
                <w:b/>
                <w:bCs/>
                <w:color w:val="000000"/>
                <w:sz w:val="22"/>
                <w:szCs w:val="22"/>
              </w:rPr>
              <w:t>Host Countries</w:t>
            </w:r>
          </w:p>
        </w:tc>
        <w:tc>
          <w:tcPr>
            <w:tcW w:w="1680" w:type="dxa"/>
            <w:tcBorders>
              <w:top w:val="nil"/>
              <w:left w:val="nil"/>
              <w:bottom w:val="single" w:sz="4" w:space="0" w:color="auto"/>
              <w:right w:val="single" w:sz="4" w:space="0" w:color="auto"/>
            </w:tcBorders>
            <w:shd w:val="clear" w:color="auto" w:fill="auto"/>
            <w:vAlign w:val="center"/>
            <w:hideMark/>
          </w:tcPr>
          <w:p w14:paraId="3AC0C491" w14:textId="77777777" w:rsidR="00D91E8B" w:rsidRPr="00D91E8B" w:rsidRDefault="00D91E8B" w:rsidP="00D91E8B">
            <w:pPr>
              <w:spacing w:after="0" w:line="240" w:lineRule="auto"/>
              <w:jc w:val="center"/>
              <w:rPr>
                <w:rFonts w:eastAsia="Times New Roman"/>
                <w:b/>
                <w:bCs/>
                <w:color w:val="000000"/>
                <w:sz w:val="22"/>
                <w:szCs w:val="22"/>
              </w:rPr>
            </w:pPr>
            <w:r w:rsidRPr="00D91E8B">
              <w:rPr>
                <w:rFonts w:eastAsia="Times New Roman"/>
                <w:b/>
                <w:bCs/>
                <w:color w:val="000000"/>
                <w:sz w:val="22"/>
                <w:szCs w:val="22"/>
              </w:rPr>
              <w:t>Kings</w:t>
            </w:r>
          </w:p>
        </w:tc>
        <w:tc>
          <w:tcPr>
            <w:tcW w:w="580" w:type="dxa"/>
            <w:tcBorders>
              <w:top w:val="nil"/>
              <w:left w:val="nil"/>
              <w:bottom w:val="single" w:sz="4" w:space="0" w:color="auto"/>
              <w:right w:val="single" w:sz="4" w:space="0" w:color="auto"/>
            </w:tcBorders>
            <w:shd w:val="clear" w:color="auto" w:fill="auto"/>
            <w:vAlign w:val="center"/>
            <w:hideMark/>
          </w:tcPr>
          <w:p w14:paraId="1041C05A" w14:textId="77777777" w:rsidR="00D91E8B" w:rsidRPr="00D91E8B" w:rsidRDefault="00D91E8B" w:rsidP="00D91E8B">
            <w:pPr>
              <w:spacing w:after="0" w:line="240" w:lineRule="auto"/>
              <w:jc w:val="center"/>
              <w:rPr>
                <w:rFonts w:eastAsia="Times New Roman"/>
                <w:b/>
                <w:bCs/>
                <w:color w:val="000000"/>
                <w:sz w:val="22"/>
                <w:szCs w:val="22"/>
              </w:rPr>
            </w:pPr>
            <w:r w:rsidRPr="00D91E8B">
              <w:rPr>
                <w:rFonts w:eastAsia="Times New Roman"/>
                <w:b/>
                <w:bCs/>
                <w:color w:val="000000"/>
                <w:sz w:val="22"/>
                <w:szCs w:val="22"/>
              </w:rPr>
              <w:t>Year</w:t>
            </w:r>
          </w:p>
        </w:tc>
        <w:tc>
          <w:tcPr>
            <w:tcW w:w="5720" w:type="dxa"/>
            <w:tcBorders>
              <w:top w:val="nil"/>
              <w:left w:val="nil"/>
              <w:bottom w:val="single" w:sz="4" w:space="0" w:color="auto"/>
              <w:right w:val="single" w:sz="4" w:space="0" w:color="auto"/>
            </w:tcBorders>
            <w:shd w:val="clear" w:color="auto" w:fill="auto"/>
            <w:vAlign w:val="center"/>
            <w:hideMark/>
          </w:tcPr>
          <w:p w14:paraId="457CEFB9" w14:textId="77777777" w:rsidR="00D91E8B" w:rsidRPr="00D91E8B" w:rsidRDefault="00D91E8B" w:rsidP="00D91E8B">
            <w:pPr>
              <w:spacing w:after="0" w:line="240" w:lineRule="auto"/>
              <w:jc w:val="center"/>
              <w:rPr>
                <w:rFonts w:eastAsia="Times New Roman"/>
                <w:b/>
                <w:bCs/>
                <w:color w:val="000000"/>
                <w:sz w:val="22"/>
                <w:szCs w:val="22"/>
              </w:rPr>
            </w:pPr>
            <w:r w:rsidRPr="00D91E8B">
              <w:rPr>
                <w:rFonts w:eastAsia="Times New Roman"/>
                <w:b/>
                <w:bCs/>
                <w:color w:val="000000"/>
                <w:sz w:val="22"/>
                <w:szCs w:val="22"/>
              </w:rPr>
              <w:t>Honors</w:t>
            </w:r>
          </w:p>
        </w:tc>
        <w:tc>
          <w:tcPr>
            <w:tcW w:w="1580" w:type="dxa"/>
            <w:tcBorders>
              <w:top w:val="nil"/>
              <w:left w:val="nil"/>
              <w:bottom w:val="single" w:sz="4" w:space="0" w:color="auto"/>
              <w:right w:val="nil"/>
            </w:tcBorders>
            <w:shd w:val="clear" w:color="auto" w:fill="auto"/>
            <w:vAlign w:val="center"/>
            <w:hideMark/>
          </w:tcPr>
          <w:p w14:paraId="65055A6E" w14:textId="77777777" w:rsidR="00D91E8B" w:rsidRPr="00D91E8B" w:rsidRDefault="00D91E8B" w:rsidP="00D91E8B">
            <w:pPr>
              <w:spacing w:after="0" w:line="240" w:lineRule="auto"/>
              <w:jc w:val="center"/>
              <w:rPr>
                <w:rFonts w:eastAsia="Times New Roman"/>
                <w:b/>
                <w:bCs/>
                <w:color w:val="000000"/>
                <w:sz w:val="22"/>
                <w:szCs w:val="22"/>
              </w:rPr>
            </w:pPr>
            <w:r w:rsidRPr="00D91E8B">
              <w:rPr>
                <w:rFonts w:eastAsia="Times New Roman"/>
                <w:b/>
                <w:bCs/>
                <w:color w:val="000000"/>
                <w:sz w:val="22"/>
                <w:szCs w:val="22"/>
              </w:rPr>
              <w:t>Issuing countries</w:t>
            </w:r>
          </w:p>
        </w:tc>
      </w:tr>
      <w:tr w:rsidR="00D91E8B" w:rsidRPr="00D91E8B" w14:paraId="4D618D75" w14:textId="77777777" w:rsidTr="00D91E8B">
        <w:trPr>
          <w:trHeight w:val="833"/>
          <w:jc w:val="center"/>
        </w:trPr>
        <w:tc>
          <w:tcPr>
            <w:tcW w:w="1340" w:type="dxa"/>
            <w:tcBorders>
              <w:top w:val="nil"/>
              <w:left w:val="nil"/>
              <w:bottom w:val="single" w:sz="4" w:space="0" w:color="auto"/>
              <w:right w:val="single" w:sz="4" w:space="0" w:color="auto"/>
            </w:tcBorders>
            <w:shd w:val="clear" w:color="auto" w:fill="auto"/>
            <w:vAlign w:val="center"/>
            <w:hideMark/>
          </w:tcPr>
          <w:p w14:paraId="3DBA6B3E"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United Arab Emirates</w:t>
            </w:r>
          </w:p>
        </w:tc>
        <w:tc>
          <w:tcPr>
            <w:tcW w:w="1680" w:type="dxa"/>
            <w:tcBorders>
              <w:top w:val="nil"/>
              <w:left w:val="nil"/>
              <w:bottom w:val="single" w:sz="4" w:space="0" w:color="auto"/>
              <w:right w:val="single" w:sz="4" w:space="0" w:color="auto"/>
            </w:tcBorders>
            <w:shd w:val="clear" w:color="auto" w:fill="auto"/>
            <w:vAlign w:val="center"/>
            <w:hideMark/>
          </w:tcPr>
          <w:p w14:paraId="33B10A6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Khalifa bin Zayed bin Sultan Al Nahyan</w:t>
            </w:r>
          </w:p>
        </w:tc>
        <w:tc>
          <w:tcPr>
            <w:tcW w:w="580" w:type="dxa"/>
            <w:tcBorders>
              <w:top w:val="nil"/>
              <w:left w:val="nil"/>
              <w:bottom w:val="single" w:sz="4" w:space="0" w:color="auto"/>
              <w:right w:val="single" w:sz="4" w:space="0" w:color="auto"/>
            </w:tcBorders>
            <w:shd w:val="clear" w:color="auto" w:fill="auto"/>
            <w:noWrap/>
            <w:vAlign w:val="center"/>
            <w:hideMark/>
          </w:tcPr>
          <w:p w14:paraId="29E90C4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1981</w:t>
            </w:r>
          </w:p>
        </w:tc>
        <w:tc>
          <w:tcPr>
            <w:tcW w:w="5720" w:type="dxa"/>
            <w:tcBorders>
              <w:top w:val="nil"/>
              <w:left w:val="nil"/>
              <w:bottom w:val="single" w:sz="4" w:space="0" w:color="auto"/>
              <w:right w:val="single" w:sz="4" w:space="0" w:color="auto"/>
            </w:tcBorders>
            <w:shd w:val="clear" w:color="auto" w:fill="auto"/>
            <w:vAlign w:val="center"/>
            <w:hideMark/>
          </w:tcPr>
          <w:p w14:paraId="6C89BB9D"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Knight Grand Cross of the Order of Isabella the Catholic of Spain</w:t>
            </w:r>
          </w:p>
        </w:tc>
        <w:tc>
          <w:tcPr>
            <w:tcW w:w="1580" w:type="dxa"/>
            <w:tcBorders>
              <w:top w:val="nil"/>
              <w:left w:val="nil"/>
              <w:bottom w:val="single" w:sz="4" w:space="0" w:color="auto"/>
              <w:right w:val="nil"/>
            </w:tcBorders>
            <w:shd w:val="clear" w:color="auto" w:fill="auto"/>
            <w:noWrap/>
            <w:vAlign w:val="center"/>
            <w:hideMark/>
          </w:tcPr>
          <w:p w14:paraId="7AEF6779"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Spain</w:t>
            </w:r>
          </w:p>
        </w:tc>
      </w:tr>
      <w:tr w:rsidR="00D91E8B" w:rsidRPr="00D91E8B" w14:paraId="2257CEAB" w14:textId="77777777" w:rsidTr="00D91E8B">
        <w:trPr>
          <w:trHeight w:val="250"/>
          <w:jc w:val="center"/>
        </w:trPr>
        <w:tc>
          <w:tcPr>
            <w:tcW w:w="1340" w:type="dxa"/>
            <w:vMerge w:val="restart"/>
            <w:tcBorders>
              <w:top w:val="nil"/>
              <w:left w:val="nil"/>
              <w:bottom w:val="single" w:sz="4" w:space="0" w:color="auto"/>
              <w:right w:val="single" w:sz="4" w:space="0" w:color="auto"/>
            </w:tcBorders>
            <w:shd w:val="clear" w:color="auto" w:fill="auto"/>
            <w:vAlign w:val="center"/>
            <w:hideMark/>
          </w:tcPr>
          <w:p w14:paraId="327CAF20"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Bahrain</w:t>
            </w:r>
          </w:p>
        </w:tc>
        <w:tc>
          <w:tcPr>
            <w:tcW w:w="1680" w:type="dxa"/>
            <w:vMerge w:val="restart"/>
            <w:tcBorders>
              <w:top w:val="nil"/>
              <w:left w:val="single" w:sz="4" w:space="0" w:color="auto"/>
              <w:bottom w:val="single" w:sz="4" w:space="0" w:color="auto"/>
              <w:right w:val="single" w:sz="4" w:space="0" w:color="auto"/>
            </w:tcBorders>
            <w:shd w:val="clear" w:color="auto" w:fill="auto"/>
            <w:vAlign w:val="center"/>
            <w:hideMark/>
          </w:tcPr>
          <w:p w14:paraId="74572E7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Hamad bin Isa bin Salman Al Khalifa</w:t>
            </w:r>
          </w:p>
        </w:tc>
        <w:tc>
          <w:tcPr>
            <w:tcW w:w="580" w:type="dxa"/>
            <w:tcBorders>
              <w:top w:val="nil"/>
              <w:left w:val="nil"/>
              <w:bottom w:val="single" w:sz="4" w:space="0" w:color="auto"/>
              <w:right w:val="single" w:sz="4" w:space="0" w:color="auto"/>
            </w:tcBorders>
            <w:shd w:val="clear" w:color="auto" w:fill="auto"/>
            <w:noWrap/>
            <w:vAlign w:val="center"/>
            <w:hideMark/>
          </w:tcPr>
          <w:p w14:paraId="4F9FB01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1968</w:t>
            </w:r>
          </w:p>
        </w:tc>
        <w:tc>
          <w:tcPr>
            <w:tcW w:w="5720" w:type="dxa"/>
            <w:tcBorders>
              <w:top w:val="nil"/>
              <w:left w:val="nil"/>
              <w:bottom w:val="single" w:sz="4" w:space="0" w:color="auto"/>
              <w:right w:val="single" w:sz="4" w:space="0" w:color="auto"/>
            </w:tcBorders>
            <w:shd w:val="clear" w:color="auto" w:fill="auto"/>
            <w:vAlign w:val="center"/>
            <w:hideMark/>
          </w:tcPr>
          <w:p w14:paraId="3C33B9ED"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Grand Cordon of the Order of the Star of Jordan</w:t>
            </w:r>
          </w:p>
        </w:tc>
        <w:tc>
          <w:tcPr>
            <w:tcW w:w="1580" w:type="dxa"/>
            <w:tcBorders>
              <w:top w:val="nil"/>
              <w:left w:val="nil"/>
              <w:bottom w:val="single" w:sz="4" w:space="0" w:color="auto"/>
              <w:right w:val="nil"/>
            </w:tcBorders>
            <w:shd w:val="clear" w:color="auto" w:fill="auto"/>
            <w:noWrap/>
            <w:vAlign w:val="center"/>
            <w:hideMark/>
          </w:tcPr>
          <w:p w14:paraId="277082D4"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Jordan</w:t>
            </w:r>
          </w:p>
        </w:tc>
      </w:tr>
      <w:tr w:rsidR="00D91E8B" w:rsidRPr="00D91E8B" w14:paraId="315A10A1"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1DA02CD2"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24E43EB2"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6345F44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1970</w:t>
            </w:r>
          </w:p>
        </w:tc>
        <w:tc>
          <w:tcPr>
            <w:tcW w:w="5720" w:type="dxa"/>
            <w:tcBorders>
              <w:top w:val="nil"/>
              <w:left w:val="nil"/>
              <w:bottom w:val="single" w:sz="4" w:space="0" w:color="auto"/>
              <w:right w:val="single" w:sz="4" w:space="0" w:color="auto"/>
            </w:tcBorders>
            <w:shd w:val="clear" w:color="auto" w:fill="auto"/>
            <w:vAlign w:val="center"/>
            <w:hideMark/>
          </w:tcPr>
          <w:p w14:paraId="0DBA0C50"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Member 1st class of the Order of the Two Rivers</w:t>
            </w:r>
          </w:p>
        </w:tc>
        <w:tc>
          <w:tcPr>
            <w:tcW w:w="1580" w:type="dxa"/>
            <w:tcBorders>
              <w:top w:val="nil"/>
              <w:left w:val="nil"/>
              <w:bottom w:val="single" w:sz="4" w:space="0" w:color="auto"/>
              <w:right w:val="nil"/>
            </w:tcBorders>
            <w:shd w:val="clear" w:color="auto" w:fill="auto"/>
            <w:noWrap/>
            <w:vAlign w:val="center"/>
            <w:hideMark/>
          </w:tcPr>
          <w:p w14:paraId="3577007A"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Iraq</w:t>
            </w:r>
          </w:p>
        </w:tc>
      </w:tr>
      <w:tr w:rsidR="00D91E8B" w:rsidRPr="00D91E8B" w14:paraId="23B70A1C"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673CAED4"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1E0BD9A7"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47A99EF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1971</w:t>
            </w:r>
          </w:p>
        </w:tc>
        <w:tc>
          <w:tcPr>
            <w:tcW w:w="5720" w:type="dxa"/>
            <w:tcBorders>
              <w:top w:val="nil"/>
              <w:left w:val="nil"/>
              <w:bottom w:val="single" w:sz="4" w:space="0" w:color="auto"/>
              <w:right w:val="single" w:sz="4" w:space="0" w:color="auto"/>
            </w:tcBorders>
            <w:shd w:val="clear" w:color="auto" w:fill="auto"/>
            <w:vAlign w:val="center"/>
            <w:hideMark/>
          </w:tcPr>
          <w:p w14:paraId="5143D4D3"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Member Special Class of the Order of Muhammad</w:t>
            </w:r>
          </w:p>
        </w:tc>
        <w:tc>
          <w:tcPr>
            <w:tcW w:w="1580" w:type="dxa"/>
            <w:tcBorders>
              <w:top w:val="nil"/>
              <w:left w:val="nil"/>
              <w:bottom w:val="single" w:sz="4" w:space="0" w:color="auto"/>
              <w:right w:val="nil"/>
            </w:tcBorders>
            <w:shd w:val="clear" w:color="auto" w:fill="auto"/>
            <w:noWrap/>
            <w:vAlign w:val="center"/>
            <w:hideMark/>
          </w:tcPr>
          <w:p w14:paraId="324888DB"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Morocco</w:t>
            </w:r>
          </w:p>
        </w:tc>
      </w:tr>
      <w:tr w:rsidR="00D91E8B" w:rsidRPr="00D91E8B" w14:paraId="2667BA35"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400B91C3"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16E3CB85"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3C03737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1973</w:t>
            </w:r>
          </w:p>
        </w:tc>
        <w:tc>
          <w:tcPr>
            <w:tcW w:w="5720" w:type="dxa"/>
            <w:tcBorders>
              <w:top w:val="nil"/>
              <w:left w:val="nil"/>
              <w:bottom w:val="single" w:sz="4" w:space="0" w:color="auto"/>
              <w:right w:val="single" w:sz="4" w:space="0" w:color="auto"/>
            </w:tcBorders>
            <w:shd w:val="clear" w:color="auto" w:fill="auto"/>
            <w:vAlign w:val="center"/>
            <w:hideMark/>
          </w:tcPr>
          <w:p w14:paraId="6B70DD37"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Grand Cordon of the Supreme Order of the Renaissance</w:t>
            </w:r>
          </w:p>
        </w:tc>
        <w:tc>
          <w:tcPr>
            <w:tcW w:w="1580" w:type="dxa"/>
            <w:tcBorders>
              <w:top w:val="nil"/>
              <w:left w:val="nil"/>
              <w:bottom w:val="single" w:sz="4" w:space="0" w:color="auto"/>
              <w:right w:val="nil"/>
            </w:tcBorders>
            <w:shd w:val="clear" w:color="auto" w:fill="auto"/>
            <w:noWrap/>
            <w:vAlign w:val="center"/>
            <w:hideMark/>
          </w:tcPr>
          <w:p w14:paraId="63E36A09"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Jordan</w:t>
            </w:r>
          </w:p>
        </w:tc>
      </w:tr>
      <w:tr w:rsidR="00D91E8B" w:rsidRPr="00D91E8B" w14:paraId="4B75D2AF"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745F3C0C"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048F8C6D"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120AF30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1974</w:t>
            </w:r>
          </w:p>
        </w:tc>
        <w:tc>
          <w:tcPr>
            <w:tcW w:w="5720" w:type="dxa"/>
            <w:tcBorders>
              <w:top w:val="nil"/>
              <w:left w:val="nil"/>
              <w:bottom w:val="single" w:sz="4" w:space="0" w:color="auto"/>
              <w:right w:val="single" w:sz="4" w:space="0" w:color="auto"/>
            </w:tcBorders>
            <w:shd w:val="clear" w:color="auto" w:fill="auto"/>
            <w:vAlign w:val="center"/>
            <w:hideMark/>
          </w:tcPr>
          <w:p w14:paraId="49198385"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Grand Cordon of the Order of the Republic </w:t>
            </w:r>
          </w:p>
        </w:tc>
        <w:tc>
          <w:tcPr>
            <w:tcW w:w="1580" w:type="dxa"/>
            <w:tcBorders>
              <w:top w:val="nil"/>
              <w:left w:val="nil"/>
              <w:bottom w:val="single" w:sz="4" w:space="0" w:color="auto"/>
              <w:right w:val="nil"/>
            </w:tcBorders>
            <w:shd w:val="clear" w:color="auto" w:fill="auto"/>
            <w:noWrap/>
            <w:vAlign w:val="center"/>
            <w:hideMark/>
          </w:tcPr>
          <w:p w14:paraId="72D75F74"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Egypt</w:t>
            </w:r>
          </w:p>
        </w:tc>
      </w:tr>
      <w:tr w:rsidR="00D91E8B" w:rsidRPr="00D91E8B" w14:paraId="337489A1"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022072FF"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31E857EF"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3982479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1974</w:t>
            </w:r>
          </w:p>
        </w:tc>
        <w:tc>
          <w:tcPr>
            <w:tcW w:w="5720" w:type="dxa"/>
            <w:tcBorders>
              <w:top w:val="nil"/>
              <w:left w:val="nil"/>
              <w:bottom w:val="single" w:sz="4" w:space="0" w:color="auto"/>
              <w:right w:val="single" w:sz="4" w:space="0" w:color="auto"/>
            </w:tcBorders>
            <w:shd w:val="clear" w:color="auto" w:fill="auto"/>
            <w:vAlign w:val="center"/>
            <w:hideMark/>
          </w:tcPr>
          <w:p w14:paraId="56023012"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Collar of the Order of the Crown</w:t>
            </w:r>
          </w:p>
        </w:tc>
        <w:tc>
          <w:tcPr>
            <w:tcW w:w="1580" w:type="dxa"/>
            <w:tcBorders>
              <w:top w:val="nil"/>
              <w:left w:val="nil"/>
              <w:bottom w:val="single" w:sz="4" w:space="0" w:color="auto"/>
              <w:right w:val="nil"/>
            </w:tcBorders>
            <w:shd w:val="clear" w:color="auto" w:fill="auto"/>
            <w:noWrap/>
            <w:vAlign w:val="center"/>
            <w:hideMark/>
          </w:tcPr>
          <w:p w14:paraId="2CFAFACE"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Iran</w:t>
            </w:r>
          </w:p>
        </w:tc>
      </w:tr>
      <w:tr w:rsidR="00D91E8B" w:rsidRPr="00D91E8B" w14:paraId="0F9FA0FB"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18D0A255"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16F05D3D"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1E35B62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1977</w:t>
            </w:r>
          </w:p>
        </w:tc>
        <w:tc>
          <w:tcPr>
            <w:tcW w:w="5720" w:type="dxa"/>
            <w:tcBorders>
              <w:top w:val="nil"/>
              <w:left w:val="nil"/>
              <w:bottom w:val="single" w:sz="4" w:space="0" w:color="auto"/>
              <w:right w:val="single" w:sz="4" w:space="0" w:color="auto"/>
            </w:tcBorders>
            <w:shd w:val="clear" w:color="auto" w:fill="auto"/>
            <w:vAlign w:val="center"/>
            <w:hideMark/>
          </w:tcPr>
          <w:p w14:paraId="0D9959C6"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Collar of the Order of Abdulaziz al Saud</w:t>
            </w:r>
          </w:p>
        </w:tc>
        <w:tc>
          <w:tcPr>
            <w:tcW w:w="1580" w:type="dxa"/>
            <w:tcBorders>
              <w:top w:val="nil"/>
              <w:left w:val="nil"/>
              <w:bottom w:val="single" w:sz="4" w:space="0" w:color="auto"/>
              <w:right w:val="nil"/>
            </w:tcBorders>
            <w:shd w:val="clear" w:color="auto" w:fill="auto"/>
            <w:noWrap/>
            <w:vAlign w:val="center"/>
            <w:hideMark/>
          </w:tcPr>
          <w:p w14:paraId="4F15BA79"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Saudi Arabia</w:t>
            </w:r>
          </w:p>
        </w:tc>
      </w:tr>
      <w:tr w:rsidR="00D91E8B" w:rsidRPr="00D91E8B" w14:paraId="16EC82CE"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79EF7BAC"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7368620D"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0686949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1978</w:t>
            </w:r>
          </w:p>
        </w:tc>
        <w:tc>
          <w:tcPr>
            <w:tcW w:w="5720" w:type="dxa"/>
            <w:tcBorders>
              <w:top w:val="nil"/>
              <w:left w:val="nil"/>
              <w:bottom w:val="single" w:sz="4" w:space="0" w:color="auto"/>
              <w:right w:val="single" w:sz="4" w:space="0" w:color="auto"/>
            </w:tcBorders>
            <w:shd w:val="clear" w:color="auto" w:fill="auto"/>
            <w:vAlign w:val="center"/>
            <w:hideMark/>
          </w:tcPr>
          <w:p w14:paraId="73FE64A6"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Star of the Republic of Indonesia, 1st class</w:t>
            </w:r>
          </w:p>
        </w:tc>
        <w:tc>
          <w:tcPr>
            <w:tcW w:w="1580" w:type="dxa"/>
            <w:tcBorders>
              <w:top w:val="nil"/>
              <w:left w:val="nil"/>
              <w:bottom w:val="single" w:sz="4" w:space="0" w:color="auto"/>
              <w:right w:val="nil"/>
            </w:tcBorders>
            <w:shd w:val="clear" w:color="auto" w:fill="auto"/>
            <w:noWrap/>
            <w:vAlign w:val="center"/>
            <w:hideMark/>
          </w:tcPr>
          <w:p w14:paraId="01683CAE"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Indonesia</w:t>
            </w:r>
          </w:p>
        </w:tc>
      </w:tr>
      <w:tr w:rsidR="00D91E8B" w:rsidRPr="00D91E8B" w14:paraId="21CE5DCB"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0A62D708"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0CE003BF"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08FC6A3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1979</w:t>
            </w:r>
          </w:p>
        </w:tc>
        <w:tc>
          <w:tcPr>
            <w:tcW w:w="5720" w:type="dxa"/>
            <w:tcBorders>
              <w:top w:val="nil"/>
              <w:left w:val="nil"/>
              <w:bottom w:val="single" w:sz="4" w:space="0" w:color="auto"/>
              <w:right w:val="single" w:sz="4" w:space="0" w:color="auto"/>
            </w:tcBorders>
            <w:shd w:val="clear" w:color="auto" w:fill="auto"/>
            <w:vAlign w:val="center"/>
            <w:hideMark/>
          </w:tcPr>
          <w:p w14:paraId="56830460"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Member 1st class of the Order of Merit</w:t>
            </w:r>
          </w:p>
        </w:tc>
        <w:tc>
          <w:tcPr>
            <w:tcW w:w="1580" w:type="dxa"/>
            <w:tcBorders>
              <w:top w:val="nil"/>
              <w:left w:val="nil"/>
              <w:bottom w:val="single" w:sz="4" w:space="0" w:color="auto"/>
              <w:right w:val="nil"/>
            </w:tcBorders>
            <w:shd w:val="clear" w:color="auto" w:fill="auto"/>
            <w:noWrap/>
            <w:vAlign w:val="center"/>
            <w:hideMark/>
          </w:tcPr>
          <w:p w14:paraId="7B4BB0E6"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Mauritania</w:t>
            </w:r>
          </w:p>
        </w:tc>
      </w:tr>
      <w:tr w:rsidR="00D91E8B" w:rsidRPr="00D91E8B" w14:paraId="4C179277" w14:textId="77777777" w:rsidTr="00D91E8B">
        <w:trPr>
          <w:trHeight w:val="555"/>
          <w:jc w:val="center"/>
        </w:trPr>
        <w:tc>
          <w:tcPr>
            <w:tcW w:w="1340" w:type="dxa"/>
            <w:vMerge/>
            <w:tcBorders>
              <w:top w:val="nil"/>
              <w:left w:val="nil"/>
              <w:bottom w:val="single" w:sz="4" w:space="0" w:color="auto"/>
              <w:right w:val="single" w:sz="4" w:space="0" w:color="auto"/>
            </w:tcBorders>
            <w:vAlign w:val="center"/>
            <w:hideMark/>
          </w:tcPr>
          <w:p w14:paraId="04F10081"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2CACFA7B"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0311FB3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1980</w:t>
            </w:r>
          </w:p>
        </w:tc>
        <w:tc>
          <w:tcPr>
            <w:tcW w:w="5720" w:type="dxa"/>
            <w:tcBorders>
              <w:top w:val="nil"/>
              <w:left w:val="nil"/>
              <w:bottom w:val="single" w:sz="4" w:space="0" w:color="auto"/>
              <w:right w:val="single" w:sz="4" w:space="0" w:color="auto"/>
            </w:tcBorders>
            <w:shd w:val="clear" w:color="auto" w:fill="auto"/>
            <w:vAlign w:val="center"/>
            <w:hideMark/>
          </w:tcPr>
          <w:p w14:paraId="63DECE68"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Honorary Knight Commander of the Order of St Michael and St George</w:t>
            </w:r>
          </w:p>
        </w:tc>
        <w:tc>
          <w:tcPr>
            <w:tcW w:w="1580" w:type="dxa"/>
            <w:tcBorders>
              <w:top w:val="nil"/>
              <w:left w:val="nil"/>
              <w:bottom w:val="single" w:sz="4" w:space="0" w:color="auto"/>
              <w:right w:val="nil"/>
            </w:tcBorders>
            <w:shd w:val="clear" w:color="auto" w:fill="auto"/>
            <w:noWrap/>
            <w:vAlign w:val="center"/>
            <w:hideMark/>
          </w:tcPr>
          <w:p w14:paraId="75A167C9"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United Kingdom</w:t>
            </w:r>
          </w:p>
        </w:tc>
      </w:tr>
      <w:tr w:rsidR="00D91E8B" w:rsidRPr="00D91E8B" w14:paraId="215BABB6" w14:textId="77777777" w:rsidTr="00D91E8B">
        <w:trPr>
          <w:trHeight w:val="555"/>
          <w:jc w:val="center"/>
        </w:trPr>
        <w:tc>
          <w:tcPr>
            <w:tcW w:w="1340" w:type="dxa"/>
            <w:vMerge/>
            <w:tcBorders>
              <w:top w:val="nil"/>
              <w:left w:val="nil"/>
              <w:bottom w:val="single" w:sz="4" w:space="0" w:color="auto"/>
              <w:right w:val="single" w:sz="4" w:space="0" w:color="auto"/>
            </w:tcBorders>
            <w:vAlign w:val="center"/>
            <w:hideMark/>
          </w:tcPr>
          <w:p w14:paraId="3F5AB03A"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15278879"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28AB56E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1980</w:t>
            </w:r>
          </w:p>
        </w:tc>
        <w:tc>
          <w:tcPr>
            <w:tcW w:w="5720" w:type="dxa"/>
            <w:tcBorders>
              <w:top w:val="nil"/>
              <w:left w:val="nil"/>
              <w:bottom w:val="single" w:sz="4" w:space="0" w:color="auto"/>
              <w:right w:val="single" w:sz="4" w:space="0" w:color="auto"/>
            </w:tcBorders>
            <w:shd w:val="clear" w:color="auto" w:fill="auto"/>
            <w:vAlign w:val="center"/>
            <w:hideMark/>
          </w:tcPr>
          <w:p w14:paraId="5031F106"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Member 1st class of the Order of the Grand Conqueror of Libya</w:t>
            </w:r>
          </w:p>
        </w:tc>
        <w:tc>
          <w:tcPr>
            <w:tcW w:w="1580" w:type="dxa"/>
            <w:tcBorders>
              <w:top w:val="nil"/>
              <w:left w:val="nil"/>
              <w:bottom w:val="single" w:sz="4" w:space="0" w:color="auto"/>
              <w:right w:val="nil"/>
            </w:tcBorders>
            <w:shd w:val="clear" w:color="auto" w:fill="auto"/>
            <w:noWrap/>
            <w:vAlign w:val="center"/>
            <w:hideMark/>
          </w:tcPr>
          <w:p w14:paraId="26F85EDA"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Libya</w:t>
            </w:r>
          </w:p>
        </w:tc>
      </w:tr>
      <w:tr w:rsidR="00D91E8B" w:rsidRPr="00D91E8B" w14:paraId="4425CD84"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54D728C7"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5D4434F4"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1CB06C9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1981</w:t>
            </w:r>
          </w:p>
        </w:tc>
        <w:tc>
          <w:tcPr>
            <w:tcW w:w="5720" w:type="dxa"/>
            <w:tcBorders>
              <w:top w:val="nil"/>
              <w:left w:val="nil"/>
              <w:bottom w:val="single" w:sz="4" w:space="0" w:color="auto"/>
              <w:right w:val="single" w:sz="4" w:space="0" w:color="auto"/>
            </w:tcBorders>
            <w:shd w:val="clear" w:color="auto" w:fill="auto"/>
            <w:vAlign w:val="center"/>
            <w:hideMark/>
          </w:tcPr>
          <w:p w14:paraId="3743225E"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Knight Grand Cross of the Order of Isabella the Catholic</w:t>
            </w:r>
          </w:p>
        </w:tc>
        <w:tc>
          <w:tcPr>
            <w:tcW w:w="1580" w:type="dxa"/>
            <w:tcBorders>
              <w:top w:val="nil"/>
              <w:left w:val="nil"/>
              <w:bottom w:val="single" w:sz="4" w:space="0" w:color="auto"/>
              <w:right w:val="nil"/>
            </w:tcBorders>
            <w:shd w:val="clear" w:color="auto" w:fill="auto"/>
            <w:noWrap/>
            <w:vAlign w:val="center"/>
            <w:hideMark/>
          </w:tcPr>
          <w:p w14:paraId="258A427F"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Spain</w:t>
            </w:r>
          </w:p>
        </w:tc>
      </w:tr>
      <w:tr w:rsidR="00D91E8B" w:rsidRPr="00D91E8B" w14:paraId="4C7DC5ED"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794A1073"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29660144"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494B605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2000</w:t>
            </w:r>
          </w:p>
        </w:tc>
        <w:tc>
          <w:tcPr>
            <w:tcW w:w="5720" w:type="dxa"/>
            <w:tcBorders>
              <w:top w:val="nil"/>
              <w:left w:val="nil"/>
              <w:bottom w:val="single" w:sz="4" w:space="0" w:color="auto"/>
              <w:right w:val="single" w:sz="4" w:space="0" w:color="auto"/>
            </w:tcBorders>
            <w:shd w:val="clear" w:color="auto" w:fill="auto"/>
            <w:vAlign w:val="center"/>
            <w:hideMark/>
          </w:tcPr>
          <w:p w14:paraId="6BBC1D95"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Honorary Recipient of the Order of the Crown of the Realm</w:t>
            </w:r>
          </w:p>
        </w:tc>
        <w:tc>
          <w:tcPr>
            <w:tcW w:w="1580" w:type="dxa"/>
            <w:tcBorders>
              <w:top w:val="nil"/>
              <w:left w:val="nil"/>
              <w:bottom w:val="single" w:sz="4" w:space="0" w:color="auto"/>
              <w:right w:val="nil"/>
            </w:tcBorders>
            <w:shd w:val="clear" w:color="auto" w:fill="auto"/>
            <w:noWrap/>
            <w:vAlign w:val="center"/>
            <w:hideMark/>
          </w:tcPr>
          <w:p w14:paraId="2AC7C282"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Malaysia</w:t>
            </w:r>
          </w:p>
        </w:tc>
      </w:tr>
      <w:tr w:rsidR="00D91E8B" w:rsidRPr="00D91E8B" w14:paraId="544B950E" w14:textId="77777777" w:rsidTr="00D91E8B">
        <w:trPr>
          <w:trHeight w:val="250"/>
          <w:jc w:val="center"/>
        </w:trPr>
        <w:tc>
          <w:tcPr>
            <w:tcW w:w="1340" w:type="dxa"/>
            <w:vMerge w:val="restart"/>
            <w:tcBorders>
              <w:top w:val="nil"/>
              <w:left w:val="nil"/>
              <w:bottom w:val="single" w:sz="4" w:space="0" w:color="auto"/>
              <w:right w:val="single" w:sz="4" w:space="0" w:color="auto"/>
            </w:tcBorders>
            <w:shd w:val="clear" w:color="auto" w:fill="auto"/>
            <w:vAlign w:val="center"/>
            <w:hideMark/>
          </w:tcPr>
          <w:p w14:paraId="101EE0A1"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Qatar</w:t>
            </w:r>
          </w:p>
        </w:tc>
        <w:tc>
          <w:tcPr>
            <w:tcW w:w="1680" w:type="dxa"/>
            <w:vMerge w:val="restart"/>
            <w:tcBorders>
              <w:top w:val="nil"/>
              <w:left w:val="single" w:sz="4" w:space="0" w:color="auto"/>
              <w:bottom w:val="single" w:sz="4" w:space="0" w:color="auto"/>
              <w:right w:val="single" w:sz="4" w:space="0" w:color="auto"/>
            </w:tcBorders>
            <w:shd w:val="clear" w:color="auto" w:fill="auto"/>
            <w:vAlign w:val="center"/>
            <w:hideMark/>
          </w:tcPr>
          <w:p w14:paraId="0B9C379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Hamad bin Khalifa Al Thani</w:t>
            </w:r>
          </w:p>
        </w:tc>
        <w:tc>
          <w:tcPr>
            <w:tcW w:w="580" w:type="dxa"/>
            <w:tcBorders>
              <w:top w:val="nil"/>
              <w:left w:val="nil"/>
              <w:bottom w:val="single" w:sz="4" w:space="0" w:color="auto"/>
              <w:right w:val="single" w:sz="4" w:space="0" w:color="auto"/>
            </w:tcBorders>
            <w:shd w:val="clear" w:color="auto" w:fill="auto"/>
            <w:noWrap/>
            <w:vAlign w:val="center"/>
            <w:hideMark/>
          </w:tcPr>
          <w:p w14:paraId="030C563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1975</w:t>
            </w:r>
          </w:p>
        </w:tc>
        <w:tc>
          <w:tcPr>
            <w:tcW w:w="5720" w:type="dxa"/>
            <w:tcBorders>
              <w:top w:val="nil"/>
              <w:left w:val="nil"/>
              <w:bottom w:val="single" w:sz="4" w:space="0" w:color="auto"/>
              <w:right w:val="single" w:sz="4" w:space="0" w:color="auto"/>
            </w:tcBorders>
            <w:shd w:val="clear" w:color="auto" w:fill="auto"/>
            <w:vAlign w:val="center"/>
            <w:hideMark/>
          </w:tcPr>
          <w:p w14:paraId="0B538F90"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Medal of Oman</w:t>
            </w:r>
          </w:p>
        </w:tc>
        <w:tc>
          <w:tcPr>
            <w:tcW w:w="1580" w:type="dxa"/>
            <w:tcBorders>
              <w:top w:val="nil"/>
              <w:left w:val="nil"/>
              <w:bottom w:val="single" w:sz="4" w:space="0" w:color="auto"/>
              <w:right w:val="nil"/>
            </w:tcBorders>
            <w:shd w:val="clear" w:color="auto" w:fill="auto"/>
            <w:noWrap/>
            <w:vAlign w:val="center"/>
            <w:hideMark/>
          </w:tcPr>
          <w:p w14:paraId="1FB74129"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Oman</w:t>
            </w:r>
          </w:p>
        </w:tc>
      </w:tr>
      <w:tr w:rsidR="00D91E8B" w:rsidRPr="00D91E8B" w14:paraId="212594ED"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72A21C80"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502C5DEC"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511C17A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1976</w:t>
            </w:r>
          </w:p>
        </w:tc>
        <w:tc>
          <w:tcPr>
            <w:tcW w:w="5720" w:type="dxa"/>
            <w:tcBorders>
              <w:top w:val="nil"/>
              <w:left w:val="nil"/>
              <w:bottom w:val="single" w:sz="4" w:space="0" w:color="auto"/>
              <w:right w:val="single" w:sz="4" w:space="0" w:color="auto"/>
            </w:tcBorders>
            <w:shd w:val="clear" w:color="auto" w:fill="auto"/>
            <w:vAlign w:val="center"/>
            <w:hideMark/>
          </w:tcPr>
          <w:p w14:paraId="3DC4313E"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King Abdul-Aziz Medal.</w:t>
            </w:r>
          </w:p>
        </w:tc>
        <w:tc>
          <w:tcPr>
            <w:tcW w:w="1580" w:type="dxa"/>
            <w:tcBorders>
              <w:top w:val="nil"/>
              <w:left w:val="nil"/>
              <w:bottom w:val="single" w:sz="4" w:space="0" w:color="auto"/>
              <w:right w:val="nil"/>
            </w:tcBorders>
            <w:shd w:val="clear" w:color="auto" w:fill="auto"/>
            <w:noWrap/>
            <w:vAlign w:val="center"/>
            <w:hideMark/>
          </w:tcPr>
          <w:p w14:paraId="2AA1ED9E"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Saudi Arabia</w:t>
            </w:r>
          </w:p>
        </w:tc>
      </w:tr>
      <w:tr w:rsidR="00D91E8B" w:rsidRPr="00D91E8B" w14:paraId="3D24E6E1"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39CF095C"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56A6F047"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5D5CB62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1976</w:t>
            </w:r>
          </w:p>
        </w:tc>
        <w:tc>
          <w:tcPr>
            <w:tcW w:w="5720" w:type="dxa"/>
            <w:tcBorders>
              <w:top w:val="nil"/>
              <w:left w:val="nil"/>
              <w:bottom w:val="single" w:sz="4" w:space="0" w:color="auto"/>
              <w:right w:val="single" w:sz="4" w:space="0" w:color="auto"/>
            </w:tcBorders>
            <w:shd w:val="clear" w:color="auto" w:fill="auto"/>
            <w:vAlign w:val="center"/>
            <w:hideMark/>
          </w:tcPr>
          <w:p w14:paraId="48C5A2C8"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The Nile Sash.</w:t>
            </w:r>
          </w:p>
        </w:tc>
        <w:tc>
          <w:tcPr>
            <w:tcW w:w="1580" w:type="dxa"/>
            <w:tcBorders>
              <w:top w:val="nil"/>
              <w:left w:val="nil"/>
              <w:bottom w:val="single" w:sz="4" w:space="0" w:color="auto"/>
              <w:right w:val="nil"/>
            </w:tcBorders>
            <w:shd w:val="clear" w:color="auto" w:fill="auto"/>
            <w:noWrap/>
            <w:vAlign w:val="center"/>
            <w:hideMark/>
          </w:tcPr>
          <w:p w14:paraId="6102A29A"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Egypt</w:t>
            </w:r>
          </w:p>
        </w:tc>
      </w:tr>
      <w:tr w:rsidR="00D91E8B" w:rsidRPr="00D91E8B" w14:paraId="04CE5AFA"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4BBA2605"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3F517751"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335B2EA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1977</w:t>
            </w:r>
          </w:p>
        </w:tc>
        <w:tc>
          <w:tcPr>
            <w:tcW w:w="5720" w:type="dxa"/>
            <w:tcBorders>
              <w:top w:val="nil"/>
              <w:left w:val="nil"/>
              <w:bottom w:val="single" w:sz="4" w:space="0" w:color="auto"/>
              <w:right w:val="single" w:sz="4" w:space="0" w:color="auto"/>
            </w:tcBorders>
            <w:shd w:val="clear" w:color="auto" w:fill="auto"/>
            <w:vAlign w:val="center"/>
            <w:hideMark/>
          </w:tcPr>
          <w:p w14:paraId="4C1A6AEE"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 xml:space="preserve">First Class of the Order of the Star of </w:t>
            </w:r>
            <w:proofErr w:type="spellStart"/>
            <w:r w:rsidRPr="00D91E8B">
              <w:rPr>
                <w:rFonts w:eastAsia="Times New Roman"/>
                <w:color w:val="000000"/>
                <w:sz w:val="22"/>
                <w:szCs w:val="22"/>
              </w:rPr>
              <w:t>Mahaputera</w:t>
            </w:r>
            <w:proofErr w:type="spellEnd"/>
          </w:p>
        </w:tc>
        <w:tc>
          <w:tcPr>
            <w:tcW w:w="1580" w:type="dxa"/>
            <w:tcBorders>
              <w:top w:val="nil"/>
              <w:left w:val="nil"/>
              <w:bottom w:val="single" w:sz="4" w:space="0" w:color="auto"/>
              <w:right w:val="nil"/>
            </w:tcBorders>
            <w:shd w:val="clear" w:color="auto" w:fill="auto"/>
            <w:noWrap/>
            <w:vAlign w:val="center"/>
            <w:hideMark/>
          </w:tcPr>
          <w:p w14:paraId="2C84FC43"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Indonesia</w:t>
            </w:r>
          </w:p>
        </w:tc>
      </w:tr>
      <w:tr w:rsidR="00D91E8B" w:rsidRPr="00D91E8B" w14:paraId="45AF916F"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7B84EAFB"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353787EF"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2E66B34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1977</w:t>
            </w:r>
          </w:p>
        </w:tc>
        <w:tc>
          <w:tcPr>
            <w:tcW w:w="5720" w:type="dxa"/>
            <w:tcBorders>
              <w:top w:val="nil"/>
              <w:left w:val="nil"/>
              <w:bottom w:val="single" w:sz="4" w:space="0" w:color="auto"/>
              <w:right w:val="single" w:sz="4" w:space="0" w:color="auto"/>
            </w:tcBorders>
            <w:shd w:val="clear" w:color="auto" w:fill="auto"/>
            <w:vAlign w:val="center"/>
            <w:hideMark/>
          </w:tcPr>
          <w:p w14:paraId="34F81092"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Order Francisco de Miranda.</w:t>
            </w:r>
          </w:p>
        </w:tc>
        <w:tc>
          <w:tcPr>
            <w:tcW w:w="1580" w:type="dxa"/>
            <w:tcBorders>
              <w:top w:val="nil"/>
              <w:left w:val="nil"/>
              <w:bottom w:val="single" w:sz="4" w:space="0" w:color="auto"/>
              <w:right w:val="nil"/>
            </w:tcBorders>
            <w:shd w:val="clear" w:color="auto" w:fill="auto"/>
            <w:noWrap/>
            <w:vAlign w:val="center"/>
            <w:hideMark/>
          </w:tcPr>
          <w:p w14:paraId="2BA074DA"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Venezuela</w:t>
            </w:r>
          </w:p>
        </w:tc>
      </w:tr>
      <w:tr w:rsidR="00D91E8B" w:rsidRPr="00D91E8B" w14:paraId="450F09E0" w14:textId="77777777" w:rsidTr="00D91E8B">
        <w:trPr>
          <w:trHeight w:val="555"/>
          <w:jc w:val="center"/>
        </w:trPr>
        <w:tc>
          <w:tcPr>
            <w:tcW w:w="1340" w:type="dxa"/>
            <w:vMerge/>
            <w:tcBorders>
              <w:top w:val="nil"/>
              <w:left w:val="nil"/>
              <w:bottom w:val="single" w:sz="4" w:space="0" w:color="auto"/>
              <w:right w:val="single" w:sz="4" w:space="0" w:color="auto"/>
            </w:tcBorders>
            <w:vAlign w:val="center"/>
            <w:hideMark/>
          </w:tcPr>
          <w:p w14:paraId="7B6B18AD"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569E9E61"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1E2EE10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1979</w:t>
            </w:r>
          </w:p>
        </w:tc>
        <w:tc>
          <w:tcPr>
            <w:tcW w:w="5720" w:type="dxa"/>
            <w:tcBorders>
              <w:top w:val="nil"/>
              <w:left w:val="nil"/>
              <w:bottom w:val="single" w:sz="4" w:space="0" w:color="auto"/>
              <w:right w:val="single" w:sz="4" w:space="0" w:color="auto"/>
            </w:tcBorders>
            <w:shd w:val="clear" w:color="auto" w:fill="auto"/>
            <w:vAlign w:val="center"/>
            <w:hideMark/>
          </w:tcPr>
          <w:p w14:paraId="077CAC8F"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Knight Grand Cross of the Order of St. Michael and St. George.</w:t>
            </w:r>
          </w:p>
        </w:tc>
        <w:tc>
          <w:tcPr>
            <w:tcW w:w="1580" w:type="dxa"/>
            <w:tcBorders>
              <w:top w:val="nil"/>
              <w:left w:val="nil"/>
              <w:bottom w:val="single" w:sz="4" w:space="0" w:color="auto"/>
              <w:right w:val="nil"/>
            </w:tcBorders>
            <w:shd w:val="clear" w:color="auto" w:fill="auto"/>
            <w:noWrap/>
            <w:vAlign w:val="center"/>
            <w:hideMark/>
          </w:tcPr>
          <w:p w14:paraId="54F48E97"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United Kingdom</w:t>
            </w:r>
          </w:p>
        </w:tc>
      </w:tr>
      <w:tr w:rsidR="00D91E8B" w:rsidRPr="00D91E8B" w14:paraId="728E9BFA"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6CFABA1A"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69C26E94"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63191CC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1980</w:t>
            </w:r>
          </w:p>
        </w:tc>
        <w:tc>
          <w:tcPr>
            <w:tcW w:w="5720" w:type="dxa"/>
            <w:tcBorders>
              <w:top w:val="nil"/>
              <w:left w:val="nil"/>
              <w:bottom w:val="single" w:sz="4" w:space="0" w:color="auto"/>
              <w:right w:val="single" w:sz="4" w:space="0" w:color="auto"/>
            </w:tcBorders>
            <w:shd w:val="clear" w:color="auto" w:fill="auto"/>
            <w:vAlign w:val="center"/>
            <w:hideMark/>
          </w:tcPr>
          <w:p w14:paraId="5571BF2E"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 xml:space="preserve">Grand Officer de la Legion </w:t>
            </w:r>
            <w:proofErr w:type="spellStart"/>
            <w:r w:rsidRPr="00D91E8B">
              <w:rPr>
                <w:rFonts w:eastAsia="Times New Roman"/>
                <w:color w:val="000000"/>
                <w:sz w:val="22"/>
                <w:szCs w:val="22"/>
              </w:rPr>
              <w:t>d’Honneur</w:t>
            </w:r>
            <w:proofErr w:type="spellEnd"/>
            <w:r w:rsidRPr="00D91E8B">
              <w:rPr>
                <w:rFonts w:eastAsia="Times New Roman"/>
                <w:color w:val="000000"/>
                <w:sz w:val="22"/>
                <w:szCs w:val="22"/>
              </w:rPr>
              <w:t>.</w:t>
            </w:r>
          </w:p>
        </w:tc>
        <w:tc>
          <w:tcPr>
            <w:tcW w:w="1580" w:type="dxa"/>
            <w:tcBorders>
              <w:top w:val="nil"/>
              <w:left w:val="nil"/>
              <w:bottom w:val="single" w:sz="4" w:space="0" w:color="auto"/>
              <w:right w:val="nil"/>
            </w:tcBorders>
            <w:shd w:val="clear" w:color="auto" w:fill="auto"/>
            <w:noWrap/>
            <w:vAlign w:val="center"/>
            <w:hideMark/>
          </w:tcPr>
          <w:p w14:paraId="07C02D18"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France</w:t>
            </w:r>
          </w:p>
        </w:tc>
      </w:tr>
      <w:tr w:rsidR="00D91E8B" w:rsidRPr="00D91E8B" w14:paraId="509F2E5E"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6402B0BE"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56434AA7"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6E93DC8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1981</w:t>
            </w:r>
          </w:p>
        </w:tc>
        <w:tc>
          <w:tcPr>
            <w:tcW w:w="5720" w:type="dxa"/>
            <w:tcBorders>
              <w:top w:val="nil"/>
              <w:left w:val="nil"/>
              <w:bottom w:val="single" w:sz="4" w:space="0" w:color="auto"/>
              <w:right w:val="single" w:sz="4" w:space="0" w:color="auto"/>
            </w:tcBorders>
            <w:shd w:val="clear" w:color="auto" w:fill="auto"/>
            <w:vAlign w:val="center"/>
            <w:hideMark/>
          </w:tcPr>
          <w:p w14:paraId="397F3A06"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Al-Muhammadi Medal.</w:t>
            </w:r>
          </w:p>
        </w:tc>
        <w:tc>
          <w:tcPr>
            <w:tcW w:w="1580" w:type="dxa"/>
            <w:tcBorders>
              <w:top w:val="nil"/>
              <w:left w:val="nil"/>
              <w:bottom w:val="single" w:sz="4" w:space="0" w:color="auto"/>
              <w:right w:val="nil"/>
            </w:tcBorders>
            <w:shd w:val="clear" w:color="auto" w:fill="auto"/>
            <w:noWrap/>
            <w:vAlign w:val="center"/>
            <w:hideMark/>
          </w:tcPr>
          <w:p w14:paraId="60E1C714"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Morocco</w:t>
            </w:r>
          </w:p>
        </w:tc>
      </w:tr>
      <w:tr w:rsidR="00D91E8B" w:rsidRPr="00D91E8B" w14:paraId="7CD5540A"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05C2BFC4"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1B438019"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0795F3E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1986</w:t>
            </w:r>
          </w:p>
        </w:tc>
        <w:tc>
          <w:tcPr>
            <w:tcW w:w="5720" w:type="dxa"/>
            <w:tcBorders>
              <w:top w:val="nil"/>
              <w:left w:val="nil"/>
              <w:bottom w:val="single" w:sz="4" w:space="0" w:color="auto"/>
              <w:right w:val="single" w:sz="4" w:space="0" w:color="auto"/>
            </w:tcBorders>
            <w:shd w:val="clear" w:color="auto" w:fill="auto"/>
            <w:vAlign w:val="center"/>
            <w:hideMark/>
          </w:tcPr>
          <w:p w14:paraId="1EBAE74C"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Sash of Merit.</w:t>
            </w:r>
          </w:p>
        </w:tc>
        <w:tc>
          <w:tcPr>
            <w:tcW w:w="1580" w:type="dxa"/>
            <w:tcBorders>
              <w:top w:val="nil"/>
              <w:left w:val="nil"/>
              <w:bottom w:val="single" w:sz="4" w:space="0" w:color="auto"/>
              <w:right w:val="nil"/>
            </w:tcBorders>
            <w:shd w:val="clear" w:color="auto" w:fill="auto"/>
            <w:noWrap/>
            <w:vAlign w:val="center"/>
            <w:hideMark/>
          </w:tcPr>
          <w:p w14:paraId="03480430"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Lebanon</w:t>
            </w:r>
          </w:p>
        </w:tc>
      </w:tr>
      <w:tr w:rsidR="00D91E8B" w:rsidRPr="00D91E8B" w14:paraId="11165358"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1F060317"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44B152B6"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61BEE34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1995</w:t>
            </w:r>
          </w:p>
        </w:tc>
        <w:tc>
          <w:tcPr>
            <w:tcW w:w="5720" w:type="dxa"/>
            <w:tcBorders>
              <w:top w:val="nil"/>
              <w:left w:val="nil"/>
              <w:bottom w:val="single" w:sz="4" w:space="0" w:color="auto"/>
              <w:right w:val="single" w:sz="4" w:space="0" w:color="auto"/>
            </w:tcBorders>
            <w:shd w:val="clear" w:color="auto" w:fill="auto"/>
            <w:vAlign w:val="center"/>
            <w:hideMark/>
          </w:tcPr>
          <w:p w14:paraId="7322592F"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Medal of Merit - 1st class.</w:t>
            </w:r>
          </w:p>
        </w:tc>
        <w:tc>
          <w:tcPr>
            <w:tcW w:w="1580" w:type="dxa"/>
            <w:tcBorders>
              <w:top w:val="nil"/>
              <w:left w:val="nil"/>
              <w:bottom w:val="single" w:sz="4" w:space="0" w:color="auto"/>
              <w:right w:val="nil"/>
            </w:tcBorders>
            <w:shd w:val="clear" w:color="auto" w:fill="auto"/>
            <w:noWrap/>
            <w:vAlign w:val="center"/>
            <w:hideMark/>
          </w:tcPr>
          <w:p w14:paraId="07C44EF9"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Oman</w:t>
            </w:r>
          </w:p>
        </w:tc>
      </w:tr>
      <w:tr w:rsidR="00D91E8B" w:rsidRPr="00D91E8B" w14:paraId="5E1CF2FE"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208802E1"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1CE33626"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53A1236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1995</w:t>
            </w:r>
          </w:p>
        </w:tc>
        <w:tc>
          <w:tcPr>
            <w:tcW w:w="5720" w:type="dxa"/>
            <w:tcBorders>
              <w:top w:val="nil"/>
              <w:left w:val="nil"/>
              <w:bottom w:val="single" w:sz="4" w:space="0" w:color="auto"/>
              <w:right w:val="single" w:sz="4" w:space="0" w:color="auto"/>
            </w:tcBorders>
            <w:shd w:val="clear" w:color="auto" w:fill="auto"/>
            <w:vAlign w:val="center"/>
            <w:hideMark/>
          </w:tcPr>
          <w:p w14:paraId="67D8DB58"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Grand Cordon with Collar of the Order of al-Hussein bin Ali</w:t>
            </w:r>
          </w:p>
        </w:tc>
        <w:tc>
          <w:tcPr>
            <w:tcW w:w="1580" w:type="dxa"/>
            <w:tcBorders>
              <w:top w:val="nil"/>
              <w:left w:val="nil"/>
              <w:bottom w:val="single" w:sz="4" w:space="0" w:color="auto"/>
              <w:right w:val="nil"/>
            </w:tcBorders>
            <w:shd w:val="clear" w:color="auto" w:fill="auto"/>
            <w:noWrap/>
            <w:vAlign w:val="center"/>
            <w:hideMark/>
          </w:tcPr>
          <w:p w14:paraId="0563BB81"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Jordan</w:t>
            </w:r>
          </w:p>
        </w:tc>
      </w:tr>
      <w:tr w:rsidR="00D91E8B" w:rsidRPr="00D91E8B" w14:paraId="572036A7"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17A2DDC8"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5E22FD86"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7F64DC8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1997</w:t>
            </w:r>
          </w:p>
        </w:tc>
        <w:tc>
          <w:tcPr>
            <w:tcW w:w="5720" w:type="dxa"/>
            <w:tcBorders>
              <w:top w:val="nil"/>
              <w:left w:val="nil"/>
              <w:bottom w:val="single" w:sz="4" w:space="0" w:color="auto"/>
              <w:right w:val="single" w:sz="4" w:space="0" w:color="auto"/>
            </w:tcBorders>
            <w:shd w:val="clear" w:color="auto" w:fill="auto"/>
            <w:vAlign w:val="center"/>
            <w:hideMark/>
          </w:tcPr>
          <w:p w14:paraId="5B6D7252"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Medal of 7th November, the highest decoration</w:t>
            </w:r>
          </w:p>
        </w:tc>
        <w:tc>
          <w:tcPr>
            <w:tcW w:w="1580" w:type="dxa"/>
            <w:tcBorders>
              <w:top w:val="nil"/>
              <w:left w:val="nil"/>
              <w:bottom w:val="single" w:sz="4" w:space="0" w:color="auto"/>
              <w:right w:val="nil"/>
            </w:tcBorders>
            <w:shd w:val="clear" w:color="auto" w:fill="auto"/>
            <w:noWrap/>
            <w:vAlign w:val="center"/>
            <w:hideMark/>
          </w:tcPr>
          <w:p w14:paraId="10C7AC0D"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Tunis</w:t>
            </w:r>
          </w:p>
        </w:tc>
      </w:tr>
      <w:tr w:rsidR="00D91E8B" w:rsidRPr="00D91E8B" w14:paraId="735FB964"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09DD8CE6"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1372FA12"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3CF045F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1998</w:t>
            </w:r>
          </w:p>
        </w:tc>
        <w:tc>
          <w:tcPr>
            <w:tcW w:w="5720" w:type="dxa"/>
            <w:tcBorders>
              <w:top w:val="nil"/>
              <w:left w:val="nil"/>
              <w:bottom w:val="single" w:sz="4" w:space="0" w:color="auto"/>
              <w:right w:val="single" w:sz="4" w:space="0" w:color="auto"/>
            </w:tcBorders>
            <w:shd w:val="clear" w:color="auto" w:fill="auto"/>
            <w:vAlign w:val="center"/>
            <w:hideMark/>
          </w:tcPr>
          <w:p w14:paraId="68B86B11"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Ordre National du Lion.</w:t>
            </w:r>
          </w:p>
        </w:tc>
        <w:tc>
          <w:tcPr>
            <w:tcW w:w="1580" w:type="dxa"/>
            <w:tcBorders>
              <w:top w:val="nil"/>
              <w:left w:val="nil"/>
              <w:bottom w:val="single" w:sz="4" w:space="0" w:color="auto"/>
              <w:right w:val="nil"/>
            </w:tcBorders>
            <w:shd w:val="clear" w:color="auto" w:fill="auto"/>
            <w:noWrap/>
            <w:vAlign w:val="center"/>
            <w:hideMark/>
          </w:tcPr>
          <w:p w14:paraId="05F06BAF"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Senegal</w:t>
            </w:r>
          </w:p>
        </w:tc>
      </w:tr>
      <w:tr w:rsidR="00D91E8B" w:rsidRPr="00D91E8B" w14:paraId="742B766C"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3A582099"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61E75D61"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03F63D3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1998</w:t>
            </w:r>
          </w:p>
        </w:tc>
        <w:tc>
          <w:tcPr>
            <w:tcW w:w="5720" w:type="dxa"/>
            <w:tcBorders>
              <w:top w:val="nil"/>
              <w:left w:val="nil"/>
              <w:bottom w:val="single" w:sz="4" w:space="0" w:color="auto"/>
              <w:right w:val="single" w:sz="4" w:space="0" w:color="auto"/>
            </w:tcBorders>
            <w:shd w:val="clear" w:color="auto" w:fill="auto"/>
            <w:vAlign w:val="center"/>
            <w:hideMark/>
          </w:tcPr>
          <w:p w14:paraId="18980F53"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 xml:space="preserve">Grand-Croix De La Legion </w:t>
            </w:r>
            <w:proofErr w:type="spellStart"/>
            <w:r w:rsidRPr="00D91E8B">
              <w:rPr>
                <w:rFonts w:eastAsia="Times New Roman"/>
                <w:color w:val="000000"/>
                <w:sz w:val="22"/>
                <w:szCs w:val="22"/>
              </w:rPr>
              <w:t>D’Honneur</w:t>
            </w:r>
            <w:proofErr w:type="spellEnd"/>
            <w:r w:rsidRPr="00D91E8B">
              <w:rPr>
                <w:rFonts w:eastAsia="Times New Roman"/>
                <w:color w:val="000000"/>
                <w:sz w:val="22"/>
                <w:szCs w:val="22"/>
              </w:rPr>
              <w:t>.</w:t>
            </w:r>
          </w:p>
        </w:tc>
        <w:tc>
          <w:tcPr>
            <w:tcW w:w="1580" w:type="dxa"/>
            <w:tcBorders>
              <w:top w:val="nil"/>
              <w:left w:val="nil"/>
              <w:bottom w:val="single" w:sz="4" w:space="0" w:color="auto"/>
              <w:right w:val="nil"/>
            </w:tcBorders>
            <w:shd w:val="clear" w:color="auto" w:fill="auto"/>
            <w:noWrap/>
            <w:vAlign w:val="center"/>
            <w:hideMark/>
          </w:tcPr>
          <w:p w14:paraId="1C90A58B"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France</w:t>
            </w:r>
          </w:p>
        </w:tc>
      </w:tr>
      <w:tr w:rsidR="00D91E8B" w:rsidRPr="00D91E8B" w14:paraId="42F7BA4E"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426AFE87"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1DB34D19"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02A1799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1999</w:t>
            </w:r>
          </w:p>
        </w:tc>
        <w:tc>
          <w:tcPr>
            <w:tcW w:w="5720" w:type="dxa"/>
            <w:tcBorders>
              <w:top w:val="nil"/>
              <w:left w:val="nil"/>
              <w:bottom w:val="single" w:sz="4" w:space="0" w:color="auto"/>
              <w:right w:val="single" w:sz="4" w:space="0" w:color="auto"/>
            </w:tcBorders>
            <w:shd w:val="clear" w:color="auto" w:fill="auto"/>
            <w:vAlign w:val="center"/>
            <w:hideMark/>
          </w:tcPr>
          <w:p w14:paraId="07C1A671" w14:textId="77777777" w:rsidR="00D91E8B" w:rsidRPr="00D91E8B" w:rsidRDefault="00D91E8B" w:rsidP="00D91E8B">
            <w:pPr>
              <w:spacing w:after="0" w:line="240" w:lineRule="auto"/>
              <w:rPr>
                <w:rFonts w:eastAsia="Times New Roman"/>
                <w:color w:val="000000"/>
                <w:sz w:val="22"/>
                <w:szCs w:val="22"/>
              </w:rPr>
            </w:pPr>
            <w:proofErr w:type="spellStart"/>
            <w:r w:rsidRPr="00D91E8B">
              <w:rPr>
                <w:rFonts w:eastAsia="Times New Roman"/>
                <w:color w:val="000000"/>
                <w:sz w:val="22"/>
                <w:szCs w:val="22"/>
              </w:rPr>
              <w:t>Ordinul</w:t>
            </w:r>
            <w:proofErr w:type="spellEnd"/>
            <w:r w:rsidRPr="00D91E8B">
              <w:rPr>
                <w:rFonts w:eastAsia="Times New Roman"/>
                <w:color w:val="000000"/>
                <w:sz w:val="22"/>
                <w:szCs w:val="22"/>
              </w:rPr>
              <w:t xml:space="preserve"> National Steaua </w:t>
            </w:r>
            <w:proofErr w:type="spellStart"/>
            <w:r w:rsidRPr="00D91E8B">
              <w:rPr>
                <w:rFonts w:eastAsia="Times New Roman"/>
                <w:color w:val="000000"/>
                <w:sz w:val="22"/>
                <w:szCs w:val="22"/>
              </w:rPr>
              <w:t>Romaniei</w:t>
            </w:r>
            <w:proofErr w:type="spellEnd"/>
            <w:r w:rsidRPr="00D91E8B">
              <w:rPr>
                <w:rFonts w:eastAsia="Times New Roman"/>
                <w:color w:val="000000"/>
                <w:sz w:val="22"/>
                <w:szCs w:val="22"/>
              </w:rPr>
              <w:t>.</w:t>
            </w:r>
          </w:p>
        </w:tc>
        <w:tc>
          <w:tcPr>
            <w:tcW w:w="1580" w:type="dxa"/>
            <w:tcBorders>
              <w:top w:val="nil"/>
              <w:left w:val="nil"/>
              <w:bottom w:val="single" w:sz="4" w:space="0" w:color="auto"/>
              <w:right w:val="nil"/>
            </w:tcBorders>
            <w:shd w:val="clear" w:color="auto" w:fill="auto"/>
            <w:noWrap/>
            <w:vAlign w:val="center"/>
            <w:hideMark/>
          </w:tcPr>
          <w:p w14:paraId="2B1AECB6"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Romania</w:t>
            </w:r>
          </w:p>
        </w:tc>
      </w:tr>
      <w:tr w:rsidR="00D91E8B" w:rsidRPr="00D91E8B" w14:paraId="11FC527C"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34B315C5"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5556F70A"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0450179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1999</w:t>
            </w:r>
          </w:p>
        </w:tc>
        <w:tc>
          <w:tcPr>
            <w:tcW w:w="5720" w:type="dxa"/>
            <w:tcBorders>
              <w:top w:val="nil"/>
              <w:left w:val="nil"/>
              <w:bottom w:val="single" w:sz="4" w:space="0" w:color="auto"/>
              <w:right w:val="single" w:sz="4" w:space="0" w:color="auto"/>
            </w:tcBorders>
            <w:shd w:val="clear" w:color="auto" w:fill="auto"/>
            <w:vAlign w:val="center"/>
            <w:hideMark/>
          </w:tcPr>
          <w:p w14:paraId="0FA6F233"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Grand Cross Special Class of the Order of Merit</w:t>
            </w:r>
          </w:p>
        </w:tc>
        <w:tc>
          <w:tcPr>
            <w:tcW w:w="1580" w:type="dxa"/>
            <w:tcBorders>
              <w:top w:val="nil"/>
              <w:left w:val="nil"/>
              <w:bottom w:val="single" w:sz="4" w:space="0" w:color="auto"/>
              <w:right w:val="nil"/>
            </w:tcBorders>
            <w:shd w:val="clear" w:color="auto" w:fill="auto"/>
            <w:noWrap/>
            <w:vAlign w:val="center"/>
            <w:hideMark/>
          </w:tcPr>
          <w:p w14:paraId="12A6544A"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Germany</w:t>
            </w:r>
          </w:p>
        </w:tc>
      </w:tr>
      <w:tr w:rsidR="00D91E8B" w:rsidRPr="00D91E8B" w14:paraId="6462B7B9"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17F509FC"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2E8CBF19"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688BDE8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1999</w:t>
            </w:r>
          </w:p>
        </w:tc>
        <w:tc>
          <w:tcPr>
            <w:tcW w:w="5720" w:type="dxa"/>
            <w:tcBorders>
              <w:top w:val="nil"/>
              <w:left w:val="nil"/>
              <w:bottom w:val="single" w:sz="4" w:space="0" w:color="auto"/>
              <w:right w:val="single" w:sz="4" w:space="0" w:color="auto"/>
            </w:tcBorders>
            <w:shd w:val="clear" w:color="auto" w:fill="auto"/>
            <w:vAlign w:val="center"/>
            <w:hideMark/>
          </w:tcPr>
          <w:p w14:paraId="58E5911A"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Nishan-i-Pakistan, the highest decoration in Pakistan.</w:t>
            </w:r>
          </w:p>
        </w:tc>
        <w:tc>
          <w:tcPr>
            <w:tcW w:w="1580" w:type="dxa"/>
            <w:tcBorders>
              <w:top w:val="nil"/>
              <w:left w:val="nil"/>
              <w:bottom w:val="single" w:sz="4" w:space="0" w:color="auto"/>
              <w:right w:val="nil"/>
            </w:tcBorders>
            <w:shd w:val="clear" w:color="auto" w:fill="auto"/>
            <w:noWrap/>
            <w:vAlign w:val="center"/>
            <w:hideMark/>
          </w:tcPr>
          <w:p w14:paraId="79FC7007"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Pakistan</w:t>
            </w:r>
          </w:p>
        </w:tc>
      </w:tr>
      <w:tr w:rsidR="00D91E8B" w:rsidRPr="00D91E8B" w14:paraId="3F9F5CA0"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3A2F25B9"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3DC70B2A"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180425B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1999</w:t>
            </w:r>
          </w:p>
        </w:tc>
        <w:tc>
          <w:tcPr>
            <w:tcW w:w="5720" w:type="dxa"/>
            <w:tcBorders>
              <w:top w:val="nil"/>
              <w:left w:val="nil"/>
              <w:bottom w:val="single" w:sz="4" w:space="0" w:color="auto"/>
              <w:right w:val="single" w:sz="4" w:space="0" w:color="auto"/>
            </w:tcBorders>
            <w:shd w:val="clear" w:color="auto" w:fill="auto"/>
            <w:vAlign w:val="center"/>
            <w:hideMark/>
          </w:tcPr>
          <w:p w14:paraId="7228E1E8"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Collar of the Order of Sheikh Isa bin Salman Al Khalifa</w:t>
            </w:r>
          </w:p>
        </w:tc>
        <w:tc>
          <w:tcPr>
            <w:tcW w:w="1580" w:type="dxa"/>
            <w:tcBorders>
              <w:top w:val="nil"/>
              <w:left w:val="nil"/>
              <w:bottom w:val="single" w:sz="4" w:space="0" w:color="auto"/>
              <w:right w:val="nil"/>
            </w:tcBorders>
            <w:shd w:val="clear" w:color="auto" w:fill="auto"/>
            <w:noWrap/>
            <w:vAlign w:val="center"/>
            <w:hideMark/>
          </w:tcPr>
          <w:p w14:paraId="256F7319"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Bahrain</w:t>
            </w:r>
          </w:p>
        </w:tc>
      </w:tr>
      <w:tr w:rsidR="00D91E8B" w:rsidRPr="00D91E8B" w14:paraId="1E5E1F80"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5FB13818"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2CC1E5FC"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25A0B24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2000</w:t>
            </w:r>
          </w:p>
        </w:tc>
        <w:tc>
          <w:tcPr>
            <w:tcW w:w="5720" w:type="dxa"/>
            <w:tcBorders>
              <w:top w:val="nil"/>
              <w:left w:val="nil"/>
              <w:bottom w:val="single" w:sz="4" w:space="0" w:color="auto"/>
              <w:right w:val="single" w:sz="4" w:space="0" w:color="auto"/>
            </w:tcBorders>
            <w:shd w:val="clear" w:color="auto" w:fill="auto"/>
            <w:vAlign w:val="center"/>
            <w:hideMark/>
          </w:tcPr>
          <w:p w14:paraId="20E48E23"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Order of Jose Marti</w:t>
            </w:r>
          </w:p>
        </w:tc>
        <w:tc>
          <w:tcPr>
            <w:tcW w:w="1580" w:type="dxa"/>
            <w:tcBorders>
              <w:top w:val="nil"/>
              <w:left w:val="nil"/>
              <w:bottom w:val="single" w:sz="4" w:space="0" w:color="auto"/>
              <w:right w:val="nil"/>
            </w:tcBorders>
            <w:shd w:val="clear" w:color="auto" w:fill="auto"/>
            <w:noWrap/>
            <w:vAlign w:val="center"/>
            <w:hideMark/>
          </w:tcPr>
          <w:p w14:paraId="7B2D929A"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Cuba</w:t>
            </w:r>
          </w:p>
        </w:tc>
      </w:tr>
      <w:tr w:rsidR="00D91E8B" w:rsidRPr="00D91E8B" w14:paraId="7D1C9FA4"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1BEB273A"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274C989D"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40878FE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2000</w:t>
            </w:r>
          </w:p>
        </w:tc>
        <w:tc>
          <w:tcPr>
            <w:tcW w:w="5720" w:type="dxa"/>
            <w:tcBorders>
              <w:top w:val="nil"/>
              <w:left w:val="nil"/>
              <w:bottom w:val="single" w:sz="4" w:space="0" w:color="auto"/>
              <w:right w:val="single" w:sz="4" w:space="0" w:color="auto"/>
            </w:tcBorders>
            <w:shd w:val="clear" w:color="auto" w:fill="auto"/>
            <w:vAlign w:val="center"/>
            <w:hideMark/>
          </w:tcPr>
          <w:p w14:paraId="2BA7AA91"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Order of Republic</w:t>
            </w:r>
          </w:p>
        </w:tc>
        <w:tc>
          <w:tcPr>
            <w:tcW w:w="1580" w:type="dxa"/>
            <w:tcBorders>
              <w:top w:val="nil"/>
              <w:left w:val="nil"/>
              <w:bottom w:val="single" w:sz="4" w:space="0" w:color="auto"/>
              <w:right w:val="nil"/>
            </w:tcBorders>
            <w:shd w:val="clear" w:color="auto" w:fill="auto"/>
            <w:noWrap/>
            <w:vAlign w:val="center"/>
            <w:hideMark/>
          </w:tcPr>
          <w:p w14:paraId="5A4751DE"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Yemen</w:t>
            </w:r>
          </w:p>
        </w:tc>
      </w:tr>
      <w:tr w:rsidR="00D91E8B" w:rsidRPr="00D91E8B" w14:paraId="0451F860"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4E25494B"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07799FAF"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5FEFC37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2000</w:t>
            </w:r>
          </w:p>
        </w:tc>
        <w:tc>
          <w:tcPr>
            <w:tcW w:w="5720" w:type="dxa"/>
            <w:tcBorders>
              <w:top w:val="nil"/>
              <w:left w:val="nil"/>
              <w:bottom w:val="single" w:sz="4" w:space="0" w:color="auto"/>
              <w:right w:val="single" w:sz="4" w:space="0" w:color="auto"/>
            </w:tcBorders>
            <w:shd w:val="clear" w:color="auto" w:fill="auto"/>
            <w:vAlign w:val="center"/>
            <w:hideMark/>
          </w:tcPr>
          <w:p w14:paraId="0C2A32E7"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The National CEDAR Medal of the order of the greatest Sash.</w:t>
            </w:r>
          </w:p>
        </w:tc>
        <w:tc>
          <w:tcPr>
            <w:tcW w:w="1580" w:type="dxa"/>
            <w:tcBorders>
              <w:top w:val="nil"/>
              <w:left w:val="nil"/>
              <w:bottom w:val="single" w:sz="4" w:space="0" w:color="auto"/>
              <w:right w:val="nil"/>
            </w:tcBorders>
            <w:shd w:val="clear" w:color="auto" w:fill="auto"/>
            <w:noWrap/>
            <w:vAlign w:val="center"/>
            <w:hideMark/>
          </w:tcPr>
          <w:p w14:paraId="49EF81C3"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Lebanon</w:t>
            </w:r>
          </w:p>
        </w:tc>
      </w:tr>
      <w:tr w:rsidR="00D91E8B" w:rsidRPr="00D91E8B" w14:paraId="1D5DE228"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57B228E1"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68D72DCE"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2205318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2000</w:t>
            </w:r>
          </w:p>
        </w:tc>
        <w:tc>
          <w:tcPr>
            <w:tcW w:w="5720" w:type="dxa"/>
            <w:tcBorders>
              <w:top w:val="nil"/>
              <w:left w:val="nil"/>
              <w:bottom w:val="single" w:sz="4" w:space="0" w:color="auto"/>
              <w:right w:val="single" w:sz="4" w:space="0" w:color="auto"/>
            </w:tcBorders>
            <w:shd w:val="clear" w:color="auto" w:fill="auto"/>
            <w:vAlign w:val="center"/>
            <w:hideMark/>
          </w:tcPr>
          <w:p w14:paraId="3C49948E"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Cavaliere di Gran Croce.</w:t>
            </w:r>
          </w:p>
        </w:tc>
        <w:tc>
          <w:tcPr>
            <w:tcW w:w="1580" w:type="dxa"/>
            <w:tcBorders>
              <w:top w:val="nil"/>
              <w:left w:val="nil"/>
              <w:bottom w:val="single" w:sz="4" w:space="0" w:color="auto"/>
              <w:right w:val="nil"/>
            </w:tcBorders>
            <w:shd w:val="clear" w:color="auto" w:fill="auto"/>
            <w:noWrap/>
            <w:vAlign w:val="center"/>
            <w:hideMark/>
          </w:tcPr>
          <w:p w14:paraId="6DD4F23C"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Italy</w:t>
            </w:r>
          </w:p>
        </w:tc>
      </w:tr>
      <w:tr w:rsidR="00D91E8B" w:rsidRPr="00D91E8B" w14:paraId="269826D9"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35B9E3D6"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37665146"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6B48BDA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2002</w:t>
            </w:r>
          </w:p>
        </w:tc>
        <w:tc>
          <w:tcPr>
            <w:tcW w:w="5720" w:type="dxa"/>
            <w:tcBorders>
              <w:top w:val="nil"/>
              <w:left w:val="nil"/>
              <w:bottom w:val="single" w:sz="4" w:space="0" w:color="auto"/>
              <w:right w:val="single" w:sz="4" w:space="0" w:color="auto"/>
            </w:tcBorders>
            <w:shd w:val="clear" w:color="auto" w:fill="auto"/>
            <w:vAlign w:val="center"/>
            <w:hideMark/>
          </w:tcPr>
          <w:p w14:paraId="60A1681E"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Al-Mohammadi Medal</w:t>
            </w:r>
          </w:p>
        </w:tc>
        <w:tc>
          <w:tcPr>
            <w:tcW w:w="1580" w:type="dxa"/>
            <w:tcBorders>
              <w:top w:val="nil"/>
              <w:left w:val="nil"/>
              <w:bottom w:val="single" w:sz="4" w:space="0" w:color="auto"/>
              <w:right w:val="nil"/>
            </w:tcBorders>
            <w:shd w:val="clear" w:color="auto" w:fill="auto"/>
            <w:noWrap/>
            <w:vAlign w:val="center"/>
            <w:hideMark/>
          </w:tcPr>
          <w:p w14:paraId="2B2431D3"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Morocco</w:t>
            </w:r>
          </w:p>
        </w:tc>
      </w:tr>
      <w:tr w:rsidR="00D91E8B" w:rsidRPr="00D91E8B" w14:paraId="077CF21F"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36171957"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2F33F586"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775EE42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2002</w:t>
            </w:r>
          </w:p>
        </w:tc>
        <w:tc>
          <w:tcPr>
            <w:tcW w:w="5720" w:type="dxa"/>
            <w:tcBorders>
              <w:top w:val="nil"/>
              <w:left w:val="nil"/>
              <w:bottom w:val="single" w:sz="4" w:space="0" w:color="auto"/>
              <w:right w:val="single" w:sz="4" w:space="0" w:color="auto"/>
            </w:tcBorders>
            <w:shd w:val="clear" w:color="auto" w:fill="auto"/>
            <w:vAlign w:val="center"/>
            <w:hideMark/>
          </w:tcPr>
          <w:p w14:paraId="0E62A6A6"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Grand Cross with Collar of the Order of the Ivory Coast</w:t>
            </w:r>
          </w:p>
        </w:tc>
        <w:tc>
          <w:tcPr>
            <w:tcW w:w="1580" w:type="dxa"/>
            <w:tcBorders>
              <w:top w:val="nil"/>
              <w:left w:val="nil"/>
              <w:bottom w:val="single" w:sz="4" w:space="0" w:color="auto"/>
              <w:right w:val="nil"/>
            </w:tcBorders>
            <w:shd w:val="clear" w:color="auto" w:fill="auto"/>
            <w:noWrap/>
            <w:vAlign w:val="center"/>
            <w:hideMark/>
          </w:tcPr>
          <w:p w14:paraId="799FEE11"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Ivory Coast</w:t>
            </w:r>
          </w:p>
        </w:tc>
      </w:tr>
      <w:tr w:rsidR="00D91E8B" w:rsidRPr="00D91E8B" w14:paraId="3D91B804"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5F61511F"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33720581"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3849E74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2003</w:t>
            </w:r>
          </w:p>
        </w:tc>
        <w:tc>
          <w:tcPr>
            <w:tcW w:w="5720" w:type="dxa"/>
            <w:tcBorders>
              <w:top w:val="nil"/>
              <w:left w:val="nil"/>
              <w:bottom w:val="single" w:sz="4" w:space="0" w:color="auto"/>
              <w:right w:val="single" w:sz="4" w:space="0" w:color="auto"/>
            </w:tcBorders>
            <w:shd w:val="clear" w:color="auto" w:fill="auto"/>
            <w:vAlign w:val="center"/>
            <w:hideMark/>
          </w:tcPr>
          <w:p w14:paraId="063A583A"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Grand Cross of the Order of the Balkan Mountains</w:t>
            </w:r>
          </w:p>
        </w:tc>
        <w:tc>
          <w:tcPr>
            <w:tcW w:w="1580" w:type="dxa"/>
            <w:tcBorders>
              <w:top w:val="nil"/>
              <w:left w:val="nil"/>
              <w:bottom w:val="single" w:sz="4" w:space="0" w:color="auto"/>
              <w:right w:val="nil"/>
            </w:tcBorders>
            <w:shd w:val="clear" w:color="auto" w:fill="auto"/>
            <w:noWrap/>
            <w:vAlign w:val="center"/>
            <w:hideMark/>
          </w:tcPr>
          <w:p w14:paraId="07575CD9"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Bulgaria</w:t>
            </w:r>
          </w:p>
        </w:tc>
      </w:tr>
      <w:tr w:rsidR="00D91E8B" w:rsidRPr="00D91E8B" w14:paraId="47E8AC95"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1A4D3A5C"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1FC4AB26"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56E68E7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2004</w:t>
            </w:r>
          </w:p>
        </w:tc>
        <w:tc>
          <w:tcPr>
            <w:tcW w:w="5720" w:type="dxa"/>
            <w:tcBorders>
              <w:top w:val="nil"/>
              <w:left w:val="nil"/>
              <w:bottom w:val="single" w:sz="4" w:space="0" w:color="auto"/>
              <w:right w:val="single" w:sz="4" w:space="0" w:color="auto"/>
            </w:tcBorders>
            <w:shd w:val="clear" w:color="auto" w:fill="auto"/>
            <w:vAlign w:val="center"/>
            <w:hideMark/>
          </w:tcPr>
          <w:p w14:paraId="65F47E3D"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Collar of the Order of Mubarak the Great</w:t>
            </w:r>
          </w:p>
        </w:tc>
        <w:tc>
          <w:tcPr>
            <w:tcW w:w="1580" w:type="dxa"/>
            <w:tcBorders>
              <w:top w:val="nil"/>
              <w:left w:val="nil"/>
              <w:bottom w:val="single" w:sz="4" w:space="0" w:color="auto"/>
              <w:right w:val="nil"/>
            </w:tcBorders>
            <w:shd w:val="clear" w:color="auto" w:fill="auto"/>
            <w:noWrap/>
            <w:vAlign w:val="center"/>
            <w:hideMark/>
          </w:tcPr>
          <w:p w14:paraId="6F9BD288"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Kuwait</w:t>
            </w:r>
          </w:p>
        </w:tc>
      </w:tr>
      <w:tr w:rsidR="00D91E8B" w:rsidRPr="00D91E8B" w14:paraId="75144C7C" w14:textId="77777777" w:rsidTr="00D91E8B">
        <w:trPr>
          <w:trHeight w:val="250"/>
          <w:jc w:val="center"/>
        </w:trPr>
        <w:tc>
          <w:tcPr>
            <w:tcW w:w="1340" w:type="dxa"/>
            <w:vMerge/>
            <w:tcBorders>
              <w:top w:val="nil"/>
              <w:left w:val="nil"/>
              <w:bottom w:val="single" w:sz="4" w:space="0" w:color="auto"/>
              <w:right w:val="single" w:sz="4" w:space="0" w:color="auto"/>
            </w:tcBorders>
            <w:vAlign w:val="center"/>
            <w:hideMark/>
          </w:tcPr>
          <w:p w14:paraId="4431AFAA" w14:textId="77777777" w:rsidR="00D91E8B" w:rsidRPr="00D91E8B" w:rsidRDefault="00D91E8B" w:rsidP="00D91E8B">
            <w:pPr>
              <w:spacing w:after="0" w:line="240" w:lineRule="auto"/>
              <w:rPr>
                <w:rFonts w:eastAsia="Times New Roman"/>
                <w:color w:val="000000"/>
                <w:sz w:val="22"/>
                <w:szCs w:val="22"/>
              </w:rPr>
            </w:pPr>
          </w:p>
        </w:tc>
        <w:tc>
          <w:tcPr>
            <w:tcW w:w="1680" w:type="dxa"/>
            <w:vMerge/>
            <w:tcBorders>
              <w:top w:val="nil"/>
              <w:left w:val="single" w:sz="4" w:space="0" w:color="auto"/>
              <w:bottom w:val="single" w:sz="4" w:space="0" w:color="auto"/>
              <w:right w:val="single" w:sz="4" w:space="0" w:color="auto"/>
            </w:tcBorders>
            <w:vAlign w:val="center"/>
            <w:hideMark/>
          </w:tcPr>
          <w:p w14:paraId="412CD6F0" w14:textId="77777777" w:rsidR="00D91E8B" w:rsidRPr="00D91E8B" w:rsidRDefault="00D91E8B" w:rsidP="00D91E8B">
            <w:pPr>
              <w:spacing w:after="0" w:line="240" w:lineRule="auto"/>
              <w:rPr>
                <w:rFonts w:eastAsia="Times New Roman"/>
                <w:color w:val="000000"/>
                <w:sz w:val="22"/>
                <w:szCs w:val="22"/>
              </w:rPr>
            </w:pPr>
          </w:p>
        </w:tc>
        <w:tc>
          <w:tcPr>
            <w:tcW w:w="580" w:type="dxa"/>
            <w:tcBorders>
              <w:top w:val="nil"/>
              <w:left w:val="nil"/>
              <w:bottom w:val="single" w:sz="4" w:space="0" w:color="auto"/>
              <w:right w:val="single" w:sz="4" w:space="0" w:color="auto"/>
            </w:tcBorders>
            <w:shd w:val="clear" w:color="auto" w:fill="auto"/>
            <w:noWrap/>
            <w:vAlign w:val="center"/>
            <w:hideMark/>
          </w:tcPr>
          <w:p w14:paraId="703E884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2005</w:t>
            </w:r>
          </w:p>
        </w:tc>
        <w:tc>
          <w:tcPr>
            <w:tcW w:w="5720" w:type="dxa"/>
            <w:tcBorders>
              <w:top w:val="nil"/>
              <w:left w:val="nil"/>
              <w:bottom w:val="single" w:sz="4" w:space="0" w:color="auto"/>
              <w:right w:val="single" w:sz="4" w:space="0" w:color="auto"/>
            </w:tcBorders>
            <w:shd w:val="clear" w:color="auto" w:fill="auto"/>
            <w:vAlign w:val="center"/>
            <w:hideMark/>
          </w:tcPr>
          <w:p w14:paraId="29FF1CDB"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The IAAF Golden Order of Merit</w:t>
            </w:r>
          </w:p>
        </w:tc>
        <w:tc>
          <w:tcPr>
            <w:tcW w:w="1580" w:type="dxa"/>
            <w:tcBorders>
              <w:top w:val="nil"/>
              <w:left w:val="nil"/>
              <w:bottom w:val="single" w:sz="4" w:space="0" w:color="auto"/>
              <w:right w:val="nil"/>
            </w:tcBorders>
            <w:shd w:val="clear" w:color="auto" w:fill="auto"/>
            <w:noWrap/>
            <w:vAlign w:val="center"/>
            <w:hideMark/>
          </w:tcPr>
          <w:p w14:paraId="3B02CA36" w14:textId="77777777" w:rsidR="00D91E8B" w:rsidRPr="00D91E8B" w:rsidRDefault="00D91E8B" w:rsidP="00D91E8B">
            <w:pPr>
              <w:spacing w:after="0" w:line="240" w:lineRule="auto"/>
              <w:jc w:val="right"/>
              <w:rPr>
                <w:rFonts w:eastAsia="Times New Roman"/>
                <w:color w:val="000000"/>
                <w:sz w:val="22"/>
                <w:szCs w:val="22"/>
              </w:rPr>
            </w:pPr>
            <w:r w:rsidRPr="00D91E8B">
              <w:rPr>
                <w:rFonts w:eastAsia="Times New Roman"/>
                <w:color w:val="000000"/>
                <w:sz w:val="22"/>
                <w:szCs w:val="22"/>
              </w:rPr>
              <w:t>Monaco</w:t>
            </w:r>
          </w:p>
        </w:tc>
      </w:tr>
    </w:tbl>
    <w:p w14:paraId="164FEB33" w14:textId="77777777" w:rsidR="00D91E8B" w:rsidRDefault="00D91E8B" w:rsidP="003373BD">
      <w:pPr>
        <w:sectPr w:rsidR="00D91E8B" w:rsidSect="00D91E8B">
          <w:pgSz w:w="12240" w:h="15840" w:code="1"/>
          <w:pgMar w:top="720" w:right="720" w:bottom="720" w:left="720" w:header="720" w:footer="720" w:gutter="0"/>
          <w:cols w:space="720"/>
          <w:docGrid w:linePitch="360"/>
        </w:sectPr>
      </w:pPr>
    </w:p>
    <w:tbl>
      <w:tblPr>
        <w:tblW w:w="11440" w:type="dxa"/>
        <w:jc w:val="center"/>
        <w:tblLook w:val="04A0" w:firstRow="1" w:lastRow="0" w:firstColumn="1" w:lastColumn="0" w:noHBand="0" w:noVBand="1"/>
      </w:tblPr>
      <w:tblGrid>
        <w:gridCol w:w="2967"/>
        <w:gridCol w:w="3049"/>
        <w:gridCol w:w="3456"/>
        <w:gridCol w:w="1968"/>
      </w:tblGrid>
      <w:tr w:rsidR="00D91E8B" w:rsidRPr="00D91E8B" w14:paraId="3B05A1AD" w14:textId="77777777" w:rsidTr="00D91E8B">
        <w:trPr>
          <w:trHeight w:val="413"/>
          <w:jc w:val="center"/>
        </w:trPr>
        <w:tc>
          <w:tcPr>
            <w:tcW w:w="11440" w:type="dxa"/>
            <w:gridSpan w:val="4"/>
            <w:tcBorders>
              <w:top w:val="nil"/>
              <w:left w:val="nil"/>
              <w:bottom w:val="single" w:sz="4" w:space="0" w:color="auto"/>
              <w:right w:val="nil"/>
            </w:tcBorders>
            <w:shd w:val="clear" w:color="auto" w:fill="auto"/>
            <w:noWrap/>
            <w:vAlign w:val="center"/>
            <w:hideMark/>
          </w:tcPr>
          <w:p w14:paraId="750AD120" w14:textId="77777777" w:rsidR="00D91E8B" w:rsidRPr="00D91E8B" w:rsidRDefault="00D91E8B" w:rsidP="00D91E8B">
            <w:pPr>
              <w:spacing w:after="0" w:line="240" w:lineRule="auto"/>
              <w:rPr>
                <w:rFonts w:eastAsia="Times New Roman"/>
                <w:b/>
                <w:bCs/>
                <w:color w:val="000000"/>
              </w:rPr>
            </w:pPr>
            <w:r w:rsidRPr="00D91E8B">
              <w:rPr>
                <w:rFonts w:eastAsia="Times New Roman"/>
                <w:b/>
                <w:bCs/>
                <w:color w:val="000000"/>
              </w:rPr>
              <w:lastRenderedPageBreak/>
              <w:t xml:space="preserve">Table 3. Examples of crown princes and their military positions </w:t>
            </w:r>
          </w:p>
        </w:tc>
      </w:tr>
      <w:tr w:rsidR="00D91E8B" w:rsidRPr="00D91E8B" w14:paraId="534EADEB" w14:textId="77777777" w:rsidTr="00D91E8B">
        <w:trPr>
          <w:trHeight w:val="600"/>
          <w:jc w:val="center"/>
        </w:trPr>
        <w:tc>
          <w:tcPr>
            <w:tcW w:w="2967" w:type="dxa"/>
            <w:tcBorders>
              <w:top w:val="nil"/>
              <w:left w:val="nil"/>
              <w:bottom w:val="single" w:sz="4" w:space="0" w:color="auto"/>
              <w:right w:val="nil"/>
            </w:tcBorders>
            <w:shd w:val="clear" w:color="auto" w:fill="auto"/>
            <w:noWrap/>
            <w:vAlign w:val="center"/>
            <w:hideMark/>
          </w:tcPr>
          <w:p w14:paraId="621836CC" w14:textId="77777777" w:rsidR="00D91E8B" w:rsidRPr="00D91E8B" w:rsidRDefault="00D91E8B" w:rsidP="00D91E8B">
            <w:pPr>
              <w:spacing w:after="0" w:line="240" w:lineRule="auto"/>
              <w:jc w:val="center"/>
              <w:rPr>
                <w:rFonts w:eastAsia="Times New Roman"/>
                <w:b/>
                <w:bCs/>
                <w:color w:val="000000"/>
              </w:rPr>
            </w:pPr>
            <w:r w:rsidRPr="00D91E8B">
              <w:rPr>
                <w:rFonts w:eastAsia="Times New Roman"/>
                <w:b/>
                <w:bCs/>
                <w:color w:val="000000"/>
              </w:rPr>
              <w:t>Host Countries</w:t>
            </w:r>
          </w:p>
        </w:tc>
        <w:tc>
          <w:tcPr>
            <w:tcW w:w="3049" w:type="dxa"/>
            <w:tcBorders>
              <w:top w:val="nil"/>
              <w:left w:val="nil"/>
              <w:bottom w:val="single" w:sz="4" w:space="0" w:color="auto"/>
              <w:right w:val="nil"/>
            </w:tcBorders>
            <w:shd w:val="clear" w:color="auto" w:fill="auto"/>
            <w:vAlign w:val="center"/>
            <w:hideMark/>
          </w:tcPr>
          <w:p w14:paraId="55FB1EDA" w14:textId="77777777" w:rsidR="00D91E8B" w:rsidRPr="00D91E8B" w:rsidRDefault="00D91E8B" w:rsidP="00D91E8B">
            <w:pPr>
              <w:spacing w:after="0" w:line="240" w:lineRule="auto"/>
              <w:jc w:val="center"/>
              <w:rPr>
                <w:rFonts w:eastAsia="Times New Roman"/>
                <w:b/>
                <w:bCs/>
                <w:color w:val="000000"/>
              </w:rPr>
            </w:pPr>
            <w:r w:rsidRPr="00D91E8B">
              <w:rPr>
                <w:rFonts w:eastAsia="Times New Roman"/>
                <w:b/>
                <w:bCs/>
                <w:color w:val="000000"/>
              </w:rPr>
              <w:t>Crown Princes</w:t>
            </w:r>
          </w:p>
        </w:tc>
        <w:tc>
          <w:tcPr>
            <w:tcW w:w="3456" w:type="dxa"/>
            <w:tcBorders>
              <w:top w:val="nil"/>
              <w:left w:val="nil"/>
              <w:bottom w:val="single" w:sz="4" w:space="0" w:color="auto"/>
              <w:right w:val="nil"/>
            </w:tcBorders>
            <w:shd w:val="clear" w:color="auto" w:fill="auto"/>
            <w:vAlign w:val="center"/>
            <w:hideMark/>
          </w:tcPr>
          <w:p w14:paraId="1DDB7CDF" w14:textId="77777777" w:rsidR="00D91E8B" w:rsidRPr="00D91E8B" w:rsidRDefault="00D91E8B" w:rsidP="00D91E8B">
            <w:pPr>
              <w:spacing w:after="0" w:line="240" w:lineRule="auto"/>
              <w:jc w:val="center"/>
              <w:rPr>
                <w:rFonts w:eastAsia="Times New Roman"/>
                <w:b/>
                <w:bCs/>
                <w:color w:val="000000"/>
              </w:rPr>
            </w:pPr>
            <w:r w:rsidRPr="00D91E8B">
              <w:rPr>
                <w:rFonts w:eastAsia="Times New Roman"/>
                <w:b/>
                <w:bCs/>
                <w:color w:val="000000"/>
              </w:rPr>
              <w:t>Military Positions</w:t>
            </w:r>
          </w:p>
        </w:tc>
        <w:tc>
          <w:tcPr>
            <w:tcW w:w="1968" w:type="dxa"/>
            <w:tcBorders>
              <w:top w:val="nil"/>
              <w:left w:val="nil"/>
              <w:bottom w:val="single" w:sz="4" w:space="0" w:color="auto"/>
              <w:right w:val="nil"/>
            </w:tcBorders>
            <w:shd w:val="clear" w:color="auto" w:fill="auto"/>
            <w:noWrap/>
            <w:vAlign w:val="center"/>
            <w:hideMark/>
          </w:tcPr>
          <w:p w14:paraId="08522B2A" w14:textId="77777777" w:rsidR="00D91E8B" w:rsidRPr="00D91E8B" w:rsidRDefault="00D91E8B" w:rsidP="00D91E8B">
            <w:pPr>
              <w:spacing w:after="0" w:line="240" w:lineRule="auto"/>
              <w:jc w:val="center"/>
              <w:rPr>
                <w:rFonts w:eastAsia="Times New Roman"/>
                <w:b/>
                <w:bCs/>
                <w:color w:val="000000"/>
              </w:rPr>
            </w:pPr>
            <w:r w:rsidRPr="00D91E8B">
              <w:rPr>
                <w:rFonts w:eastAsia="Times New Roman"/>
                <w:b/>
                <w:bCs/>
                <w:color w:val="000000"/>
              </w:rPr>
              <w:t>Tenures</w:t>
            </w:r>
          </w:p>
        </w:tc>
      </w:tr>
      <w:tr w:rsidR="00D91E8B" w:rsidRPr="00D91E8B" w14:paraId="410A7FEB" w14:textId="77777777" w:rsidTr="00D91E8B">
        <w:trPr>
          <w:trHeight w:val="600"/>
          <w:jc w:val="center"/>
        </w:trPr>
        <w:tc>
          <w:tcPr>
            <w:tcW w:w="2967" w:type="dxa"/>
            <w:vMerge w:val="restart"/>
            <w:tcBorders>
              <w:top w:val="nil"/>
              <w:left w:val="nil"/>
              <w:bottom w:val="single" w:sz="4" w:space="0" w:color="auto"/>
              <w:right w:val="single" w:sz="4" w:space="0" w:color="auto"/>
            </w:tcBorders>
            <w:shd w:val="clear" w:color="auto" w:fill="auto"/>
            <w:noWrap/>
            <w:vAlign w:val="center"/>
            <w:hideMark/>
          </w:tcPr>
          <w:p w14:paraId="0C72EB0A"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Saudi Arabia</w:t>
            </w:r>
          </w:p>
        </w:tc>
        <w:tc>
          <w:tcPr>
            <w:tcW w:w="3049" w:type="dxa"/>
            <w:tcBorders>
              <w:top w:val="nil"/>
              <w:left w:val="nil"/>
              <w:bottom w:val="single" w:sz="4" w:space="0" w:color="auto"/>
              <w:right w:val="single" w:sz="4" w:space="0" w:color="auto"/>
            </w:tcBorders>
            <w:shd w:val="clear" w:color="auto" w:fill="auto"/>
            <w:vAlign w:val="center"/>
            <w:hideMark/>
          </w:tcPr>
          <w:p w14:paraId="2FAF89DE"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Sultan bin Abdulaziz Al Saud</w:t>
            </w:r>
          </w:p>
        </w:tc>
        <w:tc>
          <w:tcPr>
            <w:tcW w:w="3456" w:type="dxa"/>
            <w:tcBorders>
              <w:top w:val="nil"/>
              <w:left w:val="nil"/>
              <w:bottom w:val="single" w:sz="4" w:space="0" w:color="auto"/>
              <w:right w:val="single" w:sz="4" w:space="0" w:color="auto"/>
            </w:tcBorders>
            <w:shd w:val="clear" w:color="auto" w:fill="auto"/>
            <w:vAlign w:val="center"/>
            <w:hideMark/>
          </w:tcPr>
          <w:p w14:paraId="7C48DC11"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Royal Guard; Minister of defense and aviation</w:t>
            </w:r>
          </w:p>
        </w:tc>
        <w:tc>
          <w:tcPr>
            <w:tcW w:w="1968" w:type="dxa"/>
            <w:tcBorders>
              <w:top w:val="nil"/>
              <w:left w:val="nil"/>
              <w:bottom w:val="single" w:sz="4" w:space="0" w:color="auto"/>
              <w:right w:val="nil"/>
            </w:tcBorders>
            <w:shd w:val="clear" w:color="auto" w:fill="auto"/>
            <w:noWrap/>
            <w:vAlign w:val="center"/>
            <w:hideMark/>
          </w:tcPr>
          <w:p w14:paraId="122F70E3"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2005 - 2011</w:t>
            </w:r>
          </w:p>
        </w:tc>
      </w:tr>
      <w:tr w:rsidR="00D91E8B" w:rsidRPr="00D91E8B" w14:paraId="0EF4CD2F" w14:textId="77777777" w:rsidTr="00D91E8B">
        <w:trPr>
          <w:trHeight w:val="600"/>
          <w:jc w:val="center"/>
        </w:trPr>
        <w:tc>
          <w:tcPr>
            <w:tcW w:w="2967" w:type="dxa"/>
            <w:vMerge/>
            <w:tcBorders>
              <w:top w:val="nil"/>
              <w:left w:val="nil"/>
              <w:bottom w:val="single" w:sz="4" w:space="0" w:color="auto"/>
              <w:right w:val="single" w:sz="4" w:space="0" w:color="auto"/>
            </w:tcBorders>
            <w:vAlign w:val="center"/>
            <w:hideMark/>
          </w:tcPr>
          <w:p w14:paraId="4ADA30D7" w14:textId="77777777" w:rsidR="00D91E8B" w:rsidRPr="00D91E8B" w:rsidRDefault="00D91E8B" w:rsidP="00D91E8B">
            <w:pPr>
              <w:spacing w:after="0" w:line="240" w:lineRule="auto"/>
              <w:rPr>
                <w:rFonts w:eastAsia="Times New Roman"/>
                <w:color w:val="000000"/>
              </w:rPr>
            </w:pPr>
          </w:p>
        </w:tc>
        <w:tc>
          <w:tcPr>
            <w:tcW w:w="3049" w:type="dxa"/>
            <w:tcBorders>
              <w:top w:val="nil"/>
              <w:left w:val="nil"/>
              <w:bottom w:val="single" w:sz="4" w:space="0" w:color="auto"/>
              <w:right w:val="single" w:sz="4" w:space="0" w:color="auto"/>
            </w:tcBorders>
            <w:shd w:val="clear" w:color="auto" w:fill="auto"/>
            <w:vAlign w:val="center"/>
            <w:hideMark/>
          </w:tcPr>
          <w:p w14:paraId="2F90731C"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Salman bin Abdulaziz Al Saud</w:t>
            </w:r>
          </w:p>
        </w:tc>
        <w:tc>
          <w:tcPr>
            <w:tcW w:w="3456" w:type="dxa"/>
            <w:tcBorders>
              <w:top w:val="nil"/>
              <w:left w:val="nil"/>
              <w:bottom w:val="single" w:sz="4" w:space="0" w:color="auto"/>
              <w:right w:val="single" w:sz="4" w:space="0" w:color="auto"/>
            </w:tcBorders>
            <w:shd w:val="clear" w:color="auto" w:fill="auto"/>
            <w:vAlign w:val="center"/>
            <w:hideMark/>
          </w:tcPr>
          <w:p w14:paraId="539CCC31"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Minister of Defense</w:t>
            </w:r>
          </w:p>
        </w:tc>
        <w:tc>
          <w:tcPr>
            <w:tcW w:w="1968" w:type="dxa"/>
            <w:tcBorders>
              <w:top w:val="nil"/>
              <w:left w:val="nil"/>
              <w:bottom w:val="single" w:sz="4" w:space="0" w:color="auto"/>
              <w:right w:val="nil"/>
            </w:tcBorders>
            <w:shd w:val="clear" w:color="auto" w:fill="auto"/>
            <w:noWrap/>
            <w:vAlign w:val="center"/>
            <w:hideMark/>
          </w:tcPr>
          <w:p w14:paraId="41525788"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2012 - 2015</w:t>
            </w:r>
          </w:p>
        </w:tc>
      </w:tr>
      <w:tr w:rsidR="00D91E8B" w:rsidRPr="00D91E8B" w14:paraId="68D8F1A6" w14:textId="77777777" w:rsidTr="00D91E8B">
        <w:trPr>
          <w:trHeight w:val="600"/>
          <w:jc w:val="center"/>
        </w:trPr>
        <w:tc>
          <w:tcPr>
            <w:tcW w:w="2967" w:type="dxa"/>
            <w:vMerge/>
            <w:tcBorders>
              <w:top w:val="nil"/>
              <w:left w:val="nil"/>
              <w:bottom w:val="single" w:sz="4" w:space="0" w:color="auto"/>
              <w:right w:val="single" w:sz="4" w:space="0" w:color="auto"/>
            </w:tcBorders>
            <w:vAlign w:val="center"/>
            <w:hideMark/>
          </w:tcPr>
          <w:p w14:paraId="60703035" w14:textId="77777777" w:rsidR="00D91E8B" w:rsidRPr="00D91E8B" w:rsidRDefault="00D91E8B" w:rsidP="00D91E8B">
            <w:pPr>
              <w:spacing w:after="0" w:line="240" w:lineRule="auto"/>
              <w:rPr>
                <w:rFonts w:eastAsia="Times New Roman"/>
                <w:color w:val="000000"/>
              </w:rPr>
            </w:pPr>
          </w:p>
        </w:tc>
        <w:tc>
          <w:tcPr>
            <w:tcW w:w="3049" w:type="dxa"/>
            <w:tcBorders>
              <w:top w:val="nil"/>
              <w:left w:val="nil"/>
              <w:bottom w:val="single" w:sz="4" w:space="0" w:color="auto"/>
              <w:right w:val="single" w:sz="4" w:space="0" w:color="auto"/>
            </w:tcBorders>
            <w:shd w:val="clear" w:color="auto" w:fill="auto"/>
            <w:vAlign w:val="center"/>
            <w:hideMark/>
          </w:tcPr>
          <w:p w14:paraId="4AF63A91"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Muqrin bin Abdulaziz Al Saud</w:t>
            </w:r>
          </w:p>
        </w:tc>
        <w:tc>
          <w:tcPr>
            <w:tcW w:w="3456" w:type="dxa"/>
            <w:tcBorders>
              <w:top w:val="nil"/>
              <w:left w:val="nil"/>
              <w:bottom w:val="single" w:sz="4" w:space="0" w:color="auto"/>
              <w:right w:val="single" w:sz="4" w:space="0" w:color="auto"/>
            </w:tcBorders>
            <w:shd w:val="clear" w:color="auto" w:fill="auto"/>
            <w:vAlign w:val="center"/>
            <w:hideMark/>
          </w:tcPr>
          <w:p w14:paraId="6331BA4B"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Commander of Royal Saudi Air Force </w:t>
            </w:r>
          </w:p>
        </w:tc>
        <w:tc>
          <w:tcPr>
            <w:tcW w:w="1968" w:type="dxa"/>
            <w:tcBorders>
              <w:top w:val="nil"/>
              <w:left w:val="nil"/>
              <w:bottom w:val="single" w:sz="4" w:space="0" w:color="auto"/>
              <w:right w:val="nil"/>
            </w:tcBorders>
            <w:shd w:val="clear" w:color="auto" w:fill="auto"/>
            <w:noWrap/>
            <w:vAlign w:val="center"/>
            <w:hideMark/>
          </w:tcPr>
          <w:p w14:paraId="05C4C57D"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2015</w:t>
            </w:r>
          </w:p>
        </w:tc>
      </w:tr>
      <w:tr w:rsidR="00D91E8B" w:rsidRPr="00D91E8B" w14:paraId="1D8FE5F0" w14:textId="77777777" w:rsidTr="00D91E8B">
        <w:trPr>
          <w:trHeight w:val="600"/>
          <w:jc w:val="center"/>
        </w:trPr>
        <w:tc>
          <w:tcPr>
            <w:tcW w:w="2967" w:type="dxa"/>
            <w:vMerge/>
            <w:tcBorders>
              <w:top w:val="nil"/>
              <w:left w:val="nil"/>
              <w:bottom w:val="single" w:sz="4" w:space="0" w:color="auto"/>
              <w:right w:val="single" w:sz="4" w:space="0" w:color="auto"/>
            </w:tcBorders>
            <w:vAlign w:val="center"/>
            <w:hideMark/>
          </w:tcPr>
          <w:p w14:paraId="65BB51B5" w14:textId="77777777" w:rsidR="00D91E8B" w:rsidRPr="00D91E8B" w:rsidRDefault="00D91E8B" w:rsidP="00D91E8B">
            <w:pPr>
              <w:spacing w:after="0" w:line="240" w:lineRule="auto"/>
              <w:rPr>
                <w:rFonts w:eastAsia="Times New Roman"/>
                <w:color w:val="000000"/>
              </w:rPr>
            </w:pPr>
          </w:p>
        </w:tc>
        <w:tc>
          <w:tcPr>
            <w:tcW w:w="3049" w:type="dxa"/>
            <w:tcBorders>
              <w:top w:val="nil"/>
              <w:left w:val="nil"/>
              <w:bottom w:val="single" w:sz="4" w:space="0" w:color="auto"/>
              <w:right w:val="single" w:sz="4" w:space="0" w:color="auto"/>
            </w:tcBorders>
            <w:shd w:val="clear" w:color="auto" w:fill="auto"/>
            <w:vAlign w:val="center"/>
            <w:hideMark/>
          </w:tcPr>
          <w:p w14:paraId="5E3A75E0"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Mohammed bin Salman Al Saud</w:t>
            </w:r>
          </w:p>
        </w:tc>
        <w:tc>
          <w:tcPr>
            <w:tcW w:w="3456" w:type="dxa"/>
            <w:tcBorders>
              <w:top w:val="nil"/>
              <w:left w:val="nil"/>
              <w:bottom w:val="single" w:sz="4" w:space="0" w:color="auto"/>
              <w:right w:val="single" w:sz="4" w:space="0" w:color="auto"/>
            </w:tcBorders>
            <w:shd w:val="clear" w:color="auto" w:fill="auto"/>
            <w:vAlign w:val="center"/>
            <w:hideMark/>
          </w:tcPr>
          <w:p w14:paraId="03C90C83"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Minister of Defense</w:t>
            </w:r>
          </w:p>
        </w:tc>
        <w:tc>
          <w:tcPr>
            <w:tcW w:w="1968" w:type="dxa"/>
            <w:tcBorders>
              <w:top w:val="nil"/>
              <w:left w:val="nil"/>
              <w:bottom w:val="single" w:sz="4" w:space="0" w:color="auto"/>
              <w:right w:val="nil"/>
            </w:tcBorders>
            <w:shd w:val="clear" w:color="auto" w:fill="auto"/>
            <w:noWrap/>
            <w:vAlign w:val="center"/>
            <w:hideMark/>
          </w:tcPr>
          <w:p w14:paraId="52F1B3E9"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2017 - Present</w:t>
            </w:r>
          </w:p>
        </w:tc>
      </w:tr>
      <w:tr w:rsidR="00D91E8B" w:rsidRPr="00D91E8B" w14:paraId="7434B43C" w14:textId="77777777" w:rsidTr="00D91E8B">
        <w:trPr>
          <w:trHeight w:val="600"/>
          <w:jc w:val="center"/>
        </w:trPr>
        <w:tc>
          <w:tcPr>
            <w:tcW w:w="2967" w:type="dxa"/>
            <w:vMerge w:val="restart"/>
            <w:tcBorders>
              <w:top w:val="nil"/>
              <w:left w:val="nil"/>
              <w:bottom w:val="single" w:sz="4" w:space="0" w:color="auto"/>
              <w:right w:val="single" w:sz="4" w:space="0" w:color="auto"/>
            </w:tcBorders>
            <w:shd w:val="clear" w:color="auto" w:fill="auto"/>
            <w:noWrap/>
            <w:vAlign w:val="center"/>
            <w:hideMark/>
          </w:tcPr>
          <w:p w14:paraId="3474D811"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Qatar</w:t>
            </w:r>
          </w:p>
        </w:tc>
        <w:tc>
          <w:tcPr>
            <w:tcW w:w="3049" w:type="dxa"/>
            <w:tcBorders>
              <w:top w:val="nil"/>
              <w:left w:val="nil"/>
              <w:bottom w:val="single" w:sz="4" w:space="0" w:color="auto"/>
              <w:right w:val="single" w:sz="4" w:space="0" w:color="auto"/>
            </w:tcBorders>
            <w:shd w:val="clear" w:color="auto" w:fill="auto"/>
            <w:vAlign w:val="center"/>
            <w:hideMark/>
          </w:tcPr>
          <w:p w14:paraId="0191E0A4"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Hamad bin Khalifa Al Thani</w:t>
            </w:r>
          </w:p>
        </w:tc>
        <w:tc>
          <w:tcPr>
            <w:tcW w:w="3456" w:type="dxa"/>
            <w:tcBorders>
              <w:top w:val="nil"/>
              <w:left w:val="nil"/>
              <w:bottom w:val="single" w:sz="4" w:space="0" w:color="auto"/>
              <w:right w:val="single" w:sz="4" w:space="0" w:color="auto"/>
            </w:tcBorders>
            <w:shd w:val="clear" w:color="auto" w:fill="auto"/>
            <w:vAlign w:val="center"/>
            <w:hideMark/>
          </w:tcPr>
          <w:p w14:paraId="5463AC99"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Lieutenant colonel in Qatar's armed forces</w:t>
            </w:r>
          </w:p>
        </w:tc>
        <w:tc>
          <w:tcPr>
            <w:tcW w:w="1968" w:type="dxa"/>
            <w:tcBorders>
              <w:top w:val="nil"/>
              <w:left w:val="nil"/>
              <w:bottom w:val="single" w:sz="4" w:space="0" w:color="auto"/>
              <w:right w:val="nil"/>
            </w:tcBorders>
            <w:shd w:val="clear" w:color="auto" w:fill="auto"/>
            <w:noWrap/>
            <w:vAlign w:val="center"/>
            <w:hideMark/>
          </w:tcPr>
          <w:p w14:paraId="0EE14C31"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1977 - 1995</w:t>
            </w:r>
          </w:p>
        </w:tc>
      </w:tr>
      <w:tr w:rsidR="00D91E8B" w:rsidRPr="00D91E8B" w14:paraId="469C7CC1" w14:textId="77777777" w:rsidTr="00D91E8B">
        <w:trPr>
          <w:trHeight w:val="600"/>
          <w:jc w:val="center"/>
        </w:trPr>
        <w:tc>
          <w:tcPr>
            <w:tcW w:w="2967" w:type="dxa"/>
            <w:vMerge/>
            <w:tcBorders>
              <w:top w:val="nil"/>
              <w:left w:val="nil"/>
              <w:bottom w:val="single" w:sz="4" w:space="0" w:color="auto"/>
              <w:right w:val="single" w:sz="4" w:space="0" w:color="auto"/>
            </w:tcBorders>
            <w:vAlign w:val="center"/>
            <w:hideMark/>
          </w:tcPr>
          <w:p w14:paraId="24F36A18" w14:textId="77777777" w:rsidR="00D91E8B" w:rsidRPr="00D91E8B" w:rsidRDefault="00D91E8B" w:rsidP="00D91E8B">
            <w:pPr>
              <w:spacing w:after="0" w:line="240" w:lineRule="auto"/>
              <w:rPr>
                <w:rFonts w:eastAsia="Times New Roman"/>
                <w:color w:val="000000"/>
              </w:rPr>
            </w:pPr>
          </w:p>
        </w:tc>
        <w:tc>
          <w:tcPr>
            <w:tcW w:w="3049" w:type="dxa"/>
            <w:tcBorders>
              <w:top w:val="nil"/>
              <w:left w:val="nil"/>
              <w:bottom w:val="single" w:sz="4" w:space="0" w:color="auto"/>
              <w:right w:val="single" w:sz="4" w:space="0" w:color="auto"/>
            </w:tcBorders>
            <w:shd w:val="clear" w:color="auto" w:fill="auto"/>
            <w:vAlign w:val="center"/>
            <w:hideMark/>
          </w:tcPr>
          <w:p w14:paraId="2939DDC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Jassim bin Hamad bin Khalifa Al Thani</w:t>
            </w:r>
          </w:p>
        </w:tc>
        <w:tc>
          <w:tcPr>
            <w:tcW w:w="3456" w:type="dxa"/>
            <w:tcBorders>
              <w:top w:val="nil"/>
              <w:left w:val="nil"/>
              <w:bottom w:val="single" w:sz="4" w:space="0" w:color="auto"/>
              <w:right w:val="single" w:sz="4" w:space="0" w:color="auto"/>
            </w:tcBorders>
            <w:shd w:val="clear" w:color="auto" w:fill="auto"/>
            <w:vAlign w:val="center"/>
            <w:hideMark/>
          </w:tcPr>
          <w:p w14:paraId="2BFE0AF0"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Second lieutenant in the Qatari armed forces </w:t>
            </w:r>
          </w:p>
        </w:tc>
        <w:tc>
          <w:tcPr>
            <w:tcW w:w="1968" w:type="dxa"/>
            <w:tcBorders>
              <w:top w:val="nil"/>
              <w:left w:val="nil"/>
              <w:bottom w:val="single" w:sz="4" w:space="0" w:color="auto"/>
              <w:right w:val="nil"/>
            </w:tcBorders>
            <w:shd w:val="clear" w:color="auto" w:fill="auto"/>
            <w:noWrap/>
            <w:vAlign w:val="center"/>
            <w:hideMark/>
          </w:tcPr>
          <w:p w14:paraId="4BF66564"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1996 - 2003</w:t>
            </w:r>
          </w:p>
        </w:tc>
      </w:tr>
      <w:tr w:rsidR="00D91E8B" w:rsidRPr="00D91E8B" w14:paraId="06C92B9A" w14:textId="77777777" w:rsidTr="00D91E8B">
        <w:trPr>
          <w:trHeight w:val="600"/>
          <w:jc w:val="center"/>
        </w:trPr>
        <w:tc>
          <w:tcPr>
            <w:tcW w:w="2967" w:type="dxa"/>
            <w:vMerge/>
            <w:tcBorders>
              <w:top w:val="nil"/>
              <w:left w:val="nil"/>
              <w:bottom w:val="single" w:sz="4" w:space="0" w:color="auto"/>
              <w:right w:val="single" w:sz="4" w:space="0" w:color="auto"/>
            </w:tcBorders>
            <w:vAlign w:val="center"/>
            <w:hideMark/>
          </w:tcPr>
          <w:p w14:paraId="7C6AC044" w14:textId="77777777" w:rsidR="00D91E8B" w:rsidRPr="00D91E8B" w:rsidRDefault="00D91E8B" w:rsidP="00D91E8B">
            <w:pPr>
              <w:spacing w:after="0" w:line="240" w:lineRule="auto"/>
              <w:rPr>
                <w:rFonts w:eastAsia="Times New Roman"/>
                <w:color w:val="000000"/>
              </w:rPr>
            </w:pPr>
          </w:p>
        </w:tc>
        <w:tc>
          <w:tcPr>
            <w:tcW w:w="3049" w:type="dxa"/>
            <w:tcBorders>
              <w:top w:val="nil"/>
              <w:left w:val="nil"/>
              <w:bottom w:val="single" w:sz="4" w:space="0" w:color="auto"/>
              <w:right w:val="single" w:sz="4" w:space="0" w:color="auto"/>
            </w:tcBorders>
            <w:shd w:val="clear" w:color="auto" w:fill="auto"/>
            <w:vAlign w:val="center"/>
            <w:hideMark/>
          </w:tcPr>
          <w:p w14:paraId="265EEDD6"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Tamim bin Hamad Al Thani</w:t>
            </w:r>
          </w:p>
        </w:tc>
        <w:tc>
          <w:tcPr>
            <w:tcW w:w="3456" w:type="dxa"/>
            <w:tcBorders>
              <w:top w:val="nil"/>
              <w:left w:val="nil"/>
              <w:bottom w:val="single" w:sz="4" w:space="0" w:color="auto"/>
              <w:right w:val="single" w:sz="4" w:space="0" w:color="auto"/>
            </w:tcBorders>
            <w:shd w:val="clear" w:color="auto" w:fill="auto"/>
            <w:vAlign w:val="center"/>
            <w:hideMark/>
          </w:tcPr>
          <w:p w14:paraId="22D6EB6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Second lieutenant in the Qatar Armed Forces</w:t>
            </w:r>
          </w:p>
        </w:tc>
        <w:tc>
          <w:tcPr>
            <w:tcW w:w="1968" w:type="dxa"/>
            <w:tcBorders>
              <w:top w:val="nil"/>
              <w:left w:val="nil"/>
              <w:bottom w:val="single" w:sz="4" w:space="0" w:color="auto"/>
              <w:right w:val="nil"/>
            </w:tcBorders>
            <w:shd w:val="clear" w:color="auto" w:fill="auto"/>
            <w:noWrap/>
            <w:vAlign w:val="center"/>
            <w:hideMark/>
          </w:tcPr>
          <w:p w14:paraId="2A11C542"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2003 - 2013</w:t>
            </w:r>
          </w:p>
        </w:tc>
      </w:tr>
      <w:tr w:rsidR="00D91E8B" w:rsidRPr="00D91E8B" w14:paraId="2130FC82" w14:textId="77777777" w:rsidTr="00D91E8B">
        <w:trPr>
          <w:trHeight w:val="600"/>
          <w:jc w:val="center"/>
        </w:trPr>
        <w:tc>
          <w:tcPr>
            <w:tcW w:w="2967" w:type="dxa"/>
            <w:vMerge w:val="restart"/>
            <w:tcBorders>
              <w:top w:val="nil"/>
              <w:left w:val="nil"/>
              <w:bottom w:val="single" w:sz="4" w:space="0" w:color="auto"/>
              <w:right w:val="single" w:sz="4" w:space="0" w:color="auto"/>
            </w:tcBorders>
            <w:shd w:val="clear" w:color="auto" w:fill="auto"/>
            <w:noWrap/>
            <w:vAlign w:val="center"/>
            <w:hideMark/>
          </w:tcPr>
          <w:p w14:paraId="6E9A7661"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United Arab Emirates</w:t>
            </w:r>
          </w:p>
        </w:tc>
        <w:tc>
          <w:tcPr>
            <w:tcW w:w="3049" w:type="dxa"/>
            <w:tcBorders>
              <w:top w:val="nil"/>
              <w:left w:val="nil"/>
              <w:bottom w:val="single" w:sz="4" w:space="0" w:color="auto"/>
              <w:right w:val="single" w:sz="4" w:space="0" w:color="auto"/>
            </w:tcBorders>
            <w:shd w:val="clear" w:color="auto" w:fill="auto"/>
            <w:vAlign w:val="center"/>
            <w:hideMark/>
          </w:tcPr>
          <w:p w14:paraId="36BC535C"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Khalifa bin Zayed bin Sultan Al Nahyan</w:t>
            </w:r>
          </w:p>
        </w:tc>
        <w:tc>
          <w:tcPr>
            <w:tcW w:w="3456" w:type="dxa"/>
            <w:tcBorders>
              <w:top w:val="nil"/>
              <w:left w:val="nil"/>
              <w:bottom w:val="single" w:sz="4" w:space="0" w:color="auto"/>
              <w:right w:val="single" w:sz="4" w:space="0" w:color="auto"/>
            </w:tcBorders>
            <w:shd w:val="clear" w:color="auto" w:fill="auto"/>
            <w:vAlign w:val="center"/>
            <w:hideMark/>
          </w:tcPr>
          <w:p w14:paraId="71D6CE74"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Head of the Abu Dhabi Department of Defense</w:t>
            </w:r>
          </w:p>
        </w:tc>
        <w:tc>
          <w:tcPr>
            <w:tcW w:w="1968" w:type="dxa"/>
            <w:tcBorders>
              <w:top w:val="nil"/>
              <w:left w:val="nil"/>
              <w:bottom w:val="single" w:sz="4" w:space="0" w:color="auto"/>
              <w:right w:val="nil"/>
            </w:tcBorders>
            <w:shd w:val="clear" w:color="auto" w:fill="auto"/>
            <w:noWrap/>
            <w:vAlign w:val="center"/>
            <w:hideMark/>
          </w:tcPr>
          <w:p w14:paraId="58BB36C5"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1969 - 2004</w:t>
            </w:r>
          </w:p>
        </w:tc>
      </w:tr>
      <w:tr w:rsidR="00D91E8B" w:rsidRPr="00D91E8B" w14:paraId="3FFD152C" w14:textId="77777777" w:rsidTr="00D91E8B">
        <w:trPr>
          <w:trHeight w:val="600"/>
          <w:jc w:val="center"/>
        </w:trPr>
        <w:tc>
          <w:tcPr>
            <w:tcW w:w="2967" w:type="dxa"/>
            <w:vMerge/>
            <w:tcBorders>
              <w:top w:val="nil"/>
              <w:left w:val="nil"/>
              <w:bottom w:val="single" w:sz="4" w:space="0" w:color="auto"/>
              <w:right w:val="single" w:sz="4" w:space="0" w:color="auto"/>
            </w:tcBorders>
            <w:vAlign w:val="center"/>
            <w:hideMark/>
          </w:tcPr>
          <w:p w14:paraId="6F53D201" w14:textId="77777777" w:rsidR="00D91E8B" w:rsidRPr="00D91E8B" w:rsidRDefault="00D91E8B" w:rsidP="00D91E8B">
            <w:pPr>
              <w:spacing w:after="0" w:line="240" w:lineRule="auto"/>
              <w:rPr>
                <w:rFonts w:eastAsia="Times New Roman"/>
                <w:color w:val="000000"/>
              </w:rPr>
            </w:pPr>
          </w:p>
        </w:tc>
        <w:tc>
          <w:tcPr>
            <w:tcW w:w="3049" w:type="dxa"/>
            <w:tcBorders>
              <w:top w:val="nil"/>
              <w:left w:val="nil"/>
              <w:bottom w:val="single" w:sz="4" w:space="0" w:color="auto"/>
              <w:right w:val="single" w:sz="4" w:space="0" w:color="auto"/>
            </w:tcBorders>
            <w:shd w:val="clear" w:color="auto" w:fill="auto"/>
            <w:vAlign w:val="center"/>
            <w:hideMark/>
          </w:tcPr>
          <w:p w14:paraId="7DAC54D7"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Mohamed bin Zayed Al Nahyan</w:t>
            </w:r>
          </w:p>
        </w:tc>
        <w:tc>
          <w:tcPr>
            <w:tcW w:w="3456" w:type="dxa"/>
            <w:tcBorders>
              <w:top w:val="nil"/>
              <w:left w:val="nil"/>
              <w:bottom w:val="single" w:sz="4" w:space="0" w:color="auto"/>
              <w:right w:val="single" w:sz="4" w:space="0" w:color="auto"/>
            </w:tcBorders>
            <w:shd w:val="clear" w:color="auto" w:fill="auto"/>
            <w:vAlign w:val="center"/>
            <w:hideMark/>
          </w:tcPr>
          <w:p w14:paraId="573FAC46"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UAE Air Force; Commander of the UAE Armed Forces</w:t>
            </w:r>
          </w:p>
        </w:tc>
        <w:tc>
          <w:tcPr>
            <w:tcW w:w="1968" w:type="dxa"/>
            <w:tcBorders>
              <w:top w:val="nil"/>
              <w:left w:val="nil"/>
              <w:bottom w:val="single" w:sz="4" w:space="0" w:color="auto"/>
              <w:right w:val="nil"/>
            </w:tcBorders>
            <w:shd w:val="clear" w:color="auto" w:fill="auto"/>
            <w:noWrap/>
            <w:vAlign w:val="center"/>
            <w:hideMark/>
          </w:tcPr>
          <w:p w14:paraId="40C0D01F"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2005 -2022</w:t>
            </w:r>
          </w:p>
        </w:tc>
      </w:tr>
      <w:tr w:rsidR="00D91E8B" w:rsidRPr="00D91E8B" w14:paraId="144E076E" w14:textId="77777777" w:rsidTr="00D91E8B">
        <w:trPr>
          <w:trHeight w:val="600"/>
          <w:jc w:val="center"/>
        </w:trPr>
        <w:tc>
          <w:tcPr>
            <w:tcW w:w="2967" w:type="dxa"/>
            <w:vMerge w:val="restart"/>
            <w:tcBorders>
              <w:top w:val="nil"/>
              <w:left w:val="nil"/>
              <w:bottom w:val="single" w:sz="4" w:space="0" w:color="auto"/>
              <w:right w:val="single" w:sz="4" w:space="0" w:color="auto"/>
            </w:tcBorders>
            <w:shd w:val="clear" w:color="auto" w:fill="auto"/>
            <w:noWrap/>
            <w:vAlign w:val="center"/>
            <w:hideMark/>
          </w:tcPr>
          <w:p w14:paraId="6B21FFA4"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Bahrain</w:t>
            </w:r>
          </w:p>
        </w:tc>
        <w:tc>
          <w:tcPr>
            <w:tcW w:w="3049" w:type="dxa"/>
            <w:tcBorders>
              <w:top w:val="nil"/>
              <w:left w:val="nil"/>
              <w:bottom w:val="single" w:sz="4" w:space="0" w:color="auto"/>
              <w:right w:val="single" w:sz="4" w:space="0" w:color="auto"/>
            </w:tcBorders>
            <w:shd w:val="clear" w:color="auto" w:fill="auto"/>
            <w:vAlign w:val="center"/>
            <w:hideMark/>
          </w:tcPr>
          <w:p w14:paraId="12591B6F"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Hamad bin Isa bin Salman Al Khalifa</w:t>
            </w:r>
          </w:p>
        </w:tc>
        <w:tc>
          <w:tcPr>
            <w:tcW w:w="3456" w:type="dxa"/>
            <w:tcBorders>
              <w:top w:val="nil"/>
              <w:left w:val="nil"/>
              <w:bottom w:val="single" w:sz="4" w:space="0" w:color="auto"/>
              <w:right w:val="single" w:sz="4" w:space="0" w:color="auto"/>
            </w:tcBorders>
            <w:shd w:val="clear" w:color="auto" w:fill="auto"/>
            <w:vAlign w:val="center"/>
            <w:hideMark/>
          </w:tcPr>
          <w:p w14:paraId="7F7E37AE"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Commander-in-chief of the Bahrain Defense Force</w:t>
            </w:r>
          </w:p>
        </w:tc>
        <w:tc>
          <w:tcPr>
            <w:tcW w:w="1968" w:type="dxa"/>
            <w:tcBorders>
              <w:top w:val="nil"/>
              <w:left w:val="nil"/>
              <w:bottom w:val="single" w:sz="4" w:space="0" w:color="auto"/>
              <w:right w:val="nil"/>
            </w:tcBorders>
            <w:shd w:val="clear" w:color="auto" w:fill="auto"/>
            <w:noWrap/>
            <w:vAlign w:val="center"/>
            <w:hideMark/>
          </w:tcPr>
          <w:p w14:paraId="282AFD8E"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1964 - 1999</w:t>
            </w:r>
          </w:p>
        </w:tc>
      </w:tr>
      <w:tr w:rsidR="00D91E8B" w:rsidRPr="00D91E8B" w14:paraId="6C5F33A8" w14:textId="77777777" w:rsidTr="00D91E8B">
        <w:trPr>
          <w:trHeight w:val="600"/>
          <w:jc w:val="center"/>
        </w:trPr>
        <w:tc>
          <w:tcPr>
            <w:tcW w:w="2967" w:type="dxa"/>
            <w:vMerge/>
            <w:tcBorders>
              <w:top w:val="nil"/>
              <w:left w:val="nil"/>
              <w:bottom w:val="single" w:sz="4" w:space="0" w:color="auto"/>
              <w:right w:val="single" w:sz="4" w:space="0" w:color="auto"/>
            </w:tcBorders>
            <w:vAlign w:val="center"/>
            <w:hideMark/>
          </w:tcPr>
          <w:p w14:paraId="107FCE72" w14:textId="77777777" w:rsidR="00D91E8B" w:rsidRPr="00D91E8B" w:rsidRDefault="00D91E8B" w:rsidP="00D91E8B">
            <w:pPr>
              <w:spacing w:after="0" w:line="240" w:lineRule="auto"/>
              <w:rPr>
                <w:rFonts w:eastAsia="Times New Roman"/>
                <w:color w:val="000000"/>
              </w:rPr>
            </w:pPr>
          </w:p>
        </w:tc>
        <w:tc>
          <w:tcPr>
            <w:tcW w:w="3049" w:type="dxa"/>
            <w:tcBorders>
              <w:top w:val="nil"/>
              <w:left w:val="nil"/>
              <w:bottom w:val="single" w:sz="4" w:space="0" w:color="auto"/>
              <w:right w:val="single" w:sz="4" w:space="0" w:color="auto"/>
            </w:tcBorders>
            <w:shd w:val="clear" w:color="auto" w:fill="auto"/>
            <w:vAlign w:val="center"/>
            <w:hideMark/>
          </w:tcPr>
          <w:p w14:paraId="121FA9D5"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Salman bin Hamad Al Khalifa</w:t>
            </w:r>
          </w:p>
        </w:tc>
        <w:tc>
          <w:tcPr>
            <w:tcW w:w="3456" w:type="dxa"/>
            <w:tcBorders>
              <w:top w:val="nil"/>
              <w:left w:val="nil"/>
              <w:bottom w:val="single" w:sz="4" w:space="0" w:color="auto"/>
              <w:right w:val="single" w:sz="4" w:space="0" w:color="auto"/>
            </w:tcBorders>
            <w:shd w:val="clear" w:color="auto" w:fill="auto"/>
            <w:vAlign w:val="center"/>
            <w:hideMark/>
          </w:tcPr>
          <w:p w14:paraId="63C30F9E"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Ministry of Defense</w:t>
            </w:r>
          </w:p>
        </w:tc>
        <w:tc>
          <w:tcPr>
            <w:tcW w:w="1968" w:type="dxa"/>
            <w:tcBorders>
              <w:top w:val="nil"/>
              <w:left w:val="nil"/>
              <w:bottom w:val="single" w:sz="4" w:space="0" w:color="auto"/>
              <w:right w:val="nil"/>
            </w:tcBorders>
            <w:shd w:val="clear" w:color="auto" w:fill="auto"/>
            <w:noWrap/>
            <w:vAlign w:val="center"/>
            <w:hideMark/>
          </w:tcPr>
          <w:p w14:paraId="4D3B05ED"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2000 - Present</w:t>
            </w:r>
          </w:p>
        </w:tc>
      </w:tr>
      <w:tr w:rsidR="00D91E8B" w:rsidRPr="00D91E8B" w14:paraId="43897080" w14:textId="77777777" w:rsidTr="00D91E8B">
        <w:trPr>
          <w:trHeight w:val="600"/>
          <w:jc w:val="center"/>
        </w:trPr>
        <w:tc>
          <w:tcPr>
            <w:tcW w:w="2967" w:type="dxa"/>
            <w:vMerge w:val="restart"/>
            <w:tcBorders>
              <w:top w:val="nil"/>
              <w:left w:val="nil"/>
              <w:bottom w:val="single" w:sz="4" w:space="0" w:color="auto"/>
              <w:right w:val="single" w:sz="4" w:space="0" w:color="auto"/>
            </w:tcBorders>
            <w:shd w:val="clear" w:color="auto" w:fill="auto"/>
            <w:noWrap/>
            <w:vAlign w:val="center"/>
            <w:hideMark/>
          </w:tcPr>
          <w:p w14:paraId="1B4D96B7"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Kuwait</w:t>
            </w:r>
          </w:p>
        </w:tc>
        <w:tc>
          <w:tcPr>
            <w:tcW w:w="3049" w:type="dxa"/>
            <w:tcBorders>
              <w:top w:val="nil"/>
              <w:left w:val="nil"/>
              <w:bottom w:val="single" w:sz="4" w:space="0" w:color="auto"/>
              <w:right w:val="single" w:sz="4" w:space="0" w:color="auto"/>
            </w:tcBorders>
            <w:shd w:val="clear" w:color="auto" w:fill="auto"/>
            <w:vAlign w:val="center"/>
            <w:hideMark/>
          </w:tcPr>
          <w:p w14:paraId="0A9BA680"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Saad Al-Salim Al-Sabah</w:t>
            </w:r>
          </w:p>
        </w:tc>
        <w:tc>
          <w:tcPr>
            <w:tcW w:w="3456" w:type="dxa"/>
            <w:tcBorders>
              <w:top w:val="nil"/>
              <w:left w:val="nil"/>
              <w:bottom w:val="single" w:sz="4" w:space="0" w:color="auto"/>
              <w:right w:val="single" w:sz="4" w:space="0" w:color="auto"/>
            </w:tcBorders>
            <w:shd w:val="clear" w:color="auto" w:fill="auto"/>
            <w:vAlign w:val="center"/>
            <w:hideMark/>
          </w:tcPr>
          <w:p w14:paraId="104F42F0"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First military officer; Directorate of Public Security Force</w:t>
            </w:r>
          </w:p>
        </w:tc>
        <w:tc>
          <w:tcPr>
            <w:tcW w:w="1968" w:type="dxa"/>
            <w:tcBorders>
              <w:top w:val="nil"/>
              <w:left w:val="nil"/>
              <w:bottom w:val="single" w:sz="4" w:space="0" w:color="auto"/>
              <w:right w:val="nil"/>
            </w:tcBorders>
            <w:shd w:val="clear" w:color="auto" w:fill="auto"/>
            <w:noWrap/>
            <w:vAlign w:val="center"/>
            <w:hideMark/>
          </w:tcPr>
          <w:p w14:paraId="4BC79AC6"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1978 - 2006</w:t>
            </w:r>
          </w:p>
        </w:tc>
      </w:tr>
      <w:tr w:rsidR="00D91E8B" w:rsidRPr="00D91E8B" w14:paraId="55BB2875" w14:textId="77777777" w:rsidTr="00D91E8B">
        <w:trPr>
          <w:trHeight w:val="600"/>
          <w:jc w:val="center"/>
        </w:trPr>
        <w:tc>
          <w:tcPr>
            <w:tcW w:w="2967" w:type="dxa"/>
            <w:vMerge/>
            <w:tcBorders>
              <w:top w:val="nil"/>
              <w:left w:val="nil"/>
              <w:bottom w:val="single" w:sz="4" w:space="0" w:color="auto"/>
              <w:right w:val="single" w:sz="4" w:space="0" w:color="auto"/>
            </w:tcBorders>
            <w:vAlign w:val="center"/>
            <w:hideMark/>
          </w:tcPr>
          <w:p w14:paraId="0AADBEC9" w14:textId="77777777" w:rsidR="00D91E8B" w:rsidRPr="00D91E8B" w:rsidRDefault="00D91E8B" w:rsidP="00D91E8B">
            <w:pPr>
              <w:spacing w:after="0" w:line="240" w:lineRule="auto"/>
              <w:rPr>
                <w:rFonts w:eastAsia="Times New Roman"/>
                <w:color w:val="000000"/>
              </w:rPr>
            </w:pPr>
          </w:p>
        </w:tc>
        <w:tc>
          <w:tcPr>
            <w:tcW w:w="3049" w:type="dxa"/>
            <w:tcBorders>
              <w:top w:val="nil"/>
              <w:left w:val="nil"/>
              <w:bottom w:val="single" w:sz="4" w:space="0" w:color="auto"/>
              <w:right w:val="single" w:sz="4" w:space="0" w:color="auto"/>
            </w:tcBorders>
            <w:shd w:val="clear" w:color="auto" w:fill="auto"/>
            <w:vAlign w:val="center"/>
            <w:hideMark/>
          </w:tcPr>
          <w:p w14:paraId="467CE82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Nawaf Al-Ahmad Al-Jaber Al-Sabah</w:t>
            </w:r>
          </w:p>
        </w:tc>
        <w:tc>
          <w:tcPr>
            <w:tcW w:w="3456" w:type="dxa"/>
            <w:tcBorders>
              <w:top w:val="nil"/>
              <w:left w:val="nil"/>
              <w:bottom w:val="single" w:sz="4" w:space="0" w:color="auto"/>
              <w:right w:val="single" w:sz="4" w:space="0" w:color="auto"/>
            </w:tcBorders>
            <w:shd w:val="clear" w:color="auto" w:fill="auto"/>
            <w:vAlign w:val="center"/>
            <w:hideMark/>
          </w:tcPr>
          <w:p w14:paraId="40E316C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Minister of Defense</w:t>
            </w:r>
          </w:p>
        </w:tc>
        <w:tc>
          <w:tcPr>
            <w:tcW w:w="1968" w:type="dxa"/>
            <w:tcBorders>
              <w:top w:val="nil"/>
              <w:left w:val="nil"/>
              <w:bottom w:val="single" w:sz="4" w:space="0" w:color="auto"/>
              <w:right w:val="nil"/>
            </w:tcBorders>
            <w:shd w:val="clear" w:color="auto" w:fill="auto"/>
            <w:noWrap/>
            <w:vAlign w:val="center"/>
            <w:hideMark/>
          </w:tcPr>
          <w:p w14:paraId="62EDBEBC" w14:textId="77777777" w:rsidR="00D91E8B" w:rsidRPr="00D91E8B" w:rsidRDefault="00D91E8B" w:rsidP="00D91E8B">
            <w:pPr>
              <w:spacing w:after="0" w:line="240" w:lineRule="auto"/>
              <w:jc w:val="right"/>
              <w:rPr>
                <w:rFonts w:eastAsia="Times New Roman"/>
                <w:color w:val="000000"/>
              </w:rPr>
            </w:pPr>
            <w:r w:rsidRPr="00D91E8B">
              <w:rPr>
                <w:rFonts w:eastAsia="Times New Roman"/>
                <w:color w:val="000000"/>
              </w:rPr>
              <w:t>2007 - 2020</w:t>
            </w:r>
          </w:p>
        </w:tc>
      </w:tr>
    </w:tbl>
    <w:p w14:paraId="147AF84A" w14:textId="77777777" w:rsidR="00D91E8B" w:rsidRDefault="00D91E8B" w:rsidP="003373BD">
      <w:pPr>
        <w:sectPr w:rsidR="00D91E8B" w:rsidSect="00D91E8B">
          <w:pgSz w:w="15840" w:h="12240" w:orient="landscape" w:code="1"/>
          <w:pgMar w:top="1440" w:right="1800" w:bottom="1440" w:left="1800" w:header="720" w:footer="720" w:gutter="0"/>
          <w:cols w:space="720"/>
          <w:docGrid w:linePitch="360"/>
        </w:sectPr>
      </w:pPr>
    </w:p>
    <w:tbl>
      <w:tblPr>
        <w:tblW w:w="13760" w:type="dxa"/>
        <w:jc w:val="center"/>
        <w:tblLook w:val="04A0" w:firstRow="1" w:lastRow="0" w:firstColumn="1" w:lastColumn="0" w:noHBand="0" w:noVBand="1"/>
      </w:tblPr>
      <w:tblGrid>
        <w:gridCol w:w="436"/>
        <w:gridCol w:w="2714"/>
        <w:gridCol w:w="747"/>
        <w:gridCol w:w="747"/>
        <w:gridCol w:w="801"/>
        <w:gridCol w:w="801"/>
        <w:gridCol w:w="801"/>
        <w:gridCol w:w="801"/>
        <w:gridCol w:w="801"/>
        <w:gridCol w:w="801"/>
        <w:gridCol w:w="747"/>
        <w:gridCol w:w="801"/>
        <w:gridCol w:w="747"/>
        <w:gridCol w:w="634"/>
        <w:gridCol w:w="747"/>
        <w:gridCol w:w="634"/>
      </w:tblGrid>
      <w:tr w:rsidR="00D91E8B" w:rsidRPr="00D91E8B" w14:paraId="335E0905" w14:textId="77777777" w:rsidTr="00D91E8B">
        <w:trPr>
          <w:trHeight w:val="368"/>
          <w:jc w:val="center"/>
        </w:trPr>
        <w:tc>
          <w:tcPr>
            <w:tcW w:w="13760" w:type="dxa"/>
            <w:gridSpan w:val="16"/>
            <w:tcBorders>
              <w:top w:val="nil"/>
              <w:left w:val="nil"/>
              <w:bottom w:val="single" w:sz="4" w:space="0" w:color="auto"/>
              <w:right w:val="nil"/>
            </w:tcBorders>
            <w:shd w:val="clear" w:color="auto" w:fill="auto"/>
            <w:noWrap/>
            <w:vAlign w:val="center"/>
            <w:hideMark/>
          </w:tcPr>
          <w:p w14:paraId="644482E2" w14:textId="77777777" w:rsidR="00D91E8B" w:rsidRPr="00D91E8B" w:rsidRDefault="00D91E8B" w:rsidP="00D91E8B">
            <w:pPr>
              <w:spacing w:after="0" w:line="240" w:lineRule="auto"/>
              <w:rPr>
                <w:rFonts w:eastAsia="Times New Roman"/>
                <w:b/>
                <w:bCs/>
              </w:rPr>
            </w:pPr>
            <w:r w:rsidRPr="00D91E8B">
              <w:rPr>
                <w:rFonts w:eastAsia="Times New Roman"/>
                <w:b/>
                <w:bCs/>
              </w:rPr>
              <w:lastRenderedPageBreak/>
              <w:t>Table 4. Descriptive Statistics and Inter-Item Correlations</w:t>
            </w:r>
          </w:p>
        </w:tc>
      </w:tr>
      <w:tr w:rsidR="00D91E8B" w:rsidRPr="00D91E8B" w14:paraId="5EB3F861"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398CD46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w:t>
            </w:r>
          </w:p>
        </w:tc>
        <w:tc>
          <w:tcPr>
            <w:tcW w:w="2768" w:type="dxa"/>
            <w:tcBorders>
              <w:top w:val="nil"/>
              <w:left w:val="nil"/>
              <w:bottom w:val="nil"/>
              <w:right w:val="nil"/>
            </w:tcBorders>
            <w:shd w:val="clear" w:color="auto" w:fill="auto"/>
            <w:vAlign w:val="center"/>
            <w:hideMark/>
          </w:tcPr>
          <w:p w14:paraId="6ABCD66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w:t>
            </w:r>
          </w:p>
        </w:tc>
        <w:tc>
          <w:tcPr>
            <w:tcW w:w="747" w:type="dxa"/>
            <w:tcBorders>
              <w:top w:val="nil"/>
              <w:left w:val="nil"/>
              <w:bottom w:val="single" w:sz="4" w:space="0" w:color="auto"/>
              <w:right w:val="nil"/>
            </w:tcBorders>
            <w:shd w:val="clear" w:color="auto" w:fill="auto"/>
            <w:noWrap/>
            <w:vAlign w:val="center"/>
            <w:hideMark/>
          </w:tcPr>
          <w:p w14:paraId="697ABBC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w:t>
            </w:r>
          </w:p>
        </w:tc>
        <w:tc>
          <w:tcPr>
            <w:tcW w:w="747" w:type="dxa"/>
            <w:tcBorders>
              <w:top w:val="nil"/>
              <w:left w:val="nil"/>
              <w:bottom w:val="single" w:sz="4" w:space="0" w:color="auto"/>
              <w:right w:val="nil"/>
            </w:tcBorders>
            <w:shd w:val="clear" w:color="auto" w:fill="auto"/>
            <w:noWrap/>
            <w:vAlign w:val="center"/>
            <w:hideMark/>
          </w:tcPr>
          <w:p w14:paraId="2481E91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2</w:t>
            </w:r>
          </w:p>
        </w:tc>
        <w:tc>
          <w:tcPr>
            <w:tcW w:w="801" w:type="dxa"/>
            <w:tcBorders>
              <w:top w:val="nil"/>
              <w:left w:val="nil"/>
              <w:bottom w:val="single" w:sz="4" w:space="0" w:color="auto"/>
              <w:right w:val="nil"/>
            </w:tcBorders>
            <w:shd w:val="clear" w:color="auto" w:fill="auto"/>
            <w:noWrap/>
            <w:vAlign w:val="center"/>
            <w:hideMark/>
          </w:tcPr>
          <w:p w14:paraId="26D86C4E"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3</w:t>
            </w:r>
          </w:p>
        </w:tc>
        <w:tc>
          <w:tcPr>
            <w:tcW w:w="801" w:type="dxa"/>
            <w:tcBorders>
              <w:top w:val="nil"/>
              <w:left w:val="nil"/>
              <w:bottom w:val="single" w:sz="4" w:space="0" w:color="auto"/>
              <w:right w:val="nil"/>
            </w:tcBorders>
            <w:shd w:val="clear" w:color="auto" w:fill="auto"/>
            <w:noWrap/>
            <w:vAlign w:val="center"/>
            <w:hideMark/>
          </w:tcPr>
          <w:p w14:paraId="57BFA85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4</w:t>
            </w:r>
          </w:p>
        </w:tc>
        <w:tc>
          <w:tcPr>
            <w:tcW w:w="801" w:type="dxa"/>
            <w:tcBorders>
              <w:top w:val="nil"/>
              <w:left w:val="nil"/>
              <w:bottom w:val="single" w:sz="4" w:space="0" w:color="auto"/>
              <w:right w:val="nil"/>
            </w:tcBorders>
            <w:shd w:val="clear" w:color="auto" w:fill="auto"/>
            <w:noWrap/>
            <w:vAlign w:val="center"/>
            <w:hideMark/>
          </w:tcPr>
          <w:p w14:paraId="6EAA717D"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5</w:t>
            </w:r>
          </w:p>
        </w:tc>
        <w:tc>
          <w:tcPr>
            <w:tcW w:w="801" w:type="dxa"/>
            <w:tcBorders>
              <w:top w:val="nil"/>
              <w:left w:val="nil"/>
              <w:bottom w:val="single" w:sz="4" w:space="0" w:color="auto"/>
              <w:right w:val="nil"/>
            </w:tcBorders>
            <w:shd w:val="clear" w:color="auto" w:fill="auto"/>
            <w:noWrap/>
            <w:vAlign w:val="center"/>
            <w:hideMark/>
          </w:tcPr>
          <w:p w14:paraId="1BD0BEB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6</w:t>
            </w:r>
          </w:p>
        </w:tc>
        <w:tc>
          <w:tcPr>
            <w:tcW w:w="801" w:type="dxa"/>
            <w:tcBorders>
              <w:top w:val="nil"/>
              <w:left w:val="nil"/>
              <w:bottom w:val="single" w:sz="4" w:space="0" w:color="auto"/>
              <w:right w:val="nil"/>
            </w:tcBorders>
            <w:shd w:val="clear" w:color="auto" w:fill="auto"/>
            <w:noWrap/>
            <w:vAlign w:val="center"/>
            <w:hideMark/>
          </w:tcPr>
          <w:p w14:paraId="323191D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7</w:t>
            </w:r>
          </w:p>
        </w:tc>
        <w:tc>
          <w:tcPr>
            <w:tcW w:w="801" w:type="dxa"/>
            <w:tcBorders>
              <w:top w:val="nil"/>
              <w:left w:val="nil"/>
              <w:bottom w:val="single" w:sz="4" w:space="0" w:color="auto"/>
              <w:right w:val="nil"/>
            </w:tcBorders>
            <w:shd w:val="clear" w:color="auto" w:fill="auto"/>
            <w:noWrap/>
            <w:vAlign w:val="center"/>
            <w:hideMark/>
          </w:tcPr>
          <w:p w14:paraId="32B53F73"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8</w:t>
            </w:r>
          </w:p>
        </w:tc>
        <w:tc>
          <w:tcPr>
            <w:tcW w:w="747" w:type="dxa"/>
            <w:tcBorders>
              <w:top w:val="nil"/>
              <w:left w:val="nil"/>
              <w:bottom w:val="single" w:sz="4" w:space="0" w:color="auto"/>
              <w:right w:val="nil"/>
            </w:tcBorders>
            <w:shd w:val="clear" w:color="auto" w:fill="auto"/>
            <w:noWrap/>
            <w:vAlign w:val="center"/>
            <w:hideMark/>
          </w:tcPr>
          <w:p w14:paraId="6E4FDDC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9</w:t>
            </w:r>
          </w:p>
        </w:tc>
        <w:tc>
          <w:tcPr>
            <w:tcW w:w="801" w:type="dxa"/>
            <w:tcBorders>
              <w:top w:val="nil"/>
              <w:left w:val="nil"/>
              <w:bottom w:val="single" w:sz="4" w:space="0" w:color="auto"/>
              <w:right w:val="nil"/>
            </w:tcBorders>
            <w:shd w:val="clear" w:color="auto" w:fill="auto"/>
            <w:noWrap/>
            <w:vAlign w:val="center"/>
            <w:hideMark/>
          </w:tcPr>
          <w:p w14:paraId="08FC855F"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10</w:t>
            </w:r>
          </w:p>
        </w:tc>
        <w:tc>
          <w:tcPr>
            <w:tcW w:w="747" w:type="dxa"/>
            <w:tcBorders>
              <w:top w:val="nil"/>
              <w:left w:val="nil"/>
              <w:bottom w:val="single" w:sz="4" w:space="0" w:color="auto"/>
              <w:right w:val="nil"/>
            </w:tcBorders>
            <w:shd w:val="clear" w:color="auto" w:fill="auto"/>
            <w:noWrap/>
            <w:vAlign w:val="center"/>
            <w:hideMark/>
          </w:tcPr>
          <w:p w14:paraId="5A95521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11</w:t>
            </w:r>
          </w:p>
        </w:tc>
        <w:tc>
          <w:tcPr>
            <w:tcW w:w="634" w:type="dxa"/>
            <w:tcBorders>
              <w:top w:val="nil"/>
              <w:left w:val="nil"/>
              <w:bottom w:val="single" w:sz="4" w:space="0" w:color="auto"/>
              <w:right w:val="nil"/>
            </w:tcBorders>
            <w:shd w:val="clear" w:color="auto" w:fill="auto"/>
            <w:noWrap/>
            <w:vAlign w:val="center"/>
            <w:hideMark/>
          </w:tcPr>
          <w:p w14:paraId="2D7A5E1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12</w:t>
            </w:r>
          </w:p>
        </w:tc>
        <w:tc>
          <w:tcPr>
            <w:tcW w:w="747" w:type="dxa"/>
            <w:tcBorders>
              <w:top w:val="nil"/>
              <w:left w:val="nil"/>
              <w:bottom w:val="single" w:sz="4" w:space="0" w:color="auto"/>
              <w:right w:val="nil"/>
            </w:tcBorders>
            <w:shd w:val="clear" w:color="auto" w:fill="auto"/>
            <w:noWrap/>
            <w:vAlign w:val="center"/>
            <w:hideMark/>
          </w:tcPr>
          <w:p w14:paraId="4A78AB9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13</w:t>
            </w:r>
          </w:p>
        </w:tc>
        <w:tc>
          <w:tcPr>
            <w:tcW w:w="634" w:type="dxa"/>
            <w:tcBorders>
              <w:top w:val="nil"/>
              <w:left w:val="nil"/>
              <w:bottom w:val="single" w:sz="4" w:space="0" w:color="auto"/>
              <w:right w:val="nil"/>
            </w:tcBorders>
            <w:shd w:val="clear" w:color="auto" w:fill="auto"/>
            <w:noWrap/>
            <w:vAlign w:val="center"/>
            <w:hideMark/>
          </w:tcPr>
          <w:p w14:paraId="125B96C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14</w:t>
            </w:r>
          </w:p>
        </w:tc>
      </w:tr>
      <w:tr w:rsidR="00D91E8B" w:rsidRPr="00D91E8B" w14:paraId="70CD1222"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394C81E6"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1</w:t>
            </w:r>
          </w:p>
        </w:tc>
        <w:tc>
          <w:tcPr>
            <w:tcW w:w="2768" w:type="dxa"/>
            <w:tcBorders>
              <w:top w:val="nil"/>
              <w:left w:val="nil"/>
              <w:bottom w:val="nil"/>
              <w:right w:val="nil"/>
            </w:tcBorders>
            <w:shd w:val="clear" w:color="auto" w:fill="auto"/>
            <w:vAlign w:val="center"/>
            <w:hideMark/>
          </w:tcPr>
          <w:p w14:paraId="4720142B"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Entry</w:t>
            </w:r>
          </w:p>
        </w:tc>
        <w:tc>
          <w:tcPr>
            <w:tcW w:w="747" w:type="dxa"/>
            <w:tcBorders>
              <w:top w:val="nil"/>
              <w:left w:val="nil"/>
              <w:bottom w:val="nil"/>
              <w:right w:val="nil"/>
            </w:tcBorders>
            <w:shd w:val="clear" w:color="auto" w:fill="auto"/>
            <w:noWrap/>
            <w:vAlign w:val="center"/>
            <w:hideMark/>
          </w:tcPr>
          <w:p w14:paraId="34B297A1"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747" w:type="dxa"/>
            <w:tcBorders>
              <w:top w:val="nil"/>
              <w:left w:val="nil"/>
              <w:bottom w:val="nil"/>
              <w:right w:val="nil"/>
            </w:tcBorders>
            <w:shd w:val="clear" w:color="auto" w:fill="auto"/>
            <w:noWrap/>
            <w:vAlign w:val="center"/>
            <w:hideMark/>
          </w:tcPr>
          <w:p w14:paraId="426FC571" w14:textId="77777777" w:rsidR="00D91E8B" w:rsidRPr="00D91E8B" w:rsidRDefault="00D91E8B" w:rsidP="00D91E8B">
            <w:pPr>
              <w:spacing w:after="0" w:line="240" w:lineRule="auto"/>
              <w:jc w:val="center"/>
              <w:rPr>
                <w:rFonts w:eastAsia="Times New Roman"/>
                <w:sz w:val="22"/>
                <w:szCs w:val="22"/>
              </w:rPr>
            </w:pPr>
          </w:p>
        </w:tc>
        <w:tc>
          <w:tcPr>
            <w:tcW w:w="801" w:type="dxa"/>
            <w:tcBorders>
              <w:top w:val="nil"/>
              <w:left w:val="nil"/>
              <w:bottom w:val="nil"/>
              <w:right w:val="nil"/>
            </w:tcBorders>
            <w:shd w:val="clear" w:color="auto" w:fill="auto"/>
            <w:noWrap/>
            <w:vAlign w:val="center"/>
            <w:hideMark/>
          </w:tcPr>
          <w:p w14:paraId="54F6649B"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0B7E5F03"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0A0F9B42"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13C3EA0D"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5DF6BB9A"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5D87FCB4"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44F66599"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3BA4811D"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30FA09E8"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035AD0FE"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4E104D3B"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626FA9AC" w14:textId="77777777" w:rsidR="00D91E8B" w:rsidRPr="00D91E8B" w:rsidRDefault="00D91E8B" w:rsidP="00D91E8B">
            <w:pPr>
              <w:spacing w:after="0" w:line="240" w:lineRule="auto"/>
              <w:jc w:val="center"/>
              <w:rPr>
                <w:rFonts w:eastAsia="Times New Roman"/>
                <w:sz w:val="20"/>
                <w:szCs w:val="20"/>
              </w:rPr>
            </w:pPr>
          </w:p>
        </w:tc>
      </w:tr>
      <w:tr w:rsidR="00D91E8B" w:rsidRPr="00D91E8B" w14:paraId="16056C6F"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063D9CB7"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2</w:t>
            </w:r>
          </w:p>
        </w:tc>
        <w:tc>
          <w:tcPr>
            <w:tcW w:w="2768" w:type="dxa"/>
            <w:tcBorders>
              <w:top w:val="nil"/>
              <w:left w:val="nil"/>
              <w:bottom w:val="nil"/>
              <w:right w:val="nil"/>
            </w:tcBorders>
            <w:shd w:val="clear" w:color="auto" w:fill="auto"/>
            <w:vAlign w:val="center"/>
            <w:hideMark/>
          </w:tcPr>
          <w:p w14:paraId="04B1BD6D"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 xml:space="preserve">Institutional development </w:t>
            </w:r>
          </w:p>
        </w:tc>
        <w:tc>
          <w:tcPr>
            <w:tcW w:w="747" w:type="dxa"/>
            <w:tcBorders>
              <w:top w:val="nil"/>
              <w:left w:val="nil"/>
              <w:bottom w:val="nil"/>
              <w:right w:val="nil"/>
            </w:tcBorders>
            <w:shd w:val="clear" w:color="auto" w:fill="auto"/>
            <w:noWrap/>
            <w:vAlign w:val="center"/>
            <w:hideMark/>
          </w:tcPr>
          <w:p w14:paraId="31BCA0C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0.04 </w:t>
            </w:r>
          </w:p>
        </w:tc>
        <w:tc>
          <w:tcPr>
            <w:tcW w:w="747" w:type="dxa"/>
            <w:tcBorders>
              <w:top w:val="nil"/>
              <w:left w:val="nil"/>
              <w:bottom w:val="nil"/>
              <w:right w:val="nil"/>
            </w:tcBorders>
            <w:shd w:val="clear" w:color="auto" w:fill="auto"/>
            <w:noWrap/>
            <w:vAlign w:val="center"/>
            <w:hideMark/>
          </w:tcPr>
          <w:p w14:paraId="2C705273"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801" w:type="dxa"/>
            <w:tcBorders>
              <w:top w:val="nil"/>
              <w:left w:val="nil"/>
              <w:bottom w:val="nil"/>
              <w:right w:val="nil"/>
            </w:tcBorders>
            <w:shd w:val="clear" w:color="auto" w:fill="auto"/>
            <w:noWrap/>
            <w:vAlign w:val="center"/>
            <w:hideMark/>
          </w:tcPr>
          <w:p w14:paraId="6C17D80C" w14:textId="77777777" w:rsidR="00D91E8B" w:rsidRPr="00D91E8B" w:rsidRDefault="00D91E8B" w:rsidP="00D91E8B">
            <w:pPr>
              <w:spacing w:after="0" w:line="240" w:lineRule="auto"/>
              <w:jc w:val="center"/>
              <w:rPr>
                <w:rFonts w:eastAsia="Times New Roman"/>
                <w:sz w:val="22"/>
                <w:szCs w:val="22"/>
              </w:rPr>
            </w:pPr>
          </w:p>
        </w:tc>
        <w:tc>
          <w:tcPr>
            <w:tcW w:w="801" w:type="dxa"/>
            <w:tcBorders>
              <w:top w:val="nil"/>
              <w:left w:val="nil"/>
              <w:bottom w:val="nil"/>
              <w:right w:val="nil"/>
            </w:tcBorders>
            <w:shd w:val="clear" w:color="auto" w:fill="auto"/>
            <w:noWrap/>
            <w:vAlign w:val="center"/>
            <w:hideMark/>
          </w:tcPr>
          <w:p w14:paraId="69C82F21"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3FC4FF0C"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03794515"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5E5BE250"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0605ECEF"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2C5F4672"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5E1E510A"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4C17CD5D"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482E55BB"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349BC4D2"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56DA769E" w14:textId="77777777" w:rsidR="00D91E8B" w:rsidRPr="00D91E8B" w:rsidRDefault="00D91E8B" w:rsidP="00D91E8B">
            <w:pPr>
              <w:spacing w:after="0" w:line="240" w:lineRule="auto"/>
              <w:jc w:val="center"/>
              <w:rPr>
                <w:rFonts w:eastAsia="Times New Roman"/>
                <w:sz w:val="20"/>
                <w:szCs w:val="20"/>
              </w:rPr>
            </w:pPr>
          </w:p>
        </w:tc>
      </w:tr>
      <w:tr w:rsidR="00D91E8B" w:rsidRPr="00D91E8B" w14:paraId="0D4FF79C"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691D9A6A"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3</w:t>
            </w:r>
          </w:p>
        </w:tc>
        <w:tc>
          <w:tcPr>
            <w:tcW w:w="2768" w:type="dxa"/>
            <w:tcBorders>
              <w:top w:val="nil"/>
              <w:left w:val="nil"/>
              <w:bottom w:val="nil"/>
              <w:right w:val="nil"/>
            </w:tcBorders>
            <w:shd w:val="clear" w:color="auto" w:fill="auto"/>
            <w:vAlign w:val="center"/>
            <w:hideMark/>
          </w:tcPr>
          <w:p w14:paraId="2FB9C846"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 xml:space="preserve">GDP </w:t>
            </w:r>
          </w:p>
        </w:tc>
        <w:tc>
          <w:tcPr>
            <w:tcW w:w="747" w:type="dxa"/>
            <w:tcBorders>
              <w:top w:val="nil"/>
              <w:left w:val="nil"/>
              <w:bottom w:val="nil"/>
              <w:right w:val="nil"/>
            </w:tcBorders>
            <w:shd w:val="clear" w:color="auto" w:fill="auto"/>
            <w:noWrap/>
            <w:vAlign w:val="center"/>
            <w:hideMark/>
          </w:tcPr>
          <w:p w14:paraId="0544F143"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0.08 </w:t>
            </w:r>
          </w:p>
        </w:tc>
        <w:tc>
          <w:tcPr>
            <w:tcW w:w="747" w:type="dxa"/>
            <w:tcBorders>
              <w:top w:val="nil"/>
              <w:left w:val="nil"/>
              <w:bottom w:val="nil"/>
              <w:right w:val="nil"/>
            </w:tcBorders>
            <w:shd w:val="clear" w:color="auto" w:fill="auto"/>
            <w:noWrap/>
            <w:vAlign w:val="center"/>
            <w:hideMark/>
          </w:tcPr>
          <w:p w14:paraId="40E843EC"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-0.24 </w:t>
            </w:r>
          </w:p>
        </w:tc>
        <w:tc>
          <w:tcPr>
            <w:tcW w:w="801" w:type="dxa"/>
            <w:tcBorders>
              <w:top w:val="nil"/>
              <w:left w:val="nil"/>
              <w:bottom w:val="nil"/>
              <w:right w:val="nil"/>
            </w:tcBorders>
            <w:shd w:val="clear" w:color="auto" w:fill="auto"/>
            <w:noWrap/>
            <w:vAlign w:val="center"/>
            <w:hideMark/>
          </w:tcPr>
          <w:p w14:paraId="2982917F"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801" w:type="dxa"/>
            <w:tcBorders>
              <w:top w:val="nil"/>
              <w:left w:val="nil"/>
              <w:bottom w:val="nil"/>
              <w:right w:val="nil"/>
            </w:tcBorders>
            <w:shd w:val="clear" w:color="auto" w:fill="auto"/>
            <w:noWrap/>
            <w:vAlign w:val="center"/>
            <w:hideMark/>
          </w:tcPr>
          <w:p w14:paraId="11148A09" w14:textId="77777777" w:rsidR="00D91E8B" w:rsidRPr="00D91E8B" w:rsidRDefault="00D91E8B" w:rsidP="00D91E8B">
            <w:pPr>
              <w:spacing w:after="0" w:line="240" w:lineRule="auto"/>
              <w:jc w:val="center"/>
              <w:rPr>
                <w:rFonts w:eastAsia="Times New Roman"/>
                <w:sz w:val="22"/>
                <w:szCs w:val="22"/>
              </w:rPr>
            </w:pPr>
          </w:p>
        </w:tc>
        <w:tc>
          <w:tcPr>
            <w:tcW w:w="801" w:type="dxa"/>
            <w:tcBorders>
              <w:top w:val="nil"/>
              <w:left w:val="nil"/>
              <w:bottom w:val="nil"/>
              <w:right w:val="nil"/>
            </w:tcBorders>
            <w:shd w:val="clear" w:color="auto" w:fill="auto"/>
            <w:noWrap/>
            <w:vAlign w:val="center"/>
            <w:hideMark/>
          </w:tcPr>
          <w:p w14:paraId="5C002707"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0CE61462"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71A8A919"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6E6C1871"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43F2AAB3"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4F8B7469"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33FDC2C0"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29251B17"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0F8D04F2"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3003653F" w14:textId="77777777" w:rsidR="00D91E8B" w:rsidRPr="00D91E8B" w:rsidRDefault="00D91E8B" w:rsidP="00D91E8B">
            <w:pPr>
              <w:spacing w:after="0" w:line="240" w:lineRule="auto"/>
              <w:jc w:val="center"/>
              <w:rPr>
                <w:rFonts w:eastAsia="Times New Roman"/>
                <w:sz w:val="20"/>
                <w:szCs w:val="20"/>
              </w:rPr>
            </w:pPr>
          </w:p>
        </w:tc>
      </w:tr>
      <w:tr w:rsidR="00D91E8B" w:rsidRPr="00D91E8B" w14:paraId="70E7A37A"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4FDAC75B"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4</w:t>
            </w:r>
          </w:p>
        </w:tc>
        <w:tc>
          <w:tcPr>
            <w:tcW w:w="2768" w:type="dxa"/>
            <w:tcBorders>
              <w:top w:val="nil"/>
              <w:left w:val="nil"/>
              <w:bottom w:val="nil"/>
              <w:right w:val="nil"/>
            </w:tcBorders>
            <w:shd w:val="clear" w:color="auto" w:fill="auto"/>
            <w:vAlign w:val="center"/>
            <w:hideMark/>
          </w:tcPr>
          <w:p w14:paraId="171EC3EE"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GDP growth</w:t>
            </w:r>
          </w:p>
        </w:tc>
        <w:tc>
          <w:tcPr>
            <w:tcW w:w="747" w:type="dxa"/>
            <w:tcBorders>
              <w:top w:val="nil"/>
              <w:left w:val="nil"/>
              <w:bottom w:val="nil"/>
              <w:right w:val="nil"/>
            </w:tcBorders>
            <w:shd w:val="clear" w:color="auto" w:fill="auto"/>
            <w:noWrap/>
            <w:vAlign w:val="center"/>
            <w:hideMark/>
          </w:tcPr>
          <w:p w14:paraId="124F3B15"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747" w:type="dxa"/>
            <w:tcBorders>
              <w:top w:val="nil"/>
              <w:left w:val="nil"/>
              <w:bottom w:val="nil"/>
              <w:right w:val="nil"/>
            </w:tcBorders>
            <w:shd w:val="clear" w:color="auto" w:fill="auto"/>
            <w:noWrap/>
            <w:vAlign w:val="center"/>
            <w:hideMark/>
          </w:tcPr>
          <w:p w14:paraId="049A624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0.18 </w:t>
            </w:r>
          </w:p>
        </w:tc>
        <w:tc>
          <w:tcPr>
            <w:tcW w:w="801" w:type="dxa"/>
            <w:tcBorders>
              <w:top w:val="nil"/>
              <w:left w:val="nil"/>
              <w:bottom w:val="nil"/>
              <w:right w:val="nil"/>
            </w:tcBorders>
            <w:shd w:val="clear" w:color="auto" w:fill="auto"/>
            <w:noWrap/>
            <w:vAlign w:val="center"/>
            <w:hideMark/>
          </w:tcPr>
          <w:p w14:paraId="31B8385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-0.14 </w:t>
            </w:r>
          </w:p>
        </w:tc>
        <w:tc>
          <w:tcPr>
            <w:tcW w:w="801" w:type="dxa"/>
            <w:tcBorders>
              <w:top w:val="nil"/>
              <w:left w:val="nil"/>
              <w:bottom w:val="nil"/>
              <w:right w:val="nil"/>
            </w:tcBorders>
            <w:shd w:val="clear" w:color="auto" w:fill="auto"/>
            <w:noWrap/>
            <w:vAlign w:val="center"/>
            <w:hideMark/>
          </w:tcPr>
          <w:p w14:paraId="035674E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801" w:type="dxa"/>
            <w:tcBorders>
              <w:top w:val="nil"/>
              <w:left w:val="nil"/>
              <w:bottom w:val="nil"/>
              <w:right w:val="nil"/>
            </w:tcBorders>
            <w:shd w:val="clear" w:color="auto" w:fill="auto"/>
            <w:noWrap/>
            <w:vAlign w:val="center"/>
            <w:hideMark/>
          </w:tcPr>
          <w:p w14:paraId="26D012E5" w14:textId="77777777" w:rsidR="00D91E8B" w:rsidRPr="00D91E8B" w:rsidRDefault="00D91E8B" w:rsidP="00D91E8B">
            <w:pPr>
              <w:spacing w:after="0" w:line="240" w:lineRule="auto"/>
              <w:jc w:val="center"/>
              <w:rPr>
                <w:rFonts w:eastAsia="Times New Roman"/>
                <w:sz w:val="22"/>
                <w:szCs w:val="22"/>
              </w:rPr>
            </w:pPr>
          </w:p>
        </w:tc>
        <w:tc>
          <w:tcPr>
            <w:tcW w:w="801" w:type="dxa"/>
            <w:tcBorders>
              <w:top w:val="nil"/>
              <w:left w:val="nil"/>
              <w:bottom w:val="nil"/>
              <w:right w:val="nil"/>
            </w:tcBorders>
            <w:shd w:val="clear" w:color="auto" w:fill="auto"/>
            <w:noWrap/>
            <w:vAlign w:val="center"/>
            <w:hideMark/>
          </w:tcPr>
          <w:p w14:paraId="1771A586"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7DE7C058"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3ECAF8CA"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0BB72AF0"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0CF6EC97"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77DF278E"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46FD7676"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04B65AB9"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62C3141E" w14:textId="77777777" w:rsidR="00D91E8B" w:rsidRPr="00D91E8B" w:rsidRDefault="00D91E8B" w:rsidP="00D91E8B">
            <w:pPr>
              <w:spacing w:after="0" w:line="240" w:lineRule="auto"/>
              <w:jc w:val="center"/>
              <w:rPr>
                <w:rFonts w:eastAsia="Times New Roman"/>
                <w:sz w:val="20"/>
                <w:szCs w:val="20"/>
              </w:rPr>
            </w:pPr>
          </w:p>
        </w:tc>
      </w:tr>
      <w:tr w:rsidR="00D91E8B" w:rsidRPr="00D91E8B" w14:paraId="402C9B2E"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017784B2"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5</w:t>
            </w:r>
          </w:p>
        </w:tc>
        <w:tc>
          <w:tcPr>
            <w:tcW w:w="2768" w:type="dxa"/>
            <w:tcBorders>
              <w:top w:val="nil"/>
              <w:left w:val="nil"/>
              <w:bottom w:val="nil"/>
              <w:right w:val="nil"/>
            </w:tcBorders>
            <w:shd w:val="clear" w:color="auto" w:fill="auto"/>
            <w:vAlign w:val="center"/>
            <w:hideMark/>
          </w:tcPr>
          <w:p w14:paraId="612A606D"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FDI levels</w:t>
            </w:r>
          </w:p>
        </w:tc>
        <w:tc>
          <w:tcPr>
            <w:tcW w:w="747" w:type="dxa"/>
            <w:tcBorders>
              <w:top w:val="nil"/>
              <w:left w:val="nil"/>
              <w:bottom w:val="nil"/>
              <w:right w:val="nil"/>
            </w:tcBorders>
            <w:shd w:val="clear" w:color="auto" w:fill="auto"/>
            <w:noWrap/>
            <w:vAlign w:val="center"/>
            <w:hideMark/>
          </w:tcPr>
          <w:p w14:paraId="31C2258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0.10 </w:t>
            </w:r>
          </w:p>
        </w:tc>
        <w:tc>
          <w:tcPr>
            <w:tcW w:w="747" w:type="dxa"/>
            <w:tcBorders>
              <w:top w:val="nil"/>
              <w:left w:val="nil"/>
              <w:bottom w:val="nil"/>
              <w:right w:val="nil"/>
            </w:tcBorders>
            <w:shd w:val="clear" w:color="auto" w:fill="auto"/>
            <w:noWrap/>
            <w:vAlign w:val="center"/>
            <w:hideMark/>
          </w:tcPr>
          <w:p w14:paraId="002712AD"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0.25 </w:t>
            </w:r>
          </w:p>
        </w:tc>
        <w:tc>
          <w:tcPr>
            <w:tcW w:w="801" w:type="dxa"/>
            <w:tcBorders>
              <w:top w:val="nil"/>
              <w:left w:val="nil"/>
              <w:bottom w:val="nil"/>
              <w:right w:val="nil"/>
            </w:tcBorders>
            <w:shd w:val="clear" w:color="auto" w:fill="auto"/>
            <w:noWrap/>
            <w:vAlign w:val="center"/>
            <w:hideMark/>
          </w:tcPr>
          <w:p w14:paraId="76042DC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0.55 </w:t>
            </w:r>
          </w:p>
        </w:tc>
        <w:tc>
          <w:tcPr>
            <w:tcW w:w="801" w:type="dxa"/>
            <w:tcBorders>
              <w:top w:val="nil"/>
              <w:left w:val="nil"/>
              <w:bottom w:val="nil"/>
              <w:right w:val="nil"/>
            </w:tcBorders>
            <w:shd w:val="clear" w:color="auto" w:fill="auto"/>
            <w:noWrap/>
            <w:vAlign w:val="center"/>
            <w:hideMark/>
          </w:tcPr>
          <w:p w14:paraId="195CBDE1"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801" w:type="dxa"/>
            <w:tcBorders>
              <w:top w:val="nil"/>
              <w:left w:val="nil"/>
              <w:bottom w:val="nil"/>
              <w:right w:val="nil"/>
            </w:tcBorders>
            <w:shd w:val="clear" w:color="auto" w:fill="auto"/>
            <w:noWrap/>
            <w:vAlign w:val="center"/>
            <w:hideMark/>
          </w:tcPr>
          <w:p w14:paraId="15ED246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801" w:type="dxa"/>
            <w:tcBorders>
              <w:top w:val="nil"/>
              <w:left w:val="nil"/>
              <w:bottom w:val="nil"/>
              <w:right w:val="nil"/>
            </w:tcBorders>
            <w:shd w:val="clear" w:color="auto" w:fill="auto"/>
            <w:noWrap/>
            <w:vAlign w:val="center"/>
            <w:hideMark/>
          </w:tcPr>
          <w:p w14:paraId="459A37B8" w14:textId="77777777" w:rsidR="00D91E8B" w:rsidRPr="00D91E8B" w:rsidRDefault="00D91E8B" w:rsidP="00D91E8B">
            <w:pPr>
              <w:spacing w:after="0" w:line="240" w:lineRule="auto"/>
              <w:jc w:val="center"/>
              <w:rPr>
                <w:rFonts w:eastAsia="Times New Roman"/>
                <w:sz w:val="22"/>
                <w:szCs w:val="22"/>
              </w:rPr>
            </w:pPr>
          </w:p>
        </w:tc>
        <w:tc>
          <w:tcPr>
            <w:tcW w:w="801" w:type="dxa"/>
            <w:tcBorders>
              <w:top w:val="nil"/>
              <w:left w:val="nil"/>
              <w:bottom w:val="nil"/>
              <w:right w:val="nil"/>
            </w:tcBorders>
            <w:shd w:val="clear" w:color="auto" w:fill="auto"/>
            <w:noWrap/>
            <w:vAlign w:val="center"/>
            <w:hideMark/>
          </w:tcPr>
          <w:p w14:paraId="48585F71"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0152447A"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4C19A84E"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0F5A83B8"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1E7BDE72"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11118286"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67C9109D"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278F513F" w14:textId="77777777" w:rsidR="00D91E8B" w:rsidRPr="00D91E8B" w:rsidRDefault="00D91E8B" w:rsidP="00D91E8B">
            <w:pPr>
              <w:spacing w:after="0" w:line="240" w:lineRule="auto"/>
              <w:jc w:val="center"/>
              <w:rPr>
                <w:rFonts w:eastAsia="Times New Roman"/>
                <w:sz w:val="20"/>
                <w:szCs w:val="20"/>
              </w:rPr>
            </w:pPr>
          </w:p>
        </w:tc>
      </w:tr>
      <w:tr w:rsidR="00D91E8B" w:rsidRPr="00D91E8B" w14:paraId="69EA39BC"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0A49FD85"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6</w:t>
            </w:r>
          </w:p>
        </w:tc>
        <w:tc>
          <w:tcPr>
            <w:tcW w:w="2768" w:type="dxa"/>
            <w:tcBorders>
              <w:top w:val="nil"/>
              <w:left w:val="nil"/>
              <w:bottom w:val="nil"/>
              <w:right w:val="nil"/>
            </w:tcBorders>
            <w:shd w:val="clear" w:color="auto" w:fill="auto"/>
            <w:vAlign w:val="center"/>
            <w:hideMark/>
          </w:tcPr>
          <w:p w14:paraId="538F8792"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Natural resources</w:t>
            </w:r>
          </w:p>
        </w:tc>
        <w:tc>
          <w:tcPr>
            <w:tcW w:w="747" w:type="dxa"/>
            <w:tcBorders>
              <w:top w:val="nil"/>
              <w:left w:val="nil"/>
              <w:bottom w:val="nil"/>
              <w:right w:val="nil"/>
            </w:tcBorders>
            <w:shd w:val="clear" w:color="auto" w:fill="auto"/>
            <w:noWrap/>
            <w:vAlign w:val="center"/>
            <w:hideMark/>
          </w:tcPr>
          <w:p w14:paraId="4450C4F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-0.03 </w:t>
            </w:r>
          </w:p>
        </w:tc>
        <w:tc>
          <w:tcPr>
            <w:tcW w:w="747" w:type="dxa"/>
            <w:tcBorders>
              <w:top w:val="nil"/>
              <w:left w:val="nil"/>
              <w:bottom w:val="nil"/>
              <w:right w:val="nil"/>
            </w:tcBorders>
            <w:shd w:val="clear" w:color="auto" w:fill="auto"/>
            <w:noWrap/>
            <w:vAlign w:val="center"/>
            <w:hideMark/>
          </w:tcPr>
          <w:p w14:paraId="69A19BF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-0.25 </w:t>
            </w:r>
          </w:p>
        </w:tc>
        <w:tc>
          <w:tcPr>
            <w:tcW w:w="801" w:type="dxa"/>
            <w:tcBorders>
              <w:top w:val="nil"/>
              <w:left w:val="nil"/>
              <w:bottom w:val="nil"/>
              <w:right w:val="nil"/>
            </w:tcBorders>
            <w:shd w:val="clear" w:color="auto" w:fill="auto"/>
            <w:noWrap/>
            <w:vAlign w:val="center"/>
            <w:hideMark/>
          </w:tcPr>
          <w:p w14:paraId="77E910D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0.07 </w:t>
            </w:r>
          </w:p>
        </w:tc>
        <w:tc>
          <w:tcPr>
            <w:tcW w:w="801" w:type="dxa"/>
            <w:tcBorders>
              <w:top w:val="nil"/>
              <w:left w:val="nil"/>
              <w:bottom w:val="nil"/>
              <w:right w:val="nil"/>
            </w:tcBorders>
            <w:shd w:val="clear" w:color="auto" w:fill="auto"/>
            <w:noWrap/>
            <w:vAlign w:val="center"/>
            <w:hideMark/>
          </w:tcPr>
          <w:p w14:paraId="43381E90"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0.21 </w:t>
            </w:r>
          </w:p>
        </w:tc>
        <w:tc>
          <w:tcPr>
            <w:tcW w:w="801" w:type="dxa"/>
            <w:tcBorders>
              <w:top w:val="nil"/>
              <w:left w:val="nil"/>
              <w:bottom w:val="nil"/>
              <w:right w:val="nil"/>
            </w:tcBorders>
            <w:shd w:val="clear" w:color="auto" w:fill="auto"/>
            <w:noWrap/>
            <w:vAlign w:val="center"/>
            <w:hideMark/>
          </w:tcPr>
          <w:p w14:paraId="5AF949F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-0.17 </w:t>
            </w:r>
          </w:p>
        </w:tc>
        <w:tc>
          <w:tcPr>
            <w:tcW w:w="801" w:type="dxa"/>
            <w:tcBorders>
              <w:top w:val="nil"/>
              <w:left w:val="nil"/>
              <w:bottom w:val="nil"/>
              <w:right w:val="nil"/>
            </w:tcBorders>
            <w:shd w:val="clear" w:color="auto" w:fill="auto"/>
            <w:noWrap/>
            <w:vAlign w:val="center"/>
            <w:hideMark/>
          </w:tcPr>
          <w:p w14:paraId="28973F6E"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801" w:type="dxa"/>
            <w:tcBorders>
              <w:top w:val="nil"/>
              <w:left w:val="nil"/>
              <w:bottom w:val="nil"/>
              <w:right w:val="nil"/>
            </w:tcBorders>
            <w:shd w:val="clear" w:color="auto" w:fill="auto"/>
            <w:noWrap/>
            <w:vAlign w:val="center"/>
            <w:hideMark/>
          </w:tcPr>
          <w:p w14:paraId="4D69295D" w14:textId="77777777" w:rsidR="00D91E8B" w:rsidRPr="00D91E8B" w:rsidRDefault="00D91E8B" w:rsidP="00D91E8B">
            <w:pPr>
              <w:spacing w:after="0" w:line="240" w:lineRule="auto"/>
              <w:jc w:val="center"/>
              <w:rPr>
                <w:rFonts w:eastAsia="Times New Roman"/>
                <w:sz w:val="22"/>
                <w:szCs w:val="22"/>
              </w:rPr>
            </w:pPr>
          </w:p>
        </w:tc>
        <w:tc>
          <w:tcPr>
            <w:tcW w:w="801" w:type="dxa"/>
            <w:tcBorders>
              <w:top w:val="nil"/>
              <w:left w:val="nil"/>
              <w:bottom w:val="nil"/>
              <w:right w:val="nil"/>
            </w:tcBorders>
            <w:shd w:val="clear" w:color="auto" w:fill="auto"/>
            <w:noWrap/>
            <w:vAlign w:val="center"/>
            <w:hideMark/>
          </w:tcPr>
          <w:p w14:paraId="5664BCC9"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71AB495A"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5329F5D5"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0BC8DB34"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338DFFCE"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699B583A"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07949379" w14:textId="77777777" w:rsidR="00D91E8B" w:rsidRPr="00D91E8B" w:rsidRDefault="00D91E8B" w:rsidP="00D91E8B">
            <w:pPr>
              <w:spacing w:after="0" w:line="240" w:lineRule="auto"/>
              <w:jc w:val="center"/>
              <w:rPr>
                <w:rFonts w:eastAsia="Times New Roman"/>
                <w:sz w:val="20"/>
                <w:szCs w:val="20"/>
              </w:rPr>
            </w:pPr>
          </w:p>
        </w:tc>
      </w:tr>
      <w:tr w:rsidR="00D91E8B" w:rsidRPr="00D91E8B" w14:paraId="14C8527E"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59B5C4A7"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7</w:t>
            </w:r>
          </w:p>
        </w:tc>
        <w:tc>
          <w:tcPr>
            <w:tcW w:w="2768" w:type="dxa"/>
            <w:tcBorders>
              <w:top w:val="nil"/>
              <w:left w:val="nil"/>
              <w:bottom w:val="nil"/>
              <w:right w:val="nil"/>
            </w:tcBorders>
            <w:shd w:val="clear" w:color="auto" w:fill="auto"/>
            <w:vAlign w:val="center"/>
            <w:hideMark/>
          </w:tcPr>
          <w:p w14:paraId="2D460EF7"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Bilateral relations</w:t>
            </w:r>
          </w:p>
        </w:tc>
        <w:tc>
          <w:tcPr>
            <w:tcW w:w="747" w:type="dxa"/>
            <w:tcBorders>
              <w:top w:val="nil"/>
              <w:left w:val="nil"/>
              <w:bottom w:val="nil"/>
              <w:right w:val="nil"/>
            </w:tcBorders>
            <w:shd w:val="clear" w:color="auto" w:fill="auto"/>
            <w:noWrap/>
            <w:vAlign w:val="center"/>
            <w:hideMark/>
          </w:tcPr>
          <w:p w14:paraId="73B8DA7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0.06 </w:t>
            </w:r>
          </w:p>
        </w:tc>
        <w:tc>
          <w:tcPr>
            <w:tcW w:w="747" w:type="dxa"/>
            <w:tcBorders>
              <w:top w:val="nil"/>
              <w:left w:val="nil"/>
              <w:bottom w:val="nil"/>
              <w:right w:val="nil"/>
            </w:tcBorders>
            <w:shd w:val="clear" w:color="auto" w:fill="auto"/>
            <w:noWrap/>
            <w:vAlign w:val="center"/>
            <w:hideMark/>
          </w:tcPr>
          <w:p w14:paraId="15A2050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-0.06 </w:t>
            </w:r>
          </w:p>
        </w:tc>
        <w:tc>
          <w:tcPr>
            <w:tcW w:w="801" w:type="dxa"/>
            <w:tcBorders>
              <w:top w:val="nil"/>
              <w:left w:val="nil"/>
              <w:bottom w:val="nil"/>
              <w:right w:val="nil"/>
            </w:tcBorders>
            <w:shd w:val="clear" w:color="auto" w:fill="auto"/>
            <w:noWrap/>
            <w:vAlign w:val="center"/>
            <w:hideMark/>
          </w:tcPr>
          <w:p w14:paraId="03A8033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0.77 </w:t>
            </w:r>
          </w:p>
        </w:tc>
        <w:tc>
          <w:tcPr>
            <w:tcW w:w="801" w:type="dxa"/>
            <w:tcBorders>
              <w:top w:val="nil"/>
              <w:left w:val="nil"/>
              <w:bottom w:val="nil"/>
              <w:right w:val="nil"/>
            </w:tcBorders>
            <w:shd w:val="clear" w:color="auto" w:fill="auto"/>
            <w:noWrap/>
            <w:vAlign w:val="center"/>
            <w:hideMark/>
          </w:tcPr>
          <w:p w14:paraId="5F8FF965"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-0.12 </w:t>
            </w:r>
          </w:p>
        </w:tc>
        <w:tc>
          <w:tcPr>
            <w:tcW w:w="801" w:type="dxa"/>
            <w:tcBorders>
              <w:top w:val="nil"/>
              <w:left w:val="nil"/>
              <w:bottom w:val="nil"/>
              <w:right w:val="nil"/>
            </w:tcBorders>
            <w:shd w:val="clear" w:color="auto" w:fill="auto"/>
            <w:noWrap/>
            <w:vAlign w:val="center"/>
            <w:hideMark/>
          </w:tcPr>
          <w:p w14:paraId="315F7C2C"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0.47 </w:t>
            </w:r>
          </w:p>
        </w:tc>
        <w:tc>
          <w:tcPr>
            <w:tcW w:w="801" w:type="dxa"/>
            <w:tcBorders>
              <w:top w:val="nil"/>
              <w:left w:val="nil"/>
              <w:bottom w:val="nil"/>
              <w:right w:val="nil"/>
            </w:tcBorders>
            <w:shd w:val="clear" w:color="auto" w:fill="auto"/>
            <w:noWrap/>
            <w:vAlign w:val="center"/>
            <w:hideMark/>
          </w:tcPr>
          <w:p w14:paraId="372B6DB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-0.06 </w:t>
            </w:r>
          </w:p>
        </w:tc>
        <w:tc>
          <w:tcPr>
            <w:tcW w:w="801" w:type="dxa"/>
            <w:tcBorders>
              <w:top w:val="nil"/>
              <w:left w:val="nil"/>
              <w:bottom w:val="nil"/>
              <w:right w:val="nil"/>
            </w:tcBorders>
            <w:shd w:val="clear" w:color="auto" w:fill="auto"/>
            <w:noWrap/>
            <w:vAlign w:val="center"/>
            <w:hideMark/>
          </w:tcPr>
          <w:p w14:paraId="181CD52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801" w:type="dxa"/>
            <w:tcBorders>
              <w:top w:val="nil"/>
              <w:left w:val="nil"/>
              <w:bottom w:val="nil"/>
              <w:right w:val="nil"/>
            </w:tcBorders>
            <w:shd w:val="clear" w:color="auto" w:fill="auto"/>
            <w:noWrap/>
            <w:vAlign w:val="center"/>
            <w:hideMark/>
          </w:tcPr>
          <w:p w14:paraId="2529300D" w14:textId="77777777" w:rsidR="00D91E8B" w:rsidRPr="00D91E8B" w:rsidRDefault="00D91E8B" w:rsidP="00D91E8B">
            <w:pPr>
              <w:spacing w:after="0" w:line="240" w:lineRule="auto"/>
              <w:jc w:val="center"/>
              <w:rPr>
                <w:rFonts w:eastAsia="Times New Roman"/>
                <w:sz w:val="22"/>
                <w:szCs w:val="22"/>
              </w:rPr>
            </w:pPr>
          </w:p>
        </w:tc>
        <w:tc>
          <w:tcPr>
            <w:tcW w:w="747" w:type="dxa"/>
            <w:tcBorders>
              <w:top w:val="nil"/>
              <w:left w:val="nil"/>
              <w:bottom w:val="nil"/>
              <w:right w:val="nil"/>
            </w:tcBorders>
            <w:shd w:val="clear" w:color="auto" w:fill="auto"/>
            <w:noWrap/>
            <w:vAlign w:val="center"/>
            <w:hideMark/>
          </w:tcPr>
          <w:p w14:paraId="38252D21" w14:textId="77777777" w:rsidR="00D91E8B" w:rsidRPr="00D91E8B" w:rsidRDefault="00D91E8B" w:rsidP="00D91E8B">
            <w:pPr>
              <w:spacing w:after="0" w:line="240" w:lineRule="auto"/>
              <w:jc w:val="center"/>
              <w:rPr>
                <w:rFonts w:eastAsia="Times New Roman"/>
                <w:sz w:val="20"/>
                <w:szCs w:val="20"/>
              </w:rPr>
            </w:pPr>
          </w:p>
        </w:tc>
        <w:tc>
          <w:tcPr>
            <w:tcW w:w="801" w:type="dxa"/>
            <w:tcBorders>
              <w:top w:val="nil"/>
              <w:left w:val="nil"/>
              <w:bottom w:val="nil"/>
              <w:right w:val="nil"/>
            </w:tcBorders>
            <w:shd w:val="clear" w:color="auto" w:fill="auto"/>
            <w:noWrap/>
            <w:vAlign w:val="center"/>
            <w:hideMark/>
          </w:tcPr>
          <w:p w14:paraId="05410CA1"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2B8E3476"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097F60A5"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76AB623F"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27E4EF98" w14:textId="77777777" w:rsidR="00D91E8B" w:rsidRPr="00D91E8B" w:rsidRDefault="00D91E8B" w:rsidP="00D91E8B">
            <w:pPr>
              <w:spacing w:after="0" w:line="240" w:lineRule="auto"/>
              <w:jc w:val="center"/>
              <w:rPr>
                <w:rFonts w:eastAsia="Times New Roman"/>
                <w:sz w:val="20"/>
                <w:szCs w:val="20"/>
              </w:rPr>
            </w:pPr>
          </w:p>
        </w:tc>
      </w:tr>
      <w:tr w:rsidR="00D91E8B" w:rsidRPr="00D91E8B" w14:paraId="274E8964"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64116F0F"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8</w:t>
            </w:r>
          </w:p>
        </w:tc>
        <w:tc>
          <w:tcPr>
            <w:tcW w:w="2768" w:type="dxa"/>
            <w:tcBorders>
              <w:top w:val="nil"/>
              <w:left w:val="nil"/>
              <w:bottom w:val="nil"/>
              <w:right w:val="nil"/>
            </w:tcBorders>
            <w:shd w:val="clear" w:color="auto" w:fill="auto"/>
            <w:vAlign w:val="center"/>
            <w:hideMark/>
          </w:tcPr>
          <w:p w14:paraId="0BDE70A3"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Total assets</w:t>
            </w:r>
          </w:p>
        </w:tc>
        <w:tc>
          <w:tcPr>
            <w:tcW w:w="747" w:type="dxa"/>
            <w:tcBorders>
              <w:top w:val="nil"/>
              <w:left w:val="nil"/>
              <w:bottom w:val="nil"/>
              <w:right w:val="nil"/>
            </w:tcBorders>
            <w:shd w:val="clear" w:color="auto" w:fill="auto"/>
            <w:noWrap/>
            <w:vAlign w:val="center"/>
            <w:hideMark/>
          </w:tcPr>
          <w:p w14:paraId="6F93DD0D"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0.05 </w:t>
            </w:r>
          </w:p>
        </w:tc>
        <w:tc>
          <w:tcPr>
            <w:tcW w:w="747" w:type="dxa"/>
            <w:tcBorders>
              <w:top w:val="nil"/>
              <w:left w:val="nil"/>
              <w:bottom w:val="nil"/>
              <w:right w:val="nil"/>
            </w:tcBorders>
            <w:shd w:val="clear" w:color="auto" w:fill="auto"/>
            <w:noWrap/>
            <w:vAlign w:val="center"/>
            <w:hideMark/>
          </w:tcPr>
          <w:p w14:paraId="169432A3"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0.00 </w:t>
            </w:r>
          </w:p>
        </w:tc>
        <w:tc>
          <w:tcPr>
            <w:tcW w:w="801" w:type="dxa"/>
            <w:tcBorders>
              <w:top w:val="nil"/>
              <w:left w:val="nil"/>
              <w:bottom w:val="nil"/>
              <w:right w:val="nil"/>
            </w:tcBorders>
            <w:shd w:val="clear" w:color="auto" w:fill="auto"/>
            <w:noWrap/>
            <w:vAlign w:val="center"/>
            <w:hideMark/>
          </w:tcPr>
          <w:p w14:paraId="4E6754E1"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0.07 </w:t>
            </w:r>
          </w:p>
        </w:tc>
        <w:tc>
          <w:tcPr>
            <w:tcW w:w="801" w:type="dxa"/>
            <w:tcBorders>
              <w:top w:val="nil"/>
              <w:left w:val="nil"/>
              <w:bottom w:val="nil"/>
              <w:right w:val="nil"/>
            </w:tcBorders>
            <w:shd w:val="clear" w:color="auto" w:fill="auto"/>
            <w:noWrap/>
            <w:vAlign w:val="center"/>
            <w:hideMark/>
          </w:tcPr>
          <w:p w14:paraId="6D30286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-0.04 </w:t>
            </w:r>
          </w:p>
        </w:tc>
        <w:tc>
          <w:tcPr>
            <w:tcW w:w="801" w:type="dxa"/>
            <w:tcBorders>
              <w:top w:val="nil"/>
              <w:left w:val="nil"/>
              <w:bottom w:val="nil"/>
              <w:right w:val="nil"/>
            </w:tcBorders>
            <w:shd w:val="clear" w:color="auto" w:fill="auto"/>
            <w:noWrap/>
            <w:vAlign w:val="center"/>
            <w:hideMark/>
          </w:tcPr>
          <w:p w14:paraId="6B8A1FF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0.06 </w:t>
            </w:r>
          </w:p>
        </w:tc>
        <w:tc>
          <w:tcPr>
            <w:tcW w:w="801" w:type="dxa"/>
            <w:tcBorders>
              <w:top w:val="nil"/>
              <w:left w:val="nil"/>
              <w:bottom w:val="nil"/>
              <w:right w:val="nil"/>
            </w:tcBorders>
            <w:shd w:val="clear" w:color="auto" w:fill="auto"/>
            <w:noWrap/>
            <w:vAlign w:val="center"/>
            <w:hideMark/>
          </w:tcPr>
          <w:p w14:paraId="2CF994B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-0.02 </w:t>
            </w:r>
          </w:p>
        </w:tc>
        <w:tc>
          <w:tcPr>
            <w:tcW w:w="801" w:type="dxa"/>
            <w:tcBorders>
              <w:top w:val="nil"/>
              <w:left w:val="nil"/>
              <w:bottom w:val="nil"/>
              <w:right w:val="nil"/>
            </w:tcBorders>
            <w:shd w:val="clear" w:color="auto" w:fill="auto"/>
            <w:noWrap/>
            <w:vAlign w:val="center"/>
            <w:hideMark/>
          </w:tcPr>
          <w:p w14:paraId="7DCACA5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0.08 </w:t>
            </w:r>
          </w:p>
        </w:tc>
        <w:tc>
          <w:tcPr>
            <w:tcW w:w="801" w:type="dxa"/>
            <w:tcBorders>
              <w:top w:val="nil"/>
              <w:left w:val="nil"/>
              <w:bottom w:val="nil"/>
              <w:right w:val="nil"/>
            </w:tcBorders>
            <w:shd w:val="clear" w:color="auto" w:fill="auto"/>
            <w:noWrap/>
            <w:vAlign w:val="center"/>
            <w:hideMark/>
          </w:tcPr>
          <w:p w14:paraId="67C0EBE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747" w:type="dxa"/>
            <w:tcBorders>
              <w:top w:val="nil"/>
              <w:left w:val="nil"/>
              <w:bottom w:val="nil"/>
              <w:right w:val="nil"/>
            </w:tcBorders>
            <w:shd w:val="clear" w:color="auto" w:fill="auto"/>
            <w:noWrap/>
            <w:vAlign w:val="center"/>
            <w:hideMark/>
          </w:tcPr>
          <w:p w14:paraId="6F26F2A1" w14:textId="77777777" w:rsidR="00D91E8B" w:rsidRPr="00D91E8B" w:rsidRDefault="00D91E8B" w:rsidP="00D91E8B">
            <w:pPr>
              <w:spacing w:after="0" w:line="240" w:lineRule="auto"/>
              <w:jc w:val="center"/>
              <w:rPr>
                <w:rFonts w:eastAsia="Times New Roman"/>
                <w:sz w:val="22"/>
                <w:szCs w:val="22"/>
              </w:rPr>
            </w:pPr>
          </w:p>
        </w:tc>
        <w:tc>
          <w:tcPr>
            <w:tcW w:w="801" w:type="dxa"/>
            <w:tcBorders>
              <w:top w:val="nil"/>
              <w:left w:val="nil"/>
              <w:bottom w:val="nil"/>
              <w:right w:val="nil"/>
            </w:tcBorders>
            <w:shd w:val="clear" w:color="auto" w:fill="auto"/>
            <w:noWrap/>
            <w:vAlign w:val="center"/>
            <w:hideMark/>
          </w:tcPr>
          <w:p w14:paraId="4436F20A"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0AF044AD"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3E87488F"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66F77A20"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3F151835" w14:textId="77777777" w:rsidR="00D91E8B" w:rsidRPr="00D91E8B" w:rsidRDefault="00D91E8B" w:rsidP="00D91E8B">
            <w:pPr>
              <w:spacing w:after="0" w:line="240" w:lineRule="auto"/>
              <w:jc w:val="center"/>
              <w:rPr>
                <w:rFonts w:eastAsia="Times New Roman"/>
                <w:sz w:val="20"/>
                <w:szCs w:val="20"/>
              </w:rPr>
            </w:pPr>
          </w:p>
        </w:tc>
      </w:tr>
      <w:tr w:rsidR="00D91E8B" w:rsidRPr="00D91E8B" w14:paraId="7D933DCB"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0AF97688"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9</w:t>
            </w:r>
          </w:p>
        </w:tc>
        <w:tc>
          <w:tcPr>
            <w:tcW w:w="2768" w:type="dxa"/>
            <w:tcBorders>
              <w:top w:val="nil"/>
              <w:left w:val="nil"/>
              <w:bottom w:val="nil"/>
              <w:right w:val="nil"/>
            </w:tcBorders>
            <w:shd w:val="clear" w:color="auto" w:fill="auto"/>
            <w:vAlign w:val="center"/>
            <w:hideMark/>
          </w:tcPr>
          <w:p w14:paraId="1F44F189"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ROA</w:t>
            </w:r>
          </w:p>
        </w:tc>
        <w:tc>
          <w:tcPr>
            <w:tcW w:w="747" w:type="dxa"/>
            <w:tcBorders>
              <w:top w:val="nil"/>
              <w:left w:val="nil"/>
              <w:bottom w:val="nil"/>
              <w:right w:val="nil"/>
            </w:tcBorders>
            <w:shd w:val="clear" w:color="auto" w:fill="auto"/>
            <w:noWrap/>
            <w:vAlign w:val="center"/>
            <w:hideMark/>
          </w:tcPr>
          <w:p w14:paraId="32F2DC1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0.00 </w:t>
            </w:r>
          </w:p>
        </w:tc>
        <w:tc>
          <w:tcPr>
            <w:tcW w:w="747" w:type="dxa"/>
            <w:tcBorders>
              <w:top w:val="nil"/>
              <w:left w:val="nil"/>
              <w:bottom w:val="nil"/>
              <w:right w:val="nil"/>
            </w:tcBorders>
            <w:shd w:val="clear" w:color="auto" w:fill="auto"/>
            <w:noWrap/>
            <w:vAlign w:val="center"/>
            <w:hideMark/>
          </w:tcPr>
          <w:p w14:paraId="29F2A84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0.02 </w:t>
            </w:r>
          </w:p>
        </w:tc>
        <w:tc>
          <w:tcPr>
            <w:tcW w:w="801" w:type="dxa"/>
            <w:tcBorders>
              <w:top w:val="nil"/>
              <w:left w:val="nil"/>
              <w:bottom w:val="nil"/>
              <w:right w:val="nil"/>
            </w:tcBorders>
            <w:shd w:val="clear" w:color="auto" w:fill="auto"/>
            <w:noWrap/>
            <w:vAlign w:val="center"/>
            <w:hideMark/>
          </w:tcPr>
          <w:p w14:paraId="5D2EE65D"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0.10 </w:t>
            </w:r>
          </w:p>
        </w:tc>
        <w:tc>
          <w:tcPr>
            <w:tcW w:w="801" w:type="dxa"/>
            <w:tcBorders>
              <w:top w:val="nil"/>
              <w:left w:val="nil"/>
              <w:bottom w:val="nil"/>
              <w:right w:val="nil"/>
            </w:tcBorders>
            <w:shd w:val="clear" w:color="auto" w:fill="auto"/>
            <w:noWrap/>
            <w:vAlign w:val="center"/>
            <w:hideMark/>
          </w:tcPr>
          <w:p w14:paraId="6B486290"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801" w:type="dxa"/>
            <w:tcBorders>
              <w:top w:val="nil"/>
              <w:left w:val="nil"/>
              <w:bottom w:val="nil"/>
              <w:right w:val="nil"/>
            </w:tcBorders>
            <w:shd w:val="clear" w:color="auto" w:fill="auto"/>
            <w:noWrap/>
            <w:vAlign w:val="center"/>
            <w:hideMark/>
          </w:tcPr>
          <w:p w14:paraId="52FA13E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0.11 </w:t>
            </w:r>
          </w:p>
        </w:tc>
        <w:tc>
          <w:tcPr>
            <w:tcW w:w="801" w:type="dxa"/>
            <w:tcBorders>
              <w:top w:val="nil"/>
              <w:left w:val="nil"/>
              <w:bottom w:val="nil"/>
              <w:right w:val="nil"/>
            </w:tcBorders>
            <w:shd w:val="clear" w:color="auto" w:fill="auto"/>
            <w:noWrap/>
            <w:vAlign w:val="center"/>
            <w:hideMark/>
          </w:tcPr>
          <w:p w14:paraId="5EDADD8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801" w:type="dxa"/>
            <w:tcBorders>
              <w:top w:val="nil"/>
              <w:left w:val="nil"/>
              <w:bottom w:val="nil"/>
              <w:right w:val="nil"/>
            </w:tcBorders>
            <w:shd w:val="clear" w:color="auto" w:fill="auto"/>
            <w:noWrap/>
            <w:vAlign w:val="center"/>
            <w:hideMark/>
          </w:tcPr>
          <w:p w14:paraId="0D71AF55"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0.13 </w:t>
            </w:r>
          </w:p>
        </w:tc>
        <w:tc>
          <w:tcPr>
            <w:tcW w:w="801" w:type="dxa"/>
            <w:tcBorders>
              <w:top w:val="nil"/>
              <w:left w:val="nil"/>
              <w:bottom w:val="nil"/>
              <w:right w:val="nil"/>
            </w:tcBorders>
            <w:shd w:val="clear" w:color="auto" w:fill="auto"/>
            <w:noWrap/>
            <w:vAlign w:val="center"/>
            <w:hideMark/>
          </w:tcPr>
          <w:p w14:paraId="5D600C3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-0.19 </w:t>
            </w:r>
          </w:p>
        </w:tc>
        <w:tc>
          <w:tcPr>
            <w:tcW w:w="747" w:type="dxa"/>
            <w:tcBorders>
              <w:top w:val="nil"/>
              <w:left w:val="nil"/>
              <w:bottom w:val="nil"/>
              <w:right w:val="nil"/>
            </w:tcBorders>
            <w:shd w:val="clear" w:color="auto" w:fill="auto"/>
            <w:noWrap/>
            <w:vAlign w:val="center"/>
            <w:hideMark/>
          </w:tcPr>
          <w:p w14:paraId="48C0BC7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801" w:type="dxa"/>
            <w:tcBorders>
              <w:top w:val="nil"/>
              <w:left w:val="nil"/>
              <w:bottom w:val="nil"/>
              <w:right w:val="nil"/>
            </w:tcBorders>
            <w:shd w:val="clear" w:color="auto" w:fill="auto"/>
            <w:noWrap/>
            <w:vAlign w:val="center"/>
            <w:hideMark/>
          </w:tcPr>
          <w:p w14:paraId="250B2D6C" w14:textId="77777777" w:rsidR="00D91E8B" w:rsidRPr="00D91E8B" w:rsidRDefault="00D91E8B" w:rsidP="00D91E8B">
            <w:pPr>
              <w:spacing w:after="0" w:line="240" w:lineRule="auto"/>
              <w:jc w:val="center"/>
              <w:rPr>
                <w:rFonts w:eastAsia="Times New Roman"/>
                <w:sz w:val="22"/>
                <w:szCs w:val="22"/>
              </w:rPr>
            </w:pPr>
          </w:p>
        </w:tc>
        <w:tc>
          <w:tcPr>
            <w:tcW w:w="747" w:type="dxa"/>
            <w:tcBorders>
              <w:top w:val="nil"/>
              <w:left w:val="nil"/>
              <w:bottom w:val="nil"/>
              <w:right w:val="nil"/>
            </w:tcBorders>
            <w:shd w:val="clear" w:color="auto" w:fill="auto"/>
            <w:noWrap/>
            <w:vAlign w:val="center"/>
            <w:hideMark/>
          </w:tcPr>
          <w:p w14:paraId="38DA5C4E"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2C13EE89"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13B2BB37"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4AC4DE5C" w14:textId="77777777" w:rsidR="00D91E8B" w:rsidRPr="00D91E8B" w:rsidRDefault="00D91E8B" w:rsidP="00D91E8B">
            <w:pPr>
              <w:spacing w:after="0" w:line="240" w:lineRule="auto"/>
              <w:jc w:val="center"/>
              <w:rPr>
                <w:rFonts w:eastAsia="Times New Roman"/>
                <w:sz w:val="20"/>
                <w:szCs w:val="20"/>
              </w:rPr>
            </w:pPr>
          </w:p>
        </w:tc>
      </w:tr>
      <w:tr w:rsidR="00D91E8B" w:rsidRPr="00D91E8B" w14:paraId="63E52ED2"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14B694CD"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10</w:t>
            </w:r>
          </w:p>
        </w:tc>
        <w:tc>
          <w:tcPr>
            <w:tcW w:w="2768" w:type="dxa"/>
            <w:tcBorders>
              <w:top w:val="nil"/>
              <w:left w:val="nil"/>
              <w:bottom w:val="nil"/>
              <w:right w:val="nil"/>
            </w:tcBorders>
            <w:shd w:val="clear" w:color="auto" w:fill="auto"/>
            <w:vAlign w:val="center"/>
            <w:hideMark/>
          </w:tcPr>
          <w:p w14:paraId="3B774049"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FDI experience</w:t>
            </w:r>
          </w:p>
        </w:tc>
        <w:tc>
          <w:tcPr>
            <w:tcW w:w="747" w:type="dxa"/>
            <w:tcBorders>
              <w:top w:val="nil"/>
              <w:left w:val="nil"/>
              <w:bottom w:val="nil"/>
              <w:right w:val="nil"/>
            </w:tcBorders>
            <w:shd w:val="clear" w:color="auto" w:fill="auto"/>
            <w:noWrap/>
            <w:vAlign w:val="center"/>
            <w:hideMark/>
          </w:tcPr>
          <w:p w14:paraId="68E9F2C1"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0.11 </w:t>
            </w:r>
          </w:p>
        </w:tc>
        <w:tc>
          <w:tcPr>
            <w:tcW w:w="747" w:type="dxa"/>
            <w:tcBorders>
              <w:top w:val="nil"/>
              <w:left w:val="nil"/>
              <w:bottom w:val="nil"/>
              <w:right w:val="nil"/>
            </w:tcBorders>
            <w:shd w:val="clear" w:color="auto" w:fill="auto"/>
            <w:noWrap/>
            <w:vAlign w:val="center"/>
            <w:hideMark/>
          </w:tcPr>
          <w:p w14:paraId="7212C5D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801" w:type="dxa"/>
            <w:tcBorders>
              <w:top w:val="nil"/>
              <w:left w:val="nil"/>
              <w:bottom w:val="nil"/>
              <w:right w:val="nil"/>
            </w:tcBorders>
            <w:shd w:val="clear" w:color="auto" w:fill="auto"/>
            <w:noWrap/>
            <w:vAlign w:val="center"/>
            <w:hideMark/>
          </w:tcPr>
          <w:p w14:paraId="553C4F8C"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0.03 </w:t>
            </w:r>
          </w:p>
        </w:tc>
        <w:tc>
          <w:tcPr>
            <w:tcW w:w="801" w:type="dxa"/>
            <w:tcBorders>
              <w:top w:val="nil"/>
              <w:left w:val="nil"/>
              <w:bottom w:val="nil"/>
              <w:right w:val="nil"/>
            </w:tcBorders>
            <w:shd w:val="clear" w:color="auto" w:fill="auto"/>
            <w:noWrap/>
            <w:vAlign w:val="center"/>
            <w:hideMark/>
          </w:tcPr>
          <w:p w14:paraId="05C49FAE"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-0.02 </w:t>
            </w:r>
          </w:p>
        </w:tc>
        <w:tc>
          <w:tcPr>
            <w:tcW w:w="801" w:type="dxa"/>
            <w:tcBorders>
              <w:top w:val="nil"/>
              <w:left w:val="nil"/>
              <w:bottom w:val="nil"/>
              <w:right w:val="nil"/>
            </w:tcBorders>
            <w:shd w:val="clear" w:color="auto" w:fill="auto"/>
            <w:noWrap/>
            <w:vAlign w:val="center"/>
            <w:hideMark/>
          </w:tcPr>
          <w:p w14:paraId="632E8650"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0.03 </w:t>
            </w:r>
          </w:p>
        </w:tc>
        <w:tc>
          <w:tcPr>
            <w:tcW w:w="801" w:type="dxa"/>
            <w:tcBorders>
              <w:top w:val="nil"/>
              <w:left w:val="nil"/>
              <w:bottom w:val="nil"/>
              <w:right w:val="nil"/>
            </w:tcBorders>
            <w:shd w:val="clear" w:color="auto" w:fill="auto"/>
            <w:noWrap/>
            <w:vAlign w:val="center"/>
            <w:hideMark/>
          </w:tcPr>
          <w:p w14:paraId="0AE39C6F"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801" w:type="dxa"/>
            <w:tcBorders>
              <w:top w:val="nil"/>
              <w:left w:val="nil"/>
              <w:bottom w:val="nil"/>
              <w:right w:val="nil"/>
            </w:tcBorders>
            <w:shd w:val="clear" w:color="auto" w:fill="auto"/>
            <w:noWrap/>
            <w:vAlign w:val="center"/>
            <w:hideMark/>
          </w:tcPr>
          <w:p w14:paraId="58F4FAF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0.04 </w:t>
            </w:r>
          </w:p>
        </w:tc>
        <w:tc>
          <w:tcPr>
            <w:tcW w:w="801" w:type="dxa"/>
            <w:tcBorders>
              <w:top w:val="nil"/>
              <w:left w:val="nil"/>
              <w:bottom w:val="nil"/>
              <w:right w:val="nil"/>
            </w:tcBorders>
            <w:shd w:val="clear" w:color="auto" w:fill="auto"/>
            <w:noWrap/>
            <w:vAlign w:val="center"/>
            <w:hideMark/>
          </w:tcPr>
          <w:p w14:paraId="494D52E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0.48 </w:t>
            </w:r>
          </w:p>
        </w:tc>
        <w:tc>
          <w:tcPr>
            <w:tcW w:w="747" w:type="dxa"/>
            <w:tcBorders>
              <w:top w:val="nil"/>
              <w:left w:val="nil"/>
              <w:bottom w:val="nil"/>
              <w:right w:val="nil"/>
            </w:tcBorders>
            <w:shd w:val="clear" w:color="auto" w:fill="auto"/>
            <w:noWrap/>
            <w:vAlign w:val="center"/>
            <w:hideMark/>
          </w:tcPr>
          <w:p w14:paraId="3672ABC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-0.07 </w:t>
            </w:r>
          </w:p>
        </w:tc>
        <w:tc>
          <w:tcPr>
            <w:tcW w:w="801" w:type="dxa"/>
            <w:tcBorders>
              <w:top w:val="nil"/>
              <w:left w:val="nil"/>
              <w:bottom w:val="nil"/>
              <w:right w:val="nil"/>
            </w:tcBorders>
            <w:shd w:val="clear" w:color="auto" w:fill="auto"/>
            <w:noWrap/>
            <w:vAlign w:val="center"/>
            <w:hideMark/>
          </w:tcPr>
          <w:p w14:paraId="6834EA2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747" w:type="dxa"/>
            <w:tcBorders>
              <w:top w:val="nil"/>
              <w:left w:val="nil"/>
              <w:bottom w:val="nil"/>
              <w:right w:val="nil"/>
            </w:tcBorders>
            <w:shd w:val="clear" w:color="auto" w:fill="auto"/>
            <w:noWrap/>
            <w:vAlign w:val="center"/>
            <w:hideMark/>
          </w:tcPr>
          <w:p w14:paraId="5107B37B" w14:textId="77777777" w:rsidR="00D91E8B" w:rsidRPr="00D91E8B" w:rsidRDefault="00D91E8B" w:rsidP="00D91E8B">
            <w:pPr>
              <w:spacing w:after="0" w:line="240" w:lineRule="auto"/>
              <w:jc w:val="center"/>
              <w:rPr>
                <w:rFonts w:eastAsia="Times New Roman"/>
                <w:sz w:val="22"/>
                <w:szCs w:val="22"/>
              </w:rPr>
            </w:pPr>
          </w:p>
        </w:tc>
        <w:tc>
          <w:tcPr>
            <w:tcW w:w="634" w:type="dxa"/>
            <w:tcBorders>
              <w:top w:val="nil"/>
              <w:left w:val="nil"/>
              <w:bottom w:val="nil"/>
              <w:right w:val="nil"/>
            </w:tcBorders>
            <w:shd w:val="clear" w:color="auto" w:fill="auto"/>
            <w:noWrap/>
            <w:vAlign w:val="center"/>
            <w:hideMark/>
          </w:tcPr>
          <w:p w14:paraId="2F7D634E" w14:textId="77777777" w:rsidR="00D91E8B" w:rsidRPr="00D91E8B" w:rsidRDefault="00D91E8B" w:rsidP="00D91E8B">
            <w:pPr>
              <w:spacing w:after="0" w:line="240" w:lineRule="auto"/>
              <w:jc w:val="center"/>
              <w:rPr>
                <w:rFonts w:eastAsia="Times New Roman"/>
                <w:sz w:val="20"/>
                <w:szCs w:val="20"/>
              </w:rPr>
            </w:pPr>
          </w:p>
        </w:tc>
        <w:tc>
          <w:tcPr>
            <w:tcW w:w="747" w:type="dxa"/>
            <w:tcBorders>
              <w:top w:val="nil"/>
              <w:left w:val="nil"/>
              <w:bottom w:val="nil"/>
              <w:right w:val="nil"/>
            </w:tcBorders>
            <w:shd w:val="clear" w:color="auto" w:fill="auto"/>
            <w:noWrap/>
            <w:vAlign w:val="center"/>
            <w:hideMark/>
          </w:tcPr>
          <w:p w14:paraId="78577735"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4E851E38" w14:textId="77777777" w:rsidR="00D91E8B" w:rsidRPr="00D91E8B" w:rsidRDefault="00D91E8B" w:rsidP="00D91E8B">
            <w:pPr>
              <w:spacing w:after="0" w:line="240" w:lineRule="auto"/>
              <w:jc w:val="center"/>
              <w:rPr>
                <w:rFonts w:eastAsia="Times New Roman"/>
                <w:sz w:val="20"/>
                <w:szCs w:val="20"/>
              </w:rPr>
            </w:pPr>
          </w:p>
        </w:tc>
      </w:tr>
      <w:tr w:rsidR="00D91E8B" w:rsidRPr="00D91E8B" w14:paraId="2966F7E6"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6A421E61"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11</w:t>
            </w:r>
          </w:p>
        </w:tc>
        <w:tc>
          <w:tcPr>
            <w:tcW w:w="2768" w:type="dxa"/>
            <w:tcBorders>
              <w:top w:val="nil"/>
              <w:left w:val="nil"/>
              <w:bottom w:val="nil"/>
              <w:right w:val="nil"/>
            </w:tcBorders>
            <w:shd w:val="clear" w:color="auto" w:fill="auto"/>
            <w:vAlign w:val="center"/>
            <w:hideMark/>
          </w:tcPr>
          <w:p w14:paraId="05946541"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King's foreign honors</w:t>
            </w:r>
          </w:p>
        </w:tc>
        <w:tc>
          <w:tcPr>
            <w:tcW w:w="747" w:type="dxa"/>
            <w:tcBorders>
              <w:top w:val="nil"/>
              <w:left w:val="nil"/>
              <w:bottom w:val="nil"/>
              <w:right w:val="nil"/>
            </w:tcBorders>
            <w:shd w:val="clear" w:color="auto" w:fill="auto"/>
            <w:noWrap/>
            <w:vAlign w:val="center"/>
            <w:hideMark/>
          </w:tcPr>
          <w:p w14:paraId="28FD2550"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747" w:type="dxa"/>
            <w:tcBorders>
              <w:top w:val="nil"/>
              <w:left w:val="nil"/>
              <w:bottom w:val="nil"/>
              <w:right w:val="nil"/>
            </w:tcBorders>
            <w:shd w:val="clear" w:color="auto" w:fill="auto"/>
            <w:noWrap/>
            <w:vAlign w:val="center"/>
            <w:hideMark/>
          </w:tcPr>
          <w:p w14:paraId="128D387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-0.19 </w:t>
            </w:r>
          </w:p>
        </w:tc>
        <w:tc>
          <w:tcPr>
            <w:tcW w:w="801" w:type="dxa"/>
            <w:tcBorders>
              <w:top w:val="nil"/>
              <w:left w:val="nil"/>
              <w:bottom w:val="nil"/>
              <w:right w:val="nil"/>
            </w:tcBorders>
            <w:shd w:val="clear" w:color="auto" w:fill="auto"/>
            <w:noWrap/>
            <w:vAlign w:val="center"/>
            <w:hideMark/>
          </w:tcPr>
          <w:p w14:paraId="4EBC153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0.26 </w:t>
            </w:r>
          </w:p>
        </w:tc>
        <w:tc>
          <w:tcPr>
            <w:tcW w:w="801" w:type="dxa"/>
            <w:tcBorders>
              <w:top w:val="nil"/>
              <w:left w:val="nil"/>
              <w:bottom w:val="nil"/>
              <w:right w:val="nil"/>
            </w:tcBorders>
            <w:shd w:val="clear" w:color="auto" w:fill="auto"/>
            <w:noWrap/>
            <w:vAlign w:val="center"/>
            <w:hideMark/>
          </w:tcPr>
          <w:p w14:paraId="208756C5"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-0.18 </w:t>
            </w:r>
          </w:p>
        </w:tc>
        <w:tc>
          <w:tcPr>
            <w:tcW w:w="801" w:type="dxa"/>
            <w:tcBorders>
              <w:top w:val="nil"/>
              <w:left w:val="nil"/>
              <w:bottom w:val="nil"/>
              <w:right w:val="nil"/>
            </w:tcBorders>
            <w:shd w:val="clear" w:color="auto" w:fill="auto"/>
            <w:noWrap/>
            <w:vAlign w:val="center"/>
            <w:hideMark/>
          </w:tcPr>
          <w:p w14:paraId="0318915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0.03 </w:t>
            </w:r>
          </w:p>
        </w:tc>
        <w:tc>
          <w:tcPr>
            <w:tcW w:w="801" w:type="dxa"/>
            <w:tcBorders>
              <w:top w:val="nil"/>
              <w:left w:val="nil"/>
              <w:bottom w:val="nil"/>
              <w:right w:val="nil"/>
            </w:tcBorders>
            <w:shd w:val="clear" w:color="auto" w:fill="auto"/>
            <w:noWrap/>
            <w:vAlign w:val="center"/>
            <w:hideMark/>
          </w:tcPr>
          <w:p w14:paraId="608CA54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0.12 </w:t>
            </w:r>
          </w:p>
        </w:tc>
        <w:tc>
          <w:tcPr>
            <w:tcW w:w="801" w:type="dxa"/>
            <w:tcBorders>
              <w:top w:val="nil"/>
              <w:left w:val="nil"/>
              <w:bottom w:val="nil"/>
              <w:right w:val="nil"/>
            </w:tcBorders>
            <w:shd w:val="clear" w:color="auto" w:fill="auto"/>
            <w:noWrap/>
            <w:vAlign w:val="center"/>
            <w:hideMark/>
          </w:tcPr>
          <w:p w14:paraId="0EAD532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0.46 </w:t>
            </w:r>
          </w:p>
        </w:tc>
        <w:tc>
          <w:tcPr>
            <w:tcW w:w="801" w:type="dxa"/>
            <w:tcBorders>
              <w:top w:val="nil"/>
              <w:left w:val="nil"/>
              <w:bottom w:val="nil"/>
              <w:right w:val="nil"/>
            </w:tcBorders>
            <w:shd w:val="clear" w:color="auto" w:fill="auto"/>
            <w:noWrap/>
            <w:vAlign w:val="center"/>
            <w:hideMark/>
          </w:tcPr>
          <w:p w14:paraId="2A5B34FE"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0.03 </w:t>
            </w:r>
          </w:p>
        </w:tc>
        <w:tc>
          <w:tcPr>
            <w:tcW w:w="747" w:type="dxa"/>
            <w:tcBorders>
              <w:top w:val="nil"/>
              <w:left w:val="nil"/>
              <w:bottom w:val="nil"/>
              <w:right w:val="nil"/>
            </w:tcBorders>
            <w:shd w:val="clear" w:color="auto" w:fill="auto"/>
            <w:noWrap/>
            <w:vAlign w:val="center"/>
            <w:hideMark/>
          </w:tcPr>
          <w:p w14:paraId="080CAE7F"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0.04 </w:t>
            </w:r>
          </w:p>
        </w:tc>
        <w:tc>
          <w:tcPr>
            <w:tcW w:w="801" w:type="dxa"/>
            <w:tcBorders>
              <w:top w:val="nil"/>
              <w:left w:val="nil"/>
              <w:bottom w:val="nil"/>
              <w:right w:val="nil"/>
            </w:tcBorders>
            <w:shd w:val="clear" w:color="auto" w:fill="auto"/>
            <w:noWrap/>
            <w:vAlign w:val="center"/>
            <w:hideMark/>
          </w:tcPr>
          <w:p w14:paraId="698EF6C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747" w:type="dxa"/>
            <w:tcBorders>
              <w:top w:val="nil"/>
              <w:left w:val="nil"/>
              <w:bottom w:val="nil"/>
              <w:right w:val="nil"/>
            </w:tcBorders>
            <w:shd w:val="clear" w:color="auto" w:fill="auto"/>
            <w:noWrap/>
            <w:vAlign w:val="center"/>
            <w:hideMark/>
          </w:tcPr>
          <w:p w14:paraId="2C9E3CC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634" w:type="dxa"/>
            <w:tcBorders>
              <w:top w:val="nil"/>
              <w:left w:val="nil"/>
              <w:bottom w:val="nil"/>
              <w:right w:val="nil"/>
            </w:tcBorders>
            <w:shd w:val="clear" w:color="auto" w:fill="auto"/>
            <w:noWrap/>
            <w:vAlign w:val="center"/>
            <w:hideMark/>
          </w:tcPr>
          <w:p w14:paraId="4D8EB499" w14:textId="77777777" w:rsidR="00D91E8B" w:rsidRPr="00D91E8B" w:rsidRDefault="00D91E8B" w:rsidP="00D91E8B">
            <w:pPr>
              <w:spacing w:after="0" w:line="240" w:lineRule="auto"/>
              <w:jc w:val="center"/>
              <w:rPr>
                <w:rFonts w:eastAsia="Times New Roman"/>
                <w:sz w:val="22"/>
                <w:szCs w:val="22"/>
              </w:rPr>
            </w:pPr>
          </w:p>
        </w:tc>
        <w:tc>
          <w:tcPr>
            <w:tcW w:w="747" w:type="dxa"/>
            <w:tcBorders>
              <w:top w:val="nil"/>
              <w:left w:val="nil"/>
              <w:bottom w:val="nil"/>
              <w:right w:val="nil"/>
            </w:tcBorders>
            <w:shd w:val="clear" w:color="auto" w:fill="auto"/>
            <w:noWrap/>
            <w:vAlign w:val="center"/>
            <w:hideMark/>
          </w:tcPr>
          <w:p w14:paraId="76B339A8" w14:textId="77777777" w:rsidR="00D91E8B" w:rsidRPr="00D91E8B" w:rsidRDefault="00D91E8B" w:rsidP="00D91E8B">
            <w:pPr>
              <w:spacing w:after="0" w:line="240" w:lineRule="auto"/>
              <w:jc w:val="center"/>
              <w:rPr>
                <w:rFonts w:eastAsia="Times New Roman"/>
                <w:sz w:val="20"/>
                <w:szCs w:val="20"/>
              </w:rPr>
            </w:pPr>
          </w:p>
        </w:tc>
        <w:tc>
          <w:tcPr>
            <w:tcW w:w="634" w:type="dxa"/>
            <w:tcBorders>
              <w:top w:val="nil"/>
              <w:left w:val="nil"/>
              <w:bottom w:val="nil"/>
              <w:right w:val="nil"/>
            </w:tcBorders>
            <w:shd w:val="clear" w:color="auto" w:fill="auto"/>
            <w:noWrap/>
            <w:vAlign w:val="center"/>
            <w:hideMark/>
          </w:tcPr>
          <w:p w14:paraId="54B7C755" w14:textId="77777777" w:rsidR="00D91E8B" w:rsidRPr="00D91E8B" w:rsidRDefault="00D91E8B" w:rsidP="00D91E8B">
            <w:pPr>
              <w:spacing w:after="0" w:line="240" w:lineRule="auto"/>
              <w:jc w:val="center"/>
              <w:rPr>
                <w:rFonts w:eastAsia="Times New Roman"/>
                <w:sz w:val="20"/>
                <w:szCs w:val="20"/>
              </w:rPr>
            </w:pPr>
          </w:p>
        </w:tc>
      </w:tr>
      <w:tr w:rsidR="00D91E8B" w:rsidRPr="00D91E8B" w14:paraId="5ABE3714"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6E40FB3C"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12</w:t>
            </w:r>
          </w:p>
        </w:tc>
        <w:tc>
          <w:tcPr>
            <w:tcW w:w="2768" w:type="dxa"/>
            <w:tcBorders>
              <w:top w:val="nil"/>
              <w:left w:val="nil"/>
              <w:bottom w:val="nil"/>
              <w:right w:val="nil"/>
            </w:tcBorders>
            <w:shd w:val="clear" w:color="auto" w:fill="auto"/>
            <w:vAlign w:val="center"/>
            <w:hideMark/>
          </w:tcPr>
          <w:p w14:paraId="4DF30DFA"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Prince's military influence</w:t>
            </w:r>
          </w:p>
        </w:tc>
        <w:tc>
          <w:tcPr>
            <w:tcW w:w="747" w:type="dxa"/>
            <w:tcBorders>
              <w:top w:val="nil"/>
              <w:left w:val="nil"/>
              <w:bottom w:val="nil"/>
              <w:right w:val="nil"/>
            </w:tcBorders>
            <w:shd w:val="clear" w:color="auto" w:fill="auto"/>
            <w:noWrap/>
            <w:vAlign w:val="center"/>
            <w:hideMark/>
          </w:tcPr>
          <w:p w14:paraId="006C204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747" w:type="dxa"/>
            <w:tcBorders>
              <w:top w:val="nil"/>
              <w:left w:val="nil"/>
              <w:bottom w:val="nil"/>
              <w:right w:val="nil"/>
            </w:tcBorders>
            <w:shd w:val="clear" w:color="auto" w:fill="auto"/>
            <w:noWrap/>
            <w:vAlign w:val="center"/>
            <w:hideMark/>
          </w:tcPr>
          <w:p w14:paraId="4F1F830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0.30 </w:t>
            </w:r>
          </w:p>
        </w:tc>
        <w:tc>
          <w:tcPr>
            <w:tcW w:w="801" w:type="dxa"/>
            <w:tcBorders>
              <w:top w:val="nil"/>
              <w:left w:val="nil"/>
              <w:bottom w:val="nil"/>
              <w:right w:val="nil"/>
            </w:tcBorders>
            <w:shd w:val="clear" w:color="auto" w:fill="auto"/>
            <w:noWrap/>
            <w:vAlign w:val="center"/>
            <w:hideMark/>
          </w:tcPr>
          <w:p w14:paraId="06F1D28D"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-0.19 </w:t>
            </w:r>
          </w:p>
        </w:tc>
        <w:tc>
          <w:tcPr>
            <w:tcW w:w="801" w:type="dxa"/>
            <w:tcBorders>
              <w:top w:val="nil"/>
              <w:left w:val="nil"/>
              <w:bottom w:val="nil"/>
              <w:right w:val="nil"/>
            </w:tcBorders>
            <w:shd w:val="clear" w:color="auto" w:fill="auto"/>
            <w:noWrap/>
            <w:vAlign w:val="center"/>
            <w:hideMark/>
          </w:tcPr>
          <w:p w14:paraId="06271C9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0.14 </w:t>
            </w:r>
          </w:p>
        </w:tc>
        <w:tc>
          <w:tcPr>
            <w:tcW w:w="801" w:type="dxa"/>
            <w:tcBorders>
              <w:top w:val="nil"/>
              <w:left w:val="nil"/>
              <w:bottom w:val="nil"/>
              <w:right w:val="nil"/>
            </w:tcBorders>
            <w:shd w:val="clear" w:color="auto" w:fill="auto"/>
            <w:noWrap/>
            <w:vAlign w:val="center"/>
            <w:hideMark/>
          </w:tcPr>
          <w:p w14:paraId="25810E5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0.00 </w:t>
            </w:r>
          </w:p>
        </w:tc>
        <w:tc>
          <w:tcPr>
            <w:tcW w:w="801" w:type="dxa"/>
            <w:tcBorders>
              <w:top w:val="nil"/>
              <w:left w:val="nil"/>
              <w:bottom w:val="nil"/>
              <w:right w:val="nil"/>
            </w:tcBorders>
            <w:shd w:val="clear" w:color="auto" w:fill="auto"/>
            <w:noWrap/>
            <w:vAlign w:val="center"/>
            <w:hideMark/>
          </w:tcPr>
          <w:p w14:paraId="630F397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801" w:type="dxa"/>
            <w:tcBorders>
              <w:top w:val="nil"/>
              <w:left w:val="nil"/>
              <w:bottom w:val="nil"/>
              <w:right w:val="nil"/>
            </w:tcBorders>
            <w:shd w:val="clear" w:color="auto" w:fill="auto"/>
            <w:noWrap/>
            <w:vAlign w:val="center"/>
            <w:hideMark/>
          </w:tcPr>
          <w:p w14:paraId="5A1CE76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-0.22 </w:t>
            </w:r>
          </w:p>
        </w:tc>
        <w:tc>
          <w:tcPr>
            <w:tcW w:w="801" w:type="dxa"/>
            <w:tcBorders>
              <w:top w:val="nil"/>
              <w:left w:val="nil"/>
              <w:bottom w:val="nil"/>
              <w:right w:val="nil"/>
            </w:tcBorders>
            <w:shd w:val="clear" w:color="auto" w:fill="auto"/>
            <w:noWrap/>
            <w:vAlign w:val="center"/>
            <w:hideMark/>
          </w:tcPr>
          <w:p w14:paraId="21E6D581"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0.00 </w:t>
            </w:r>
          </w:p>
        </w:tc>
        <w:tc>
          <w:tcPr>
            <w:tcW w:w="747" w:type="dxa"/>
            <w:tcBorders>
              <w:top w:val="nil"/>
              <w:left w:val="nil"/>
              <w:bottom w:val="nil"/>
              <w:right w:val="nil"/>
            </w:tcBorders>
            <w:shd w:val="clear" w:color="auto" w:fill="auto"/>
            <w:noWrap/>
            <w:vAlign w:val="center"/>
            <w:hideMark/>
          </w:tcPr>
          <w:p w14:paraId="2F99835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801" w:type="dxa"/>
            <w:tcBorders>
              <w:top w:val="nil"/>
              <w:left w:val="nil"/>
              <w:bottom w:val="nil"/>
              <w:right w:val="nil"/>
            </w:tcBorders>
            <w:shd w:val="clear" w:color="auto" w:fill="auto"/>
            <w:noWrap/>
            <w:vAlign w:val="center"/>
            <w:hideMark/>
          </w:tcPr>
          <w:p w14:paraId="2F50736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0.00 </w:t>
            </w:r>
          </w:p>
        </w:tc>
        <w:tc>
          <w:tcPr>
            <w:tcW w:w="747" w:type="dxa"/>
            <w:tcBorders>
              <w:top w:val="nil"/>
              <w:left w:val="nil"/>
              <w:bottom w:val="nil"/>
              <w:right w:val="nil"/>
            </w:tcBorders>
            <w:shd w:val="clear" w:color="auto" w:fill="auto"/>
            <w:noWrap/>
            <w:vAlign w:val="center"/>
            <w:hideMark/>
          </w:tcPr>
          <w:p w14:paraId="3C68053E"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-0.33 </w:t>
            </w:r>
          </w:p>
        </w:tc>
        <w:tc>
          <w:tcPr>
            <w:tcW w:w="634" w:type="dxa"/>
            <w:tcBorders>
              <w:top w:val="nil"/>
              <w:left w:val="nil"/>
              <w:bottom w:val="nil"/>
              <w:right w:val="nil"/>
            </w:tcBorders>
            <w:shd w:val="clear" w:color="auto" w:fill="auto"/>
            <w:noWrap/>
            <w:vAlign w:val="center"/>
            <w:hideMark/>
          </w:tcPr>
          <w:p w14:paraId="7D9DF8A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747" w:type="dxa"/>
            <w:tcBorders>
              <w:top w:val="nil"/>
              <w:left w:val="nil"/>
              <w:bottom w:val="nil"/>
              <w:right w:val="nil"/>
            </w:tcBorders>
            <w:shd w:val="clear" w:color="auto" w:fill="auto"/>
            <w:noWrap/>
            <w:vAlign w:val="center"/>
            <w:hideMark/>
          </w:tcPr>
          <w:p w14:paraId="30593CC5" w14:textId="77777777" w:rsidR="00D91E8B" w:rsidRPr="00D91E8B" w:rsidRDefault="00D91E8B" w:rsidP="00D91E8B">
            <w:pPr>
              <w:spacing w:after="0" w:line="240" w:lineRule="auto"/>
              <w:jc w:val="center"/>
              <w:rPr>
                <w:rFonts w:eastAsia="Times New Roman"/>
                <w:sz w:val="22"/>
                <w:szCs w:val="22"/>
              </w:rPr>
            </w:pPr>
          </w:p>
        </w:tc>
        <w:tc>
          <w:tcPr>
            <w:tcW w:w="634" w:type="dxa"/>
            <w:tcBorders>
              <w:top w:val="nil"/>
              <w:left w:val="nil"/>
              <w:bottom w:val="nil"/>
              <w:right w:val="nil"/>
            </w:tcBorders>
            <w:shd w:val="clear" w:color="auto" w:fill="auto"/>
            <w:noWrap/>
            <w:vAlign w:val="center"/>
            <w:hideMark/>
          </w:tcPr>
          <w:p w14:paraId="6A7D0F3B" w14:textId="77777777" w:rsidR="00D91E8B" w:rsidRPr="00D91E8B" w:rsidRDefault="00D91E8B" w:rsidP="00D91E8B">
            <w:pPr>
              <w:spacing w:after="0" w:line="240" w:lineRule="auto"/>
              <w:jc w:val="center"/>
              <w:rPr>
                <w:rFonts w:eastAsia="Times New Roman"/>
                <w:sz w:val="20"/>
                <w:szCs w:val="20"/>
              </w:rPr>
            </w:pPr>
          </w:p>
        </w:tc>
      </w:tr>
      <w:tr w:rsidR="00D91E8B" w:rsidRPr="00D91E8B" w14:paraId="7CBF0580"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4E53E2A4"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13</w:t>
            </w:r>
          </w:p>
        </w:tc>
        <w:tc>
          <w:tcPr>
            <w:tcW w:w="2768" w:type="dxa"/>
            <w:tcBorders>
              <w:top w:val="nil"/>
              <w:left w:val="nil"/>
              <w:bottom w:val="nil"/>
              <w:right w:val="nil"/>
            </w:tcBorders>
            <w:shd w:val="clear" w:color="auto" w:fill="auto"/>
            <w:vAlign w:val="center"/>
            <w:hideMark/>
          </w:tcPr>
          <w:p w14:paraId="032A8865"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King-Prince differences</w:t>
            </w:r>
          </w:p>
        </w:tc>
        <w:tc>
          <w:tcPr>
            <w:tcW w:w="747" w:type="dxa"/>
            <w:tcBorders>
              <w:top w:val="nil"/>
              <w:left w:val="nil"/>
              <w:bottom w:val="nil"/>
              <w:right w:val="nil"/>
            </w:tcBorders>
            <w:shd w:val="clear" w:color="auto" w:fill="auto"/>
            <w:noWrap/>
            <w:vAlign w:val="center"/>
            <w:hideMark/>
          </w:tcPr>
          <w:p w14:paraId="11BF43DD"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-0.04 </w:t>
            </w:r>
          </w:p>
        </w:tc>
        <w:tc>
          <w:tcPr>
            <w:tcW w:w="747" w:type="dxa"/>
            <w:tcBorders>
              <w:top w:val="nil"/>
              <w:left w:val="nil"/>
              <w:bottom w:val="nil"/>
              <w:right w:val="nil"/>
            </w:tcBorders>
            <w:shd w:val="clear" w:color="auto" w:fill="auto"/>
            <w:noWrap/>
            <w:vAlign w:val="center"/>
            <w:hideMark/>
          </w:tcPr>
          <w:p w14:paraId="719B3F7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-0.29 </w:t>
            </w:r>
          </w:p>
        </w:tc>
        <w:tc>
          <w:tcPr>
            <w:tcW w:w="801" w:type="dxa"/>
            <w:tcBorders>
              <w:top w:val="nil"/>
              <w:left w:val="nil"/>
              <w:bottom w:val="nil"/>
              <w:right w:val="nil"/>
            </w:tcBorders>
            <w:shd w:val="clear" w:color="auto" w:fill="auto"/>
            <w:noWrap/>
            <w:vAlign w:val="center"/>
            <w:hideMark/>
          </w:tcPr>
          <w:p w14:paraId="6BDEA25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0.22 </w:t>
            </w:r>
          </w:p>
        </w:tc>
        <w:tc>
          <w:tcPr>
            <w:tcW w:w="801" w:type="dxa"/>
            <w:tcBorders>
              <w:top w:val="nil"/>
              <w:left w:val="nil"/>
              <w:bottom w:val="nil"/>
              <w:right w:val="nil"/>
            </w:tcBorders>
            <w:shd w:val="clear" w:color="auto" w:fill="auto"/>
            <w:noWrap/>
            <w:vAlign w:val="center"/>
            <w:hideMark/>
          </w:tcPr>
          <w:p w14:paraId="57065225"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0.04 </w:t>
            </w:r>
          </w:p>
        </w:tc>
        <w:tc>
          <w:tcPr>
            <w:tcW w:w="801" w:type="dxa"/>
            <w:tcBorders>
              <w:top w:val="nil"/>
              <w:left w:val="nil"/>
              <w:bottom w:val="nil"/>
              <w:right w:val="nil"/>
            </w:tcBorders>
            <w:shd w:val="clear" w:color="auto" w:fill="auto"/>
            <w:noWrap/>
            <w:vAlign w:val="center"/>
            <w:hideMark/>
          </w:tcPr>
          <w:p w14:paraId="288A495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-0.07 </w:t>
            </w:r>
          </w:p>
        </w:tc>
        <w:tc>
          <w:tcPr>
            <w:tcW w:w="801" w:type="dxa"/>
            <w:tcBorders>
              <w:top w:val="nil"/>
              <w:left w:val="nil"/>
              <w:bottom w:val="nil"/>
              <w:right w:val="nil"/>
            </w:tcBorders>
            <w:shd w:val="clear" w:color="auto" w:fill="auto"/>
            <w:noWrap/>
            <w:vAlign w:val="center"/>
            <w:hideMark/>
          </w:tcPr>
          <w:p w14:paraId="5C2D01D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-0.19 </w:t>
            </w:r>
          </w:p>
        </w:tc>
        <w:tc>
          <w:tcPr>
            <w:tcW w:w="801" w:type="dxa"/>
            <w:tcBorders>
              <w:top w:val="nil"/>
              <w:left w:val="nil"/>
              <w:bottom w:val="nil"/>
              <w:right w:val="nil"/>
            </w:tcBorders>
            <w:shd w:val="clear" w:color="auto" w:fill="auto"/>
            <w:noWrap/>
            <w:vAlign w:val="center"/>
            <w:hideMark/>
          </w:tcPr>
          <w:p w14:paraId="45ABC65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0.29 </w:t>
            </w:r>
          </w:p>
        </w:tc>
        <w:tc>
          <w:tcPr>
            <w:tcW w:w="801" w:type="dxa"/>
            <w:tcBorders>
              <w:top w:val="nil"/>
              <w:left w:val="nil"/>
              <w:bottom w:val="nil"/>
              <w:right w:val="nil"/>
            </w:tcBorders>
            <w:shd w:val="clear" w:color="auto" w:fill="auto"/>
            <w:noWrap/>
            <w:vAlign w:val="center"/>
            <w:hideMark/>
          </w:tcPr>
          <w:p w14:paraId="69E56E91"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0.00 </w:t>
            </w:r>
          </w:p>
        </w:tc>
        <w:tc>
          <w:tcPr>
            <w:tcW w:w="747" w:type="dxa"/>
            <w:tcBorders>
              <w:top w:val="nil"/>
              <w:left w:val="nil"/>
              <w:bottom w:val="nil"/>
              <w:right w:val="nil"/>
            </w:tcBorders>
            <w:shd w:val="clear" w:color="auto" w:fill="auto"/>
            <w:noWrap/>
            <w:vAlign w:val="center"/>
            <w:hideMark/>
          </w:tcPr>
          <w:p w14:paraId="21CFA4E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801" w:type="dxa"/>
            <w:tcBorders>
              <w:top w:val="nil"/>
              <w:left w:val="nil"/>
              <w:bottom w:val="nil"/>
              <w:right w:val="nil"/>
            </w:tcBorders>
            <w:shd w:val="clear" w:color="auto" w:fill="auto"/>
            <w:noWrap/>
            <w:vAlign w:val="center"/>
            <w:hideMark/>
          </w:tcPr>
          <w:p w14:paraId="35F58E1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0.00 </w:t>
            </w:r>
          </w:p>
        </w:tc>
        <w:tc>
          <w:tcPr>
            <w:tcW w:w="747" w:type="dxa"/>
            <w:tcBorders>
              <w:top w:val="nil"/>
              <w:left w:val="nil"/>
              <w:bottom w:val="nil"/>
              <w:right w:val="nil"/>
            </w:tcBorders>
            <w:shd w:val="clear" w:color="auto" w:fill="auto"/>
            <w:noWrap/>
            <w:vAlign w:val="center"/>
            <w:hideMark/>
          </w:tcPr>
          <w:p w14:paraId="28595C0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0.11 </w:t>
            </w:r>
          </w:p>
        </w:tc>
        <w:tc>
          <w:tcPr>
            <w:tcW w:w="634" w:type="dxa"/>
            <w:tcBorders>
              <w:top w:val="nil"/>
              <w:left w:val="nil"/>
              <w:bottom w:val="nil"/>
              <w:right w:val="nil"/>
            </w:tcBorders>
            <w:shd w:val="clear" w:color="auto" w:fill="auto"/>
            <w:noWrap/>
            <w:vAlign w:val="center"/>
            <w:hideMark/>
          </w:tcPr>
          <w:p w14:paraId="072C578E"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0.02 </w:t>
            </w:r>
          </w:p>
        </w:tc>
        <w:tc>
          <w:tcPr>
            <w:tcW w:w="747" w:type="dxa"/>
            <w:tcBorders>
              <w:top w:val="nil"/>
              <w:left w:val="nil"/>
              <w:bottom w:val="nil"/>
              <w:right w:val="nil"/>
            </w:tcBorders>
            <w:shd w:val="clear" w:color="auto" w:fill="auto"/>
            <w:noWrap/>
            <w:vAlign w:val="center"/>
            <w:hideMark/>
          </w:tcPr>
          <w:p w14:paraId="4B27A25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c>
          <w:tcPr>
            <w:tcW w:w="634" w:type="dxa"/>
            <w:tcBorders>
              <w:top w:val="nil"/>
              <w:left w:val="nil"/>
              <w:bottom w:val="nil"/>
              <w:right w:val="nil"/>
            </w:tcBorders>
            <w:shd w:val="clear" w:color="auto" w:fill="auto"/>
            <w:noWrap/>
            <w:vAlign w:val="center"/>
            <w:hideMark/>
          </w:tcPr>
          <w:p w14:paraId="4A8C2046" w14:textId="77777777" w:rsidR="00D91E8B" w:rsidRPr="00D91E8B" w:rsidRDefault="00D91E8B" w:rsidP="00D91E8B">
            <w:pPr>
              <w:spacing w:after="0" w:line="240" w:lineRule="auto"/>
              <w:jc w:val="center"/>
              <w:rPr>
                <w:rFonts w:eastAsia="Times New Roman"/>
                <w:sz w:val="22"/>
                <w:szCs w:val="22"/>
              </w:rPr>
            </w:pPr>
          </w:p>
        </w:tc>
      </w:tr>
      <w:tr w:rsidR="00D91E8B" w:rsidRPr="00D91E8B" w14:paraId="033AD170"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47430B2B"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14</w:t>
            </w:r>
          </w:p>
        </w:tc>
        <w:tc>
          <w:tcPr>
            <w:tcW w:w="2768" w:type="dxa"/>
            <w:tcBorders>
              <w:top w:val="nil"/>
              <w:left w:val="nil"/>
              <w:bottom w:val="nil"/>
              <w:right w:val="nil"/>
            </w:tcBorders>
            <w:shd w:val="clear" w:color="auto" w:fill="auto"/>
            <w:vAlign w:val="center"/>
            <w:hideMark/>
          </w:tcPr>
          <w:p w14:paraId="72103A46"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Succession</w:t>
            </w:r>
          </w:p>
        </w:tc>
        <w:tc>
          <w:tcPr>
            <w:tcW w:w="747" w:type="dxa"/>
            <w:tcBorders>
              <w:top w:val="nil"/>
              <w:left w:val="nil"/>
              <w:bottom w:val="nil"/>
              <w:right w:val="nil"/>
            </w:tcBorders>
            <w:shd w:val="clear" w:color="auto" w:fill="auto"/>
            <w:noWrap/>
            <w:vAlign w:val="center"/>
            <w:hideMark/>
          </w:tcPr>
          <w:p w14:paraId="73987E7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747" w:type="dxa"/>
            <w:tcBorders>
              <w:top w:val="nil"/>
              <w:left w:val="nil"/>
              <w:bottom w:val="nil"/>
              <w:right w:val="nil"/>
            </w:tcBorders>
            <w:shd w:val="clear" w:color="auto" w:fill="auto"/>
            <w:noWrap/>
            <w:vAlign w:val="center"/>
            <w:hideMark/>
          </w:tcPr>
          <w:p w14:paraId="3C38C94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-0.02 </w:t>
            </w:r>
          </w:p>
        </w:tc>
        <w:tc>
          <w:tcPr>
            <w:tcW w:w="801" w:type="dxa"/>
            <w:tcBorders>
              <w:top w:val="nil"/>
              <w:left w:val="nil"/>
              <w:bottom w:val="nil"/>
              <w:right w:val="nil"/>
            </w:tcBorders>
            <w:shd w:val="clear" w:color="auto" w:fill="auto"/>
            <w:noWrap/>
            <w:vAlign w:val="center"/>
            <w:hideMark/>
          </w:tcPr>
          <w:p w14:paraId="698EF3EC"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0.05 </w:t>
            </w:r>
          </w:p>
        </w:tc>
        <w:tc>
          <w:tcPr>
            <w:tcW w:w="801" w:type="dxa"/>
            <w:tcBorders>
              <w:top w:val="nil"/>
              <w:left w:val="nil"/>
              <w:bottom w:val="nil"/>
              <w:right w:val="nil"/>
            </w:tcBorders>
            <w:shd w:val="clear" w:color="auto" w:fill="auto"/>
            <w:noWrap/>
            <w:vAlign w:val="center"/>
            <w:hideMark/>
          </w:tcPr>
          <w:p w14:paraId="2C308EFC"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-0.06 </w:t>
            </w:r>
          </w:p>
        </w:tc>
        <w:tc>
          <w:tcPr>
            <w:tcW w:w="801" w:type="dxa"/>
            <w:tcBorders>
              <w:top w:val="nil"/>
              <w:left w:val="nil"/>
              <w:bottom w:val="nil"/>
              <w:right w:val="nil"/>
            </w:tcBorders>
            <w:shd w:val="clear" w:color="auto" w:fill="auto"/>
            <w:noWrap/>
            <w:vAlign w:val="center"/>
            <w:hideMark/>
          </w:tcPr>
          <w:p w14:paraId="5DEA22C0"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801" w:type="dxa"/>
            <w:tcBorders>
              <w:top w:val="nil"/>
              <w:left w:val="nil"/>
              <w:bottom w:val="nil"/>
              <w:right w:val="nil"/>
            </w:tcBorders>
            <w:shd w:val="clear" w:color="auto" w:fill="auto"/>
            <w:noWrap/>
            <w:vAlign w:val="center"/>
            <w:hideMark/>
          </w:tcPr>
          <w:p w14:paraId="7A440B5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0.00 </w:t>
            </w:r>
          </w:p>
        </w:tc>
        <w:tc>
          <w:tcPr>
            <w:tcW w:w="801" w:type="dxa"/>
            <w:tcBorders>
              <w:top w:val="nil"/>
              <w:left w:val="nil"/>
              <w:bottom w:val="nil"/>
              <w:right w:val="nil"/>
            </w:tcBorders>
            <w:shd w:val="clear" w:color="auto" w:fill="auto"/>
            <w:noWrap/>
            <w:vAlign w:val="center"/>
            <w:hideMark/>
          </w:tcPr>
          <w:p w14:paraId="1F7428E1"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0.00 </w:t>
            </w:r>
          </w:p>
        </w:tc>
        <w:tc>
          <w:tcPr>
            <w:tcW w:w="801" w:type="dxa"/>
            <w:tcBorders>
              <w:top w:val="nil"/>
              <w:left w:val="nil"/>
              <w:bottom w:val="nil"/>
              <w:right w:val="nil"/>
            </w:tcBorders>
            <w:shd w:val="clear" w:color="auto" w:fill="auto"/>
            <w:noWrap/>
            <w:vAlign w:val="center"/>
            <w:hideMark/>
          </w:tcPr>
          <w:p w14:paraId="4651079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747" w:type="dxa"/>
            <w:tcBorders>
              <w:top w:val="nil"/>
              <w:left w:val="nil"/>
              <w:bottom w:val="nil"/>
              <w:right w:val="nil"/>
            </w:tcBorders>
            <w:shd w:val="clear" w:color="auto" w:fill="auto"/>
            <w:noWrap/>
            <w:vAlign w:val="center"/>
            <w:hideMark/>
          </w:tcPr>
          <w:p w14:paraId="2D9D337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0.03 </w:t>
            </w:r>
          </w:p>
        </w:tc>
        <w:tc>
          <w:tcPr>
            <w:tcW w:w="801" w:type="dxa"/>
            <w:tcBorders>
              <w:top w:val="nil"/>
              <w:left w:val="nil"/>
              <w:bottom w:val="nil"/>
              <w:right w:val="nil"/>
            </w:tcBorders>
            <w:shd w:val="clear" w:color="auto" w:fill="auto"/>
            <w:noWrap/>
            <w:vAlign w:val="center"/>
            <w:hideMark/>
          </w:tcPr>
          <w:p w14:paraId="02CCA05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747" w:type="dxa"/>
            <w:tcBorders>
              <w:top w:val="nil"/>
              <w:left w:val="nil"/>
              <w:bottom w:val="nil"/>
              <w:right w:val="nil"/>
            </w:tcBorders>
            <w:shd w:val="clear" w:color="auto" w:fill="auto"/>
            <w:noWrap/>
            <w:vAlign w:val="center"/>
            <w:hideMark/>
          </w:tcPr>
          <w:p w14:paraId="7F2F2AD3"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634" w:type="dxa"/>
            <w:tcBorders>
              <w:top w:val="nil"/>
              <w:left w:val="nil"/>
              <w:bottom w:val="nil"/>
              <w:right w:val="nil"/>
            </w:tcBorders>
            <w:shd w:val="clear" w:color="auto" w:fill="auto"/>
            <w:noWrap/>
            <w:vAlign w:val="center"/>
            <w:hideMark/>
          </w:tcPr>
          <w:p w14:paraId="4F8AD3F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0.02 </w:t>
            </w:r>
          </w:p>
        </w:tc>
        <w:tc>
          <w:tcPr>
            <w:tcW w:w="747" w:type="dxa"/>
            <w:tcBorders>
              <w:top w:val="nil"/>
              <w:left w:val="nil"/>
              <w:bottom w:val="nil"/>
              <w:right w:val="nil"/>
            </w:tcBorders>
            <w:shd w:val="clear" w:color="auto" w:fill="auto"/>
            <w:noWrap/>
            <w:vAlign w:val="center"/>
            <w:hideMark/>
          </w:tcPr>
          <w:p w14:paraId="1BF2B07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-0.05 </w:t>
            </w:r>
          </w:p>
        </w:tc>
        <w:tc>
          <w:tcPr>
            <w:tcW w:w="634" w:type="dxa"/>
            <w:tcBorders>
              <w:top w:val="nil"/>
              <w:left w:val="nil"/>
              <w:bottom w:val="nil"/>
              <w:right w:val="nil"/>
            </w:tcBorders>
            <w:shd w:val="clear" w:color="auto" w:fill="auto"/>
            <w:noWrap/>
            <w:vAlign w:val="center"/>
            <w:hideMark/>
          </w:tcPr>
          <w:p w14:paraId="48691AED"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 </w:t>
            </w:r>
          </w:p>
        </w:tc>
      </w:tr>
      <w:tr w:rsidR="00D91E8B" w:rsidRPr="00D91E8B" w14:paraId="0E8AA960" w14:textId="77777777" w:rsidTr="00D91E8B">
        <w:trPr>
          <w:trHeight w:val="278"/>
          <w:jc w:val="center"/>
        </w:trPr>
        <w:tc>
          <w:tcPr>
            <w:tcW w:w="382" w:type="dxa"/>
            <w:tcBorders>
              <w:top w:val="single" w:sz="4" w:space="0" w:color="auto"/>
              <w:left w:val="nil"/>
              <w:bottom w:val="nil"/>
              <w:right w:val="nil"/>
            </w:tcBorders>
            <w:shd w:val="clear" w:color="auto" w:fill="auto"/>
            <w:noWrap/>
            <w:vAlign w:val="center"/>
            <w:hideMark/>
          </w:tcPr>
          <w:p w14:paraId="02817947"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 </w:t>
            </w:r>
          </w:p>
        </w:tc>
        <w:tc>
          <w:tcPr>
            <w:tcW w:w="2768" w:type="dxa"/>
            <w:tcBorders>
              <w:top w:val="single" w:sz="4" w:space="0" w:color="auto"/>
              <w:left w:val="nil"/>
              <w:bottom w:val="nil"/>
              <w:right w:val="nil"/>
            </w:tcBorders>
            <w:shd w:val="clear" w:color="auto" w:fill="auto"/>
            <w:vAlign w:val="center"/>
            <w:hideMark/>
          </w:tcPr>
          <w:p w14:paraId="3C164621"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Mean</w:t>
            </w:r>
          </w:p>
        </w:tc>
        <w:tc>
          <w:tcPr>
            <w:tcW w:w="747" w:type="dxa"/>
            <w:tcBorders>
              <w:top w:val="single" w:sz="4" w:space="0" w:color="auto"/>
              <w:left w:val="nil"/>
              <w:bottom w:val="nil"/>
              <w:right w:val="nil"/>
            </w:tcBorders>
            <w:shd w:val="clear" w:color="auto" w:fill="auto"/>
            <w:noWrap/>
            <w:vAlign w:val="center"/>
            <w:hideMark/>
          </w:tcPr>
          <w:p w14:paraId="3D8D265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0.01 </w:t>
            </w:r>
          </w:p>
        </w:tc>
        <w:tc>
          <w:tcPr>
            <w:tcW w:w="747" w:type="dxa"/>
            <w:tcBorders>
              <w:top w:val="single" w:sz="4" w:space="0" w:color="auto"/>
              <w:left w:val="nil"/>
              <w:bottom w:val="nil"/>
              <w:right w:val="nil"/>
            </w:tcBorders>
            <w:shd w:val="clear" w:color="auto" w:fill="auto"/>
            <w:noWrap/>
            <w:vAlign w:val="center"/>
            <w:hideMark/>
          </w:tcPr>
          <w:p w14:paraId="6B04BF4E"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0.18 </w:t>
            </w:r>
          </w:p>
        </w:tc>
        <w:tc>
          <w:tcPr>
            <w:tcW w:w="801" w:type="dxa"/>
            <w:tcBorders>
              <w:top w:val="single" w:sz="4" w:space="0" w:color="auto"/>
              <w:left w:val="nil"/>
              <w:bottom w:val="nil"/>
              <w:right w:val="nil"/>
            </w:tcBorders>
            <w:shd w:val="clear" w:color="auto" w:fill="auto"/>
            <w:noWrap/>
            <w:vAlign w:val="center"/>
            <w:hideMark/>
          </w:tcPr>
          <w:p w14:paraId="302BFC2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14.35 </w:t>
            </w:r>
          </w:p>
        </w:tc>
        <w:tc>
          <w:tcPr>
            <w:tcW w:w="801" w:type="dxa"/>
            <w:tcBorders>
              <w:top w:val="single" w:sz="4" w:space="0" w:color="auto"/>
              <w:left w:val="nil"/>
              <w:bottom w:val="nil"/>
              <w:right w:val="nil"/>
            </w:tcBorders>
            <w:shd w:val="clear" w:color="auto" w:fill="auto"/>
            <w:noWrap/>
            <w:vAlign w:val="center"/>
            <w:hideMark/>
          </w:tcPr>
          <w:p w14:paraId="22758F3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4.46 </w:t>
            </w:r>
          </w:p>
        </w:tc>
        <w:tc>
          <w:tcPr>
            <w:tcW w:w="801" w:type="dxa"/>
            <w:tcBorders>
              <w:top w:val="single" w:sz="4" w:space="0" w:color="auto"/>
              <w:left w:val="nil"/>
              <w:bottom w:val="nil"/>
              <w:right w:val="nil"/>
            </w:tcBorders>
            <w:shd w:val="clear" w:color="auto" w:fill="auto"/>
            <w:noWrap/>
            <w:vAlign w:val="center"/>
            <w:hideMark/>
          </w:tcPr>
          <w:p w14:paraId="1304983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2.29 </w:t>
            </w:r>
          </w:p>
        </w:tc>
        <w:tc>
          <w:tcPr>
            <w:tcW w:w="801" w:type="dxa"/>
            <w:tcBorders>
              <w:top w:val="single" w:sz="4" w:space="0" w:color="auto"/>
              <w:left w:val="nil"/>
              <w:bottom w:val="nil"/>
              <w:right w:val="nil"/>
            </w:tcBorders>
            <w:shd w:val="clear" w:color="auto" w:fill="auto"/>
            <w:noWrap/>
            <w:vAlign w:val="center"/>
            <w:hideMark/>
          </w:tcPr>
          <w:p w14:paraId="325017ED"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30.70 </w:t>
            </w:r>
          </w:p>
        </w:tc>
        <w:tc>
          <w:tcPr>
            <w:tcW w:w="801" w:type="dxa"/>
            <w:tcBorders>
              <w:top w:val="single" w:sz="4" w:space="0" w:color="auto"/>
              <w:left w:val="nil"/>
              <w:bottom w:val="nil"/>
              <w:right w:val="nil"/>
            </w:tcBorders>
            <w:shd w:val="clear" w:color="auto" w:fill="auto"/>
            <w:noWrap/>
            <w:vAlign w:val="center"/>
            <w:hideMark/>
          </w:tcPr>
          <w:p w14:paraId="45B29D70"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4.04 </w:t>
            </w:r>
          </w:p>
        </w:tc>
        <w:tc>
          <w:tcPr>
            <w:tcW w:w="801" w:type="dxa"/>
            <w:tcBorders>
              <w:top w:val="single" w:sz="4" w:space="0" w:color="auto"/>
              <w:left w:val="nil"/>
              <w:bottom w:val="nil"/>
              <w:right w:val="nil"/>
            </w:tcBorders>
            <w:shd w:val="clear" w:color="auto" w:fill="auto"/>
            <w:noWrap/>
            <w:vAlign w:val="center"/>
            <w:hideMark/>
          </w:tcPr>
          <w:p w14:paraId="704EB05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13.05 </w:t>
            </w:r>
          </w:p>
        </w:tc>
        <w:tc>
          <w:tcPr>
            <w:tcW w:w="747" w:type="dxa"/>
            <w:tcBorders>
              <w:top w:val="single" w:sz="4" w:space="0" w:color="auto"/>
              <w:left w:val="nil"/>
              <w:bottom w:val="nil"/>
              <w:right w:val="nil"/>
            </w:tcBorders>
            <w:shd w:val="clear" w:color="auto" w:fill="auto"/>
            <w:noWrap/>
            <w:vAlign w:val="center"/>
            <w:hideMark/>
          </w:tcPr>
          <w:p w14:paraId="15CF2371"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0.02 </w:t>
            </w:r>
          </w:p>
        </w:tc>
        <w:tc>
          <w:tcPr>
            <w:tcW w:w="801" w:type="dxa"/>
            <w:tcBorders>
              <w:top w:val="single" w:sz="4" w:space="0" w:color="auto"/>
              <w:left w:val="nil"/>
              <w:bottom w:val="nil"/>
              <w:right w:val="nil"/>
            </w:tcBorders>
            <w:shd w:val="clear" w:color="auto" w:fill="auto"/>
            <w:noWrap/>
            <w:vAlign w:val="center"/>
            <w:hideMark/>
          </w:tcPr>
          <w:p w14:paraId="468F5E0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49.04 </w:t>
            </w:r>
          </w:p>
        </w:tc>
        <w:tc>
          <w:tcPr>
            <w:tcW w:w="747" w:type="dxa"/>
            <w:tcBorders>
              <w:top w:val="single" w:sz="4" w:space="0" w:color="auto"/>
              <w:left w:val="nil"/>
              <w:bottom w:val="nil"/>
              <w:right w:val="nil"/>
            </w:tcBorders>
            <w:shd w:val="clear" w:color="auto" w:fill="auto"/>
            <w:noWrap/>
            <w:vAlign w:val="center"/>
            <w:hideMark/>
          </w:tcPr>
          <w:p w14:paraId="0516D9F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0.26 </w:t>
            </w:r>
          </w:p>
        </w:tc>
        <w:tc>
          <w:tcPr>
            <w:tcW w:w="634" w:type="dxa"/>
            <w:tcBorders>
              <w:top w:val="single" w:sz="4" w:space="0" w:color="auto"/>
              <w:left w:val="nil"/>
              <w:bottom w:val="nil"/>
              <w:right w:val="nil"/>
            </w:tcBorders>
            <w:shd w:val="clear" w:color="auto" w:fill="auto"/>
            <w:noWrap/>
            <w:vAlign w:val="center"/>
            <w:hideMark/>
          </w:tcPr>
          <w:p w14:paraId="58B4544F"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0.86 </w:t>
            </w:r>
          </w:p>
        </w:tc>
        <w:tc>
          <w:tcPr>
            <w:tcW w:w="747" w:type="dxa"/>
            <w:tcBorders>
              <w:top w:val="single" w:sz="4" w:space="0" w:color="auto"/>
              <w:left w:val="nil"/>
              <w:bottom w:val="nil"/>
              <w:right w:val="nil"/>
            </w:tcBorders>
            <w:shd w:val="clear" w:color="auto" w:fill="auto"/>
            <w:noWrap/>
            <w:vAlign w:val="center"/>
            <w:hideMark/>
          </w:tcPr>
          <w:p w14:paraId="19133F68"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0.52 </w:t>
            </w:r>
          </w:p>
        </w:tc>
        <w:tc>
          <w:tcPr>
            <w:tcW w:w="634" w:type="dxa"/>
            <w:tcBorders>
              <w:top w:val="single" w:sz="4" w:space="0" w:color="auto"/>
              <w:left w:val="nil"/>
              <w:bottom w:val="nil"/>
              <w:right w:val="nil"/>
            </w:tcBorders>
            <w:shd w:val="clear" w:color="auto" w:fill="auto"/>
            <w:noWrap/>
            <w:vAlign w:val="center"/>
            <w:hideMark/>
          </w:tcPr>
          <w:p w14:paraId="1274310E"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0.05 </w:t>
            </w:r>
          </w:p>
        </w:tc>
      </w:tr>
      <w:tr w:rsidR="00D91E8B" w:rsidRPr="00D91E8B" w14:paraId="20EB9606"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78907FB2" w14:textId="77777777" w:rsidR="00D91E8B" w:rsidRPr="00D91E8B" w:rsidRDefault="00D91E8B" w:rsidP="00D91E8B">
            <w:pPr>
              <w:spacing w:after="0" w:line="240" w:lineRule="auto"/>
              <w:jc w:val="center"/>
              <w:rPr>
                <w:rFonts w:eastAsia="Times New Roman"/>
                <w:sz w:val="22"/>
                <w:szCs w:val="22"/>
              </w:rPr>
            </w:pPr>
          </w:p>
        </w:tc>
        <w:tc>
          <w:tcPr>
            <w:tcW w:w="2768" w:type="dxa"/>
            <w:tcBorders>
              <w:top w:val="nil"/>
              <w:left w:val="nil"/>
              <w:bottom w:val="nil"/>
              <w:right w:val="nil"/>
            </w:tcBorders>
            <w:shd w:val="clear" w:color="auto" w:fill="auto"/>
            <w:vAlign w:val="center"/>
            <w:hideMark/>
          </w:tcPr>
          <w:p w14:paraId="5A7FB5DD"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S.D.</w:t>
            </w:r>
          </w:p>
        </w:tc>
        <w:tc>
          <w:tcPr>
            <w:tcW w:w="747" w:type="dxa"/>
            <w:tcBorders>
              <w:top w:val="nil"/>
              <w:left w:val="nil"/>
              <w:bottom w:val="nil"/>
              <w:right w:val="nil"/>
            </w:tcBorders>
            <w:shd w:val="clear" w:color="auto" w:fill="auto"/>
            <w:noWrap/>
            <w:vAlign w:val="center"/>
            <w:hideMark/>
          </w:tcPr>
          <w:p w14:paraId="7070D63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0.11 </w:t>
            </w:r>
          </w:p>
        </w:tc>
        <w:tc>
          <w:tcPr>
            <w:tcW w:w="747" w:type="dxa"/>
            <w:tcBorders>
              <w:top w:val="nil"/>
              <w:left w:val="nil"/>
              <w:bottom w:val="nil"/>
              <w:right w:val="nil"/>
            </w:tcBorders>
            <w:shd w:val="clear" w:color="auto" w:fill="auto"/>
            <w:noWrap/>
            <w:vAlign w:val="center"/>
            <w:hideMark/>
          </w:tcPr>
          <w:p w14:paraId="33D6201F"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0.31 </w:t>
            </w:r>
          </w:p>
        </w:tc>
        <w:tc>
          <w:tcPr>
            <w:tcW w:w="801" w:type="dxa"/>
            <w:tcBorders>
              <w:top w:val="nil"/>
              <w:left w:val="nil"/>
              <w:bottom w:val="nil"/>
              <w:right w:val="nil"/>
            </w:tcBorders>
            <w:shd w:val="clear" w:color="auto" w:fill="auto"/>
            <w:noWrap/>
            <w:vAlign w:val="center"/>
            <w:hideMark/>
          </w:tcPr>
          <w:p w14:paraId="389B04B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18.52 </w:t>
            </w:r>
          </w:p>
        </w:tc>
        <w:tc>
          <w:tcPr>
            <w:tcW w:w="801" w:type="dxa"/>
            <w:tcBorders>
              <w:top w:val="nil"/>
              <w:left w:val="nil"/>
              <w:bottom w:val="nil"/>
              <w:right w:val="nil"/>
            </w:tcBorders>
            <w:shd w:val="clear" w:color="auto" w:fill="auto"/>
            <w:noWrap/>
            <w:vAlign w:val="center"/>
            <w:hideMark/>
          </w:tcPr>
          <w:p w14:paraId="2E1127A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5.36 </w:t>
            </w:r>
          </w:p>
        </w:tc>
        <w:tc>
          <w:tcPr>
            <w:tcW w:w="801" w:type="dxa"/>
            <w:tcBorders>
              <w:top w:val="nil"/>
              <w:left w:val="nil"/>
              <w:bottom w:val="nil"/>
              <w:right w:val="nil"/>
            </w:tcBorders>
            <w:shd w:val="clear" w:color="auto" w:fill="auto"/>
            <w:noWrap/>
            <w:vAlign w:val="center"/>
            <w:hideMark/>
          </w:tcPr>
          <w:p w14:paraId="632A90C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3.70 </w:t>
            </w:r>
          </w:p>
        </w:tc>
        <w:tc>
          <w:tcPr>
            <w:tcW w:w="801" w:type="dxa"/>
            <w:tcBorders>
              <w:top w:val="nil"/>
              <w:left w:val="nil"/>
              <w:bottom w:val="nil"/>
              <w:right w:val="nil"/>
            </w:tcBorders>
            <w:shd w:val="clear" w:color="auto" w:fill="auto"/>
            <w:noWrap/>
            <w:vAlign w:val="center"/>
            <w:hideMark/>
          </w:tcPr>
          <w:p w14:paraId="7300DFB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11.30 </w:t>
            </w:r>
          </w:p>
        </w:tc>
        <w:tc>
          <w:tcPr>
            <w:tcW w:w="801" w:type="dxa"/>
            <w:tcBorders>
              <w:top w:val="nil"/>
              <w:left w:val="nil"/>
              <w:bottom w:val="nil"/>
              <w:right w:val="nil"/>
            </w:tcBorders>
            <w:shd w:val="clear" w:color="auto" w:fill="auto"/>
            <w:noWrap/>
            <w:vAlign w:val="center"/>
            <w:hideMark/>
          </w:tcPr>
          <w:p w14:paraId="0394070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5.99 </w:t>
            </w:r>
          </w:p>
        </w:tc>
        <w:tc>
          <w:tcPr>
            <w:tcW w:w="801" w:type="dxa"/>
            <w:tcBorders>
              <w:top w:val="nil"/>
              <w:left w:val="nil"/>
              <w:bottom w:val="nil"/>
              <w:right w:val="nil"/>
            </w:tcBorders>
            <w:shd w:val="clear" w:color="auto" w:fill="auto"/>
            <w:noWrap/>
            <w:vAlign w:val="center"/>
            <w:hideMark/>
          </w:tcPr>
          <w:p w14:paraId="60DED915"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1.79 </w:t>
            </w:r>
          </w:p>
        </w:tc>
        <w:tc>
          <w:tcPr>
            <w:tcW w:w="747" w:type="dxa"/>
            <w:tcBorders>
              <w:top w:val="nil"/>
              <w:left w:val="nil"/>
              <w:bottom w:val="nil"/>
              <w:right w:val="nil"/>
            </w:tcBorders>
            <w:shd w:val="clear" w:color="auto" w:fill="auto"/>
            <w:noWrap/>
            <w:vAlign w:val="center"/>
            <w:hideMark/>
          </w:tcPr>
          <w:p w14:paraId="603ADB4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0.04 </w:t>
            </w:r>
          </w:p>
        </w:tc>
        <w:tc>
          <w:tcPr>
            <w:tcW w:w="801" w:type="dxa"/>
            <w:tcBorders>
              <w:top w:val="nil"/>
              <w:left w:val="nil"/>
              <w:bottom w:val="nil"/>
              <w:right w:val="nil"/>
            </w:tcBorders>
            <w:shd w:val="clear" w:color="auto" w:fill="auto"/>
            <w:noWrap/>
            <w:vAlign w:val="center"/>
            <w:hideMark/>
          </w:tcPr>
          <w:p w14:paraId="4CFB657F"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87.38 </w:t>
            </w:r>
          </w:p>
        </w:tc>
        <w:tc>
          <w:tcPr>
            <w:tcW w:w="747" w:type="dxa"/>
            <w:tcBorders>
              <w:top w:val="nil"/>
              <w:left w:val="nil"/>
              <w:bottom w:val="nil"/>
              <w:right w:val="nil"/>
            </w:tcBorders>
            <w:shd w:val="clear" w:color="auto" w:fill="auto"/>
            <w:noWrap/>
            <w:vAlign w:val="center"/>
            <w:hideMark/>
          </w:tcPr>
          <w:p w14:paraId="63719B2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0.78 </w:t>
            </w:r>
          </w:p>
        </w:tc>
        <w:tc>
          <w:tcPr>
            <w:tcW w:w="634" w:type="dxa"/>
            <w:tcBorders>
              <w:top w:val="nil"/>
              <w:left w:val="nil"/>
              <w:bottom w:val="nil"/>
              <w:right w:val="nil"/>
            </w:tcBorders>
            <w:shd w:val="clear" w:color="auto" w:fill="auto"/>
            <w:noWrap/>
            <w:vAlign w:val="center"/>
            <w:hideMark/>
          </w:tcPr>
          <w:p w14:paraId="1859A46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0.35 </w:t>
            </w:r>
          </w:p>
        </w:tc>
        <w:tc>
          <w:tcPr>
            <w:tcW w:w="747" w:type="dxa"/>
            <w:tcBorders>
              <w:top w:val="nil"/>
              <w:left w:val="nil"/>
              <w:bottom w:val="nil"/>
              <w:right w:val="nil"/>
            </w:tcBorders>
            <w:shd w:val="clear" w:color="auto" w:fill="auto"/>
            <w:noWrap/>
            <w:vAlign w:val="center"/>
            <w:hideMark/>
          </w:tcPr>
          <w:p w14:paraId="42049B3F"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0.23 </w:t>
            </w:r>
          </w:p>
        </w:tc>
        <w:tc>
          <w:tcPr>
            <w:tcW w:w="634" w:type="dxa"/>
            <w:tcBorders>
              <w:top w:val="nil"/>
              <w:left w:val="nil"/>
              <w:bottom w:val="nil"/>
              <w:right w:val="nil"/>
            </w:tcBorders>
            <w:shd w:val="clear" w:color="auto" w:fill="auto"/>
            <w:noWrap/>
            <w:vAlign w:val="center"/>
            <w:hideMark/>
          </w:tcPr>
          <w:p w14:paraId="45C4909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0.22 </w:t>
            </w:r>
          </w:p>
        </w:tc>
      </w:tr>
      <w:tr w:rsidR="00D91E8B" w:rsidRPr="00D91E8B" w14:paraId="0BBF7E46" w14:textId="77777777" w:rsidTr="00D91E8B">
        <w:trPr>
          <w:trHeight w:val="278"/>
          <w:jc w:val="center"/>
        </w:trPr>
        <w:tc>
          <w:tcPr>
            <w:tcW w:w="382" w:type="dxa"/>
            <w:tcBorders>
              <w:top w:val="nil"/>
              <w:left w:val="nil"/>
              <w:bottom w:val="nil"/>
              <w:right w:val="nil"/>
            </w:tcBorders>
            <w:shd w:val="clear" w:color="auto" w:fill="auto"/>
            <w:noWrap/>
            <w:vAlign w:val="center"/>
            <w:hideMark/>
          </w:tcPr>
          <w:p w14:paraId="08E71B41" w14:textId="77777777" w:rsidR="00D91E8B" w:rsidRPr="00D91E8B" w:rsidRDefault="00D91E8B" w:rsidP="00D91E8B">
            <w:pPr>
              <w:spacing w:after="0" w:line="240" w:lineRule="auto"/>
              <w:jc w:val="center"/>
              <w:rPr>
                <w:rFonts w:eastAsia="Times New Roman"/>
                <w:sz w:val="22"/>
                <w:szCs w:val="22"/>
              </w:rPr>
            </w:pPr>
          </w:p>
        </w:tc>
        <w:tc>
          <w:tcPr>
            <w:tcW w:w="2768" w:type="dxa"/>
            <w:tcBorders>
              <w:top w:val="nil"/>
              <w:left w:val="nil"/>
              <w:bottom w:val="nil"/>
              <w:right w:val="nil"/>
            </w:tcBorders>
            <w:shd w:val="clear" w:color="auto" w:fill="auto"/>
            <w:vAlign w:val="center"/>
            <w:hideMark/>
          </w:tcPr>
          <w:p w14:paraId="250D537F"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Min.</w:t>
            </w:r>
          </w:p>
        </w:tc>
        <w:tc>
          <w:tcPr>
            <w:tcW w:w="747" w:type="dxa"/>
            <w:tcBorders>
              <w:top w:val="nil"/>
              <w:left w:val="nil"/>
              <w:bottom w:val="nil"/>
              <w:right w:val="nil"/>
            </w:tcBorders>
            <w:shd w:val="clear" w:color="auto" w:fill="auto"/>
            <w:noWrap/>
            <w:vAlign w:val="center"/>
            <w:hideMark/>
          </w:tcPr>
          <w:p w14:paraId="0B49028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0</w:t>
            </w:r>
          </w:p>
        </w:tc>
        <w:tc>
          <w:tcPr>
            <w:tcW w:w="747" w:type="dxa"/>
            <w:tcBorders>
              <w:top w:val="nil"/>
              <w:left w:val="nil"/>
              <w:bottom w:val="nil"/>
              <w:right w:val="nil"/>
            </w:tcBorders>
            <w:shd w:val="clear" w:color="auto" w:fill="auto"/>
            <w:noWrap/>
            <w:vAlign w:val="center"/>
            <w:hideMark/>
          </w:tcPr>
          <w:p w14:paraId="0AF2FB9E"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-0.49 </w:t>
            </w:r>
          </w:p>
        </w:tc>
        <w:tc>
          <w:tcPr>
            <w:tcW w:w="801" w:type="dxa"/>
            <w:tcBorders>
              <w:top w:val="nil"/>
              <w:left w:val="nil"/>
              <w:bottom w:val="nil"/>
              <w:right w:val="nil"/>
            </w:tcBorders>
            <w:shd w:val="clear" w:color="auto" w:fill="auto"/>
            <w:noWrap/>
            <w:vAlign w:val="center"/>
            <w:hideMark/>
          </w:tcPr>
          <w:p w14:paraId="26AB9891"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0.46 </w:t>
            </w:r>
          </w:p>
        </w:tc>
        <w:tc>
          <w:tcPr>
            <w:tcW w:w="801" w:type="dxa"/>
            <w:tcBorders>
              <w:top w:val="nil"/>
              <w:left w:val="nil"/>
              <w:bottom w:val="nil"/>
              <w:right w:val="nil"/>
            </w:tcBorders>
            <w:shd w:val="clear" w:color="auto" w:fill="auto"/>
            <w:noWrap/>
            <w:vAlign w:val="center"/>
            <w:hideMark/>
          </w:tcPr>
          <w:p w14:paraId="2008C70C"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-8.86 </w:t>
            </w:r>
          </w:p>
        </w:tc>
        <w:tc>
          <w:tcPr>
            <w:tcW w:w="801" w:type="dxa"/>
            <w:tcBorders>
              <w:top w:val="nil"/>
              <w:left w:val="nil"/>
              <w:bottom w:val="nil"/>
              <w:right w:val="nil"/>
            </w:tcBorders>
            <w:shd w:val="clear" w:color="auto" w:fill="auto"/>
            <w:noWrap/>
            <w:vAlign w:val="center"/>
            <w:hideMark/>
          </w:tcPr>
          <w:p w14:paraId="0BC8DF1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0.00 </w:t>
            </w:r>
          </w:p>
        </w:tc>
        <w:tc>
          <w:tcPr>
            <w:tcW w:w="801" w:type="dxa"/>
            <w:tcBorders>
              <w:top w:val="nil"/>
              <w:left w:val="nil"/>
              <w:bottom w:val="nil"/>
              <w:right w:val="nil"/>
            </w:tcBorders>
            <w:shd w:val="clear" w:color="auto" w:fill="auto"/>
            <w:noWrap/>
            <w:vAlign w:val="center"/>
            <w:hideMark/>
          </w:tcPr>
          <w:p w14:paraId="3422627F"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9.65 </w:t>
            </w:r>
          </w:p>
        </w:tc>
        <w:tc>
          <w:tcPr>
            <w:tcW w:w="801" w:type="dxa"/>
            <w:tcBorders>
              <w:top w:val="nil"/>
              <w:left w:val="nil"/>
              <w:bottom w:val="nil"/>
              <w:right w:val="nil"/>
            </w:tcBorders>
            <w:shd w:val="clear" w:color="auto" w:fill="auto"/>
            <w:noWrap/>
            <w:vAlign w:val="center"/>
            <w:hideMark/>
          </w:tcPr>
          <w:p w14:paraId="26297B61"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-0.14 </w:t>
            </w:r>
          </w:p>
        </w:tc>
        <w:tc>
          <w:tcPr>
            <w:tcW w:w="801" w:type="dxa"/>
            <w:tcBorders>
              <w:top w:val="nil"/>
              <w:left w:val="nil"/>
              <w:bottom w:val="nil"/>
              <w:right w:val="nil"/>
            </w:tcBorders>
            <w:shd w:val="clear" w:color="auto" w:fill="auto"/>
            <w:noWrap/>
            <w:vAlign w:val="center"/>
            <w:hideMark/>
          </w:tcPr>
          <w:p w14:paraId="206EF88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7.92 </w:t>
            </w:r>
          </w:p>
        </w:tc>
        <w:tc>
          <w:tcPr>
            <w:tcW w:w="747" w:type="dxa"/>
            <w:tcBorders>
              <w:top w:val="nil"/>
              <w:left w:val="nil"/>
              <w:bottom w:val="nil"/>
              <w:right w:val="nil"/>
            </w:tcBorders>
            <w:shd w:val="clear" w:color="auto" w:fill="auto"/>
            <w:noWrap/>
            <w:vAlign w:val="center"/>
            <w:hideMark/>
          </w:tcPr>
          <w:p w14:paraId="5C41270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-0.62 </w:t>
            </w:r>
          </w:p>
        </w:tc>
        <w:tc>
          <w:tcPr>
            <w:tcW w:w="801" w:type="dxa"/>
            <w:tcBorders>
              <w:top w:val="nil"/>
              <w:left w:val="nil"/>
              <w:bottom w:val="nil"/>
              <w:right w:val="nil"/>
            </w:tcBorders>
            <w:shd w:val="clear" w:color="auto" w:fill="auto"/>
            <w:noWrap/>
            <w:vAlign w:val="center"/>
            <w:hideMark/>
          </w:tcPr>
          <w:p w14:paraId="4A8375DC"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w:t>
            </w:r>
          </w:p>
        </w:tc>
        <w:tc>
          <w:tcPr>
            <w:tcW w:w="747" w:type="dxa"/>
            <w:tcBorders>
              <w:top w:val="nil"/>
              <w:left w:val="nil"/>
              <w:bottom w:val="nil"/>
              <w:right w:val="nil"/>
            </w:tcBorders>
            <w:shd w:val="clear" w:color="auto" w:fill="auto"/>
            <w:noWrap/>
            <w:vAlign w:val="center"/>
            <w:hideMark/>
          </w:tcPr>
          <w:p w14:paraId="304D60D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0</w:t>
            </w:r>
          </w:p>
        </w:tc>
        <w:tc>
          <w:tcPr>
            <w:tcW w:w="634" w:type="dxa"/>
            <w:tcBorders>
              <w:top w:val="nil"/>
              <w:left w:val="nil"/>
              <w:bottom w:val="nil"/>
              <w:right w:val="nil"/>
            </w:tcBorders>
            <w:shd w:val="clear" w:color="auto" w:fill="auto"/>
            <w:noWrap/>
            <w:vAlign w:val="center"/>
            <w:hideMark/>
          </w:tcPr>
          <w:p w14:paraId="23893C33"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0</w:t>
            </w:r>
          </w:p>
        </w:tc>
        <w:tc>
          <w:tcPr>
            <w:tcW w:w="747" w:type="dxa"/>
            <w:tcBorders>
              <w:top w:val="nil"/>
              <w:left w:val="nil"/>
              <w:bottom w:val="nil"/>
              <w:right w:val="nil"/>
            </w:tcBorders>
            <w:shd w:val="clear" w:color="auto" w:fill="auto"/>
            <w:noWrap/>
            <w:vAlign w:val="center"/>
            <w:hideMark/>
          </w:tcPr>
          <w:p w14:paraId="62D7426C"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0.10</w:t>
            </w:r>
          </w:p>
        </w:tc>
        <w:tc>
          <w:tcPr>
            <w:tcW w:w="634" w:type="dxa"/>
            <w:tcBorders>
              <w:top w:val="nil"/>
              <w:left w:val="nil"/>
              <w:bottom w:val="nil"/>
              <w:right w:val="nil"/>
            </w:tcBorders>
            <w:shd w:val="clear" w:color="auto" w:fill="auto"/>
            <w:noWrap/>
            <w:vAlign w:val="center"/>
            <w:hideMark/>
          </w:tcPr>
          <w:p w14:paraId="771C178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0</w:t>
            </w:r>
          </w:p>
        </w:tc>
      </w:tr>
      <w:tr w:rsidR="00D91E8B" w:rsidRPr="00D91E8B" w14:paraId="552E5DD9" w14:textId="77777777" w:rsidTr="00D91E8B">
        <w:trPr>
          <w:trHeight w:val="278"/>
          <w:jc w:val="center"/>
        </w:trPr>
        <w:tc>
          <w:tcPr>
            <w:tcW w:w="382" w:type="dxa"/>
            <w:tcBorders>
              <w:top w:val="nil"/>
              <w:left w:val="nil"/>
              <w:bottom w:val="single" w:sz="4" w:space="0" w:color="auto"/>
              <w:right w:val="nil"/>
            </w:tcBorders>
            <w:shd w:val="clear" w:color="auto" w:fill="auto"/>
            <w:noWrap/>
            <w:vAlign w:val="center"/>
            <w:hideMark/>
          </w:tcPr>
          <w:p w14:paraId="4C5BEA04"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 </w:t>
            </w:r>
          </w:p>
        </w:tc>
        <w:tc>
          <w:tcPr>
            <w:tcW w:w="2768" w:type="dxa"/>
            <w:tcBorders>
              <w:top w:val="nil"/>
              <w:left w:val="nil"/>
              <w:bottom w:val="single" w:sz="4" w:space="0" w:color="auto"/>
              <w:right w:val="nil"/>
            </w:tcBorders>
            <w:shd w:val="clear" w:color="auto" w:fill="auto"/>
            <w:vAlign w:val="center"/>
            <w:hideMark/>
          </w:tcPr>
          <w:p w14:paraId="7D2D8A32"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Max.</w:t>
            </w:r>
          </w:p>
        </w:tc>
        <w:tc>
          <w:tcPr>
            <w:tcW w:w="747" w:type="dxa"/>
            <w:tcBorders>
              <w:top w:val="nil"/>
              <w:left w:val="nil"/>
              <w:bottom w:val="single" w:sz="4" w:space="0" w:color="auto"/>
              <w:right w:val="nil"/>
            </w:tcBorders>
            <w:shd w:val="clear" w:color="auto" w:fill="auto"/>
            <w:noWrap/>
            <w:vAlign w:val="center"/>
            <w:hideMark/>
          </w:tcPr>
          <w:p w14:paraId="571B8BD6"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w:t>
            </w:r>
          </w:p>
        </w:tc>
        <w:tc>
          <w:tcPr>
            <w:tcW w:w="747" w:type="dxa"/>
            <w:tcBorders>
              <w:top w:val="nil"/>
              <w:left w:val="nil"/>
              <w:bottom w:val="single" w:sz="4" w:space="0" w:color="auto"/>
              <w:right w:val="nil"/>
            </w:tcBorders>
            <w:shd w:val="clear" w:color="auto" w:fill="auto"/>
            <w:noWrap/>
            <w:vAlign w:val="center"/>
            <w:hideMark/>
          </w:tcPr>
          <w:p w14:paraId="56D06B54"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0.82 </w:t>
            </w:r>
          </w:p>
        </w:tc>
        <w:tc>
          <w:tcPr>
            <w:tcW w:w="801" w:type="dxa"/>
            <w:tcBorders>
              <w:top w:val="nil"/>
              <w:left w:val="nil"/>
              <w:bottom w:val="single" w:sz="4" w:space="0" w:color="auto"/>
              <w:right w:val="nil"/>
            </w:tcBorders>
            <w:shd w:val="clear" w:color="auto" w:fill="auto"/>
            <w:noWrap/>
            <w:vAlign w:val="center"/>
            <w:hideMark/>
          </w:tcPr>
          <w:p w14:paraId="14B26683"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84.66 </w:t>
            </w:r>
          </w:p>
        </w:tc>
        <w:tc>
          <w:tcPr>
            <w:tcW w:w="801" w:type="dxa"/>
            <w:tcBorders>
              <w:top w:val="nil"/>
              <w:left w:val="nil"/>
              <w:bottom w:val="single" w:sz="4" w:space="0" w:color="auto"/>
              <w:right w:val="nil"/>
            </w:tcBorders>
            <w:shd w:val="clear" w:color="auto" w:fill="auto"/>
            <w:noWrap/>
            <w:vAlign w:val="center"/>
            <w:hideMark/>
          </w:tcPr>
          <w:p w14:paraId="1B135FC5"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33.99 </w:t>
            </w:r>
          </w:p>
        </w:tc>
        <w:tc>
          <w:tcPr>
            <w:tcW w:w="801" w:type="dxa"/>
            <w:tcBorders>
              <w:top w:val="nil"/>
              <w:left w:val="nil"/>
              <w:bottom w:val="single" w:sz="4" w:space="0" w:color="auto"/>
              <w:right w:val="nil"/>
            </w:tcBorders>
            <w:shd w:val="clear" w:color="auto" w:fill="auto"/>
            <w:noWrap/>
            <w:vAlign w:val="center"/>
            <w:hideMark/>
          </w:tcPr>
          <w:p w14:paraId="514DDA8A"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21.95 </w:t>
            </w:r>
          </w:p>
        </w:tc>
        <w:tc>
          <w:tcPr>
            <w:tcW w:w="801" w:type="dxa"/>
            <w:tcBorders>
              <w:top w:val="nil"/>
              <w:left w:val="nil"/>
              <w:bottom w:val="single" w:sz="4" w:space="0" w:color="auto"/>
              <w:right w:val="nil"/>
            </w:tcBorders>
            <w:shd w:val="clear" w:color="auto" w:fill="auto"/>
            <w:noWrap/>
            <w:vAlign w:val="center"/>
            <w:hideMark/>
          </w:tcPr>
          <w:p w14:paraId="32C5AF09"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59.07 </w:t>
            </w:r>
          </w:p>
        </w:tc>
        <w:tc>
          <w:tcPr>
            <w:tcW w:w="801" w:type="dxa"/>
            <w:tcBorders>
              <w:top w:val="nil"/>
              <w:left w:val="nil"/>
              <w:bottom w:val="single" w:sz="4" w:space="0" w:color="auto"/>
              <w:right w:val="nil"/>
            </w:tcBorders>
            <w:shd w:val="clear" w:color="auto" w:fill="auto"/>
            <w:noWrap/>
            <w:vAlign w:val="center"/>
            <w:hideMark/>
          </w:tcPr>
          <w:p w14:paraId="64D8AA02"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41.58 </w:t>
            </w:r>
          </w:p>
        </w:tc>
        <w:tc>
          <w:tcPr>
            <w:tcW w:w="801" w:type="dxa"/>
            <w:tcBorders>
              <w:top w:val="nil"/>
              <w:left w:val="nil"/>
              <w:bottom w:val="single" w:sz="4" w:space="0" w:color="auto"/>
              <w:right w:val="nil"/>
            </w:tcBorders>
            <w:shd w:val="clear" w:color="auto" w:fill="auto"/>
            <w:noWrap/>
            <w:vAlign w:val="center"/>
            <w:hideMark/>
          </w:tcPr>
          <w:p w14:paraId="66FF0257"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17.60 </w:t>
            </w:r>
          </w:p>
        </w:tc>
        <w:tc>
          <w:tcPr>
            <w:tcW w:w="747" w:type="dxa"/>
            <w:tcBorders>
              <w:top w:val="nil"/>
              <w:left w:val="nil"/>
              <w:bottom w:val="single" w:sz="4" w:space="0" w:color="auto"/>
              <w:right w:val="nil"/>
            </w:tcBorders>
            <w:shd w:val="clear" w:color="auto" w:fill="auto"/>
            <w:noWrap/>
            <w:vAlign w:val="center"/>
            <w:hideMark/>
          </w:tcPr>
          <w:p w14:paraId="6009A7DC"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 xml:space="preserve">0.24 </w:t>
            </w:r>
          </w:p>
        </w:tc>
        <w:tc>
          <w:tcPr>
            <w:tcW w:w="801" w:type="dxa"/>
            <w:tcBorders>
              <w:top w:val="nil"/>
              <w:left w:val="nil"/>
              <w:bottom w:val="single" w:sz="4" w:space="0" w:color="auto"/>
              <w:right w:val="nil"/>
            </w:tcBorders>
            <w:shd w:val="clear" w:color="auto" w:fill="auto"/>
            <w:noWrap/>
            <w:vAlign w:val="center"/>
            <w:hideMark/>
          </w:tcPr>
          <w:p w14:paraId="6D797E1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721</w:t>
            </w:r>
          </w:p>
        </w:tc>
        <w:tc>
          <w:tcPr>
            <w:tcW w:w="747" w:type="dxa"/>
            <w:tcBorders>
              <w:top w:val="nil"/>
              <w:left w:val="nil"/>
              <w:bottom w:val="single" w:sz="4" w:space="0" w:color="auto"/>
              <w:right w:val="nil"/>
            </w:tcBorders>
            <w:shd w:val="clear" w:color="auto" w:fill="auto"/>
            <w:noWrap/>
            <w:vAlign w:val="center"/>
            <w:hideMark/>
          </w:tcPr>
          <w:p w14:paraId="68E7D42F"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7</w:t>
            </w:r>
          </w:p>
        </w:tc>
        <w:tc>
          <w:tcPr>
            <w:tcW w:w="634" w:type="dxa"/>
            <w:tcBorders>
              <w:top w:val="nil"/>
              <w:left w:val="nil"/>
              <w:bottom w:val="single" w:sz="4" w:space="0" w:color="auto"/>
              <w:right w:val="nil"/>
            </w:tcBorders>
            <w:shd w:val="clear" w:color="auto" w:fill="auto"/>
            <w:noWrap/>
            <w:vAlign w:val="center"/>
            <w:hideMark/>
          </w:tcPr>
          <w:p w14:paraId="20C3EB03"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w:t>
            </w:r>
          </w:p>
        </w:tc>
        <w:tc>
          <w:tcPr>
            <w:tcW w:w="747" w:type="dxa"/>
            <w:tcBorders>
              <w:top w:val="nil"/>
              <w:left w:val="nil"/>
              <w:bottom w:val="single" w:sz="4" w:space="0" w:color="auto"/>
              <w:right w:val="nil"/>
            </w:tcBorders>
            <w:shd w:val="clear" w:color="auto" w:fill="auto"/>
            <w:noWrap/>
            <w:vAlign w:val="center"/>
            <w:hideMark/>
          </w:tcPr>
          <w:p w14:paraId="171BA710"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1.56</w:t>
            </w:r>
          </w:p>
        </w:tc>
        <w:tc>
          <w:tcPr>
            <w:tcW w:w="634" w:type="dxa"/>
            <w:tcBorders>
              <w:top w:val="nil"/>
              <w:left w:val="nil"/>
              <w:bottom w:val="single" w:sz="4" w:space="0" w:color="auto"/>
              <w:right w:val="nil"/>
            </w:tcBorders>
            <w:shd w:val="clear" w:color="auto" w:fill="auto"/>
            <w:noWrap/>
            <w:vAlign w:val="center"/>
            <w:hideMark/>
          </w:tcPr>
          <w:p w14:paraId="1AE4C38B" w14:textId="77777777" w:rsidR="00D91E8B" w:rsidRPr="00D91E8B" w:rsidRDefault="00D91E8B" w:rsidP="00D91E8B">
            <w:pPr>
              <w:spacing w:after="0" w:line="240" w:lineRule="auto"/>
              <w:jc w:val="center"/>
              <w:rPr>
                <w:rFonts w:eastAsia="Times New Roman"/>
                <w:sz w:val="22"/>
                <w:szCs w:val="22"/>
              </w:rPr>
            </w:pPr>
            <w:r w:rsidRPr="00D91E8B">
              <w:rPr>
                <w:rFonts w:eastAsia="Times New Roman"/>
                <w:sz w:val="22"/>
                <w:szCs w:val="22"/>
              </w:rPr>
              <w:t>1</w:t>
            </w:r>
          </w:p>
        </w:tc>
      </w:tr>
    </w:tbl>
    <w:p w14:paraId="09C74E7F" w14:textId="77777777" w:rsidR="00D91E8B" w:rsidRDefault="00D91E8B" w:rsidP="003373BD">
      <w:pPr>
        <w:sectPr w:rsidR="00D91E8B" w:rsidSect="00D91E8B">
          <w:pgSz w:w="15840" w:h="12240" w:orient="landscape" w:code="1"/>
          <w:pgMar w:top="720" w:right="720" w:bottom="720" w:left="720" w:header="720" w:footer="720" w:gutter="0"/>
          <w:cols w:space="720"/>
          <w:docGrid w:linePitch="360"/>
        </w:sectPr>
      </w:pPr>
    </w:p>
    <w:tbl>
      <w:tblPr>
        <w:tblW w:w="11360" w:type="dxa"/>
        <w:jc w:val="center"/>
        <w:tblLook w:val="04A0" w:firstRow="1" w:lastRow="0" w:firstColumn="1" w:lastColumn="0" w:noHBand="0" w:noVBand="1"/>
      </w:tblPr>
      <w:tblGrid>
        <w:gridCol w:w="3100"/>
        <w:gridCol w:w="1020"/>
        <w:gridCol w:w="1020"/>
        <w:gridCol w:w="1020"/>
        <w:gridCol w:w="1020"/>
        <w:gridCol w:w="1020"/>
        <w:gridCol w:w="1120"/>
        <w:gridCol w:w="1020"/>
        <w:gridCol w:w="1020"/>
      </w:tblGrid>
      <w:tr w:rsidR="00D91E8B" w:rsidRPr="00D91E8B" w14:paraId="118F728E" w14:textId="77777777" w:rsidTr="00D91E8B">
        <w:trPr>
          <w:trHeight w:val="293"/>
          <w:jc w:val="center"/>
        </w:trPr>
        <w:tc>
          <w:tcPr>
            <w:tcW w:w="11360" w:type="dxa"/>
            <w:gridSpan w:val="9"/>
            <w:tcBorders>
              <w:top w:val="nil"/>
              <w:left w:val="nil"/>
              <w:bottom w:val="single" w:sz="8" w:space="0" w:color="auto"/>
              <w:right w:val="nil"/>
            </w:tcBorders>
            <w:shd w:val="clear" w:color="auto" w:fill="auto"/>
            <w:noWrap/>
            <w:vAlign w:val="bottom"/>
            <w:hideMark/>
          </w:tcPr>
          <w:p w14:paraId="32F58F83" w14:textId="77777777" w:rsidR="00D91E8B" w:rsidRPr="00D91E8B" w:rsidRDefault="00D91E8B" w:rsidP="00D91E8B">
            <w:pPr>
              <w:spacing w:after="0" w:line="240" w:lineRule="auto"/>
              <w:rPr>
                <w:rFonts w:eastAsia="Times New Roman"/>
                <w:b/>
                <w:bCs/>
                <w:color w:val="000000"/>
                <w:sz w:val="22"/>
                <w:szCs w:val="22"/>
              </w:rPr>
            </w:pPr>
            <w:r w:rsidRPr="00D91E8B">
              <w:rPr>
                <w:rFonts w:eastAsia="Times New Roman"/>
                <w:b/>
                <w:bCs/>
                <w:color w:val="000000"/>
                <w:sz w:val="22"/>
                <w:szCs w:val="22"/>
              </w:rPr>
              <w:lastRenderedPageBreak/>
              <w:t xml:space="preserve">Table 5.  Succession </w:t>
            </w:r>
            <w:proofErr w:type="gramStart"/>
            <w:r w:rsidRPr="00D91E8B">
              <w:rPr>
                <w:rFonts w:eastAsia="Times New Roman"/>
                <w:b/>
                <w:bCs/>
                <w:color w:val="000000"/>
                <w:sz w:val="22"/>
                <w:szCs w:val="22"/>
              </w:rPr>
              <w:t>in  GCC</w:t>
            </w:r>
            <w:proofErr w:type="gramEnd"/>
            <w:r w:rsidRPr="00D91E8B">
              <w:rPr>
                <w:rFonts w:eastAsia="Times New Roman"/>
                <w:b/>
                <w:bCs/>
                <w:color w:val="000000"/>
                <w:sz w:val="22"/>
                <w:szCs w:val="22"/>
              </w:rPr>
              <w:t xml:space="preserve"> countries and Japanese firms' FDI entry propensity</w:t>
            </w:r>
          </w:p>
        </w:tc>
      </w:tr>
      <w:tr w:rsidR="00D91E8B" w:rsidRPr="00D91E8B" w14:paraId="5F8F5DDD" w14:textId="77777777" w:rsidTr="00D91E8B">
        <w:trPr>
          <w:trHeight w:val="293"/>
          <w:jc w:val="center"/>
        </w:trPr>
        <w:tc>
          <w:tcPr>
            <w:tcW w:w="3100" w:type="dxa"/>
            <w:tcBorders>
              <w:top w:val="nil"/>
              <w:left w:val="nil"/>
              <w:bottom w:val="nil"/>
              <w:right w:val="nil"/>
            </w:tcBorders>
            <w:shd w:val="clear" w:color="auto" w:fill="auto"/>
            <w:vAlign w:val="center"/>
            <w:hideMark/>
          </w:tcPr>
          <w:p w14:paraId="472A5C85" w14:textId="77777777" w:rsidR="00D91E8B" w:rsidRPr="00D91E8B" w:rsidRDefault="00D91E8B" w:rsidP="00D91E8B">
            <w:pPr>
              <w:spacing w:after="0" w:line="240" w:lineRule="auto"/>
              <w:rPr>
                <w:rFonts w:eastAsia="Times New Roman"/>
                <w:color w:val="000000"/>
                <w:sz w:val="22"/>
                <w:szCs w:val="22"/>
              </w:rPr>
            </w:pPr>
            <w:bookmarkStart w:id="35" w:name="RANGE!A2"/>
            <w:r w:rsidRPr="00D91E8B">
              <w:rPr>
                <w:rFonts w:eastAsia="Times New Roman"/>
                <w:color w:val="000000"/>
                <w:sz w:val="22"/>
                <w:szCs w:val="22"/>
              </w:rPr>
              <w:t> </w:t>
            </w:r>
            <w:bookmarkEnd w:id="35"/>
          </w:p>
        </w:tc>
        <w:tc>
          <w:tcPr>
            <w:tcW w:w="1020" w:type="dxa"/>
            <w:tcBorders>
              <w:top w:val="nil"/>
              <w:left w:val="nil"/>
              <w:bottom w:val="single" w:sz="8" w:space="0" w:color="auto"/>
              <w:right w:val="nil"/>
            </w:tcBorders>
            <w:shd w:val="clear" w:color="auto" w:fill="auto"/>
            <w:vAlign w:val="center"/>
            <w:hideMark/>
          </w:tcPr>
          <w:p w14:paraId="3F2C373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w:t>
            </w:r>
          </w:p>
        </w:tc>
        <w:tc>
          <w:tcPr>
            <w:tcW w:w="1020" w:type="dxa"/>
            <w:tcBorders>
              <w:top w:val="nil"/>
              <w:left w:val="nil"/>
              <w:bottom w:val="single" w:sz="8" w:space="0" w:color="auto"/>
              <w:right w:val="nil"/>
            </w:tcBorders>
            <w:shd w:val="clear" w:color="auto" w:fill="auto"/>
            <w:vAlign w:val="center"/>
            <w:hideMark/>
          </w:tcPr>
          <w:p w14:paraId="1E4F8EE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w:t>
            </w:r>
          </w:p>
        </w:tc>
        <w:tc>
          <w:tcPr>
            <w:tcW w:w="1020" w:type="dxa"/>
            <w:tcBorders>
              <w:top w:val="nil"/>
              <w:left w:val="nil"/>
              <w:bottom w:val="single" w:sz="8" w:space="0" w:color="auto"/>
              <w:right w:val="nil"/>
            </w:tcBorders>
            <w:shd w:val="clear" w:color="auto" w:fill="auto"/>
            <w:vAlign w:val="center"/>
            <w:hideMark/>
          </w:tcPr>
          <w:p w14:paraId="6D29FDCB"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(3)</w:t>
            </w:r>
          </w:p>
        </w:tc>
        <w:tc>
          <w:tcPr>
            <w:tcW w:w="1020" w:type="dxa"/>
            <w:tcBorders>
              <w:top w:val="nil"/>
              <w:left w:val="nil"/>
              <w:bottom w:val="single" w:sz="8" w:space="0" w:color="auto"/>
              <w:right w:val="nil"/>
            </w:tcBorders>
            <w:shd w:val="clear" w:color="auto" w:fill="auto"/>
            <w:vAlign w:val="center"/>
            <w:hideMark/>
          </w:tcPr>
          <w:p w14:paraId="7EFA58B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(4)</w:t>
            </w:r>
          </w:p>
        </w:tc>
        <w:tc>
          <w:tcPr>
            <w:tcW w:w="1020" w:type="dxa"/>
            <w:tcBorders>
              <w:top w:val="nil"/>
              <w:left w:val="nil"/>
              <w:bottom w:val="single" w:sz="8" w:space="0" w:color="auto"/>
              <w:right w:val="nil"/>
            </w:tcBorders>
            <w:shd w:val="clear" w:color="auto" w:fill="auto"/>
            <w:vAlign w:val="center"/>
            <w:hideMark/>
          </w:tcPr>
          <w:p w14:paraId="6529798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(5)</w:t>
            </w:r>
          </w:p>
        </w:tc>
        <w:tc>
          <w:tcPr>
            <w:tcW w:w="1120" w:type="dxa"/>
            <w:tcBorders>
              <w:top w:val="nil"/>
              <w:left w:val="nil"/>
              <w:bottom w:val="single" w:sz="8" w:space="0" w:color="auto"/>
              <w:right w:val="nil"/>
            </w:tcBorders>
            <w:shd w:val="clear" w:color="auto" w:fill="auto"/>
            <w:vAlign w:val="center"/>
            <w:hideMark/>
          </w:tcPr>
          <w:p w14:paraId="0329352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(6)</w:t>
            </w:r>
          </w:p>
        </w:tc>
        <w:tc>
          <w:tcPr>
            <w:tcW w:w="1020" w:type="dxa"/>
            <w:tcBorders>
              <w:top w:val="nil"/>
              <w:left w:val="nil"/>
              <w:bottom w:val="single" w:sz="8" w:space="0" w:color="auto"/>
              <w:right w:val="nil"/>
            </w:tcBorders>
            <w:shd w:val="clear" w:color="auto" w:fill="auto"/>
            <w:vAlign w:val="center"/>
            <w:hideMark/>
          </w:tcPr>
          <w:p w14:paraId="5EE8B03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(7)</w:t>
            </w:r>
          </w:p>
        </w:tc>
        <w:tc>
          <w:tcPr>
            <w:tcW w:w="1020" w:type="dxa"/>
            <w:tcBorders>
              <w:top w:val="nil"/>
              <w:left w:val="nil"/>
              <w:bottom w:val="single" w:sz="8" w:space="0" w:color="auto"/>
              <w:right w:val="nil"/>
            </w:tcBorders>
            <w:shd w:val="clear" w:color="auto" w:fill="auto"/>
            <w:vAlign w:val="center"/>
            <w:hideMark/>
          </w:tcPr>
          <w:p w14:paraId="1FBE38A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(8)</w:t>
            </w:r>
          </w:p>
        </w:tc>
      </w:tr>
      <w:tr w:rsidR="00D91E8B" w:rsidRPr="00D91E8B" w14:paraId="64BB9937" w14:textId="77777777" w:rsidTr="00D91E8B">
        <w:trPr>
          <w:trHeight w:val="840"/>
          <w:jc w:val="center"/>
        </w:trPr>
        <w:tc>
          <w:tcPr>
            <w:tcW w:w="3100" w:type="dxa"/>
            <w:tcBorders>
              <w:top w:val="nil"/>
              <w:left w:val="nil"/>
              <w:bottom w:val="nil"/>
              <w:right w:val="nil"/>
            </w:tcBorders>
            <w:shd w:val="clear" w:color="auto" w:fill="auto"/>
            <w:vAlign w:val="center"/>
            <w:hideMark/>
          </w:tcPr>
          <w:p w14:paraId="1A10DE46" w14:textId="77777777" w:rsidR="00D91E8B" w:rsidRPr="00D91E8B" w:rsidRDefault="00D91E8B" w:rsidP="00D91E8B">
            <w:pPr>
              <w:spacing w:after="0" w:line="240" w:lineRule="auto"/>
              <w:rPr>
                <w:rFonts w:eastAsia="Times New Roman"/>
                <w:b/>
                <w:bCs/>
                <w:color w:val="000000"/>
                <w:sz w:val="22"/>
                <w:szCs w:val="22"/>
              </w:rPr>
            </w:pPr>
            <w:r w:rsidRPr="00D91E8B">
              <w:rPr>
                <w:rFonts w:eastAsia="Times New Roman"/>
                <w:b/>
                <w:bCs/>
                <w:color w:val="000000"/>
                <w:sz w:val="22"/>
                <w:szCs w:val="22"/>
              </w:rPr>
              <w:t>Dependent Variable</w:t>
            </w:r>
          </w:p>
        </w:tc>
        <w:tc>
          <w:tcPr>
            <w:tcW w:w="1020" w:type="dxa"/>
            <w:tcBorders>
              <w:top w:val="nil"/>
              <w:left w:val="nil"/>
              <w:bottom w:val="nil"/>
              <w:right w:val="nil"/>
            </w:tcBorders>
            <w:shd w:val="clear" w:color="auto" w:fill="auto"/>
            <w:vAlign w:val="center"/>
            <w:hideMark/>
          </w:tcPr>
          <w:p w14:paraId="142BE7F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Entry</w:t>
            </w:r>
          </w:p>
        </w:tc>
        <w:tc>
          <w:tcPr>
            <w:tcW w:w="1020" w:type="dxa"/>
            <w:tcBorders>
              <w:top w:val="nil"/>
              <w:left w:val="nil"/>
              <w:bottom w:val="nil"/>
              <w:right w:val="nil"/>
            </w:tcBorders>
            <w:shd w:val="clear" w:color="auto" w:fill="auto"/>
            <w:vAlign w:val="center"/>
            <w:hideMark/>
          </w:tcPr>
          <w:p w14:paraId="736FB67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Entry</w:t>
            </w:r>
          </w:p>
        </w:tc>
        <w:tc>
          <w:tcPr>
            <w:tcW w:w="1020" w:type="dxa"/>
            <w:tcBorders>
              <w:top w:val="nil"/>
              <w:left w:val="nil"/>
              <w:bottom w:val="nil"/>
              <w:right w:val="nil"/>
            </w:tcBorders>
            <w:shd w:val="clear" w:color="auto" w:fill="auto"/>
            <w:vAlign w:val="center"/>
            <w:hideMark/>
          </w:tcPr>
          <w:p w14:paraId="1FB7E01B"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Entry</w:t>
            </w:r>
          </w:p>
        </w:tc>
        <w:tc>
          <w:tcPr>
            <w:tcW w:w="1020" w:type="dxa"/>
            <w:tcBorders>
              <w:top w:val="nil"/>
              <w:left w:val="nil"/>
              <w:bottom w:val="nil"/>
              <w:right w:val="nil"/>
            </w:tcBorders>
            <w:shd w:val="clear" w:color="auto" w:fill="auto"/>
            <w:vAlign w:val="center"/>
            <w:hideMark/>
          </w:tcPr>
          <w:p w14:paraId="6C1D1C6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Entry</w:t>
            </w:r>
          </w:p>
        </w:tc>
        <w:tc>
          <w:tcPr>
            <w:tcW w:w="1020" w:type="dxa"/>
            <w:tcBorders>
              <w:top w:val="nil"/>
              <w:left w:val="nil"/>
              <w:bottom w:val="nil"/>
              <w:right w:val="nil"/>
            </w:tcBorders>
            <w:shd w:val="clear" w:color="auto" w:fill="auto"/>
            <w:vAlign w:val="center"/>
            <w:hideMark/>
          </w:tcPr>
          <w:p w14:paraId="33D8CA1B"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Entry</w:t>
            </w:r>
          </w:p>
        </w:tc>
        <w:tc>
          <w:tcPr>
            <w:tcW w:w="1120" w:type="dxa"/>
            <w:tcBorders>
              <w:top w:val="nil"/>
              <w:left w:val="nil"/>
              <w:bottom w:val="nil"/>
              <w:right w:val="nil"/>
            </w:tcBorders>
            <w:shd w:val="clear" w:color="auto" w:fill="auto"/>
            <w:vAlign w:val="center"/>
            <w:hideMark/>
          </w:tcPr>
          <w:p w14:paraId="1ECE4A5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Entry</w:t>
            </w:r>
          </w:p>
        </w:tc>
        <w:tc>
          <w:tcPr>
            <w:tcW w:w="1020" w:type="dxa"/>
            <w:tcBorders>
              <w:top w:val="nil"/>
              <w:left w:val="nil"/>
              <w:bottom w:val="nil"/>
              <w:right w:val="nil"/>
            </w:tcBorders>
            <w:shd w:val="clear" w:color="auto" w:fill="auto"/>
            <w:vAlign w:val="bottom"/>
            <w:hideMark/>
          </w:tcPr>
          <w:p w14:paraId="6B06F85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Two years entry sum</w:t>
            </w:r>
          </w:p>
        </w:tc>
        <w:tc>
          <w:tcPr>
            <w:tcW w:w="1020" w:type="dxa"/>
            <w:tcBorders>
              <w:top w:val="nil"/>
              <w:left w:val="nil"/>
              <w:bottom w:val="nil"/>
              <w:right w:val="nil"/>
            </w:tcBorders>
            <w:shd w:val="clear" w:color="auto" w:fill="auto"/>
            <w:vAlign w:val="bottom"/>
            <w:hideMark/>
          </w:tcPr>
          <w:p w14:paraId="0571404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Three years entry sum</w:t>
            </w:r>
          </w:p>
        </w:tc>
      </w:tr>
      <w:tr w:rsidR="00D91E8B" w:rsidRPr="00D91E8B" w14:paraId="5F6DA772" w14:textId="77777777" w:rsidTr="00D91E8B">
        <w:trPr>
          <w:trHeight w:val="270"/>
          <w:jc w:val="center"/>
        </w:trPr>
        <w:tc>
          <w:tcPr>
            <w:tcW w:w="3100" w:type="dxa"/>
            <w:tcBorders>
              <w:top w:val="nil"/>
              <w:left w:val="nil"/>
              <w:bottom w:val="nil"/>
              <w:right w:val="nil"/>
            </w:tcBorders>
            <w:shd w:val="clear" w:color="auto" w:fill="auto"/>
            <w:vAlign w:val="center"/>
            <w:hideMark/>
          </w:tcPr>
          <w:p w14:paraId="0BF1C061" w14:textId="77777777" w:rsidR="00D91E8B" w:rsidRPr="00D91E8B" w:rsidRDefault="00D91E8B" w:rsidP="00D91E8B">
            <w:pPr>
              <w:spacing w:after="0" w:line="240" w:lineRule="auto"/>
              <w:rPr>
                <w:rFonts w:eastAsia="Times New Roman"/>
                <w:b/>
                <w:bCs/>
                <w:color w:val="000000"/>
                <w:sz w:val="22"/>
                <w:szCs w:val="22"/>
              </w:rPr>
            </w:pPr>
            <w:r w:rsidRPr="00D91E8B">
              <w:rPr>
                <w:rFonts w:eastAsia="Times New Roman"/>
                <w:b/>
                <w:bCs/>
                <w:color w:val="000000"/>
                <w:sz w:val="22"/>
                <w:szCs w:val="22"/>
              </w:rPr>
              <w:t xml:space="preserve">Host Country Attributes </w:t>
            </w:r>
          </w:p>
        </w:tc>
        <w:tc>
          <w:tcPr>
            <w:tcW w:w="1020" w:type="dxa"/>
            <w:tcBorders>
              <w:top w:val="nil"/>
              <w:left w:val="nil"/>
              <w:bottom w:val="nil"/>
              <w:right w:val="nil"/>
            </w:tcBorders>
            <w:shd w:val="clear" w:color="auto" w:fill="auto"/>
            <w:vAlign w:val="center"/>
            <w:hideMark/>
          </w:tcPr>
          <w:p w14:paraId="546E0435" w14:textId="77777777" w:rsidR="00D91E8B" w:rsidRPr="00D91E8B" w:rsidRDefault="00D91E8B" w:rsidP="00D91E8B">
            <w:pPr>
              <w:spacing w:after="0" w:line="240" w:lineRule="auto"/>
              <w:rPr>
                <w:rFonts w:eastAsia="Times New Roman"/>
                <w:b/>
                <w:bCs/>
                <w:color w:val="000000"/>
                <w:sz w:val="22"/>
                <w:szCs w:val="22"/>
              </w:rPr>
            </w:pPr>
          </w:p>
        </w:tc>
        <w:tc>
          <w:tcPr>
            <w:tcW w:w="1020" w:type="dxa"/>
            <w:tcBorders>
              <w:top w:val="nil"/>
              <w:left w:val="nil"/>
              <w:bottom w:val="nil"/>
              <w:right w:val="nil"/>
            </w:tcBorders>
            <w:shd w:val="clear" w:color="auto" w:fill="auto"/>
            <w:vAlign w:val="center"/>
            <w:hideMark/>
          </w:tcPr>
          <w:p w14:paraId="1BA43D39"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06CD70A1"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12667774"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00016201" w14:textId="77777777" w:rsidR="00D91E8B" w:rsidRPr="00D91E8B" w:rsidRDefault="00D91E8B" w:rsidP="00D91E8B">
            <w:pPr>
              <w:spacing w:after="0" w:line="240" w:lineRule="auto"/>
              <w:jc w:val="center"/>
              <w:rPr>
                <w:rFonts w:eastAsia="Times New Roman"/>
                <w:sz w:val="20"/>
                <w:szCs w:val="20"/>
              </w:rPr>
            </w:pPr>
          </w:p>
        </w:tc>
        <w:tc>
          <w:tcPr>
            <w:tcW w:w="1120" w:type="dxa"/>
            <w:tcBorders>
              <w:top w:val="nil"/>
              <w:left w:val="nil"/>
              <w:bottom w:val="nil"/>
              <w:right w:val="nil"/>
            </w:tcBorders>
            <w:shd w:val="clear" w:color="auto" w:fill="auto"/>
            <w:vAlign w:val="center"/>
            <w:hideMark/>
          </w:tcPr>
          <w:p w14:paraId="50197111"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7B13758F"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3491FB97" w14:textId="77777777" w:rsidR="00D91E8B" w:rsidRPr="00D91E8B" w:rsidRDefault="00D91E8B" w:rsidP="00D91E8B">
            <w:pPr>
              <w:spacing w:after="0" w:line="240" w:lineRule="auto"/>
              <w:rPr>
                <w:rFonts w:eastAsia="Times New Roman"/>
                <w:sz w:val="20"/>
                <w:szCs w:val="20"/>
              </w:rPr>
            </w:pPr>
          </w:p>
        </w:tc>
      </w:tr>
      <w:tr w:rsidR="00D91E8B" w:rsidRPr="00D91E8B" w14:paraId="005D6CAA" w14:textId="77777777" w:rsidTr="00D91E8B">
        <w:trPr>
          <w:trHeight w:val="270"/>
          <w:jc w:val="center"/>
        </w:trPr>
        <w:tc>
          <w:tcPr>
            <w:tcW w:w="3100" w:type="dxa"/>
            <w:tcBorders>
              <w:top w:val="nil"/>
              <w:left w:val="nil"/>
              <w:bottom w:val="nil"/>
              <w:right w:val="nil"/>
            </w:tcBorders>
            <w:shd w:val="clear" w:color="auto" w:fill="auto"/>
            <w:vAlign w:val="center"/>
            <w:hideMark/>
          </w:tcPr>
          <w:p w14:paraId="0CBDA738"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 xml:space="preserve">Institutional development </w:t>
            </w:r>
          </w:p>
        </w:tc>
        <w:tc>
          <w:tcPr>
            <w:tcW w:w="1020" w:type="dxa"/>
            <w:tcBorders>
              <w:top w:val="nil"/>
              <w:left w:val="nil"/>
              <w:bottom w:val="nil"/>
              <w:right w:val="nil"/>
            </w:tcBorders>
            <w:shd w:val="clear" w:color="auto" w:fill="auto"/>
            <w:vAlign w:val="center"/>
            <w:hideMark/>
          </w:tcPr>
          <w:p w14:paraId="62C4CAE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1.28***</w:t>
            </w:r>
          </w:p>
        </w:tc>
        <w:tc>
          <w:tcPr>
            <w:tcW w:w="1020" w:type="dxa"/>
            <w:tcBorders>
              <w:top w:val="nil"/>
              <w:left w:val="nil"/>
              <w:bottom w:val="nil"/>
              <w:right w:val="nil"/>
            </w:tcBorders>
            <w:shd w:val="clear" w:color="auto" w:fill="auto"/>
            <w:vAlign w:val="center"/>
            <w:hideMark/>
          </w:tcPr>
          <w:p w14:paraId="32A935F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0.43 </w:t>
            </w:r>
          </w:p>
        </w:tc>
        <w:tc>
          <w:tcPr>
            <w:tcW w:w="1020" w:type="dxa"/>
            <w:tcBorders>
              <w:top w:val="nil"/>
              <w:left w:val="nil"/>
              <w:bottom w:val="nil"/>
              <w:right w:val="nil"/>
            </w:tcBorders>
            <w:shd w:val="clear" w:color="auto" w:fill="auto"/>
            <w:vAlign w:val="center"/>
            <w:hideMark/>
          </w:tcPr>
          <w:p w14:paraId="208939F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0.13 </w:t>
            </w:r>
          </w:p>
        </w:tc>
        <w:tc>
          <w:tcPr>
            <w:tcW w:w="1020" w:type="dxa"/>
            <w:tcBorders>
              <w:top w:val="nil"/>
              <w:left w:val="nil"/>
              <w:bottom w:val="nil"/>
              <w:right w:val="nil"/>
            </w:tcBorders>
            <w:shd w:val="clear" w:color="auto" w:fill="auto"/>
            <w:vAlign w:val="center"/>
            <w:hideMark/>
          </w:tcPr>
          <w:p w14:paraId="4B80EF9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0.44 </w:t>
            </w:r>
          </w:p>
        </w:tc>
        <w:tc>
          <w:tcPr>
            <w:tcW w:w="1020" w:type="dxa"/>
            <w:tcBorders>
              <w:top w:val="nil"/>
              <w:left w:val="nil"/>
              <w:bottom w:val="nil"/>
              <w:right w:val="nil"/>
            </w:tcBorders>
            <w:shd w:val="clear" w:color="auto" w:fill="auto"/>
            <w:vAlign w:val="center"/>
            <w:hideMark/>
          </w:tcPr>
          <w:p w14:paraId="2C74B5F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0.02 </w:t>
            </w:r>
          </w:p>
        </w:tc>
        <w:tc>
          <w:tcPr>
            <w:tcW w:w="1120" w:type="dxa"/>
            <w:tcBorders>
              <w:top w:val="nil"/>
              <w:left w:val="nil"/>
              <w:bottom w:val="nil"/>
              <w:right w:val="nil"/>
            </w:tcBorders>
            <w:shd w:val="clear" w:color="auto" w:fill="auto"/>
            <w:vAlign w:val="center"/>
            <w:hideMark/>
          </w:tcPr>
          <w:p w14:paraId="1476C35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0.41 </w:t>
            </w:r>
          </w:p>
        </w:tc>
        <w:tc>
          <w:tcPr>
            <w:tcW w:w="1020" w:type="dxa"/>
            <w:tcBorders>
              <w:top w:val="nil"/>
              <w:left w:val="nil"/>
              <w:bottom w:val="nil"/>
              <w:right w:val="nil"/>
            </w:tcBorders>
            <w:shd w:val="clear" w:color="auto" w:fill="auto"/>
            <w:noWrap/>
            <w:vAlign w:val="bottom"/>
            <w:hideMark/>
          </w:tcPr>
          <w:p w14:paraId="2B2FBF7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0.59+</w:t>
            </w:r>
          </w:p>
        </w:tc>
        <w:tc>
          <w:tcPr>
            <w:tcW w:w="1020" w:type="dxa"/>
            <w:tcBorders>
              <w:top w:val="nil"/>
              <w:left w:val="nil"/>
              <w:bottom w:val="nil"/>
              <w:right w:val="nil"/>
            </w:tcBorders>
            <w:shd w:val="clear" w:color="auto" w:fill="auto"/>
            <w:noWrap/>
            <w:vAlign w:val="bottom"/>
            <w:hideMark/>
          </w:tcPr>
          <w:p w14:paraId="61CFEA5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0.43 </w:t>
            </w:r>
          </w:p>
        </w:tc>
      </w:tr>
      <w:tr w:rsidR="00D91E8B" w:rsidRPr="00D91E8B" w14:paraId="520ED7EE" w14:textId="77777777" w:rsidTr="00D91E8B">
        <w:trPr>
          <w:trHeight w:val="270"/>
          <w:jc w:val="center"/>
        </w:trPr>
        <w:tc>
          <w:tcPr>
            <w:tcW w:w="3100" w:type="dxa"/>
            <w:tcBorders>
              <w:top w:val="nil"/>
              <w:left w:val="nil"/>
              <w:bottom w:val="nil"/>
              <w:right w:val="nil"/>
            </w:tcBorders>
            <w:shd w:val="clear" w:color="auto" w:fill="auto"/>
            <w:vAlign w:val="center"/>
            <w:hideMark/>
          </w:tcPr>
          <w:p w14:paraId="1B1E6890"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789E15A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(0.32)</w:t>
            </w:r>
          </w:p>
        </w:tc>
        <w:tc>
          <w:tcPr>
            <w:tcW w:w="1020" w:type="dxa"/>
            <w:tcBorders>
              <w:top w:val="nil"/>
              <w:left w:val="nil"/>
              <w:bottom w:val="nil"/>
              <w:right w:val="nil"/>
            </w:tcBorders>
            <w:shd w:val="clear" w:color="auto" w:fill="auto"/>
            <w:vAlign w:val="center"/>
            <w:hideMark/>
          </w:tcPr>
          <w:p w14:paraId="63B0CE5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(0.36)</w:t>
            </w:r>
          </w:p>
        </w:tc>
        <w:tc>
          <w:tcPr>
            <w:tcW w:w="1020" w:type="dxa"/>
            <w:tcBorders>
              <w:top w:val="nil"/>
              <w:left w:val="nil"/>
              <w:bottom w:val="nil"/>
              <w:right w:val="nil"/>
            </w:tcBorders>
            <w:shd w:val="clear" w:color="auto" w:fill="auto"/>
            <w:vAlign w:val="center"/>
            <w:hideMark/>
          </w:tcPr>
          <w:p w14:paraId="10E93F1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(0.39)</w:t>
            </w:r>
          </w:p>
        </w:tc>
        <w:tc>
          <w:tcPr>
            <w:tcW w:w="1020" w:type="dxa"/>
            <w:tcBorders>
              <w:top w:val="nil"/>
              <w:left w:val="nil"/>
              <w:bottom w:val="nil"/>
              <w:right w:val="nil"/>
            </w:tcBorders>
            <w:shd w:val="clear" w:color="auto" w:fill="auto"/>
            <w:vAlign w:val="center"/>
            <w:hideMark/>
          </w:tcPr>
          <w:p w14:paraId="5F27355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(0.36)</w:t>
            </w:r>
          </w:p>
        </w:tc>
        <w:tc>
          <w:tcPr>
            <w:tcW w:w="1020" w:type="dxa"/>
            <w:tcBorders>
              <w:top w:val="nil"/>
              <w:left w:val="nil"/>
              <w:bottom w:val="nil"/>
              <w:right w:val="nil"/>
            </w:tcBorders>
            <w:shd w:val="clear" w:color="auto" w:fill="auto"/>
            <w:vAlign w:val="center"/>
            <w:hideMark/>
          </w:tcPr>
          <w:p w14:paraId="7E373E5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(0.40)</w:t>
            </w:r>
          </w:p>
        </w:tc>
        <w:tc>
          <w:tcPr>
            <w:tcW w:w="1120" w:type="dxa"/>
            <w:tcBorders>
              <w:top w:val="nil"/>
              <w:left w:val="nil"/>
              <w:bottom w:val="nil"/>
              <w:right w:val="nil"/>
            </w:tcBorders>
            <w:shd w:val="clear" w:color="auto" w:fill="auto"/>
            <w:vAlign w:val="center"/>
            <w:hideMark/>
          </w:tcPr>
          <w:p w14:paraId="285ED49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(0.36)</w:t>
            </w:r>
          </w:p>
        </w:tc>
        <w:tc>
          <w:tcPr>
            <w:tcW w:w="1020" w:type="dxa"/>
            <w:tcBorders>
              <w:top w:val="nil"/>
              <w:left w:val="nil"/>
              <w:bottom w:val="nil"/>
              <w:right w:val="nil"/>
            </w:tcBorders>
            <w:shd w:val="clear" w:color="auto" w:fill="auto"/>
            <w:noWrap/>
            <w:vAlign w:val="bottom"/>
            <w:hideMark/>
          </w:tcPr>
          <w:p w14:paraId="590D6D0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(0.31)</w:t>
            </w:r>
          </w:p>
        </w:tc>
        <w:tc>
          <w:tcPr>
            <w:tcW w:w="1020" w:type="dxa"/>
            <w:tcBorders>
              <w:top w:val="nil"/>
              <w:left w:val="nil"/>
              <w:bottom w:val="nil"/>
              <w:right w:val="nil"/>
            </w:tcBorders>
            <w:shd w:val="clear" w:color="auto" w:fill="auto"/>
            <w:noWrap/>
            <w:vAlign w:val="bottom"/>
            <w:hideMark/>
          </w:tcPr>
          <w:p w14:paraId="731D9CA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(0.33)</w:t>
            </w:r>
          </w:p>
        </w:tc>
      </w:tr>
      <w:tr w:rsidR="00D91E8B" w:rsidRPr="00D91E8B" w14:paraId="21EE7882" w14:textId="77777777" w:rsidTr="00D91E8B">
        <w:trPr>
          <w:trHeight w:val="270"/>
          <w:jc w:val="center"/>
        </w:trPr>
        <w:tc>
          <w:tcPr>
            <w:tcW w:w="3100" w:type="dxa"/>
            <w:tcBorders>
              <w:top w:val="nil"/>
              <w:left w:val="nil"/>
              <w:bottom w:val="nil"/>
              <w:right w:val="nil"/>
            </w:tcBorders>
            <w:shd w:val="clear" w:color="auto" w:fill="auto"/>
            <w:vAlign w:val="center"/>
            <w:hideMark/>
          </w:tcPr>
          <w:p w14:paraId="1E7EA0A7"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GDP</w:t>
            </w:r>
          </w:p>
        </w:tc>
        <w:tc>
          <w:tcPr>
            <w:tcW w:w="1020" w:type="dxa"/>
            <w:tcBorders>
              <w:top w:val="nil"/>
              <w:left w:val="nil"/>
              <w:bottom w:val="nil"/>
              <w:right w:val="nil"/>
            </w:tcBorders>
            <w:shd w:val="clear" w:color="auto" w:fill="auto"/>
            <w:vAlign w:val="center"/>
            <w:hideMark/>
          </w:tcPr>
          <w:p w14:paraId="7AE5DC5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0.05***</w:t>
            </w:r>
          </w:p>
        </w:tc>
        <w:tc>
          <w:tcPr>
            <w:tcW w:w="1020" w:type="dxa"/>
            <w:tcBorders>
              <w:top w:val="nil"/>
              <w:left w:val="nil"/>
              <w:bottom w:val="nil"/>
              <w:right w:val="nil"/>
            </w:tcBorders>
            <w:shd w:val="clear" w:color="auto" w:fill="auto"/>
            <w:vAlign w:val="center"/>
            <w:hideMark/>
          </w:tcPr>
          <w:p w14:paraId="5F41EB5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0.05***</w:t>
            </w:r>
          </w:p>
        </w:tc>
        <w:tc>
          <w:tcPr>
            <w:tcW w:w="1020" w:type="dxa"/>
            <w:tcBorders>
              <w:top w:val="nil"/>
              <w:left w:val="nil"/>
              <w:bottom w:val="nil"/>
              <w:right w:val="nil"/>
            </w:tcBorders>
            <w:shd w:val="clear" w:color="auto" w:fill="auto"/>
            <w:vAlign w:val="center"/>
            <w:hideMark/>
          </w:tcPr>
          <w:p w14:paraId="7EEF23D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0.05***</w:t>
            </w:r>
          </w:p>
        </w:tc>
        <w:tc>
          <w:tcPr>
            <w:tcW w:w="1020" w:type="dxa"/>
            <w:tcBorders>
              <w:top w:val="nil"/>
              <w:left w:val="nil"/>
              <w:bottom w:val="nil"/>
              <w:right w:val="nil"/>
            </w:tcBorders>
            <w:shd w:val="clear" w:color="auto" w:fill="auto"/>
            <w:vAlign w:val="center"/>
            <w:hideMark/>
          </w:tcPr>
          <w:p w14:paraId="373E5C1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0.05***</w:t>
            </w:r>
          </w:p>
        </w:tc>
        <w:tc>
          <w:tcPr>
            <w:tcW w:w="1020" w:type="dxa"/>
            <w:tcBorders>
              <w:top w:val="nil"/>
              <w:left w:val="nil"/>
              <w:bottom w:val="nil"/>
              <w:right w:val="nil"/>
            </w:tcBorders>
            <w:shd w:val="clear" w:color="auto" w:fill="auto"/>
            <w:vAlign w:val="center"/>
            <w:hideMark/>
          </w:tcPr>
          <w:p w14:paraId="6E5F19A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0.05***</w:t>
            </w:r>
          </w:p>
        </w:tc>
        <w:tc>
          <w:tcPr>
            <w:tcW w:w="1120" w:type="dxa"/>
            <w:tcBorders>
              <w:top w:val="nil"/>
              <w:left w:val="nil"/>
              <w:bottom w:val="nil"/>
              <w:right w:val="nil"/>
            </w:tcBorders>
            <w:shd w:val="clear" w:color="auto" w:fill="auto"/>
            <w:vAlign w:val="center"/>
            <w:hideMark/>
          </w:tcPr>
          <w:p w14:paraId="5167B97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0.05***</w:t>
            </w:r>
          </w:p>
        </w:tc>
        <w:tc>
          <w:tcPr>
            <w:tcW w:w="1020" w:type="dxa"/>
            <w:tcBorders>
              <w:top w:val="nil"/>
              <w:left w:val="nil"/>
              <w:bottom w:val="nil"/>
              <w:right w:val="nil"/>
            </w:tcBorders>
            <w:shd w:val="clear" w:color="auto" w:fill="auto"/>
            <w:noWrap/>
            <w:vAlign w:val="bottom"/>
            <w:hideMark/>
          </w:tcPr>
          <w:p w14:paraId="1343D5A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0.06***</w:t>
            </w:r>
          </w:p>
        </w:tc>
        <w:tc>
          <w:tcPr>
            <w:tcW w:w="1020" w:type="dxa"/>
            <w:tcBorders>
              <w:top w:val="nil"/>
              <w:left w:val="nil"/>
              <w:bottom w:val="nil"/>
              <w:right w:val="nil"/>
            </w:tcBorders>
            <w:shd w:val="clear" w:color="auto" w:fill="auto"/>
            <w:noWrap/>
            <w:vAlign w:val="bottom"/>
            <w:hideMark/>
          </w:tcPr>
          <w:p w14:paraId="2C67B74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0.05***</w:t>
            </w:r>
          </w:p>
        </w:tc>
      </w:tr>
      <w:tr w:rsidR="00D91E8B" w:rsidRPr="00D91E8B" w14:paraId="29060317" w14:textId="77777777" w:rsidTr="00D91E8B">
        <w:trPr>
          <w:trHeight w:val="270"/>
          <w:jc w:val="center"/>
        </w:trPr>
        <w:tc>
          <w:tcPr>
            <w:tcW w:w="3100" w:type="dxa"/>
            <w:tcBorders>
              <w:top w:val="nil"/>
              <w:left w:val="nil"/>
              <w:bottom w:val="nil"/>
              <w:right w:val="nil"/>
            </w:tcBorders>
            <w:shd w:val="clear" w:color="auto" w:fill="auto"/>
            <w:vAlign w:val="center"/>
            <w:hideMark/>
          </w:tcPr>
          <w:p w14:paraId="5491CDAB"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788C0D0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2FDCEC0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4957E01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4B3DF0B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22483BB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120" w:type="dxa"/>
            <w:tcBorders>
              <w:top w:val="nil"/>
              <w:left w:val="nil"/>
              <w:bottom w:val="nil"/>
              <w:right w:val="nil"/>
            </w:tcBorders>
            <w:shd w:val="clear" w:color="auto" w:fill="auto"/>
            <w:vAlign w:val="center"/>
            <w:hideMark/>
          </w:tcPr>
          <w:p w14:paraId="48281E9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noWrap/>
            <w:vAlign w:val="bottom"/>
            <w:hideMark/>
          </w:tcPr>
          <w:p w14:paraId="462A86C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noWrap/>
            <w:vAlign w:val="bottom"/>
            <w:hideMark/>
          </w:tcPr>
          <w:p w14:paraId="68809CA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r>
      <w:tr w:rsidR="00D91E8B" w:rsidRPr="00D91E8B" w14:paraId="7052FD18" w14:textId="77777777" w:rsidTr="00D91E8B">
        <w:trPr>
          <w:trHeight w:val="270"/>
          <w:jc w:val="center"/>
        </w:trPr>
        <w:tc>
          <w:tcPr>
            <w:tcW w:w="3100" w:type="dxa"/>
            <w:tcBorders>
              <w:top w:val="nil"/>
              <w:left w:val="nil"/>
              <w:bottom w:val="nil"/>
              <w:right w:val="nil"/>
            </w:tcBorders>
            <w:shd w:val="clear" w:color="auto" w:fill="auto"/>
            <w:vAlign w:val="center"/>
            <w:hideMark/>
          </w:tcPr>
          <w:p w14:paraId="66B15614"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GDP growth</w:t>
            </w:r>
          </w:p>
        </w:tc>
        <w:tc>
          <w:tcPr>
            <w:tcW w:w="1020" w:type="dxa"/>
            <w:tcBorders>
              <w:top w:val="nil"/>
              <w:left w:val="nil"/>
              <w:bottom w:val="nil"/>
              <w:right w:val="nil"/>
            </w:tcBorders>
            <w:shd w:val="clear" w:color="auto" w:fill="auto"/>
            <w:vAlign w:val="center"/>
            <w:hideMark/>
          </w:tcPr>
          <w:p w14:paraId="3C403D7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0.03*</w:t>
            </w:r>
          </w:p>
        </w:tc>
        <w:tc>
          <w:tcPr>
            <w:tcW w:w="1020" w:type="dxa"/>
            <w:tcBorders>
              <w:top w:val="nil"/>
              <w:left w:val="nil"/>
              <w:bottom w:val="nil"/>
              <w:right w:val="nil"/>
            </w:tcBorders>
            <w:shd w:val="clear" w:color="auto" w:fill="auto"/>
            <w:vAlign w:val="center"/>
            <w:hideMark/>
          </w:tcPr>
          <w:p w14:paraId="0782F64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vAlign w:val="center"/>
            <w:hideMark/>
          </w:tcPr>
          <w:p w14:paraId="462E681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vAlign w:val="center"/>
            <w:hideMark/>
          </w:tcPr>
          <w:p w14:paraId="7D5C2EF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vAlign w:val="center"/>
            <w:hideMark/>
          </w:tcPr>
          <w:p w14:paraId="5481C5A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0.05***</w:t>
            </w:r>
          </w:p>
        </w:tc>
        <w:tc>
          <w:tcPr>
            <w:tcW w:w="1120" w:type="dxa"/>
            <w:tcBorders>
              <w:top w:val="nil"/>
              <w:left w:val="nil"/>
              <w:bottom w:val="nil"/>
              <w:right w:val="nil"/>
            </w:tcBorders>
            <w:shd w:val="clear" w:color="auto" w:fill="auto"/>
            <w:vAlign w:val="center"/>
            <w:hideMark/>
          </w:tcPr>
          <w:p w14:paraId="1188FD2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noWrap/>
            <w:vAlign w:val="bottom"/>
            <w:hideMark/>
          </w:tcPr>
          <w:p w14:paraId="4F6568D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0.03**</w:t>
            </w:r>
          </w:p>
        </w:tc>
        <w:tc>
          <w:tcPr>
            <w:tcW w:w="1020" w:type="dxa"/>
            <w:tcBorders>
              <w:top w:val="nil"/>
              <w:left w:val="nil"/>
              <w:bottom w:val="nil"/>
              <w:right w:val="nil"/>
            </w:tcBorders>
            <w:shd w:val="clear" w:color="auto" w:fill="auto"/>
            <w:noWrap/>
            <w:vAlign w:val="bottom"/>
            <w:hideMark/>
          </w:tcPr>
          <w:p w14:paraId="0073AA2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0.03**</w:t>
            </w:r>
          </w:p>
        </w:tc>
      </w:tr>
      <w:tr w:rsidR="00D91E8B" w:rsidRPr="00D91E8B" w14:paraId="7A80667A" w14:textId="77777777" w:rsidTr="00D91E8B">
        <w:trPr>
          <w:trHeight w:val="270"/>
          <w:jc w:val="center"/>
        </w:trPr>
        <w:tc>
          <w:tcPr>
            <w:tcW w:w="3100" w:type="dxa"/>
            <w:tcBorders>
              <w:top w:val="nil"/>
              <w:left w:val="nil"/>
              <w:bottom w:val="nil"/>
              <w:right w:val="nil"/>
            </w:tcBorders>
            <w:shd w:val="clear" w:color="auto" w:fill="auto"/>
            <w:vAlign w:val="center"/>
            <w:hideMark/>
          </w:tcPr>
          <w:p w14:paraId="3AC46FA4"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1CFBB79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7FBE69C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46EDD0C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2C6F9DD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51070D6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120" w:type="dxa"/>
            <w:tcBorders>
              <w:top w:val="nil"/>
              <w:left w:val="nil"/>
              <w:bottom w:val="nil"/>
              <w:right w:val="nil"/>
            </w:tcBorders>
            <w:shd w:val="clear" w:color="auto" w:fill="auto"/>
            <w:vAlign w:val="center"/>
            <w:hideMark/>
          </w:tcPr>
          <w:p w14:paraId="16993EF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noWrap/>
            <w:vAlign w:val="bottom"/>
            <w:hideMark/>
          </w:tcPr>
          <w:p w14:paraId="101280A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noWrap/>
            <w:vAlign w:val="bottom"/>
            <w:hideMark/>
          </w:tcPr>
          <w:p w14:paraId="30DF1DA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r>
      <w:tr w:rsidR="00D91E8B" w:rsidRPr="00D91E8B" w14:paraId="4205EEB9" w14:textId="77777777" w:rsidTr="00D91E8B">
        <w:trPr>
          <w:trHeight w:val="270"/>
          <w:jc w:val="center"/>
        </w:trPr>
        <w:tc>
          <w:tcPr>
            <w:tcW w:w="3100" w:type="dxa"/>
            <w:tcBorders>
              <w:top w:val="nil"/>
              <w:left w:val="nil"/>
              <w:bottom w:val="nil"/>
              <w:right w:val="nil"/>
            </w:tcBorders>
            <w:shd w:val="clear" w:color="auto" w:fill="auto"/>
            <w:vAlign w:val="center"/>
            <w:hideMark/>
          </w:tcPr>
          <w:p w14:paraId="2AE850FB"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FDI levels</w:t>
            </w:r>
          </w:p>
        </w:tc>
        <w:tc>
          <w:tcPr>
            <w:tcW w:w="1020" w:type="dxa"/>
            <w:tcBorders>
              <w:top w:val="nil"/>
              <w:left w:val="nil"/>
              <w:bottom w:val="nil"/>
              <w:right w:val="nil"/>
            </w:tcBorders>
            <w:shd w:val="clear" w:color="auto" w:fill="auto"/>
            <w:vAlign w:val="center"/>
            <w:hideMark/>
          </w:tcPr>
          <w:p w14:paraId="2D776DF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0.05**</w:t>
            </w:r>
          </w:p>
        </w:tc>
        <w:tc>
          <w:tcPr>
            <w:tcW w:w="1020" w:type="dxa"/>
            <w:tcBorders>
              <w:top w:val="nil"/>
              <w:left w:val="nil"/>
              <w:bottom w:val="nil"/>
              <w:right w:val="nil"/>
            </w:tcBorders>
            <w:shd w:val="clear" w:color="auto" w:fill="auto"/>
            <w:vAlign w:val="center"/>
            <w:hideMark/>
          </w:tcPr>
          <w:p w14:paraId="59C3AE0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vAlign w:val="center"/>
            <w:hideMark/>
          </w:tcPr>
          <w:p w14:paraId="42F8D71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vAlign w:val="center"/>
            <w:hideMark/>
          </w:tcPr>
          <w:p w14:paraId="5F60EAF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vAlign w:val="center"/>
            <w:hideMark/>
          </w:tcPr>
          <w:p w14:paraId="2423F75B"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120" w:type="dxa"/>
            <w:tcBorders>
              <w:top w:val="nil"/>
              <w:left w:val="nil"/>
              <w:bottom w:val="nil"/>
              <w:right w:val="nil"/>
            </w:tcBorders>
            <w:shd w:val="clear" w:color="auto" w:fill="auto"/>
            <w:vAlign w:val="center"/>
            <w:hideMark/>
          </w:tcPr>
          <w:p w14:paraId="12D512D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noWrap/>
            <w:vAlign w:val="bottom"/>
            <w:hideMark/>
          </w:tcPr>
          <w:p w14:paraId="133F643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noWrap/>
            <w:vAlign w:val="bottom"/>
            <w:hideMark/>
          </w:tcPr>
          <w:p w14:paraId="01F57E9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r>
      <w:tr w:rsidR="00D91E8B" w:rsidRPr="00D91E8B" w14:paraId="50655AE8" w14:textId="77777777" w:rsidTr="00D91E8B">
        <w:trPr>
          <w:trHeight w:val="270"/>
          <w:jc w:val="center"/>
        </w:trPr>
        <w:tc>
          <w:tcPr>
            <w:tcW w:w="3100" w:type="dxa"/>
            <w:tcBorders>
              <w:top w:val="nil"/>
              <w:left w:val="nil"/>
              <w:bottom w:val="nil"/>
              <w:right w:val="nil"/>
            </w:tcBorders>
            <w:shd w:val="clear" w:color="auto" w:fill="auto"/>
            <w:vAlign w:val="center"/>
            <w:hideMark/>
          </w:tcPr>
          <w:p w14:paraId="78A40BD1"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4866554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vAlign w:val="center"/>
            <w:hideMark/>
          </w:tcPr>
          <w:p w14:paraId="18E149B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vAlign w:val="center"/>
            <w:hideMark/>
          </w:tcPr>
          <w:p w14:paraId="15D51C8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vAlign w:val="center"/>
            <w:hideMark/>
          </w:tcPr>
          <w:p w14:paraId="2BB3A82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vAlign w:val="center"/>
            <w:hideMark/>
          </w:tcPr>
          <w:p w14:paraId="2647B75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120" w:type="dxa"/>
            <w:tcBorders>
              <w:top w:val="nil"/>
              <w:left w:val="nil"/>
              <w:bottom w:val="nil"/>
              <w:right w:val="nil"/>
            </w:tcBorders>
            <w:shd w:val="clear" w:color="auto" w:fill="auto"/>
            <w:vAlign w:val="center"/>
            <w:hideMark/>
          </w:tcPr>
          <w:p w14:paraId="28515B2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noWrap/>
            <w:vAlign w:val="bottom"/>
            <w:hideMark/>
          </w:tcPr>
          <w:p w14:paraId="542292C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noWrap/>
            <w:vAlign w:val="bottom"/>
            <w:hideMark/>
          </w:tcPr>
          <w:p w14:paraId="4D65AB3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r>
      <w:tr w:rsidR="00D91E8B" w:rsidRPr="00D91E8B" w14:paraId="1997ABF2" w14:textId="77777777" w:rsidTr="00D91E8B">
        <w:trPr>
          <w:trHeight w:val="270"/>
          <w:jc w:val="center"/>
        </w:trPr>
        <w:tc>
          <w:tcPr>
            <w:tcW w:w="3100" w:type="dxa"/>
            <w:tcBorders>
              <w:top w:val="nil"/>
              <w:left w:val="nil"/>
              <w:bottom w:val="nil"/>
              <w:right w:val="nil"/>
            </w:tcBorders>
            <w:shd w:val="clear" w:color="auto" w:fill="auto"/>
            <w:vAlign w:val="center"/>
            <w:hideMark/>
          </w:tcPr>
          <w:p w14:paraId="5B5D4388"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Natural resources</w:t>
            </w:r>
          </w:p>
        </w:tc>
        <w:tc>
          <w:tcPr>
            <w:tcW w:w="1020" w:type="dxa"/>
            <w:tcBorders>
              <w:top w:val="nil"/>
              <w:left w:val="nil"/>
              <w:bottom w:val="nil"/>
              <w:right w:val="nil"/>
            </w:tcBorders>
            <w:shd w:val="clear" w:color="auto" w:fill="auto"/>
            <w:vAlign w:val="center"/>
            <w:hideMark/>
          </w:tcPr>
          <w:p w14:paraId="23F49CA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-0.03**</w:t>
            </w:r>
          </w:p>
        </w:tc>
        <w:tc>
          <w:tcPr>
            <w:tcW w:w="1020" w:type="dxa"/>
            <w:tcBorders>
              <w:top w:val="nil"/>
              <w:left w:val="nil"/>
              <w:bottom w:val="nil"/>
              <w:right w:val="nil"/>
            </w:tcBorders>
            <w:shd w:val="clear" w:color="auto" w:fill="auto"/>
            <w:vAlign w:val="center"/>
            <w:hideMark/>
          </w:tcPr>
          <w:p w14:paraId="7A2ADA9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vAlign w:val="center"/>
            <w:hideMark/>
          </w:tcPr>
          <w:p w14:paraId="5910622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vAlign w:val="center"/>
            <w:hideMark/>
          </w:tcPr>
          <w:p w14:paraId="6491DB0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vAlign w:val="center"/>
            <w:hideMark/>
          </w:tcPr>
          <w:p w14:paraId="4A8BFD6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-0.05***</w:t>
            </w:r>
          </w:p>
        </w:tc>
        <w:tc>
          <w:tcPr>
            <w:tcW w:w="1120" w:type="dxa"/>
            <w:tcBorders>
              <w:top w:val="nil"/>
              <w:left w:val="nil"/>
              <w:bottom w:val="nil"/>
              <w:right w:val="nil"/>
            </w:tcBorders>
            <w:shd w:val="clear" w:color="auto" w:fill="auto"/>
            <w:vAlign w:val="center"/>
            <w:hideMark/>
          </w:tcPr>
          <w:p w14:paraId="7785F15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noWrap/>
            <w:vAlign w:val="bottom"/>
            <w:hideMark/>
          </w:tcPr>
          <w:p w14:paraId="6887D5D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c>
          <w:tcPr>
            <w:tcW w:w="1020" w:type="dxa"/>
            <w:tcBorders>
              <w:top w:val="nil"/>
              <w:left w:val="nil"/>
              <w:bottom w:val="nil"/>
              <w:right w:val="nil"/>
            </w:tcBorders>
            <w:shd w:val="clear" w:color="auto" w:fill="auto"/>
            <w:noWrap/>
            <w:vAlign w:val="bottom"/>
            <w:hideMark/>
          </w:tcPr>
          <w:p w14:paraId="3E2481E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r>
      <w:tr w:rsidR="00D91E8B" w:rsidRPr="00D91E8B" w14:paraId="76DBE191" w14:textId="77777777" w:rsidTr="00D91E8B">
        <w:trPr>
          <w:trHeight w:val="270"/>
          <w:jc w:val="center"/>
        </w:trPr>
        <w:tc>
          <w:tcPr>
            <w:tcW w:w="3100" w:type="dxa"/>
            <w:tcBorders>
              <w:top w:val="nil"/>
              <w:left w:val="nil"/>
              <w:bottom w:val="nil"/>
              <w:right w:val="nil"/>
            </w:tcBorders>
            <w:shd w:val="clear" w:color="auto" w:fill="auto"/>
            <w:vAlign w:val="center"/>
            <w:hideMark/>
          </w:tcPr>
          <w:p w14:paraId="6AAC2B84"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6A0E678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45A69A8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238424B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1F82106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5BBBD33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120" w:type="dxa"/>
            <w:tcBorders>
              <w:top w:val="nil"/>
              <w:left w:val="nil"/>
              <w:bottom w:val="nil"/>
              <w:right w:val="nil"/>
            </w:tcBorders>
            <w:shd w:val="clear" w:color="auto" w:fill="auto"/>
            <w:vAlign w:val="center"/>
            <w:hideMark/>
          </w:tcPr>
          <w:p w14:paraId="4FA2239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noWrap/>
            <w:vAlign w:val="bottom"/>
            <w:hideMark/>
          </w:tcPr>
          <w:p w14:paraId="1A3B5BE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noWrap/>
            <w:vAlign w:val="bottom"/>
            <w:hideMark/>
          </w:tcPr>
          <w:p w14:paraId="72425C4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r>
      <w:tr w:rsidR="00D91E8B" w:rsidRPr="00D91E8B" w14:paraId="15507637" w14:textId="77777777" w:rsidTr="00D91E8B">
        <w:trPr>
          <w:trHeight w:val="270"/>
          <w:jc w:val="center"/>
        </w:trPr>
        <w:tc>
          <w:tcPr>
            <w:tcW w:w="3100" w:type="dxa"/>
            <w:tcBorders>
              <w:top w:val="nil"/>
              <w:left w:val="nil"/>
              <w:bottom w:val="nil"/>
              <w:right w:val="nil"/>
            </w:tcBorders>
            <w:shd w:val="clear" w:color="auto" w:fill="auto"/>
            <w:vAlign w:val="center"/>
            <w:hideMark/>
          </w:tcPr>
          <w:p w14:paraId="6C697195"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Bilateral relations</w:t>
            </w:r>
          </w:p>
        </w:tc>
        <w:tc>
          <w:tcPr>
            <w:tcW w:w="1020" w:type="dxa"/>
            <w:tcBorders>
              <w:top w:val="nil"/>
              <w:left w:val="nil"/>
              <w:bottom w:val="nil"/>
              <w:right w:val="nil"/>
            </w:tcBorders>
            <w:shd w:val="clear" w:color="auto" w:fill="auto"/>
            <w:vAlign w:val="center"/>
            <w:hideMark/>
          </w:tcPr>
          <w:p w14:paraId="24374F5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-0.07***</w:t>
            </w:r>
          </w:p>
        </w:tc>
        <w:tc>
          <w:tcPr>
            <w:tcW w:w="1020" w:type="dxa"/>
            <w:tcBorders>
              <w:top w:val="nil"/>
              <w:left w:val="nil"/>
              <w:bottom w:val="nil"/>
              <w:right w:val="nil"/>
            </w:tcBorders>
            <w:shd w:val="clear" w:color="auto" w:fill="auto"/>
            <w:vAlign w:val="center"/>
            <w:hideMark/>
          </w:tcPr>
          <w:p w14:paraId="78EBEAA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-0.03 </w:t>
            </w:r>
          </w:p>
        </w:tc>
        <w:tc>
          <w:tcPr>
            <w:tcW w:w="1020" w:type="dxa"/>
            <w:tcBorders>
              <w:top w:val="nil"/>
              <w:left w:val="nil"/>
              <w:bottom w:val="nil"/>
              <w:right w:val="nil"/>
            </w:tcBorders>
            <w:shd w:val="clear" w:color="auto" w:fill="auto"/>
            <w:vAlign w:val="center"/>
            <w:hideMark/>
          </w:tcPr>
          <w:p w14:paraId="0D9653B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-0.03 </w:t>
            </w:r>
          </w:p>
        </w:tc>
        <w:tc>
          <w:tcPr>
            <w:tcW w:w="1020" w:type="dxa"/>
            <w:tcBorders>
              <w:top w:val="nil"/>
              <w:left w:val="nil"/>
              <w:bottom w:val="nil"/>
              <w:right w:val="nil"/>
            </w:tcBorders>
            <w:shd w:val="clear" w:color="auto" w:fill="auto"/>
            <w:vAlign w:val="center"/>
            <w:hideMark/>
          </w:tcPr>
          <w:p w14:paraId="5B16C3A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-0.03 </w:t>
            </w:r>
          </w:p>
        </w:tc>
        <w:tc>
          <w:tcPr>
            <w:tcW w:w="1020" w:type="dxa"/>
            <w:tcBorders>
              <w:top w:val="nil"/>
              <w:left w:val="nil"/>
              <w:bottom w:val="nil"/>
              <w:right w:val="nil"/>
            </w:tcBorders>
            <w:shd w:val="clear" w:color="auto" w:fill="auto"/>
            <w:vAlign w:val="center"/>
            <w:hideMark/>
          </w:tcPr>
          <w:p w14:paraId="135C1F7B"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-0.03 </w:t>
            </w:r>
          </w:p>
        </w:tc>
        <w:tc>
          <w:tcPr>
            <w:tcW w:w="1120" w:type="dxa"/>
            <w:tcBorders>
              <w:top w:val="nil"/>
              <w:left w:val="nil"/>
              <w:bottom w:val="nil"/>
              <w:right w:val="nil"/>
            </w:tcBorders>
            <w:shd w:val="clear" w:color="auto" w:fill="auto"/>
            <w:vAlign w:val="center"/>
            <w:hideMark/>
          </w:tcPr>
          <w:p w14:paraId="50306E4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-0.03 </w:t>
            </w:r>
          </w:p>
        </w:tc>
        <w:tc>
          <w:tcPr>
            <w:tcW w:w="1020" w:type="dxa"/>
            <w:tcBorders>
              <w:top w:val="nil"/>
              <w:left w:val="nil"/>
              <w:bottom w:val="nil"/>
              <w:right w:val="nil"/>
            </w:tcBorders>
            <w:shd w:val="clear" w:color="auto" w:fill="auto"/>
            <w:noWrap/>
            <w:vAlign w:val="bottom"/>
            <w:hideMark/>
          </w:tcPr>
          <w:p w14:paraId="6D0457C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-0.07***</w:t>
            </w:r>
          </w:p>
        </w:tc>
        <w:tc>
          <w:tcPr>
            <w:tcW w:w="1020" w:type="dxa"/>
            <w:tcBorders>
              <w:top w:val="nil"/>
              <w:left w:val="nil"/>
              <w:bottom w:val="nil"/>
              <w:right w:val="nil"/>
            </w:tcBorders>
            <w:shd w:val="clear" w:color="auto" w:fill="auto"/>
            <w:noWrap/>
            <w:vAlign w:val="bottom"/>
            <w:hideMark/>
          </w:tcPr>
          <w:p w14:paraId="5AA8B5B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-0.04*</w:t>
            </w:r>
          </w:p>
        </w:tc>
      </w:tr>
      <w:tr w:rsidR="00D91E8B" w:rsidRPr="00D91E8B" w14:paraId="28F3B290" w14:textId="77777777" w:rsidTr="00D91E8B">
        <w:trPr>
          <w:trHeight w:val="270"/>
          <w:jc w:val="center"/>
        </w:trPr>
        <w:tc>
          <w:tcPr>
            <w:tcW w:w="3100" w:type="dxa"/>
            <w:tcBorders>
              <w:top w:val="nil"/>
              <w:left w:val="nil"/>
              <w:bottom w:val="nil"/>
              <w:right w:val="nil"/>
            </w:tcBorders>
            <w:shd w:val="clear" w:color="auto" w:fill="auto"/>
            <w:vAlign w:val="center"/>
            <w:hideMark/>
          </w:tcPr>
          <w:p w14:paraId="4AD3E70F"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3E54047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vAlign w:val="center"/>
            <w:hideMark/>
          </w:tcPr>
          <w:p w14:paraId="383B1C4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vAlign w:val="center"/>
            <w:hideMark/>
          </w:tcPr>
          <w:p w14:paraId="4EB960C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vAlign w:val="center"/>
            <w:hideMark/>
          </w:tcPr>
          <w:p w14:paraId="38C1C17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vAlign w:val="center"/>
            <w:hideMark/>
          </w:tcPr>
          <w:p w14:paraId="7C2743D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120" w:type="dxa"/>
            <w:tcBorders>
              <w:top w:val="nil"/>
              <w:left w:val="nil"/>
              <w:bottom w:val="nil"/>
              <w:right w:val="nil"/>
            </w:tcBorders>
            <w:shd w:val="clear" w:color="auto" w:fill="auto"/>
            <w:vAlign w:val="center"/>
            <w:hideMark/>
          </w:tcPr>
          <w:p w14:paraId="0962CB5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noWrap/>
            <w:vAlign w:val="bottom"/>
            <w:hideMark/>
          </w:tcPr>
          <w:p w14:paraId="2E1F13C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c>
          <w:tcPr>
            <w:tcW w:w="1020" w:type="dxa"/>
            <w:tcBorders>
              <w:top w:val="nil"/>
              <w:left w:val="nil"/>
              <w:bottom w:val="nil"/>
              <w:right w:val="nil"/>
            </w:tcBorders>
            <w:shd w:val="clear" w:color="auto" w:fill="auto"/>
            <w:noWrap/>
            <w:vAlign w:val="bottom"/>
            <w:hideMark/>
          </w:tcPr>
          <w:p w14:paraId="7946B75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(0.02)</w:t>
            </w:r>
          </w:p>
        </w:tc>
      </w:tr>
      <w:tr w:rsidR="00D91E8B" w:rsidRPr="00D91E8B" w14:paraId="09081602" w14:textId="77777777" w:rsidTr="00D91E8B">
        <w:trPr>
          <w:trHeight w:val="270"/>
          <w:jc w:val="center"/>
        </w:trPr>
        <w:tc>
          <w:tcPr>
            <w:tcW w:w="3100" w:type="dxa"/>
            <w:tcBorders>
              <w:top w:val="nil"/>
              <w:left w:val="nil"/>
              <w:bottom w:val="nil"/>
              <w:right w:val="nil"/>
            </w:tcBorders>
            <w:shd w:val="clear" w:color="auto" w:fill="auto"/>
            <w:vAlign w:val="center"/>
            <w:hideMark/>
          </w:tcPr>
          <w:p w14:paraId="2815F5D6" w14:textId="77777777" w:rsidR="00D91E8B" w:rsidRPr="00D91E8B" w:rsidRDefault="00D91E8B" w:rsidP="00D91E8B">
            <w:pPr>
              <w:spacing w:after="0" w:line="240" w:lineRule="auto"/>
              <w:rPr>
                <w:rFonts w:eastAsia="Times New Roman"/>
                <w:b/>
                <w:bCs/>
                <w:color w:val="000000"/>
                <w:sz w:val="22"/>
                <w:szCs w:val="22"/>
              </w:rPr>
            </w:pPr>
            <w:r w:rsidRPr="00D91E8B">
              <w:rPr>
                <w:rFonts w:eastAsia="Times New Roman"/>
                <w:b/>
                <w:bCs/>
                <w:color w:val="000000"/>
                <w:sz w:val="22"/>
                <w:szCs w:val="22"/>
              </w:rPr>
              <w:t>Firm Attributes</w:t>
            </w:r>
          </w:p>
        </w:tc>
        <w:tc>
          <w:tcPr>
            <w:tcW w:w="1020" w:type="dxa"/>
            <w:tcBorders>
              <w:top w:val="nil"/>
              <w:left w:val="nil"/>
              <w:bottom w:val="nil"/>
              <w:right w:val="nil"/>
            </w:tcBorders>
            <w:shd w:val="clear" w:color="auto" w:fill="auto"/>
            <w:vAlign w:val="center"/>
            <w:hideMark/>
          </w:tcPr>
          <w:p w14:paraId="6D84DD12" w14:textId="77777777" w:rsidR="00D91E8B" w:rsidRPr="00D91E8B" w:rsidRDefault="00D91E8B" w:rsidP="00D91E8B">
            <w:pPr>
              <w:spacing w:after="0" w:line="240" w:lineRule="auto"/>
              <w:rPr>
                <w:rFonts w:eastAsia="Times New Roman"/>
                <w:b/>
                <w:bCs/>
                <w:color w:val="000000"/>
                <w:sz w:val="22"/>
                <w:szCs w:val="22"/>
              </w:rPr>
            </w:pPr>
          </w:p>
        </w:tc>
        <w:tc>
          <w:tcPr>
            <w:tcW w:w="1020" w:type="dxa"/>
            <w:tcBorders>
              <w:top w:val="nil"/>
              <w:left w:val="nil"/>
              <w:bottom w:val="nil"/>
              <w:right w:val="nil"/>
            </w:tcBorders>
            <w:shd w:val="clear" w:color="auto" w:fill="auto"/>
            <w:vAlign w:val="center"/>
            <w:hideMark/>
          </w:tcPr>
          <w:p w14:paraId="1D21DC93"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3717AF92"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22B74869"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6C61ABD9" w14:textId="77777777" w:rsidR="00D91E8B" w:rsidRPr="00D91E8B" w:rsidRDefault="00D91E8B" w:rsidP="00D91E8B">
            <w:pPr>
              <w:spacing w:after="0" w:line="240" w:lineRule="auto"/>
              <w:jc w:val="center"/>
              <w:rPr>
                <w:rFonts w:eastAsia="Times New Roman"/>
                <w:sz w:val="20"/>
                <w:szCs w:val="20"/>
              </w:rPr>
            </w:pPr>
          </w:p>
        </w:tc>
        <w:tc>
          <w:tcPr>
            <w:tcW w:w="1120" w:type="dxa"/>
            <w:tcBorders>
              <w:top w:val="nil"/>
              <w:left w:val="nil"/>
              <w:bottom w:val="nil"/>
              <w:right w:val="nil"/>
            </w:tcBorders>
            <w:shd w:val="clear" w:color="auto" w:fill="auto"/>
            <w:vAlign w:val="center"/>
            <w:hideMark/>
          </w:tcPr>
          <w:p w14:paraId="7A0A9D83"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0449AA32"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19130088" w14:textId="77777777" w:rsidR="00D91E8B" w:rsidRPr="00D91E8B" w:rsidRDefault="00D91E8B" w:rsidP="00D91E8B">
            <w:pPr>
              <w:spacing w:after="0" w:line="240" w:lineRule="auto"/>
              <w:rPr>
                <w:rFonts w:eastAsia="Times New Roman"/>
                <w:sz w:val="20"/>
                <w:szCs w:val="20"/>
              </w:rPr>
            </w:pPr>
          </w:p>
        </w:tc>
      </w:tr>
      <w:tr w:rsidR="00D91E8B" w:rsidRPr="00D91E8B" w14:paraId="7CF898B2" w14:textId="77777777" w:rsidTr="00D91E8B">
        <w:trPr>
          <w:trHeight w:val="270"/>
          <w:jc w:val="center"/>
        </w:trPr>
        <w:tc>
          <w:tcPr>
            <w:tcW w:w="3100" w:type="dxa"/>
            <w:tcBorders>
              <w:top w:val="nil"/>
              <w:left w:val="nil"/>
              <w:bottom w:val="nil"/>
              <w:right w:val="nil"/>
            </w:tcBorders>
            <w:shd w:val="clear" w:color="auto" w:fill="auto"/>
            <w:vAlign w:val="center"/>
            <w:hideMark/>
          </w:tcPr>
          <w:p w14:paraId="164111D6"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Total assets</w:t>
            </w:r>
          </w:p>
        </w:tc>
        <w:tc>
          <w:tcPr>
            <w:tcW w:w="1020" w:type="dxa"/>
            <w:tcBorders>
              <w:top w:val="nil"/>
              <w:left w:val="nil"/>
              <w:bottom w:val="nil"/>
              <w:right w:val="nil"/>
            </w:tcBorders>
            <w:shd w:val="clear" w:color="auto" w:fill="auto"/>
            <w:vAlign w:val="center"/>
            <w:hideMark/>
          </w:tcPr>
          <w:p w14:paraId="595600A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0.11 </w:t>
            </w:r>
          </w:p>
        </w:tc>
        <w:tc>
          <w:tcPr>
            <w:tcW w:w="1020" w:type="dxa"/>
            <w:tcBorders>
              <w:top w:val="nil"/>
              <w:left w:val="nil"/>
              <w:bottom w:val="nil"/>
              <w:right w:val="nil"/>
            </w:tcBorders>
            <w:shd w:val="clear" w:color="auto" w:fill="auto"/>
            <w:vAlign w:val="center"/>
            <w:hideMark/>
          </w:tcPr>
          <w:p w14:paraId="5364E70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0.02 </w:t>
            </w:r>
          </w:p>
        </w:tc>
        <w:tc>
          <w:tcPr>
            <w:tcW w:w="1020" w:type="dxa"/>
            <w:tcBorders>
              <w:top w:val="nil"/>
              <w:left w:val="nil"/>
              <w:bottom w:val="nil"/>
              <w:right w:val="nil"/>
            </w:tcBorders>
            <w:shd w:val="clear" w:color="auto" w:fill="auto"/>
            <w:vAlign w:val="center"/>
            <w:hideMark/>
          </w:tcPr>
          <w:p w14:paraId="6100E7B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0.04 </w:t>
            </w:r>
          </w:p>
        </w:tc>
        <w:tc>
          <w:tcPr>
            <w:tcW w:w="1020" w:type="dxa"/>
            <w:tcBorders>
              <w:top w:val="nil"/>
              <w:left w:val="nil"/>
              <w:bottom w:val="nil"/>
              <w:right w:val="nil"/>
            </w:tcBorders>
            <w:shd w:val="clear" w:color="auto" w:fill="auto"/>
            <w:vAlign w:val="center"/>
            <w:hideMark/>
          </w:tcPr>
          <w:p w14:paraId="7AC72DD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0.01 </w:t>
            </w:r>
          </w:p>
        </w:tc>
        <w:tc>
          <w:tcPr>
            <w:tcW w:w="1020" w:type="dxa"/>
            <w:tcBorders>
              <w:top w:val="nil"/>
              <w:left w:val="nil"/>
              <w:bottom w:val="nil"/>
              <w:right w:val="nil"/>
            </w:tcBorders>
            <w:shd w:val="clear" w:color="auto" w:fill="auto"/>
            <w:vAlign w:val="center"/>
            <w:hideMark/>
          </w:tcPr>
          <w:p w14:paraId="4635F4A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0.05 </w:t>
            </w:r>
          </w:p>
        </w:tc>
        <w:tc>
          <w:tcPr>
            <w:tcW w:w="1120" w:type="dxa"/>
            <w:tcBorders>
              <w:top w:val="nil"/>
              <w:left w:val="nil"/>
              <w:bottom w:val="nil"/>
              <w:right w:val="nil"/>
            </w:tcBorders>
            <w:shd w:val="clear" w:color="auto" w:fill="auto"/>
            <w:vAlign w:val="center"/>
            <w:hideMark/>
          </w:tcPr>
          <w:p w14:paraId="1EF6C3CB"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0.03 </w:t>
            </w:r>
          </w:p>
        </w:tc>
        <w:tc>
          <w:tcPr>
            <w:tcW w:w="1020" w:type="dxa"/>
            <w:tcBorders>
              <w:top w:val="nil"/>
              <w:left w:val="nil"/>
              <w:bottom w:val="nil"/>
              <w:right w:val="nil"/>
            </w:tcBorders>
            <w:shd w:val="clear" w:color="auto" w:fill="auto"/>
            <w:noWrap/>
            <w:vAlign w:val="bottom"/>
            <w:hideMark/>
          </w:tcPr>
          <w:p w14:paraId="7BC20D8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-0.08 </w:t>
            </w:r>
          </w:p>
        </w:tc>
        <w:tc>
          <w:tcPr>
            <w:tcW w:w="1020" w:type="dxa"/>
            <w:tcBorders>
              <w:top w:val="nil"/>
              <w:left w:val="nil"/>
              <w:bottom w:val="nil"/>
              <w:right w:val="nil"/>
            </w:tcBorders>
            <w:shd w:val="clear" w:color="auto" w:fill="auto"/>
            <w:noWrap/>
            <w:vAlign w:val="bottom"/>
            <w:hideMark/>
          </w:tcPr>
          <w:p w14:paraId="5E8DB22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-0.04 </w:t>
            </w:r>
          </w:p>
        </w:tc>
      </w:tr>
      <w:tr w:rsidR="00D91E8B" w:rsidRPr="00D91E8B" w14:paraId="6BA80D17" w14:textId="77777777" w:rsidTr="00D91E8B">
        <w:trPr>
          <w:trHeight w:val="270"/>
          <w:jc w:val="center"/>
        </w:trPr>
        <w:tc>
          <w:tcPr>
            <w:tcW w:w="3100" w:type="dxa"/>
            <w:tcBorders>
              <w:top w:val="nil"/>
              <w:left w:val="nil"/>
              <w:bottom w:val="nil"/>
              <w:right w:val="nil"/>
            </w:tcBorders>
            <w:shd w:val="clear" w:color="auto" w:fill="auto"/>
            <w:vAlign w:val="center"/>
            <w:hideMark/>
          </w:tcPr>
          <w:p w14:paraId="6806E1A4"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6B0B4FE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(0.25)</w:t>
            </w:r>
          </w:p>
        </w:tc>
        <w:tc>
          <w:tcPr>
            <w:tcW w:w="1020" w:type="dxa"/>
            <w:tcBorders>
              <w:top w:val="nil"/>
              <w:left w:val="nil"/>
              <w:bottom w:val="nil"/>
              <w:right w:val="nil"/>
            </w:tcBorders>
            <w:shd w:val="clear" w:color="auto" w:fill="auto"/>
            <w:vAlign w:val="center"/>
            <w:hideMark/>
          </w:tcPr>
          <w:p w14:paraId="2C045BE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(0.25)</w:t>
            </w:r>
          </w:p>
        </w:tc>
        <w:tc>
          <w:tcPr>
            <w:tcW w:w="1020" w:type="dxa"/>
            <w:tcBorders>
              <w:top w:val="nil"/>
              <w:left w:val="nil"/>
              <w:bottom w:val="nil"/>
              <w:right w:val="nil"/>
            </w:tcBorders>
            <w:shd w:val="clear" w:color="auto" w:fill="auto"/>
            <w:vAlign w:val="center"/>
            <w:hideMark/>
          </w:tcPr>
          <w:p w14:paraId="3E45AB5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(0.25)</w:t>
            </w:r>
          </w:p>
        </w:tc>
        <w:tc>
          <w:tcPr>
            <w:tcW w:w="1020" w:type="dxa"/>
            <w:tcBorders>
              <w:top w:val="nil"/>
              <w:left w:val="nil"/>
              <w:bottom w:val="nil"/>
              <w:right w:val="nil"/>
            </w:tcBorders>
            <w:shd w:val="clear" w:color="auto" w:fill="auto"/>
            <w:vAlign w:val="center"/>
            <w:hideMark/>
          </w:tcPr>
          <w:p w14:paraId="11CC0CD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(0.25)</w:t>
            </w:r>
          </w:p>
        </w:tc>
        <w:tc>
          <w:tcPr>
            <w:tcW w:w="1020" w:type="dxa"/>
            <w:tcBorders>
              <w:top w:val="nil"/>
              <w:left w:val="nil"/>
              <w:bottom w:val="nil"/>
              <w:right w:val="nil"/>
            </w:tcBorders>
            <w:shd w:val="clear" w:color="auto" w:fill="auto"/>
            <w:vAlign w:val="center"/>
            <w:hideMark/>
          </w:tcPr>
          <w:p w14:paraId="5C14755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(0.25)</w:t>
            </w:r>
          </w:p>
        </w:tc>
        <w:tc>
          <w:tcPr>
            <w:tcW w:w="1120" w:type="dxa"/>
            <w:tcBorders>
              <w:top w:val="nil"/>
              <w:left w:val="nil"/>
              <w:bottom w:val="nil"/>
              <w:right w:val="nil"/>
            </w:tcBorders>
            <w:shd w:val="clear" w:color="auto" w:fill="auto"/>
            <w:vAlign w:val="center"/>
            <w:hideMark/>
          </w:tcPr>
          <w:p w14:paraId="17E61BB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(0.25)</w:t>
            </w:r>
          </w:p>
        </w:tc>
        <w:tc>
          <w:tcPr>
            <w:tcW w:w="1020" w:type="dxa"/>
            <w:tcBorders>
              <w:top w:val="nil"/>
              <w:left w:val="nil"/>
              <w:bottom w:val="nil"/>
              <w:right w:val="nil"/>
            </w:tcBorders>
            <w:shd w:val="clear" w:color="auto" w:fill="auto"/>
            <w:noWrap/>
            <w:vAlign w:val="bottom"/>
            <w:hideMark/>
          </w:tcPr>
          <w:p w14:paraId="71C118A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(0.14)</w:t>
            </w:r>
          </w:p>
        </w:tc>
        <w:tc>
          <w:tcPr>
            <w:tcW w:w="1020" w:type="dxa"/>
            <w:tcBorders>
              <w:top w:val="nil"/>
              <w:left w:val="nil"/>
              <w:bottom w:val="nil"/>
              <w:right w:val="nil"/>
            </w:tcBorders>
            <w:shd w:val="clear" w:color="auto" w:fill="auto"/>
            <w:noWrap/>
            <w:vAlign w:val="bottom"/>
            <w:hideMark/>
          </w:tcPr>
          <w:p w14:paraId="17DBF08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(0.25)</w:t>
            </w:r>
          </w:p>
        </w:tc>
      </w:tr>
      <w:tr w:rsidR="00D91E8B" w:rsidRPr="00D91E8B" w14:paraId="177EBD69" w14:textId="77777777" w:rsidTr="00D91E8B">
        <w:trPr>
          <w:trHeight w:val="270"/>
          <w:jc w:val="center"/>
        </w:trPr>
        <w:tc>
          <w:tcPr>
            <w:tcW w:w="3100" w:type="dxa"/>
            <w:tcBorders>
              <w:top w:val="nil"/>
              <w:left w:val="nil"/>
              <w:bottom w:val="nil"/>
              <w:right w:val="nil"/>
            </w:tcBorders>
            <w:shd w:val="clear" w:color="auto" w:fill="auto"/>
            <w:vAlign w:val="center"/>
            <w:hideMark/>
          </w:tcPr>
          <w:p w14:paraId="290B0A37"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ROA</w:t>
            </w:r>
          </w:p>
        </w:tc>
        <w:tc>
          <w:tcPr>
            <w:tcW w:w="1020" w:type="dxa"/>
            <w:tcBorders>
              <w:top w:val="nil"/>
              <w:left w:val="nil"/>
              <w:bottom w:val="nil"/>
              <w:right w:val="nil"/>
            </w:tcBorders>
            <w:shd w:val="clear" w:color="auto" w:fill="auto"/>
            <w:vAlign w:val="center"/>
            <w:hideMark/>
          </w:tcPr>
          <w:p w14:paraId="2793B85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-0.50</w:t>
            </w:r>
          </w:p>
        </w:tc>
        <w:tc>
          <w:tcPr>
            <w:tcW w:w="1020" w:type="dxa"/>
            <w:tcBorders>
              <w:top w:val="nil"/>
              <w:left w:val="nil"/>
              <w:bottom w:val="nil"/>
              <w:right w:val="nil"/>
            </w:tcBorders>
            <w:shd w:val="clear" w:color="auto" w:fill="auto"/>
            <w:vAlign w:val="center"/>
            <w:hideMark/>
          </w:tcPr>
          <w:p w14:paraId="6913018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-0.86</w:t>
            </w:r>
          </w:p>
        </w:tc>
        <w:tc>
          <w:tcPr>
            <w:tcW w:w="1020" w:type="dxa"/>
            <w:tcBorders>
              <w:top w:val="nil"/>
              <w:left w:val="nil"/>
              <w:bottom w:val="nil"/>
              <w:right w:val="nil"/>
            </w:tcBorders>
            <w:shd w:val="clear" w:color="auto" w:fill="auto"/>
            <w:vAlign w:val="center"/>
            <w:hideMark/>
          </w:tcPr>
          <w:p w14:paraId="192F36F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-0.82</w:t>
            </w:r>
          </w:p>
        </w:tc>
        <w:tc>
          <w:tcPr>
            <w:tcW w:w="1020" w:type="dxa"/>
            <w:tcBorders>
              <w:top w:val="nil"/>
              <w:left w:val="nil"/>
              <w:bottom w:val="nil"/>
              <w:right w:val="nil"/>
            </w:tcBorders>
            <w:shd w:val="clear" w:color="auto" w:fill="auto"/>
            <w:vAlign w:val="center"/>
            <w:hideMark/>
          </w:tcPr>
          <w:p w14:paraId="435BA8A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-0.85</w:t>
            </w:r>
          </w:p>
        </w:tc>
        <w:tc>
          <w:tcPr>
            <w:tcW w:w="1020" w:type="dxa"/>
            <w:tcBorders>
              <w:top w:val="nil"/>
              <w:left w:val="nil"/>
              <w:bottom w:val="nil"/>
              <w:right w:val="nil"/>
            </w:tcBorders>
            <w:shd w:val="clear" w:color="auto" w:fill="auto"/>
            <w:vAlign w:val="center"/>
            <w:hideMark/>
          </w:tcPr>
          <w:p w14:paraId="2E61ADC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-0.85</w:t>
            </w:r>
          </w:p>
        </w:tc>
        <w:tc>
          <w:tcPr>
            <w:tcW w:w="1120" w:type="dxa"/>
            <w:tcBorders>
              <w:top w:val="nil"/>
              <w:left w:val="nil"/>
              <w:bottom w:val="nil"/>
              <w:right w:val="nil"/>
            </w:tcBorders>
            <w:shd w:val="clear" w:color="auto" w:fill="auto"/>
            <w:vAlign w:val="center"/>
            <w:hideMark/>
          </w:tcPr>
          <w:p w14:paraId="7453FA4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-0.85</w:t>
            </w:r>
          </w:p>
        </w:tc>
        <w:tc>
          <w:tcPr>
            <w:tcW w:w="1020" w:type="dxa"/>
            <w:tcBorders>
              <w:top w:val="nil"/>
              <w:left w:val="nil"/>
              <w:bottom w:val="nil"/>
              <w:right w:val="nil"/>
            </w:tcBorders>
            <w:shd w:val="clear" w:color="auto" w:fill="auto"/>
            <w:noWrap/>
            <w:vAlign w:val="bottom"/>
            <w:hideMark/>
          </w:tcPr>
          <w:p w14:paraId="54B5CAA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1.38</w:t>
            </w:r>
          </w:p>
        </w:tc>
        <w:tc>
          <w:tcPr>
            <w:tcW w:w="1020" w:type="dxa"/>
            <w:tcBorders>
              <w:top w:val="nil"/>
              <w:left w:val="nil"/>
              <w:bottom w:val="nil"/>
              <w:right w:val="nil"/>
            </w:tcBorders>
            <w:shd w:val="clear" w:color="auto" w:fill="auto"/>
            <w:noWrap/>
            <w:vAlign w:val="bottom"/>
            <w:hideMark/>
          </w:tcPr>
          <w:p w14:paraId="5D2CB73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0.29</w:t>
            </w:r>
          </w:p>
        </w:tc>
      </w:tr>
      <w:tr w:rsidR="00D91E8B" w:rsidRPr="00D91E8B" w14:paraId="4F3E8BA9" w14:textId="77777777" w:rsidTr="00D91E8B">
        <w:trPr>
          <w:trHeight w:val="270"/>
          <w:jc w:val="center"/>
        </w:trPr>
        <w:tc>
          <w:tcPr>
            <w:tcW w:w="3100" w:type="dxa"/>
            <w:tcBorders>
              <w:top w:val="nil"/>
              <w:left w:val="nil"/>
              <w:bottom w:val="nil"/>
              <w:right w:val="nil"/>
            </w:tcBorders>
            <w:shd w:val="clear" w:color="auto" w:fill="auto"/>
            <w:vAlign w:val="center"/>
            <w:hideMark/>
          </w:tcPr>
          <w:p w14:paraId="74353098"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3796340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(1.89)</w:t>
            </w:r>
          </w:p>
        </w:tc>
        <w:tc>
          <w:tcPr>
            <w:tcW w:w="1020" w:type="dxa"/>
            <w:tcBorders>
              <w:top w:val="nil"/>
              <w:left w:val="nil"/>
              <w:bottom w:val="nil"/>
              <w:right w:val="nil"/>
            </w:tcBorders>
            <w:shd w:val="clear" w:color="auto" w:fill="auto"/>
            <w:vAlign w:val="center"/>
            <w:hideMark/>
          </w:tcPr>
          <w:p w14:paraId="1857A1E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(1.86)</w:t>
            </w:r>
          </w:p>
        </w:tc>
        <w:tc>
          <w:tcPr>
            <w:tcW w:w="1020" w:type="dxa"/>
            <w:tcBorders>
              <w:top w:val="nil"/>
              <w:left w:val="nil"/>
              <w:bottom w:val="nil"/>
              <w:right w:val="nil"/>
            </w:tcBorders>
            <w:shd w:val="clear" w:color="auto" w:fill="auto"/>
            <w:vAlign w:val="center"/>
            <w:hideMark/>
          </w:tcPr>
          <w:p w14:paraId="74E9EF5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(1.88)</w:t>
            </w:r>
          </w:p>
        </w:tc>
        <w:tc>
          <w:tcPr>
            <w:tcW w:w="1020" w:type="dxa"/>
            <w:tcBorders>
              <w:top w:val="nil"/>
              <w:left w:val="nil"/>
              <w:bottom w:val="nil"/>
              <w:right w:val="nil"/>
            </w:tcBorders>
            <w:shd w:val="clear" w:color="auto" w:fill="auto"/>
            <w:vAlign w:val="center"/>
            <w:hideMark/>
          </w:tcPr>
          <w:p w14:paraId="4D8F6B5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(1.86)</w:t>
            </w:r>
          </w:p>
        </w:tc>
        <w:tc>
          <w:tcPr>
            <w:tcW w:w="1020" w:type="dxa"/>
            <w:tcBorders>
              <w:top w:val="nil"/>
              <w:left w:val="nil"/>
              <w:bottom w:val="nil"/>
              <w:right w:val="nil"/>
            </w:tcBorders>
            <w:shd w:val="clear" w:color="auto" w:fill="auto"/>
            <w:vAlign w:val="center"/>
            <w:hideMark/>
          </w:tcPr>
          <w:p w14:paraId="1216C6C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(1.88)</w:t>
            </w:r>
          </w:p>
        </w:tc>
        <w:tc>
          <w:tcPr>
            <w:tcW w:w="1120" w:type="dxa"/>
            <w:tcBorders>
              <w:top w:val="nil"/>
              <w:left w:val="nil"/>
              <w:bottom w:val="nil"/>
              <w:right w:val="nil"/>
            </w:tcBorders>
            <w:shd w:val="clear" w:color="auto" w:fill="auto"/>
            <w:vAlign w:val="center"/>
            <w:hideMark/>
          </w:tcPr>
          <w:p w14:paraId="0ED35FD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(1.86)</w:t>
            </w:r>
          </w:p>
        </w:tc>
        <w:tc>
          <w:tcPr>
            <w:tcW w:w="1020" w:type="dxa"/>
            <w:tcBorders>
              <w:top w:val="nil"/>
              <w:left w:val="nil"/>
              <w:bottom w:val="nil"/>
              <w:right w:val="nil"/>
            </w:tcBorders>
            <w:shd w:val="clear" w:color="auto" w:fill="auto"/>
            <w:noWrap/>
            <w:vAlign w:val="bottom"/>
            <w:hideMark/>
          </w:tcPr>
          <w:p w14:paraId="5E0F5A8B"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(1.39)</w:t>
            </w:r>
          </w:p>
        </w:tc>
        <w:tc>
          <w:tcPr>
            <w:tcW w:w="1020" w:type="dxa"/>
            <w:tcBorders>
              <w:top w:val="nil"/>
              <w:left w:val="nil"/>
              <w:bottom w:val="nil"/>
              <w:right w:val="nil"/>
            </w:tcBorders>
            <w:shd w:val="clear" w:color="auto" w:fill="auto"/>
            <w:noWrap/>
            <w:vAlign w:val="bottom"/>
            <w:hideMark/>
          </w:tcPr>
          <w:p w14:paraId="0E11783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(1.55)</w:t>
            </w:r>
          </w:p>
        </w:tc>
      </w:tr>
      <w:tr w:rsidR="00D91E8B" w:rsidRPr="00D91E8B" w14:paraId="3402D5FD" w14:textId="77777777" w:rsidTr="00D91E8B">
        <w:trPr>
          <w:trHeight w:val="270"/>
          <w:jc w:val="center"/>
        </w:trPr>
        <w:tc>
          <w:tcPr>
            <w:tcW w:w="3100" w:type="dxa"/>
            <w:tcBorders>
              <w:top w:val="nil"/>
              <w:left w:val="nil"/>
              <w:bottom w:val="nil"/>
              <w:right w:val="nil"/>
            </w:tcBorders>
            <w:shd w:val="clear" w:color="auto" w:fill="auto"/>
            <w:vAlign w:val="center"/>
            <w:hideMark/>
          </w:tcPr>
          <w:p w14:paraId="2D80A185"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FDI experience</w:t>
            </w:r>
          </w:p>
        </w:tc>
        <w:tc>
          <w:tcPr>
            <w:tcW w:w="1020" w:type="dxa"/>
            <w:tcBorders>
              <w:top w:val="nil"/>
              <w:left w:val="nil"/>
              <w:bottom w:val="nil"/>
              <w:right w:val="nil"/>
            </w:tcBorders>
            <w:shd w:val="clear" w:color="auto" w:fill="auto"/>
            <w:vAlign w:val="center"/>
            <w:hideMark/>
          </w:tcPr>
          <w:p w14:paraId="3AC13DF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2272ED9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2E12ABC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1D54C1EB"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vAlign w:val="center"/>
            <w:hideMark/>
          </w:tcPr>
          <w:p w14:paraId="57A018E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120" w:type="dxa"/>
            <w:tcBorders>
              <w:top w:val="nil"/>
              <w:left w:val="nil"/>
              <w:bottom w:val="nil"/>
              <w:right w:val="nil"/>
            </w:tcBorders>
            <w:shd w:val="clear" w:color="auto" w:fill="auto"/>
            <w:vAlign w:val="center"/>
            <w:hideMark/>
          </w:tcPr>
          <w:p w14:paraId="33E9440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0.01***</w:t>
            </w:r>
          </w:p>
        </w:tc>
        <w:tc>
          <w:tcPr>
            <w:tcW w:w="1020" w:type="dxa"/>
            <w:tcBorders>
              <w:top w:val="nil"/>
              <w:left w:val="nil"/>
              <w:bottom w:val="nil"/>
              <w:right w:val="nil"/>
            </w:tcBorders>
            <w:shd w:val="clear" w:color="auto" w:fill="auto"/>
            <w:noWrap/>
            <w:vAlign w:val="bottom"/>
            <w:hideMark/>
          </w:tcPr>
          <w:p w14:paraId="16E33A5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0.00*</w:t>
            </w:r>
          </w:p>
        </w:tc>
        <w:tc>
          <w:tcPr>
            <w:tcW w:w="1020" w:type="dxa"/>
            <w:tcBorders>
              <w:top w:val="nil"/>
              <w:left w:val="nil"/>
              <w:bottom w:val="nil"/>
              <w:right w:val="nil"/>
            </w:tcBorders>
            <w:shd w:val="clear" w:color="auto" w:fill="auto"/>
            <w:noWrap/>
            <w:vAlign w:val="bottom"/>
            <w:hideMark/>
          </w:tcPr>
          <w:p w14:paraId="2641591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0.00**</w:t>
            </w:r>
          </w:p>
        </w:tc>
      </w:tr>
      <w:tr w:rsidR="00D91E8B" w:rsidRPr="00D91E8B" w14:paraId="1AEBA2B0" w14:textId="77777777" w:rsidTr="00D91E8B">
        <w:trPr>
          <w:trHeight w:val="270"/>
          <w:jc w:val="center"/>
        </w:trPr>
        <w:tc>
          <w:tcPr>
            <w:tcW w:w="3100" w:type="dxa"/>
            <w:tcBorders>
              <w:top w:val="nil"/>
              <w:left w:val="nil"/>
              <w:bottom w:val="nil"/>
              <w:right w:val="nil"/>
            </w:tcBorders>
            <w:shd w:val="clear" w:color="auto" w:fill="auto"/>
            <w:vAlign w:val="center"/>
            <w:hideMark/>
          </w:tcPr>
          <w:p w14:paraId="6BD82B91"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5F0C3FA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(0.00)</w:t>
            </w:r>
          </w:p>
        </w:tc>
        <w:tc>
          <w:tcPr>
            <w:tcW w:w="1020" w:type="dxa"/>
            <w:tcBorders>
              <w:top w:val="nil"/>
              <w:left w:val="nil"/>
              <w:bottom w:val="nil"/>
              <w:right w:val="nil"/>
            </w:tcBorders>
            <w:shd w:val="clear" w:color="auto" w:fill="auto"/>
            <w:vAlign w:val="center"/>
            <w:hideMark/>
          </w:tcPr>
          <w:p w14:paraId="73F2CBB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(0.00)</w:t>
            </w:r>
          </w:p>
        </w:tc>
        <w:tc>
          <w:tcPr>
            <w:tcW w:w="1020" w:type="dxa"/>
            <w:tcBorders>
              <w:top w:val="nil"/>
              <w:left w:val="nil"/>
              <w:bottom w:val="nil"/>
              <w:right w:val="nil"/>
            </w:tcBorders>
            <w:shd w:val="clear" w:color="auto" w:fill="auto"/>
            <w:vAlign w:val="center"/>
            <w:hideMark/>
          </w:tcPr>
          <w:p w14:paraId="447F55A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(0.00)</w:t>
            </w:r>
          </w:p>
        </w:tc>
        <w:tc>
          <w:tcPr>
            <w:tcW w:w="1020" w:type="dxa"/>
            <w:tcBorders>
              <w:top w:val="nil"/>
              <w:left w:val="nil"/>
              <w:bottom w:val="nil"/>
              <w:right w:val="nil"/>
            </w:tcBorders>
            <w:shd w:val="clear" w:color="auto" w:fill="auto"/>
            <w:vAlign w:val="center"/>
            <w:hideMark/>
          </w:tcPr>
          <w:p w14:paraId="640687E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(0.00)</w:t>
            </w:r>
          </w:p>
        </w:tc>
        <w:tc>
          <w:tcPr>
            <w:tcW w:w="1020" w:type="dxa"/>
            <w:tcBorders>
              <w:top w:val="nil"/>
              <w:left w:val="nil"/>
              <w:bottom w:val="nil"/>
              <w:right w:val="nil"/>
            </w:tcBorders>
            <w:shd w:val="clear" w:color="auto" w:fill="auto"/>
            <w:vAlign w:val="center"/>
            <w:hideMark/>
          </w:tcPr>
          <w:p w14:paraId="6999137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(0.00)</w:t>
            </w:r>
          </w:p>
        </w:tc>
        <w:tc>
          <w:tcPr>
            <w:tcW w:w="1120" w:type="dxa"/>
            <w:tcBorders>
              <w:top w:val="nil"/>
              <w:left w:val="nil"/>
              <w:bottom w:val="nil"/>
              <w:right w:val="nil"/>
            </w:tcBorders>
            <w:shd w:val="clear" w:color="auto" w:fill="auto"/>
            <w:vAlign w:val="center"/>
            <w:hideMark/>
          </w:tcPr>
          <w:p w14:paraId="308BC46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(0.00)</w:t>
            </w:r>
          </w:p>
        </w:tc>
        <w:tc>
          <w:tcPr>
            <w:tcW w:w="1020" w:type="dxa"/>
            <w:tcBorders>
              <w:top w:val="nil"/>
              <w:left w:val="nil"/>
              <w:bottom w:val="nil"/>
              <w:right w:val="nil"/>
            </w:tcBorders>
            <w:shd w:val="clear" w:color="auto" w:fill="auto"/>
            <w:noWrap/>
            <w:vAlign w:val="bottom"/>
            <w:hideMark/>
          </w:tcPr>
          <w:p w14:paraId="7CFB2C1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(0.00)</w:t>
            </w:r>
          </w:p>
        </w:tc>
        <w:tc>
          <w:tcPr>
            <w:tcW w:w="1020" w:type="dxa"/>
            <w:tcBorders>
              <w:top w:val="nil"/>
              <w:left w:val="nil"/>
              <w:bottom w:val="nil"/>
              <w:right w:val="nil"/>
            </w:tcBorders>
            <w:shd w:val="clear" w:color="auto" w:fill="auto"/>
            <w:noWrap/>
            <w:vAlign w:val="bottom"/>
            <w:hideMark/>
          </w:tcPr>
          <w:p w14:paraId="4AD650E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(0.00)</w:t>
            </w:r>
          </w:p>
        </w:tc>
      </w:tr>
      <w:tr w:rsidR="00D91E8B" w:rsidRPr="00D91E8B" w14:paraId="75D5B0B0" w14:textId="77777777" w:rsidTr="00D91E8B">
        <w:trPr>
          <w:trHeight w:val="270"/>
          <w:jc w:val="center"/>
        </w:trPr>
        <w:tc>
          <w:tcPr>
            <w:tcW w:w="3100" w:type="dxa"/>
            <w:tcBorders>
              <w:top w:val="nil"/>
              <w:left w:val="nil"/>
              <w:bottom w:val="nil"/>
              <w:right w:val="nil"/>
            </w:tcBorders>
            <w:shd w:val="clear" w:color="auto" w:fill="auto"/>
            <w:vAlign w:val="center"/>
            <w:hideMark/>
          </w:tcPr>
          <w:p w14:paraId="5CCD06D0" w14:textId="77777777" w:rsidR="00D91E8B" w:rsidRPr="00D91E8B" w:rsidRDefault="00D91E8B" w:rsidP="00D91E8B">
            <w:pPr>
              <w:spacing w:after="0" w:line="240" w:lineRule="auto"/>
              <w:rPr>
                <w:rFonts w:eastAsia="Times New Roman"/>
                <w:b/>
                <w:bCs/>
                <w:color w:val="000000"/>
                <w:sz w:val="22"/>
                <w:szCs w:val="22"/>
              </w:rPr>
            </w:pPr>
            <w:r w:rsidRPr="00D91E8B">
              <w:rPr>
                <w:rFonts w:eastAsia="Times New Roman"/>
                <w:b/>
                <w:bCs/>
                <w:color w:val="000000"/>
                <w:sz w:val="22"/>
                <w:szCs w:val="22"/>
              </w:rPr>
              <w:t>Focal Independent Variables</w:t>
            </w:r>
          </w:p>
        </w:tc>
        <w:tc>
          <w:tcPr>
            <w:tcW w:w="1020" w:type="dxa"/>
            <w:tcBorders>
              <w:top w:val="nil"/>
              <w:left w:val="nil"/>
              <w:bottom w:val="nil"/>
              <w:right w:val="nil"/>
            </w:tcBorders>
            <w:shd w:val="clear" w:color="auto" w:fill="auto"/>
            <w:vAlign w:val="center"/>
            <w:hideMark/>
          </w:tcPr>
          <w:p w14:paraId="408B4157" w14:textId="77777777" w:rsidR="00D91E8B" w:rsidRPr="00D91E8B" w:rsidRDefault="00D91E8B" w:rsidP="00D91E8B">
            <w:pPr>
              <w:spacing w:after="0" w:line="240" w:lineRule="auto"/>
              <w:rPr>
                <w:rFonts w:eastAsia="Times New Roman"/>
                <w:b/>
                <w:bCs/>
                <w:color w:val="000000"/>
                <w:sz w:val="22"/>
                <w:szCs w:val="22"/>
              </w:rPr>
            </w:pPr>
          </w:p>
        </w:tc>
        <w:tc>
          <w:tcPr>
            <w:tcW w:w="1020" w:type="dxa"/>
            <w:tcBorders>
              <w:top w:val="nil"/>
              <w:left w:val="nil"/>
              <w:bottom w:val="nil"/>
              <w:right w:val="nil"/>
            </w:tcBorders>
            <w:shd w:val="clear" w:color="auto" w:fill="auto"/>
            <w:vAlign w:val="center"/>
            <w:hideMark/>
          </w:tcPr>
          <w:p w14:paraId="39567009"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4414E369"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7064FA53"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6CE4316B" w14:textId="77777777" w:rsidR="00D91E8B" w:rsidRPr="00D91E8B" w:rsidRDefault="00D91E8B" w:rsidP="00D91E8B">
            <w:pPr>
              <w:spacing w:after="0" w:line="240" w:lineRule="auto"/>
              <w:jc w:val="center"/>
              <w:rPr>
                <w:rFonts w:eastAsia="Times New Roman"/>
                <w:sz w:val="20"/>
                <w:szCs w:val="20"/>
              </w:rPr>
            </w:pPr>
          </w:p>
        </w:tc>
        <w:tc>
          <w:tcPr>
            <w:tcW w:w="1120" w:type="dxa"/>
            <w:tcBorders>
              <w:top w:val="nil"/>
              <w:left w:val="nil"/>
              <w:bottom w:val="nil"/>
              <w:right w:val="nil"/>
            </w:tcBorders>
            <w:shd w:val="clear" w:color="auto" w:fill="auto"/>
            <w:vAlign w:val="center"/>
            <w:hideMark/>
          </w:tcPr>
          <w:p w14:paraId="0948CC09"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48C839FB"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44651B50" w14:textId="77777777" w:rsidR="00D91E8B" w:rsidRPr="00D91E8B" w:rsidRDefault="00D91E8B" w:rsidP="00D91E8B">
            <w:pPr>
              <w:spacing w:after="0" w:line="240" w:lineRule="auto"/>
              <w:rPr>
                <w:rFonts w:eastAsia="Times New Roman"/>
                <w:sz w:val="20"/>
                <w:szCs w:val="20"/>
              </w:rPr>
            </w:pPr>
          </w:p>
        </w:tc>
      </w:tr>
      <w:tr w:rsidR="00D91E8B" w:rsidRPr="00D91E8B" w14:paraId="25E8BAF9" w14:textId="77777777" w:rsidTr="00D91E8B">
        <w:trPr>
          <w:trHeight w:val="270"/>
          <w:jc w:val="center"/>
        </w:trPr>
        <w:tc>
          <w:tcPr>
            <w:tcW w:w="3100" w:type="dxa"/>
            <w:tcBorders>
              <w:top w:val="nil"/>
              <w:left w:val="nil"/>
              <w:bottom w:val="nil"/>
              <w:right w:val="nil"/>
            </w:tcBorders>
            <w:shd w:val="clear" w:color="auto" w:fill="auto"/>
            <w:vAlign w:val="center"/>
            <w:hideMark/>
          </w:tcPr>
          <w:p w14:paraId="21E84DF8"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King's foreign honors</w:t>
            </w:r>
          </w:p>
        </w:tc>
        <w:tc>
          <w:tcPr>
            <w:tcW w:w="1020" w:type="dxa"/>
            <w:tcBorders>
              <w:top w:val="nil"/>
              <w:left w:val="nil"/>
              <w:bottom w:val="nil"/>
              <w:right w:val="nil"/>
            </w:tcBorders>
            <w:shd w:val="clear" w:color="auto" w:fill="auto"/>
            <w:vAlign w:val="center"/>
            <w:hideMark/>
          </w:tcPr>
          <w:p w14:paraId="6803EAA6" w14:textId="77777777" w:rsidR="00D91E8B" w:rsidRPr="00D91E8B" w:rsidRDefault="00D91E8B" w:rsidP="00D91E8B">
            <w:pPr>
              <w:spacing w:after="0" w:line="240" w:lineRule="auto"/>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794DCE0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0.03 </w:t>
            </w:r>
          </w:p>
        </w:tc>
        <w:tc>
          <w:tcPr>
            <w:tcW w:w="1020" w:type="dxa"/>
            <w:tcBorders>
              <w:top w:val="nil"/>
              <w:left w:val="nil"/>
              <w:bottom w:val="nil"/>
              <w:right w:val="nil"/>
            </w:tcBorders>
            <w:shd w:val="clear" w:color="auto" w:fill="auto"/>
            <w:vAlign w:val="center"/>
            <w:hideMark/>
          </w:tcPr>
          <w:p w14:paraId="38E6AA3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0.04 </w:t>
            </w:r>
          </w:p>
        </w:tc>
        <w:tc>
          <w:tcPr>
            <w:tcW w:w="1020" w:type="dxa"/>
            <w:tcBorders>
              <w:top w:val="nil"/>
              <w:left w:val="nil"/>
              <w:bottom w:val="nil"/>
              <w:right w:val="nil"/>
            </w:tcBorders>
            <w:shd w:val="clear" w:color="auto" w:fill="auto"/>
            <w:vAlign w:val="center"/>
            <w:hideMark/>
          </w:tcPr>
          <w:p w14:paraId="041C72D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0.03 </w:t>
            </w:r>
          </w:p>
        </w:tc>
        <w:tc>
          <w:tcPr>
            <w:tcW w:w="1020" w:type="dxa"/>
            <w:tcBorders>
              <w:top w:val="nil"/>
              <w:left w:val="nil"/>
              <w:bottom w:val="nil"/>
              <w:right w:val="nil"/>
            </w:tcBorders>
            <w:shd w:val="clear" w:color="auto" w:fill="auto"/>
            <w:vAlign w:val="center"/>
            <w:hideMark/>
          </w:tcPr>
          <w:p w14:paraId="526F90A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0.05 </w:t>
            </w:r>
          </w:p>
        </w:tc>
        <w:tc>
          <w:tcPr>
            <w:tcW w:w="1120" w:type="dxa"/>
            <w:tcBorders>
              <w:top w:val="nil"/>
              <w:left w:val="nil"/>
              <w:bottom w:val="nil"/>
              <w:right w:val="nil"/>
            </w:tcBorders>
            <w:shd w:val="clear" w:color="auto" w:fill="auto"/>
            <w:vAlign w:val="center"/>
            <w:hideMark/>
          </w:tcPr>
          <w:p w14:paraId="1D0D46F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0.02 </w:t>
            </w:r>
          </w:p>
        </w:tc>
        <w:tc>
          <w:tcPr>
            <w:tcW w:w="1020" w:type="dxa"/>
            <w:tcBorders>
              <w:top w:val="nil"/>
              <w:left w:val="nil"/>
              <w:bottom w:val="nil"/>
              <w:right w:val="nil"/>
            </w:tcBorders>
            <w:shd w:val="clear" w:color="auto" w:fill="auto"/>
            <w:noWrap/>
            <w:vAlign w:val="bottom"/>
            <w:hideMark/>
          </w:tcPr>
          <w:p w14:paraId="2169161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0.06 </w:t>
            </w:r>
          </w:p>
        </w:tc>
        <w:tc>
          <w:tcPr>
            <w:tcW w:w="1020" w:type="dxa"/>
            <w:tcBorders>
              <w:top w:val="nil"/>
              <w:left w:val="nil"/>
              <w:bottom w:val="nil"/>
              <w:right w:val="nil"/>
            </w:tcBorders>
            <w:shd w:val="clear" w:color="auto" w:fill="auto"/>
            <w:noWrap/>
            <w:vAlign w:val="bottom"/>
            <w:hideMark/>
          </w:tcPr>
          <w:p w14:paraId="5781B42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0.05 </w:t>
            </w:r>
          </w:p>
        </w:tc>
      </w:tr>
      <w:tr w:rsidR="00D91E8B" w:rsidRPr="00D91E8B" w14:paraId="31BD230B" w14:textId="77777777" w:rsidTr="00D91E8B">
        <w:trPr>
          <w:trHeight w:val="270"/>
          <w:jc w:val="center"/>
        </w:trPr>
        <w:tc>
          <w:tcPr>
            <w:tcW w:w="3100" w:type="dxa"/>
            <w:tcBorders>
              <w:top w:val="nil"/>
              <w:left w:val="nil"/>
              <w:bottom w:val="nil"/>
              <w:right w:val="nil"/>
            </w:tcBorders>
            <w:shd w:val="clear" w:color="auto" w:fill="auto"/>
            <w:vAlign w:val="center"/>
            <w:hideMark/>
          </w:tcPr>
          <w:p w14:paraId="6C599987"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4463BD4A" w14:textId="77777777" w:rsidR="00D91E8B" w:rsidRPr="00D91E8B" w:rsidRDefault="00D91E8B" w:rsidP="00D91E8B">
            <w:pPr>
              <w:spacing w:after="0" w:line="240" w:lineRule="auto"/>
              <w:rPr>
                <w:rFonts w:eastAsia="Times New Roman"/>
                <w:sz w:val="20"/>
                <w:szCs w:val="20"/>
              </w:rPr>
            </w:pPr>
          </w:p>
        </w:tc>
        <w:tc>
          <w:tcPr>
            <w:tcW w:w="1020" w:type="dxa"/>
            <w:tcBorders>
              <w:top w:val="nil"/>
              <w:left w:val="nil"/>
              <w:bottom w:val="nil"/>
              <w:right w:val="nil"/>
            </w:tcBorders>
            <w:shd w:val="clear" w:color="auto" w:fill="auto"/>
            <w:vAlign w:val="center"/>
            <w:hideMark/>
          </w:tcPr>
          <w:p w14:paraId="4161936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(0.14)</w:t>
            </w:r>
          </w:p>
        </w:tc>
        <w:tc>
          <w:tcPr>
            <w:tcW w:w="1020" w:type="dxa"/>
            <w:tcBorders>
              <w:top w:val="nil"/>
              <w:left w:val="nil"/>
              <w:bottom w:val="nil"/>
              <w:right w:val="nil"/>
            </w:tcBorders>
            <w:shd w:val="clear" w:color="auto" w:fill="auto"/>
            <w:vAlign w:val="center"/>
            <w:hideMark/>
          </w:tcPr>
          <w:p w14:paraId="5761AAB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(0.14)</w:t>
            </w:r>
          </w:p>
        </w:tc>
        <w:tc>
          <w:tcPr>
            <w:tcW w:w="1020" w:type="dxa"/>
            <w:tcBorders>
              <w:top w:val="nil"/>
              <w:left w:val="nil"/>
              <w:bottom w:val="nil"/>
              <w:right w:val="nil"/>
            </w:tcBorders>
            <w:shd w:val="clear" w:color="auto" w:fill="auto"/>
            <w:vAlign w:val="center"/>
            <w:hideMark/>
          </w:tcPr>
          <w:p w14:paraId="58E0155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(0.14)</w:t>
            </w:r>
          </w:p>
        </w:tc>
        <w:tc>
          <w:tcPr>
            <w:tcW w:w="1020" w:type="dxa"/>
            <w:tcBorders>
              <w:top w:val="nil"/>
              <w:left w:val="nil"/>
              <w:bottom w:val="nil"/>
              <w:right w:val="nil"/>
            </w:tcBorders>
            <w:shd w:val="clear" w:color="auto" w:fill="auto"/>
            <w:vAlign w:val="center"/>
            <w:hideMark/>
          </w:tcPr>
          <w:p w14:paraId="279E732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(0.14)</w:t>
            </w:r>
          </w:p>
        </w:tc>
        <w:tc>
          <w:tcPr>
            <w:tcW w:w="1120" w:type="dxa"/>
            <w:tcBorders>
              <w:top w:val="nil"/>
              <w:left w:val="nil"/>
              <w:bottom w:val="nil"/>
              <w:right w:val="nil"/>
            </w:tcBorders>
            <w:shd w:val="clear" w:color="auto" w:fill="auto"/>
            <w:vAlign w:val="center"/>
            <w:hideMark/>
          </w:tcPr>
          <w:p w14:paraId="04B592B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(0.14)</w:t>
            </w:r>
          </w:p>
        </w:tc>
        <w:tc>
          <w:tcPr>
            <w:tcW w:w="1020" w:type="dxa"/>
            <w:tcBorders>
              <w:top w:val="nil"/>
              <w:left w:val="nil"/>
              <w:bottom w:val="nil"/>
              <w:right w:val="nil"/>
            </w:tcBorders>
            <w:shd w:val="clear" w:color="auto" w:fill="auto"/>
            <w:noWrap/>
            <w:vAlign w:val="bottom"/>
            <w:hideMark/>
          </w:tcPr>
          <w:p w14:paraId="44CB2D2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(0.11)</w:t>
            </w:r>
          </w:p>
        </w:tc>
        <w:tc>
          <w:tcPr>
            <w:tcW w:w="1020" w:type="dxa"/>
            <w:tcBorders>
              <w:top w:val="nil"/>
              <w:left w:val="nil"/>
              <w:bottom w:val="nil"/>
              <w:right w:val="nil"/>
            </w:tcBorders>
            <w:shd w:val="clear" w:color="auto" w:fill="auto"/>
            <w:noWrap/>
            <w:vAlign w:val="bottom"/>
            <w:hideMark/>
          </w:tcPr>
          <w:p w14:paraId="418F4E5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(0.11)</w:t>
            </w:r>
          </w:p>
        </w:tc>
      </w:tr>
      <w:tr w:rsidR="00D91E8B" w:rsidRPr="00D91E8B" w14:paraId="317E1BC2" w14:textId="77777777" w:rsidTr="00D91E8B">
        <w:trPr>
          <w:trHeight w:val="270"/>
          <w:jc w:val="center"/>
        </w:trPr>
        <w:tc>
          <w:tcPr>
            <w:tcW w:w="3100" w:type="dxa"/>
            <w:tcBorders>
              <w:top w:val="nil"/>
              <w:left w:val="nil"/>
              <w:bottom w:val="nil"/>
              <w:right w:val="nil"/>
            </w:tcBorders>
            <w:shd w:val="clear" w:color="auto" w:fill="auto"/>
            <w:vAlign w:val="center"/>
            <w:hideMark/>
          </w:tcPr>
          <w:p w14:paraId="3FF622C1"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Prince's military influence</w:t>
            </w:r>
          </w:p>
        </w:tc>
        <w:tc>
          <w:tcPr>
            <w:tcW w:w="1020" w:type="dxa"/>
            <w:tcBorders>
              <w:top w:val="nil"/>
              <w:left w:val="nil"/>
              <w:bottom w:val="nil"/>
              <w:right w:val="nil"/>
            </w:tcBorders>
            <w:shd w:val="clear" w:color="auto" w:fill="auto"/>
            <w:vAlign w:val="center"/>
            <w:hideMark/>
          </w:tcPr>
          <w:p w14:paraId="60A02412" w14:textId="77777777" w:rsidR="00D91E8B" w:rsidRPr="00D91E8B" w:rsidRDefault="00D91E8B" w:rsidP="00D91E8B">
            <w:pPr>
              <w:spacing w:after="0" w:line="240" w:lineRule="auto"/>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7A94BE3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0.24 </w:t>
            </w:r>
          </w:p>
        </w:tc>
        <w:tc>
          <w:tcPr>
            <w:tcW w:w="1020" w:type="dxa"/>
            <w:tcBorders>
              <w:top w:val="nil"/>
              <w:left w:val="nil"/>
              <w:bottom w:val="nil"/>
              <w:right w:val="nil"/>
            </w:tcBorders>
            <w:shd w:val="clear" w:color="auto" w:fill="auto"/>
            <w:vAlign w:val="center"/>
            <w:hideMark/>
          </w:tcPr>
          <w:p w14:paraId="3751877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0.34 </w:t>
            </w:r>
          </w:p>
        </w:tc>
        <w:tc>
          <w:tcPr>
            <w:tcW w:w="1020" w:type="dxa"/>
            <w:tcBorders>
              <w:top w:val="nil"/>
              <w:left w:val="nil"/>
              <w:bottom w:val="nil"/>
              <w:right w:val="nil"/>
            </w:tcBorders>
            <w:shd w:val="clear" w:color="auto" w:fill="auto"/>
            <w:vAlign w:val="center"/>
            <w:hideMark/>
          </w:tcPr>
          <w:p w14:paraId="4DC5B68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0.25 </w:t>
            </w:r>
          </w:p>
        </w:tc>
        <w:tc>
          <w:tcPr>
            <w:tcW w:w="1020" w:type="dxa"/>
            <w:tcBorders>
              <w:top w:val="nil"/>
              <w:left w:val="nil"/>
              <w:bottom w:val="nil"/>
              <w:right w:val="nil"/>
            </w:tcBorders>
            <w:shd w:val="clear" w:color="auto" w:fill="auto"/>
            <w:vAlign w:val="center"/>
            <w:hideMark/>
          </w:tcPr>
          <w:p w14:paraId="34F7D63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0.36 </w:t>
            </w:r>
          </w:p>
        </w:tc>
        <w:tc>
          <w:tcPr>
            <w:tcW w:w="1120" w:type="dxa"/>
            <w:tcBorders>
              <w:top w:val="nil"/>
              <w:left w:val="nil"/>
              <w:bottom w:val="nil"/>
              <w:right w:val="nil"/>
            </w:tcBorders>
            <w:shd w:val="clear" w:color="auto" w:fill="auto"/>
            <w:vAlign w:val="center"/>
            <w:hideMark/>
          </w:tcPr>
          <w:p w14:paraId="22E119C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0.25 </w:t>
            </w:r>
          </w:p>
        </w:tc>
        <w:tc>
          <w:tcPr>
            <w:tcW w:w="1020" w:type="dxa"/>
            <w:tcBorders>
              <w:top w:val="nil"/>
              <w:left w:val="nil"/>
              <w:bottom w:val="nil"/>
              <w:right w:val="nil"/>
            </w:tcBorders>
            <w:shd w:val="clear" w:color="auto" w:fill="auto"/>
            <w:noWrap/>
            <w:vAlign w:val="bottom"/>
            <w:hideMark/>
          </w:tcPr>
          <w:p w14:paraId="30A5AF9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0.14 </w:t>
            </w:r>
          </w:p>
        </w:tc>
        <w:tc>
          <w:tcPr>
            <w:tcW w:w="1020" w:type="dxa"/>
            <w:tcBorders>
              <w:top w:val="nil"/>
              <w:left w:val="nil"/>
              <w:bottom w:val="nil"/>
              <w:right w:val="nil"/>
            </w:tcBorders>
            <w:shd w:val="clear" w:color="auto" w:fill="auto"/>
            <w:noWrap/>
            <w:vAlign w:val="bottom"/>
            <w:hideMark/>
          </w:tcPr>
          <w:p w14:paraId="5F4D3F3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0.24 </w:t>
            </w:r>
          </w:p>
        </w:tc>
      </w:tr>
      <w:tr w:rsidR="00D91E8B" w:rsidRPr="00D91E8B" w14:paraId="67004D34" w14:textId="77777777" w:rsidTr="00D91E8B">
        <w:trPr>
          <w:trHeight w:val="270"/>
          <w:jc w:val="center"/>
        </w:trPr>
        <w:tc>
          <w:tcPr>
            <w:tcW w:w="3100" w:type="dxa"/>
            <w:tcBorders>
              <w:top w:val="nil"/>
              <w:left w:val="nil"/>
              <w:bottom w:val="nil"/>
              <w:right w:val="nil"/>
            </w:tcBorders>
            <w:shd w:val="clear" w:color="auto" w:fill="auto"/>
            <w:vAlign w:val="center"/>
            <w:hideMark/>
          </w:tcPr>
          <w:p w14:paraId="4DFBBCF7"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4D8D2140" w14:textId="77777777" w:rsidR="00D91E8B" w:rsidRPr="00D91E8B" w:rsidRDefault="00D91E8B" w:rsidP="00D91E8B">
            <w:pPr>
              <w:spacing w:after="0" w:line="240" w:lineRule="auto"/>
              <w:rPr>
                <w:rFonts w:eastAsia="Times New Roman"/>
                <w:sz w:val="20"/>
                <w:szCs w:val="20"/>
              </w:rPr>
            </w:pPr>
          </w:p>
        </w:tc>
        <w:tc>
          <w:tcPr>
            <w:tcW w:w="1020" w:type="dxa"/>
            <w:tcBorders>
              <w:top w:val="nil"/>
              <w:left w:val="nil"/>
              <w:bottom w:val="nil"/>
              <w:right w:val="nil"/>
            </w:tcBorders>
            <w:shd w:val="clear" w:color="auto" w:fill="auto"/>
            <w:vAlign w:val="center"/>
            <w:hideMark/>
          </w:tcPr>
          <w:p w14:paraId="3A41861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(0.26)</w:t>
            </w:r>
          </w:p>
        </w:tc>
        <w:tc>
          <w:tcPr>
            <w:tcW w:w="1020" w:type="dxa"/>
            <w:tcBorders>
              <w:top w:val="nil"/>
              <w:left w:val="nil"/>
              <w:bottom w:val="nil"/>
              <w:right w:val="nil"/>
            </w:tcBorders>
            <w:shd w:val="clear" w:color="auto" w:fill="auto"/>
            <w:vAlign w:val="center"/>
            <w:hideMark/>
          </w:tcPr>
          <w:p w14:paraId="7EC110A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(0.26)</w:t>
            </w:r>
          </w:p>
        </w:tc>
        <w:tc>
          <w:tcPr>
            <w:tcW w:w="1020" w:type="dxa"/>
            <w:tcBorders>
              <w:top w:val="nil"/>
              <w:left w:val="nil"/>
              <w:bottom w:val="nil"/>
              <w:right w:val="nil"/>
            </w:tcBorders>
            <w:shd w:val="clear" w:color="auto" w:fill="auto"/>
            <w:vAlign w:val="center"/>
            <w:hideMark/>
          </w:tcPr>
          <w:p w14:paraId="4FA854F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(0.26)</w:t>
            </w:r>
          </w:p>
        </w:tc>
        <w:tc>
          <w:tcPr>
            <w:tcW w:w="1020" w:type="dxa"/>
            <w:tcBorders>
              <w:top w:val="nil"/>
              <w:left w:val="nil"/>
              <w:bottom w:val="nil"/>
              <w:right w:val="nil"/>
            </w:tcBorders>
            <w:shd w:val="clear" w:color="auto" w:fill="auto"/>
            <w:vAlign w:val="center"/>
            <w:hideMark/>
          </w:tcPr>
          <w:p w14:paraId="07CF9B0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(0.27)</w:t>
            </w:r>
          </w:p>
        </w:tc>
        <w:tc>
          <w:tcPr>
            <w:tcW w:w="1120" w:type="dxa"/>
            <w:tcBorders>
              <w:top w:val="nil"/>
              <w:left w:val="nil"/>
              <w:bottom w:val="nil"/>
              <w:right w:val="nil"/>
            </w:tcBorders>
            <w:shd w:val="clear" w:color="auto" w:fill="auto"/>
            <w:vAlign w:val="center"/>
            <w:hideMark/>
          </w:tcPr>
          <w:p w14:paraId="427A866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(0.26)</w:t>
            </w:r>
          </w:p>
        </w:tc>
        <w:tc>
          <w:tcPr>
            <w:tcW w:w="1020" w:type="dxa"/>
            <w:tcBorders>
              <w:top w:val="nil"/>
              <w:left w:val="nil"/>
              <w:bottom w:val="nil"/>
              <w:right w:val="nil"/>
            </w:tcBorders>
            <w:shd w:val="clear" w:color="auto" w:fill="auto"/>
            <w:noWrap/>
            <w:vAlign w:val="bottom"/>
            <w:hideMark/>
          </w:tcPr>
          <w:p w14:paraId="7183D03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(0.23)</w:t>
            </w:r>
          </w:p>
        </w:tc>
        <w:tc>
          <w:tcPr>
            <w:tcW w:w="1020" w:type="dxa"/>
            <w:tcBorders>
              <w:top w:val="nil"/>
              <w:left w:val="nil"/>
              <w:bottom w:val="nil"/>
              <w:right w:val="nil"/>
            </w:tcBorders>
            <w:shd w:val="clear" w:color="auto" w:fill="auto"/>
            <w:noWrap/>
            <w:vAlign w:val="bottom"/>
            <w:hideMark/>
          </w:tcPr>
          <w:p w14:paraId="68D8FA1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(0.24)</w:t>
            </w:r>
          </w:p>
        </w:tc>
      </w:tr>
      <w:tr w:rsidR="00D91E8B" w:rsidRPr="00D91E8B" w14:paraId="7EC10B7D" w14:textId="77777777" w:rsidTr="00D91E8B">
        <w:trPr>
          <w:trHeight w:val="270"/>
          <w:jc w:val="center"/>
        </w:trPr>
        <w:tc>
          <w:tcPr>
            <w:tcW w:w="3100" w:type="dxa"/>
            <w:tcBorders>
              <w:top w:val="nil"/>
              <w:left w:val="nil"/>
              <w:bottom w:val="nil"/>
              <w:right w:val="nil"/>
            </w:tcBorders>
            <w:shd w:val="clear" w:color="auto" w:fill="auto"/>
            <w:vAlign w:val="center"/>
            <w:hideMark/>
          </w:tcPr>
          <w:p w14:paraId="119EAAD8" w14:textId="77777777" w:rsidR="00D91E8B" w:rsidRPr="00D91E8B" w:rsidRDefault="00D91E8B" w:rsidP="00D91E8B">
            <w:pPr>
              <w:spacing w:after="0" w:line="240" w:lineRule="auto"/>
              <w:rPr>
                <w:rFonts w:eastAsia="Times New Roman"/>
                <w:sz w:val="22"/>
                <w:szCs w:val="22"/>
              </w:rPr>
            </w:pPr>
            <w:r w:rsidRPr="00D91E8B">
              <w:rPr>
                <w:rFonts w:eastAsia="Times New Roman"/>
                <w:sz w:val="22"/>
                <w:szCs w:val="22"/>
              </w:rPr>
              <w:t>King-Prince differences</w:t>
            </w:r>
          </w:p>
        </w:tc>
        <w:tc>
          <w:tcPr>
            <w:tcW w:w="1020" w:type="dxa"/>
            <w:tcBorders>
              <w:top w:val="nil"/>
              <w:left w:val="nil"/>
              <w:bottom w:val="nil"/>
              <w:right w:val="nil"/>
            </w:tcBorders>
            <w:shd w:val="clear" w:color="auto" w:fill="auto"/>
            <w:vAlign w:val="center"/>
            <w:hideMark/>
          </w:tcPr>
          <w:p w14:paraId="0F0CE9FA" w14:textId="77777777" w:rsidR="00D91E8B" w:rsidRPr="00D91E8B" w:rsidRDefault="00D91E8B" w:rsidP="00D91E8B">
            <w:pPr>
              <w:spacing w:after="0" w:line="240" w:lineRule="auto"/>
              <w:rPr>
                <w:rFonts w:eastAsia="Times New Roman"/>
                <w:sz w:val="22"/>
                <w:szCs w:val="22"/>
              </w:rPr>
            </w:pPr>
          </w:p>
        </w:tc>
        <w:tc>
          <w:tcPr>
            <w:tcW w:w="1020" w:type="dxa"/>
            <w:tcBorders>
              <w:top w:val="nil"/>
              <w:left w:val="nil"/>
              <w:bottom w:val="nil"/>
              <w:right w:val="nil"/>
            </w:tcBorders>
            <w:shd w:val="clear" w:color="auto" w:fill="auto"/>
            <w:vAlign w:val="center"/>
            <w:hideMark/>
          </w:tcPr>
          <w:p w14:paraId="7D78D69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-1.28***</w:t>
            </w:r>
          </w:p>
        </w:tc>
        <w:tc>
          <w:tcPr>
            <w:tcW w:w="1020" w:type="dxa"/>
            <w:tcBorders>
              <w:top w:val="nil"/>
              <w:left w:val="nil"/>
              <w:bottom w:val="nil"/>
              <w:right w:val="nil"/>
            </w:tcBorders>
            <w:shd w:val="clear" w:color="auto" w:fill="auto"/>
            <w:vAlign w:val="center"/>
            <w:hideMark/>
          </w:tcPr>
          <w:p w14:paraId="1FCC3BB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-1.43***</w:t>
            </w:r>
          </w:p>
        </w:tc>
        <w:tc>
          <w:tcPr>
            <w:tcW w:w="1020" w:type="dxa"/>
            <w:tcBorders>
              <w:top w:val="nil"/>
              <w:left w:val="nil"/>
              <w:bottom w:val="nil"/>
              <w:right w:val="nil"/>
            </w:tcBorders>
            <w:shd w:val="clear" w:color="auto" w:fill="auto"/>
            <w:vAlign w:val="center"/>
            <w:hideMark/>
          </w:tcPr>
          <w:p w14:paraId="791C8B0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-1.26***</w:t>
            </w:r>
          </w:p>
        </w:tc>
        <w:tc>
          <w:tcPr>
            <w:tcW w:w="1020" w:type="dxa"/>
            <w:tcBorders>
              <w:top w:val="nil"/>
              <w:left w:val="nil"/>
              <w:bottom w:val="nil"/>
              <w:right w:val="nil"/>
            </w:tcBorders>
            <w:shd w:val="clear" w:color="auto" w:fill="auto"/>
            <w:vAlign w:val="center"/>
            <w:hideMark/>
          </w:tcPr>
          <w:p w14:paraId="570DEB9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-1.52***</w:t>
            </w:r>
          </w:p>
        </w:tc>
        <w:tc>
          <w:tcPr>
            <w:tcW w:w="1120" w:type="dxa"/>
            <w:tcBorders>
              <w:top w:val="nil"/>
              <w:left w:val="nil"/>
              <w:bottom w:val="nil"/>
              <w:right w:val="nil"/>
            </w:tcBorders>
            <w:shd w:val="clear" w:color="auto" w:fill="auto"/>
            <w:vAlign w:val="center"/>
            <w:hideMark/>
          </w:tcPr>
          <w:p w14:paraId="4C15249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-1.28***</w:t>
            </w:r>
          </w:p>
        </w:tc>
        <w:tc>
          <w:tcPr>
            <w:tcW w:w="1020" w:type="dxa"/>
            <w:tcBorders>
              <w:top w:val="nil"/>
              <w:left w:val="nil"/>
              <w:bottom w:val="nil"/>
              <w:right w:val="nil"/>
            </w:tcBorders>
            <w:shd w:val="clear" w:color="auto" w:fill="auto"/>
            <w:noWrap/>
            <w:vAlign w:val="bottom"/>
            <w:hideMark/>
          </w:tcPr>
          <w:p w14:paraId="6229183B"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-1.26***</w:t>
            </w:r>
          </w:p>
        </w:tc>
        <w:tc>
          <w:tcPr>
            <w:tcW w:w="1020" w:type="dxa"/>
            <w:tcBorders>
              <w:top w:val="nil"/>
              <w:left w:val="nil"/>
              <w:bottom w:val="nil"/>
              <w:right w:val="nil"/>
            </w:tcBorders>
            <w:shd w:val="clear" w:color="auto" w:fill="auto"/>
            <w:noWrap/>
            <w:vAlign w:val="bottom"/>
            <w:hideMark/>
          </w:tcPr>
          <w:p w14:paraId="5D9380C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-1.32***</w:t>
            </w:r>
          </w:p>
        </w:tc>
      </w:tr>
      <w:tr w:rsidR="00D91E8B" w:rsidRPr="00D91E8B" w14:paraId="4CFE6024" w14:textId="77777777" w:rsidTr="00D91E8B">
        <w:trPr>
          <w:trHeight w:val="270"/>
          <w:jc w:val="center"/>
        </w:trPr>
        <w:tc>
          <w:tcPr>
            <w:tcW w:w="3100" w:type="dxa"/>
            <w:tcBorders>
              <w:top w:val="nil"/>
              <w:left w:val="nil"/>
              <w:bottom w:val="nil"/>
              <w:right w:val="nil"/>
            </w:tcBorders>
            <w:shd w:val="clear" w:color="auto" w:fill="auto"/>
            <w:vAlign w:val="center"/>
            <w:hideMark/>
          </w:tcPr>
          <w:p w14:paraId="4EE2C481"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6C9959B5" w14:textId="77777777" w:rsidR="00D91E8B" w:rsidRPr="00D91E8B" w:rsidRDefault="00D91E8B" w:rsidP="00D91E8B">
            <w:pPr>
              <w:spacing w:after="0" w:line="240" w:lineRule="auto"/>
              <w:rPr>
                <w:rFonts w:eastAsia="Times New Roman"/>
                <w:sz w:val="20"/>
                <w:szCs w:val="20"/>
              </w:rPr>
            </w:pPr>
          </w:p>
        </w:tc>
        <w:tc>
          <w:tcPr>
            <w:tcW w:w="1020" w:type="dxa"/>
            <w:tcBorders>
              <w:top w:val="nil"/>
              <w:left w:val="nil"/>
              <w:bottom w:val="nil"/>
              <w:right w:val="nil"/>
            </w:tcBorders>
            <w:shd w:val="clear" w:color="auto" w:fill="auto"/>
            <w:vAlign w:val="center"/>
            <w:hideMark/>
          </w:tcPr>
          <w:p w14:paraId="5213749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(0.25)</w:t>
            </w:r>
          </w:p>
        </w:tc>
        <w:tc>
          <w:tcPr>
            <w:tcW w:w="1020" w:type="dxa"/>
            <w:tcBorders>
              <w:top w:val="nil"/>
              <w:left w:val="nil"/>
              <w:bottom w:val="nil"/>
              <w:right w:val="nil"/>
            </w:tcBorders>
            <w:shd w:val="clear" w:color="auto" w:fill="auto"/>
            <w:vAlign w:val="center"/>
            <w:hideMark/>
          </w:tcPr>
          <w:p w14:paraId="4F6C4D7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(0.26)</w:t>
            </w:r>
          </w:p>
        </w:tc>
        <w:tc>
          <w:tcPr>
            <w:tcW w:w="1020" w:type="dxa"/>
            <w:tcBorders>
              <w:top w:val="nil"/>
              <w:left w:val="nil"/>
              <w:bottom w:val="nil"/>
              <w:right w:val="nil"/>
            </w:tcBorders>
            <w:shd w:val="clear" w:color="auto" w:fill="auto"/>
            <w:vAlign w:val="center"/>
            <w:hideMark/>
          </w:tcPr>
          <w:p w14:paraId="08E4F08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(0.25)</w:t>
            </w:r>
          </w:p>
        </w:tc>
        <w:tc>
          <w:tcPr>
            <w:tcW w:w="1020" w:type="dxa"/>
            <w:tcBorders>
              <w:top w:val="nil"/>
              <w:left w:val="nil"/>
              <w:bottom w:val="nil"/>
              <w:right w:val="nil"/>
            </w:tcBorders>
            <w:shd w:val="clear" w:color="auto" w:fill="auto"/>
            <w:vAlign w:val="center"/>
            <w:hideMark/>
          </w:tcPr>
          <w:p w14:paraId="51EC2F2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(0.26)</w:t>
            </w:r>
          </w:p>
        </w:tc>
        <w:tc>
          <w:tcPr>
            <w:tcW w:w="1120" w:type="dxa"/>
            <w:tcBorders>
              <w:top w:val="nil"/>
              <w:left w:val="nil"/>
              <w:bottom w:val="nil"/>
              <w:right w:val="nil"/>
            </w:tcBorders>
            <w:shd w:val="clear" w:color="auto" w:fill="auto"/>
            <w:vAlign w:val="center"/>
            <w:hideMark/>
          </w:tcPr>
          <w:p w14:paraId="6CD9C947"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(0.25)</w:t>
            </w:r>
          </w:p>
        </w:tc>
        <w:tc>
          <w:tcPr>
            <w:tcW w:w="1020" w:type="dxa"/>
            <w:tcBorders>
              <w:top w:val="nil"/>
              <w:left w:val="nil"/>
              <w:bottom w:val="nil"/>
              <w:right w:val="nil"/>
            </w:tcBorders>
            <w:shd w:val="clear" w:color="auto" w:fill="auto"/>
            <w:noWrap/>
            <w:vAlign w:val="bottom"/>
            <w:hideMark/>
          </w:tcPr>
          <w:p w14:paraId="7A0B880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(0.23)</w:t>
            </w:r>
          </w:p>
        </w:tc>
        <w:tc>
          <w:tcPr>
            <w:tcW w:w="1020" w:type="dxa"/>
            <w:tcBorders>
              <w:top w:val="nil"/>
              <w:left w:val="nil"/>
              <w:bottom w:val="nil"/>
              <w:right w:val="nil"/>
            </w:tcBorders>
            <w:shd w:val="clear" w:color="auto" w:fill="auto"/>
            <w:noWrap/>
            <w:vAlign w:val="bottom"/>
            <w:hideMark/>
          </w:tcPr>
          <w:p w14:paraId="276E494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(0.22)</w:t>
            </w:r>
          </w:p>
        </w:tc>
      </w:tr>
      <w:tr w:rsidR="00D91E8B" w:rsidRPr="00D91E8B" w14:paraId="05D40D1A" w14:textId="77777777" w:rsidTr="00D91E8B">
        <w:trPr>
          <w:trHeight w:val="270"/>
          <w:jc w:val="center"/>
        </w:trPr>
        <w:tc>
          <w:tcPr>
            <w:tcW w:w="3100" w:type="dxa"/>
            <w:tcBorders>
              <w:top w:val="nil"/>
              <w:left w:val="nil"/>
              <w:bottom w:val="nil"/>
              <w:right w:val="nil"/>
            </w:tcBorders>
            <w:shd w:val="clear" w:color="auto" w:fill="auto"/>
            <w:vAlign w:val="center"/>
            <w:hideMark/>
          </w:tcPr>
          <w:p w14:paraId="55BB3120"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Succession</w:t>
            </w:r>
          </w:p>
        </w:tc>
        <w:tc>
          <w:tcPr>
            <w:tcW w:w="1020" w:type="dxa"/>
            <w:tcBorders>
              <w:top w:val="nil"/>
              <w:left w:val="nil"/>
              <w:bottom w:val="nil"/>
              <w:right w:val="nil"/>
            </w:tcBorders>
            <w:shd w:val="clear" w:color="auto" w:fill="auto"/>
            <w:vAlign w:val="center"/>
            <w:hideMark/>
          </w:tcPr>
          <w:p w14:paraId="09586F9F" w14:textId="77777777" w:rsidR="00D91E8B" w:rsidRPr="00D91E8B" w:rsidRDefault="00D91E8B" w:rsidP="00D91E8B">
            <w:pPr>
              <w:spacing w:after="0" w:line="240" w:lineRule="auto"/>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20BED5D2"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541D8F7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-1.32**</w:t>
            </w:r>
          </w:p>
        </w:tc>
        <w:tc>
          <w:tcPr>
            <w:tcW w:w="1020" w:type="dxa"/>
            <w:tcBorders>
              <w:top w:val="nil"/>
              <w:left w:val="nil"/>
              <w:bottom w:val="nil"/>
              <w:right w:val="nil"/>
            </w:tcBorders>
            <w:shd w:val="clear" w:color="auto" w:fill="auto"/>
            <w:vAlign w:val="center"/>
            <w:hideMark/>
          </w:tcPr>
          <w:p w14:paraId="0D158839"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0E17AAD5" w14:textId="77777777" w:rsidR="00D91E8B" w:rsidRPr="00D91E8B" w:rsidRDefault="00D91E8B" w:rsidP="00D91E8B">
            <w:pPr>
              <w:spacing w:after="0" w:line="240" w:lineRule="auto"/>
              <w:jc w:val="center"/>
              <w:rPr>
                <w:rFonts w:eastAsia="Times New Roman"/>
                <w:sz w:val="20"/>
                <w:szCs w:val="20"/>
              </w:rPr>
            </w:pPr>
          </w:p>
        </w:tc>
        <w:tc>
          <w:tcPr>
            <w:tcW w:w="1120" w:type="dxa"/>
            <w:tcBorders>
              <w:top w:val="nil"/>
              <w:left w:val="nil"/>
              <w:bottom w:val="nil"/>
              <w:right w:val="nil"/>
            </w:tcBorders>
            <w:shd w:val="clear" w:color="auto" w:fill="auto"/>
            <w:vAlign w:val="center"/>
            <w:hideMark/>
          </w:tcPr>
          <w:p w14:paraId="3D0162BA"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79355FF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-0.66**</w:t>
            </w:r>
          </w:p>
        </w:tc>
        <w:tc>
          <w:tcPr>
            <w:tcW w:w="1020" w:type="dxa"/>
            <w:tcBorders>
              <w:top w:val="nil"/>
              <w:left w:val="nil"/>
              <w:bottom w:val="nil"/>
              <w:right w:val="nil"/>
            </w:tcBorders>
            <w:shd w:val="clear" w:color="auto" w:fill="auto"/>
            <w:noWrap/>
            <w:vAlign w:val="bottom"/>
            <w:hideMark/>
          </w:tcPr>
          <w:p w14:paraId="0FB09F1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-0.92**</w:t>
            </w:r>
          </w:p>
        </w:tc>
      </w:tr>
      <w:tr w:rsidR="00D91E8B" w:rsidRPr="00D91E8B" w14:paraId="051C402D" w14:textId="77777777" w:rsidTr="00D91E8B">
        <w:trPr>
          <w:trHeight w:val="270"/>
          <w:jc w:val="center"/>
        </w:trPr>
        <w:tc>
          <w:tcPr>
            <w:tcW w:w="3100" w:type="dxa"/>
            <w:tcBorders>
              <w:top w:val="nil"/>
              <w:left w:val="nil"/>
              <w:bottom w:val="nil"/>
              <w:right w:val="nil"/>
            </w:tcBorders>
            <w:shd w:val="clear" w:color="auto" w:fill="auto"/>
            <w:vAlign w:val="center"/>
            <w:hideMark/>
          </w:tcPr>
          <w:p w14:paraId="33074675"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3926D032" w14:textId="77777777" w:rsidR="00D91E8B" w:rsidRPr="00D91E8B" w:rsidRDefault="00D91E8B" w:rsidP="00D91E8B">
            <w:pPr>
              <w:spacing w:after="0" w:line="240" w:lineRule="auto"/>
              <w:rPr>
                <w:rFonts w:eastAsia="Times New Roman"/>
                <w:sz w:val="20"/>
                <w:szCs w:val="20"/>
              </w:rPr>
            </w:pPr>
          </w:p>
        </w:tc>
        <w:tc>
          <w:tcPr>
            <w:tcW w:w="1020" w:type="dxa"/>
            <w:tcBorders>
              <w:top w:val="nil"/>
              <w:left w:val="nil"/>
              <w:bottom w:val="nil"/>
              <w:right w:val="nil"/>
            </w:tcBorders>
            <w:shd w:val="clear" w:color="auto" w:fill="auto"/>
            <w:vAlign w:val="center"/>
            <w:hideMark/>
          </w:tcPr>
          <w:p w14:paraId="210DD1E7"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2A3A463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(0.46)</w:t>
            </w:r>
          </w:p>
        </w:tc>
        <w:tc>
          <w:tcPr>
            <w:tcW w:w="1020" w:type="dxa"/>
            <w:tcBorders>
              <w:top w:val="nil"/>
              <w:left w:val="nil"/>
              <w:bottom w:val="nil"/>
              <w:right w:val="nil"/>
            </w:tcBorders>
            <w:shd w:val="clear" w:color="auto" w:fill="auto"/>
            <w:vAlign w:val="center"/>
            <w:hideMark/>
          </w:tcPr>
          <w:p w14:paraId="18A36CEB"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50961FCE" w14:textId="77777777" w:rsidR="00D91E8B" w:rsidRPr="00D91E8B" w:rsidRDefault="00D91E8B" w:rsidP="00D91E8B">
            <w:pPr>
              <w:spacing w:after="0" w:line="240" w:lineRule="auto"/>
              <w:jc w:val="center"/>
              <w:rPr>
                <w:rFonts w:eastAsia="Times New Roman"/>
                <w:sz w:val="20"/>
                <w:szCs w:val="20"/>
              </w:rPr>
            </w:pPr>
          </w:p>
        </w:tc>
        <w:tc>
          <w:tcPr>
            <w:tcW w:w="1120" w:type="dxa"/>
            <w:tcBorders>
              <w:top w:val="nil"/>
              <w:left w:val="nil"/>
              <w:bottom w:val="nil"/>
              <w:right w:val="nil"/>
            </w:tcBorders>
            <w:shd w:val="clear" w:color="auto" w:fill="auto"/>
            <w:vAlign w:val="center"/>
            <w:hideMark/>
          </w:tcPr>
          <w:p w14:paraId="2A4EF0AA"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3173608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(0.22)</w:t>
            </w:r>
          </w:p>
        </w:tc>
        <w:tc>
          <w:tcPr>
            <w:tcW w:w="1020" w:type="dxa"/>
            <w:tcBorders>
              <w:top w:val="nil"/>
              <w:left w:val="nil"/>
              <w:bottom w:val="nil"/>
              <w:right w:val="nil"/>
            </w:tcBorders>
            <w:shd w:val="clear" w:color="auto" w:fill="auto"/>
            <w:noWrap/>
            <w:vAlign w:val="bottom"/>
            <w:hideMark/>
          </w:tcPr>
          <w:p w14:paraId="324B12C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(0.30)</w:t>
            </w:r>
          </w:p>
        </w:tc>
      </w:tr>
      <w:tr w:rsidR="00D91E8B" w:rsidRPr="00D91E8B" w14:paraId="29D1DBEA" w14:textId="77777777" w:rsidTr="00D91E8B">
        <w:trPr>
          <w:trHeight w:val="270"/>
          <w:jc w:val="center"/>
        </w:trPr>
        <w:tc>
          <w:tcPr>
            <w:tcW w:w="3100" w:type="dxa"/>
            <w:tcBorders>
              <w:top w:val="nil"/>
              <w:left w:val="nil"/>
              <w:bottom w:val="nil"/>
              <w:right w:val="nil"/>
            </w:tcBorders>
            <w:shd w:val="clear" w:color="auto" w:fill="auto"/>
            <w:vAlign w:val="center"/>
            <w:hideMark/>
          </w:tcPr>
          <w:p w14:paraId="27D6B6B2"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Hereditary succession</w:t>
            </w:r>
          </w:p>
        </w:tc>
        <w:tc>
          <w:tcPr>
            <w:tcW w:w="1020" w:type="dxa"/>
            <w:tcBorders>
              <w:top w:val="nil"/>
              <w:left w:val="nil"/>
              <w:bottom w:val="nil"/>
              <w:right w:val="nil"/>
            </w:tcBorders>
            <w:shd w:val="clear" w:color="auto" w:fill="auto"/>
            <w:vAlign w:val="center"/>
            <w:hideMark/>
          </w:tcPr>
          <w:p w14:paraId="732B94EA" w14:textId="77777777" w:rsidR="00D91E8B" w:rsidRPr="00D91E8B" w:rsidRDefault="00D91E8B" w:rsidP="00D91E8B">
            <w:pPr>
              <w:spacing w:after="0" w:line="240" w:lineRule="auto"/>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69FCD56F"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2394EA0E"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22E3CFB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-0.34 </w:t>
            </w:r>
          </w:p>
        </w:tc>
        <w:tc>
          <w:tcPr>
            <w:tcW w:w="1020" w:type="dxa"/>
            <w:tcBorders>
              <w:top w:val="nil"/>
              <w:left w:val="nil"/>
              <w:bottom w:val="nil"/>
              <w:right w:val="nil"/>
            </w:tcBorders>
            <w:shd w:val="clear" w:color="auto" w:fill="auto"/>
            <w:vAlign w:val="center"/>
            <w:hideMark/>
          </w:tcPr>
          <w:p w14:paraId="18A35A0C" w14:textId="77777777" w:rsidR="00D91E8B" w:rsidRPr="00D91E8B" w:rsidRDefault="00D91E8B" w:rsidP="00D91E8B">
            <w:pPr>
              <w:spacing w:after="0" w:line="240" w:lineRule="auto"/>
              <w:jc w:val="center"/>
              <w:rPr>
                <w:rFonts w:eastAsia="Times New Roman"/>
                <w:color w:val="000000"/>
                <w:sz w:val="22"/>
                <w:szCs w:val="22"/>
              </w:rPr>
            </w:pPr>
          </w:p>
        </w:tc>
        <w:tc>
          <w:tcPr>
            <w:tcW w:w="1120" w:type="dxa"/>
            <w:tcBorders>
              <w:top w:val="nil"/>
              <w:left w:val="nil"/>
              <w:bottom w:val="nil"/>
              <w:right w:val="nil"/>
            </w:tcBorders>
            <w:shd w:val="clear" w:color="auto" w:fill="auto"/>
            <w:vAlign w:val="center"/>
            <w:hideMark/>
          </w:tcPr>
          <w:p w14:paraId="4DC2404C"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30297775"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41D880CC" w14:textId="77777777" w:rsidR="00D91E8B" w:rsidRPr="00D91E8B" w:rsidRDefault="00D91E8B" w:rsidP="00D91E8B">
            <w:pPr>
              <w:spacing w:after="0" w:line="240" w:lineRule="auto"/>
              <w:rPr>
                <w:rFonts w:eastAsia="Times New Roman"/>
                <w:sz w:val="20"/>
                <w:szCs w:val="20"/>
              </w:rPr>
            </w:pPr>
          </w:p>
        </w:tc>
      </w:tr>
      <w:tr w:rsidR="00D91E8B" w:rsidRPr="00D91E8B" w14:paraId="20C0D77C" w14:textId="77777777" w:rsidTr="00D91E8B">
        <w:trPr>
          <w:trHeight w:val="270"/>
          <w:jc w:val="center"/>
        </w:trPr>
        <w:tc>
          <w:tcPr>
            <w:tcW w:w="3100" w:type="dxa"/>
            <w:tcBorders>
              <w:top w:val="nil"/>
              <w:left w:val="nil"/>
              <w:bottom w:val="nil"/>
              <w:right w:val="nil"/>
            </w:tcBorders>
            <w:shd w:val="clear" w:color="auto" w:fill="auto"/>
            <w:vAlign w:val="center"/>
            <w:hideMark/>
          </w:tcPr>
          <w:p w14:paraId="72EE769F" w14:textId="77777777" w:rsidR="00D91E8B" w:rsidRPr="00D91E8B" w:rsidRDefault="00D91E8B" w:rsidP="00D91E8B">
            <w:pPr>
              <w:spacing w:after="0" w:line="240" w:lineRule="auto"/>
              <w:rPr>
                <w:rFonts w:eastAsia="Times New Roman"/>
                <w:sz w:val="20"/>
                <w:szCs w:val="20"/>
              </w:rPr>
            </w:pPr>
          </w:p>
        </w:tc>
        <w:tc>
          <w:tcPr>
            <w:tcW w:w="1020" w:type="dxa"/>
            <w:tcBorders>
              <w:top w:val="nil"/>
              <w:left w:val="nil"/>
              <w:bottom w:val="nil"/>
              <w:right w:val="nil"/>
            </w:tcBorders>
            <w:shd w:val="clear" w:color="auto" w:fill="auto"/>
            <w:vAlign w:val="center"/>
            <w:hideMark/>
          </w:tcPr>
          <w:p w14:paraId="4149B111" w14:textId="77777777" w:rsidR="00D91E8B" w:rsidRPr="00D91E8B" w:rsidRDefault="00D91E8B" w:rsidP="00D91E8B">
            <w:pPr>
              <w:spacing w:after="0" w:line="240" w:lineRule="auto"/>
              <w:rPr>
                <w:rFonts w:eastAsia="Times New Roman"/>
                <w:sz w:val="20"/>
                <w:szCs w:val="20"/>
              </w:rPr>
            </w:pPr>
          </w:p>
        </w:tc>
        <w:tc>
          <w:tcPr>
            <w:tcW w:w="1020" w:type="dxa"/>
            <w:tcBorders>
              <w:top w:val="nil"/>
              <w:left w:val="nil"/>
              <w:bottom w:val="nil"/>
              <w:right w:val="nil"/>
            </w:tcBorders>
            <w:shd w:val="clear" w:color="auto" w:fill="auto"/>
            <w:vAlign w:val="center"/>
            <w:hideMark/>
          </w:tcPr>
          <w:p w14:paraId="431AA407"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70138BFD"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38EE54E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(0.57)</w:t>
            </w:r>
          </w:p>
        </w:tc>
        <w:tc>
          <w:tcPr>
            <w:tcW w:w="1020" w:type="dxa"/>
            <w:tcBorders>
              <w:top w:val="nil"/>
              <w:left w:val="nil"/>
              <w:bottom w:val="nil"/>
              <w:right w:val="nil"/>
            </w:tcBorders>
            <w:shd w:val="clear" w:color="auto" w:fill="auto"/>
            <w:vAlign w:val="center"/>
            <w:hideMark/>
          </w:tcPr>
          <w:p w14:paraId="2A3B3234" w14:textId="77777777" w:rsidR="00D91E8B" w:rsidRPr="00D91E8B" w:rsidRDefault="00D91E8B" w:rsidP="00D91E8B">
            <w:pPr>
              <w:spacing w:after="0" w:line="240" w:lineRule="auto"/>
              <w:jc w:val="center"/>
              <w:rPr>
                <w:rFonts w:eastAsia="Times New Roman"/>
                <w:color w:val="000000"/>
                <w:sz w:val="22"/>
                <w:szCs w:val="22"/>
              </w:rPr>
            </w:pPr>
          </w:p>
        </w:tc>
        <w:tc>
          <w:tcPr>
            <w:tcW w:w="1120" w:type="dxa"/>
            <w:tcBorders>
              <w:top w:val="nil"/>
              <w:left w:val="nil"/>
              <w:bottom w:val="nil"/>
              <w:right w:val="nil"/>
            </w:tcBorders>
            <w:shd w:val="clear" w:color="auto" w:fill="auto"/>
            <w:vAlign w:val="center"/>
            <w:hideMark/>
          </w:tcPr>
          <w:p w14:paraId="3C01AF09"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27A4C450"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770BF4F2" w14:textId="77777777" w:rsidR="00D91E8B" w:rsidRPr="00D91E8B" w:rsidRDefault="00D91E8B" w:rsidP="00D91E8B">
            <w:pPr>
              <w:spacing w:after="0" w:line="240" w:lineRule="auto"/>
              <w:rPr>
                <w:rFonts w:eastAsia="Times New Roman"/>
                <w:sz w:val="20"/>
                <w:szCs w:val="20"/>
              </w:rPr>
            </w:pPr>
          </w:p>
        </w:tc>
      </w:tr>
      <w:tr w:rsidR="00D91E8B" w:rsidRPr="00D91E8B" w14:paraId="68A0BC78" w14:textId="77777777" w:rsidTr="00D91E8B">
        <w:trPr>
          <w:trHeight w:val="270"/>
          <w:jc w:val="center"/>
        </w:trPr>
        <w:tc>
          <w:tcPr>
            <w:tcW w:w="3100" w:type="dxa"/>
            <w:tcBorders>
              <w:top w:val="nil"/>
              <w:left w:val="nil"/>
              <w:bottom w:val="nil"/>
              <w:right w:val="nil"/>
            </w:tcBorders>
            <w:shd w:val="clear" w:color="auto" w:fill="auto"/>
            <w:vAlign w:val="center"/>
            <w:hideMark/>
          </w:tcPr>
          <w:p w14:paraId="2117755C"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Fraternal succession</w:t>
            </w:r>
          </w:p>
        </w:tc>
        <w:tc>
          <w:tcPr>
            <w:tcW w:w="1020" w:type="dxa"/>
            <w:tcBorders>
              <w:top w:val="nil"/>
              <w:left w:val="nil"/>
              <w:bottom w:val="nil"/>
              <w:right w:val="nil"/>
            </w:tcBorders>
            <w:shd w:val="clear" w:color="auto" w:fill="auto"/>
            <w:vAlign w:val="center"/>
            <w:hideMark/>
          </w:tcPr>
          <w:p w14:paraId="1BFDFE93" w14:textId="77777777" w:rsidR="00D91E8B" w:rsidRPr="00D91E8B" w:rsidRDefault="00D91E8B" w:rsidP="00D91E8B">
            <w:pPr>
              <w:spacing w:after="0" w:line="240" w:lineRule="auto"/>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7A1C110F"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21C76D7A"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7ABFB310"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2745738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-2.05**</w:t>
            </w:r>
          </w:p>
        </w:tc>
        <w:tc>
          <w:tcPr>
            <w:tcW w:w="1120" w:type="dxa"/>
            <w:tcBorders>
              <w:top w:val="nil"/>
              <w:left w:val="nil"/>
              <w:bottom w:val="nil"/>
              <w:right w:val="nil"/>
            </w:tcBorders>
            <w:shd w:val="clear" w:color="auto" w:fill="auto"/>
            <w:vAlign w:val="center"/>
            <w:hideMark/>
          </w:tcPr>
          <w:p w14:paraId="2E6E1906"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noWrap/>
            <w:vAlign w:val="bottom"/>
            <w:hideMark/>
          </w:tcPr>
          <w:p w14:paraId="50C2D53E"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5D7B9219" w14:textId="77777777" w:rsidR="00D91E8B" w:rsidRPr="00D91E8B" w:rsidRDefault="00D91E8B" w:rsidP="00D91E8B">
            <w:pPr>
              <w:spacing w:after="0" w:line="240" w:lineRule="auto"/>
              <w:rPr>
                <w:rFonts w:eastAsia="Times New Roman"/>
                <w:sz w:val="20"/>
                <w:szCs w:val="20"/>
              </w:rPr>
            </w:pPr>
          </w:p>
        </w:tc>
      </w:tr>
      <w:tr w:rsidR="00D91E8B" w:rsidRPr="00D91E8B" w14:paraId="0571E219" w14:textId="77777777" w:rsidTr="00D91E8B">
        <w:trPr>
          <w:trHeight w:val="270"/>
          <w:jc w:val="center"/>
        </w:trPr>
        <w:tc>
          <w:tcPr>
            <w:tcW w:w="3100" w:type="dxa"/>
            <w:tcBorders>
              <w:top w:val="nil"/>
              <w:left w:val="nil"/>
              <w:bottom w:val="nil"/>
              <w:right w:val="nil"/>
            </w:tcBorders>
            <w:shd w:val="clear" w:color="auto" w:fill="auto"/>
            <w:vAlign w:val="center"/>
            <w:hideMark/>
          </w:tcPr>
          <w:p w14:paraId="796B3D4E" w14:textId="77777777" w:rsidR="00D91E8B" w:rsidRPr="00D91E8B" w:rsidRDefault="00D91E8B" w:rsidP="00D91E8B">
            <w:pPr>
              <w:spacing w:after="0" w:line="240" w:lineRule="auto"/>
              <w:rPr>
                <w:rFonts w:eastAsia="Times New Roman"/>
                <w:sz w:val="20"/>
                <w:szCs w:val="20"/>
              </w:rPr>
            </w:pPr>
          </w:p>
        </w:tc>
        <w:tc>
          <w:tcPr>
            <w:tcW w:w="1020" w:type="dxa"/>
            <w:tcBorders>
              <w:top w:val="nil"/>
              <w:left w:val="nil"/>
              <w:bottom w:val="nil"/>
              <w:right w:val="nil"/>
            </w:tcBorders>
            <w:shd w:val="clear" w:color="auto" w:fill="auto"/>
            <w:vAlign w:val="center"/>
            <w:hideMark/>
          </w:tcPr>
          <w:p w14:paraId="221BC0E4" w14:textId="77777777" w:rsidR="00D91E8B" w:rsidRPr="00D91E8B" w:rsidRDefault="00D91E8B" w:rsidP="00D91E8B">
            <w:pPr>
              <w:spacing w:after="0" w:line="240" w:lineRule="auto"/>
              <w:rPr>
                <w:rFonts w:eastAsia="Times New Roman"/>
                <w:sz w:val="20"/>
                <w:szCs w:val="20"/>
              </w:rPr>
            </w:pPr>
          </w:p>
        </w:tc>
        <w:tc>
          <w:tcPr>
            <w:tcW w:w="1020" w:type="dxa"/>
            <w:tcBorders>
              <w:top w:val="nil"/>
              <w:left w:val="nil"/>
              <w:bottom w:val="nil"/>
              <w:right w:val="nil"/>
            </w:tcBorders>
            <w:shd w:val="clear" w:color="auto" w:fill="auto"/>
            <w:vAlign w:val="center"/>
            <w:hideMark/>
          </w:tcPr>
          <w:p w14:paraId="1DC39F81"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74CAE5F0"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26E40C5E"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15BB467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(0.77)</w:t>
            </w:r>
          </w:p>
        </w:tc>
        <w:tc>
          <w:tcPr>
            <w:tcW w:w="1120" w:type="dxa"/>
            <w:tcBorders>
              <w:top w:val="nil"/>
              <w:left w:val="nil"/>
              <w:bottom w:val="nil"/>
              <w:right w:val="nil"/>
            </w:tcBorders>
            <w:shd w:val="clear" w:color="auto" w:fill="auto"/>
            <w:vAlign w:val="center"/>
            <w:hideMark/>
          </w:tcPr>
          <w:p w14:paraId="4C8A4427"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noWrap/>
            <w:vAlign w:val="bottom"/>
            <w:hideMark/>
          </w:tcPr>
          <w:p w14:paraId="6F65639B"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14:paraId="1FAB308A" w14:textId="77777777" w:rsidR="00D91E8B" w:rsidRPr="00D91E8B" w:rsidRDefault="00D91E8B" w:rsidP="00D91E8B">
            <w:pPr>
              <w:spacing w:after="0" w:line="240" w:lineRule="auto"/>
              <w:rPr>
                <w:rFonts w:eastAsia="Times New Roman"/>
                <w:sz w:val="20"/>
                <w:szCs w:val="20"/>
              </w:rPr>
            </w:pPr>
          </w:p>
        </w:tc>
      </w:tr>
      <w:tr w:rsidR="00D91E8B" w:rsidRPr="00D91E8B" w14:paraId="16198219" w14:textId="77777777" w:rsidTr="00D91E8B">
        <w:trPr>
          <w:trHeight w:val="270"/>
          <w:jc w:val="center"/>
        </w:trPr>
        <w:tc>
          <w:tcPr>
            <w:tcW w:w="3100" w:type="dxa"/>
            <w:tcBorders>
              <w:top w:val="nil"/>
              <w:left w:val="nil"/>
              <w:bottom w:val="nil"/>
              <w:right w:val="nil"/>
            </w:tcBorders>
            <w:shd w:val="clear" w:color="auto" w:fill="auto"/>
            <w:vAlign w:val="center"/>
            <w:hideMark/>
          </w:tcPr>
          <w:p w14:paraId="7CFB82E3"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Other successions</w:t>
            </w:r>
          </w:p>
        </w:tc>
        <w:tc>
          <w:tcPr>
            <w:tcW w:w="1020" w:type="dxa"/>
            <w:tcBorders>
              <w:top w:val="nil"/>
              <w:left w:val="nil"/>
              <w:bottom w:val="nil"/>
              <w:right w:val="nil"/>
            </w:tcBorders>
            <w:shd w:val="clear" w:color="auto" w:fill="auto"/>
            <w:vAlign w:val="center"/>
            <w:hideMark/>
          </w:tcPr>
          <w:p w14:paraId="57D94C4E" w14:textId="77777777" w:rsidR="00D91E8B" w:rsidRPr="00D91E8B" w:rsidRDefault="00D91E8B" w:rsidP="00D91E8B">
            <w:pPr>
              <w:spacing w:after="0" w:line="240" w:lineRule="auto"/>
              <w:rPr>
                <w:rFonts w:eastAsia="Times New Roman"/>
                <w:color w:val="000000"/>
                <w:sz w:val="22"/>
                <w:szCs w:val="22"/>
              </w:rPr>
            </w:pPr>
          </w:p>
        </w:tc>
        <w:tc>
          <w:tcPr>
            <w:tcW w:w="1020" w:type="dxa"/>
            <w:tcBorders>
              <w:top w:val="nil"/>
              <w:left w:val="nil"/>
              <w:bottom w:val="nil"/>
              <w:right w:val="nil"/>
            </w:tcBorders>
            <w:shd w:val="clear" w:color="auto" w:fill="auto"/>
            <w:vAlign w:val="center"/>
            <w:hideMark/>
          </w:tcPr>
          <w:p w14:paraId="46512055"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3152281C"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37D97BBC" w14:textId="77777777" w:rsidR="00D91E8B" w:rsidRPr="00D91E8B" w:rsidRDefault="00D91E8B" w:rsidP="00D91E8B">
            <w:pPr>
              <w:spacing w:after="0" w:line="240" w:lineRule="auto"/>
              <w:jc w:val="center"/>
              <w:rPr>
                <w:rFonts w:eastAsia="Times New Roman"/>
                <w:sz w:val="20"/>
                <w:szCs w:val="20"/>
              </w:rPr>
            </w:pPr>
          </w:p>
        </w:tc>
        <w:tc>
          <w:tcPr>
            <w:tcW w:w="1020" w:type="dxa"/>
            <w:tcBorders>
              <w:top w:val="nil"/>
              <w:left w:val="nil"/>
              <w:bottom w:val="nil"/>
              <w:right w:val="nil"/>
            </w:tcBorders>
            <w:shd w:val="clear" w:color="auto" w:fill="auto"/>
            <w:vAlign w:val="center"/>
            <w:hideMark/>
          </w:tcPr>
          <w:p w14:paraId="2D6CB2AA" w14:textId="77777777" w:rsidR="00D91E8B" w:rsidRPr="00D91E8B" w:rsidRDefault="00D91E8B" w:rsidP="00D91E8B">
            <w:pPr>
              <w:spacing w:after="0" w:line="240" w:lineRule="auto"/>
              <w:jc w:val="center"/>
              <w:rPr>
                <w:rFonts w:eastAsia="Times New Roman"/>
                <w:sz w:val="20"/>
                <w:szCs w:val="20"/>
              </w:rPr>
            </w:pPr>
          </w:p>
        </w:tc>
        <w:tc>
          <w:tcPr>
            <w:tcW w:w="1120" w:type="dxa"/>
            <w:tcBorders>
              <w:top w:val="nil"/>
              <w:left w:val="nil"/>
              <w:bottom w:val="nil"/>
              <w:right w:val="nil"/>
            </w:tcBorders>
            <w:shd w:val="clear" w:color="auto" w:fill="auto"/>
            <w:vAlign w:val="center"/>
            <w:hideMark/>
          </w:tcPr>
          <w:p w14:paraId="3E0EF5A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-12.24***</w:t>
            </w:r>
          </w:p>
        </w:tc>
        <w:tc>
          <w:tcPr>
            <w:tcW w:w="1020" w:type="dxa"/>
            <w:tcBorders>
              <w:top w:val="nil"/>
              <w:left w:val="nil"/>
              <w:bottom w:val="nil"/>
              <w:right w:val="nil"/>
            </w:tcBorders>
            <w:shd w:val="clear" w:color="auto" w:fill="auto"/>
            <w:noWrap/>
            <w:vAlign w:val="bottom"/>
            <w:hideMark/>
          </w:tcPr>
          <w:p w14:paraId="5EF2F5F6" w14:textId="77777777" w:rsidR="00D91E8B" w:rsidRPr="00D91E8B" w:rsidRDefault="00D91E8B" w:rsidP="00D91E8B">
            <w:pPr>
              <w:spacing w:after="0" w:line="240" w:lineRule="auto"/>
              <w:jc w:val="center"/>
              <w:rPr>
                <w:rFonts w:eastAsia="Times New Roman"/>
                <w:color w:val="000000"/>
                <w:sz w:val="22"/>
                <w:szCs w:val="22"/>
              </w:rPr>
            </w:pPr>
          </w:p>
        </w:tc>
        <w:tc>
          <w:tcPr>
            <w:tcW w:w="1020" w:type="dxa"/>
            <w:tcBorders>
              <w:top w:val="nil"/>
              <w:left w:val="nil"/>
              <w:bottom w:val="nil"/>
              <w:right w:val="nil"/>
            </w:tcBorders>
            <w:shd w:val="clear" w:color="auto" w:fill="auto"/>
            <w:noWrap/>
            <w:vAlign w:val="bottom"/>
            <w:hideMark/>
          </w:tcPr>
          <w:p w14:paraId="29D2C698" w14:textId="77777777" w:rsidR="00D91E8B" w:rsidRPr="00D91E8B" w:rsidRDefault="00D91E8B" w:rsidP="00D91E8B">
            <w:pPr>
              <w:spacing w:after="0" w:line="240" w:lineRule="auto"/>
              <w:rPr>
                <w:rFonts w:eastAsia="Times New Roman"/>
                <w:sz w:val="20"/>
                <w:szCs w:val="20"/>
              </w:rPr>
            </w:pPr>
          </w:p>
        </w:tc>
      </w:tr>
      <w:tr w:rsidR="00D91E8B" w:rsidRPr="00D91E8B" w14:paraId="5C1F0F00" w14:textId="77777777" w:rsidTr="00D91E8B">
        <w:trPr>
          <w:trHeight w:val="270"/>
          <w:jc w:val="center"/>
        </w:trPr>
        <w:tc>
          <w:tcPr>
            <w:tcW w:w="3100" w:type="dxa"/>
            <w:tcBorders>
              <w:top w:val="nil"/>
              <w:left w:val="nil"/>
              <w:bottom w:val="single" w:sz="8" w:space="0" w:color="auto"/>
              <w:right w:val="nil"/>
            </w:tcBorders>
            <w:shd w:val="clear" w:color="auto" w:fill="auto"/>
            <w:vAlign w:val="center"/>
            <w:hideMark/>
          </w:tcPr>
          <w:p w14:paraId="6BA0BA7E"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 </w:t>
            </w:r>
          </w:p>
        </w:tc>
        <w:tc>
          <w:tcPr>
            <w:tcW w:w="1020" w:type="dxa"/>
            <w:tcBorders>
              <w:top w:val="nil"/>
              <w:left w:val="nil"/>
              <w:bottom w:val="single" w:sz="8" w:space="0" w:color="auto"/>
              <w:right w:val="nil"/>
            </w:tcBorders>
            <w:shd w:val="clear" w:color="auto" w:fill="auto"/>
            <w:vAlign w:val="center"/>
            <w:hideMark/>
          </w:tcPr>
          <w:p w14:paraId="101F639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w:t>
            </w:r>
          </w:p>
        </w:tc>
        <w:tc>
          <w:tcPr>
            <w:tcW w:w="1020" w:type="dxa"/>
            <w:tcBorders>
              <w:top w:val="nil"/>
              <w:left w:val="nil"/>
              <w:bottom w:val="single" w:sz="8" w:space="0" w:color="auto"/>
              <w:right w:val="nil"/>
            </w:tcBorders>
            <w:shd w:val="clear" w:color="auto" w:fill="auto"/>
            <w:vAlign w:val="center"/>
            <w:hideMark/>
          </w:tcPr>
          <w:p w14:paraId="1F3B8BD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w:t>
            </w:r>
          </w:p>
        </w:tc>
        <w:tc>
          <w:tcPr>
            <w:tcW w:w="1020" w:type="dxa"/>
            <w:tcBorders>
              <w:top w:val="nil"/>
              <w:left w:val="nil"/>
              <w:bottom w:val="single" w:sz="8" w:space="0" w:color="auto"/>
              <w:right w:val="nil"/>
            </w:tcBorders>
            <w:shd w:val="clear" w:color="auto" w:fill="auto"/>
            <w:vAlign w:val="center"/>
            <w:hideMark/>
          </w:tcPr>
          <w:p w14:paraId="4A6F981B"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w:t>
            </w:r>
          </w:p>
        </w:tc>
        <w:tc>
          <w:tcPr>
            <w:tcW w:w="1020" w:type="dxa"/>
            <w:tcBorders>
              <w:top w:val="nil"/>
              <w:left w:val="nil"/>
              <w:bottom w:val="single" w:sz="8" w:space="0" w:color="auto"/>
              <w:right w:val="nil"/>
            </w:tcBorders>
            <w:shd w:val="clear" w:color="auto" w:fill="auto"/>
            <w:vAlign w:val="center"/>
            <w:hideMark/>
          </w:tcPr>
          <w:p w14:paraId="362B331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w:t>
            </w:r>
          </w:p>
        </w:tc>
        <w:tc>
          <w:tcPr>
            <w:tcW w:w="1020" w:type="dxa"/>
            <w:tcBorders>
              <w:top w:val="nil"/>
              <w:left w:val="nil"/>
              <w:bottom w:val="single" w:sz="8" w:space="0" w:color="auto"/>
              <w:right w:val="nil"/>
            </w:tcBorders>
            <w:shd w:val="clear" w:color="auto" w:fill="auto"/>
            <w:vAlign w:val="center"/>
            <w:hideMark/>
          </w:tcPr>
          <w:p w14:paraId="325355F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w:t>
            </w:r>
          </w:p>
        </w:tc>
        <w:tc>
          <w:tcPr>
            <w:tcW w:w="1120" w:type="dxa"/>
            <w:tcBorders>
              <w:top w:val="nil"/>
              <w:left w:val="nil"/>
              <w:bottom w:val="single" w:sz="8" w:space="0" w:color="auto"/>
              <w:right w:val="nil"/>
            </w:tcBorders>
            <w:shd w:val="clear" w:color="auto" w:fill="auto"/>
            <w:vAlign w:val="center"/>
            <w:hideMark/>
          </w:tcPr>
          <w:p w14:paraId="4216AEF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(0.24)</w:t>
            </w:r>
          </w:p>
        </w:tc>
        <w:tc>
          <w:tcPr>
            <w:tcW w:w="1020" w:type="dxa"/>
            <w:tcBorders>
              <w:top w:val="nil"/>
              <w:left w:val="nil"/>
              <w:bottom w:val="single" w:sz="8" w:space="0" w:color="auto"/>
              <w:right w:val="nil"/>
            </w:tcBorders>
            <w:shd w:val="clear" w:color="auto" w:fill="auto"/>
            <w:noWrap/>
            <w:vAlign w:val="bottom"/>
            <w:hideMark/>
          </w:tcPr>
          <w:p w14:paraId="7B4219D5"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 </w:t>
            </w:r>
          </w:p>
        </w:tc>
        <w:tc>
          <w:tcPr>
            <w:tcW w:w="1020" w:type="dxa"/>
            <w:tcBorders>
              <w:top w:val="nil"/>
              <w:left w:val="nil"/>
              <w:bottom w:val="single" w:sz="8" w:space="0" w:color="auto"/>
              <w:right w:val="nil"/>
            </w:tcBorders>
            <w:shd w:val="clear" w:color="auto" w:fill="auto"/>
            <w:noWrap/>
            <w:vAlign w:val="bottom"/>
            <w:hideMark/>
          </w:tcPr>
          <w:p w14:paraId="31E5E8C1"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 </w:t>
            </w:r>
          </w:p>
        </w:tc>
      </w:tr>
      <w:tr w:rsidR="00D91E8B" w:rsidRPr="00D91E8B" w14:paraId="794D7DFF" w14:textId="77777777" w:rsidTr="00D91E8B">
        <w:trPr>
          <w:trHeight w:val="270"/>
          <w:jc w:val="center"/>
        </w:trPr>
        <w:tc>
          <w:tcPr>
            <w:tcW w:w="3100" w:type="dxa"/>
            <w:tcBorders>
              <w:top w:val="nil"/>
              <w:left w:val="nil"/>
              <w:bottom w:val="nil"/>
              <w:right w:val="nil"/>
            </w:tcBorders>
            <w:shd w:val="clear" w:color="auto" w:fill="auto"/>
            <w:vAlign w:val="center"/>
            <w:hideMark/>
          </w:tcPr>
          <w:p w14:paraId="2E8F5981"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Log-likelihood</w:t>
            </w:r>
          </w:p>
        </w:tc>
        <w:tc>
          <w:tcPr>
            <w:tcW w:w="1020" w:type="dxa"/>
            <w:tcBorders>
              <w:top w:val="nil"/>
              <w:left w:val="nil"/>
              <w:bottom w:val="nil"/>
              <w:right w:val="nil"/>
            </w:tcBorders>
            <w:shd w:val="clear" w:color="auto" w:fill="auto"/>
            <w:vAlign w:val="center"/>
            <w:hideMark/>
          </w:tcPr>
          <w:p w14:paraId="4C696FE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-867.35 </w:t>
            </w:r>
          </w:p>
        </w:tc>
        <w:tc>
          <w:tcPr>
            <w:tcW w:w="1020" w:type="dxa"/>
            <w:tcBorders>
              <w:top w:val="nil"/>
              <w:left w:val="nil"/>
              <w:bottom w:val="nil"/>
              <w:right w:val="nil"/>
            </w:tcBorders>
            <w:shd w:val="clear" w:color="auto" w:fill="auto"/>
            <w:vAlign w:val="center"/>
            <w:hideMark/>
          </w:tcPr>
          <w:p w14:paraId="03F78435"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-854.76 </w:t>
            </w:r>
          </w:p>
        </w:tc>
        <w:tc>
          <w:tcPr>
            <w:tcW w:w="1020" w:type="dxa"/>
            <w:tcBorders>
              <w:top w:val="nil"/>
              <w:left w:val="nil"/>
              <w:bottom w:val="nil"/>
              <w:right w:val="nil"/>
            </w:tcBorders>
            <w:shd w:val="clear" w:color="auto" w:fill="auto"/>
            <w:vAlign w:val="center"/>
            <w:hideMark/>
          </w:tcPr>
          <w:p w14:paraId="4997A611"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-849.52 </w:t>
            </w:r>
          </w:p>
        </w:tc>
        <w:tc>
          <w:tcPr>
            <w:tcW w:w="1020" w:type="dxa"/>
            <w:tcBorders>
              <w:top w:val="nil"/>
              <w:left w:val="nil"/>
              <w:bottom w:val="nil"/>
              <w:right w:val="nil"/>
            </w:tcBorders>
            <w:shd w:val="clear" w:color="auto" w:fill="auto"/>
            <w:vAlign w:val="center"/>
            <w:hideMark/>
          </w:tcPr>
          <w:p w14:paraId="59CAB89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-854.58 </w:t>
            </w:r>
          </w:p>
        </w:tc>
        <w:tc>
          <w:tcPr>
            <w:tcW w:w="1020" w:type="dxa"/>
            <w:tcBorders>
              <w:top w:val="nil"/>
              <w:left w:val="nil"/>
              <w:bottom w:val="nil"/>
              <w:right w:val="nil"/>
            </w:tcBorders>
            <w:shd w:val="clear" w:color="auto" w:fill="auto"/>
            <w:vAlign w:val="center"/>
            <w:hideMark/>
          </w:tcPr>
          <w:p w14:paraId="5118273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-848.74 </w:t>
            </w:r>
          </w:p>
        </w:tc>
        <w:tc>
          <w:tcPr>
            <w:tcW w:w="1120" w:type="dxa"/>
            <w:tcBorders>
              <w:top w:val="nil"/>
              <w:left w:val="nil"/>
              <w:bottom w:val="nil"/>
              <w:right w:val="nil"/>
            </w:tcBorders>
            <w:shd w:val="clear" w:color="auto" w:fill="auto"/>
            <w:vAlign w:val="center"/>
            <w:hideMark/>
          </w:tcPr>
          <w:p w14:paraId="26A6135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-853.75 </w:t>
            </w:r>
          </w:p>
        </w:tc>
        <w:tc>
          <w:tcPr>
            <w:tcW w:w="1020" w:type="dxa"/>
            <w:tcBorders>
              <w:top w:val="nil"/>
              <w:left w:val="nil"/>
              <w:bottom w:val="nil"/>
              <w:right w:val="nil"/>
            </w:tcBorders>
            <w:shd w:val="clear" w:color="auto" w:fill="auto"/>
            <w:vAlign w:val="center"/>
            <w:hideMark/>
          </w:tcPr>
          <w:p w14:paraId="4C40FC0C"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-2000.78 </w:t>
            </w:r>
          </w:p>
        </w:tc>
        <w:tc>
          <w:tcPr>
            <w:tcW w:w="1020" w:type="dxa"/>
            <w:tcBorders>
              <w:top w:val="nil"/>
              <w:left w:val="nil"/>
              <w:bottom w:val="nil"/>
              <w:right w:val="nil"/>
            </w:tcBorders>
            <w:shd w:val="clear" w:color="auto" w:fill="auto"/>
            <w:vAlign w:val="center"/>
            <w:hideMark/>
          </w:tcPr>
          <w:p w14:paraId="7412337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-1475.14 </w:t>
            </w:r>
          </w:p>
        </w:tc>
      </w:tr>
      <w:tr w:rsidR="00D91E8B" w:rsidRPr="00D91E8B" w14:paraId="15B3F57D" w14:textId="77777777" w:rsidTr="00D91E8B">
        <w:trPr>
          <w:trHeight w:val="270"/>
          <w:jc w:val="center"/>
        </w:trPr>
        <w:tc>
          <w:tcPr>
            <w:tcW w:w="3100" w:type="dxa"/>
            <w:tcBorders>
              <w:top w:val="nil"/>
              <w:left w:val="nil"/>
              <w:bottom w:val="nil"/>
              <w:right w:val="nil"/>
            </w:tcBorders>
            <w:shd w:val="clear" w:color="auto" w:fill="auto"/>
            <w:vAlign w:val="center"/>
            <w:hideMark/>
          </w:tcPr>
          <w:p w14:paraId="2CE7A622"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χ2</w:t>
            </w:r>
          </w:p>
        </w:tc>
        <w:tc>
          <w:tcPr>
            <w:tcW w:w="1020" w:type="dxa"/>
            <w:tcBorders>
              <w:top w:val="nil"/>
              <w:left w:val="nil"/>
              <w:bottom w:val="nil"/>
              <w:right w:val="nil"/>
            </w:tcBorders>
            <w:shd w:val="clear" w:color="auto" w:fill="auto"/>
            <w:vAlign w:val="center"/>
            <w:hideMark/>
          </w:tcPr>
          <w:p w14:paraId="4DDD41F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419.94 </w:t>
            </w:r>
          </w:p>
        </w:tc>
        <w:tc>
          <w:tcPr>
            <w:tcW w:w="1020" w:type="dxa"/>
            <w:tcBorders>
              <w:top w:val="nil"/>
              <w:left w:val="nil"/>
              <w:bottom w:val="nil"/>
              <w:right w:val="nil"/>
            </w:tcBorders>
            <w:shd w:val="clear" w:color="auto" w:fill="auto"/>
            <w:vAlign w:val="center"/>
            <w:hideMark/>
          </w:tcPr>
          <w:p w14:paraId="3C39665F"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448.48 </w:t>
            </w:r>
          </w:p>
        </w:tc>
        <w:tc>
          <w:tcPr>
            <w:tcW w:w="1020" w:type="dxa"/>
            <w:tcBorders>
              <w:top w:val="nil"/>
              <w:left w:val="nil"/>
              <w:bottom w:val="nil"/>
              <w:right w:val="nil"/>
            </w:tcBorders>
            <w:shd w:val="clear" w:color="auto" w:fill="auto"/>
            <w:vAlign w:val="center"/>
            <w:hideMark/>
          </w:tcPr>
          <w:p w14:paraId="01190DBA"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414.85 </w:t>
            </w:r>
          </w:p>
        </w:tc>
        <w:tc>
          <w:tcPr>
            <w:tcW w:w="1020" w:type="dxa"/>
            <w:tcBorders>
              <w:top w:val="nil"/>
              <w:left w:val="nil"/>
              <w:bottom w:val="nil"/>
              <w:right w:val="nil"/>
            </w:tcBorders>
            <w:shd w:val="clear" w:color="auto" w:fill="auto"/>
            <w:vAlign w:val="center"/>
            <w:hideMark/>
          </w:tcPr>
          <w:p w14:paraId="3930496D"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450.28 </w:t>
            </w:r>
          </w:p>
        </w:tc>
        <w:tc>
          <w:tcPr>
            <w:tcW w:w="1020" w:type="dxa"/>
            <w:tcBorders>
              <w:top w:val="nil"/>
              <w:left w:val="nil"/>
              <w:bottom w:val="nil"/>
              <w:right w:val="nil"/>
            </w:tcBorders>
            <w:shd w:val="clear" w:color="auto" w:fill="auto"/>
            <w:vAlign w:val="center"/>
            <w:hideMark/>
          </w:tcPr>
          <w:p w14:paraId="0C7D9E9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413.51 </w:t>
            </w:r>
          </w:p>
        </w:tc>
        <w:tc>
          <w:tcPr>
            <w:tcW w:w="1120" w:type="dxa"/>
            <w:tcBorders>
              <w:top w:val="nil"/>
              <w:left w:val="nil"/>
              <w:bottom w:val="nil"/>
              <w:right w:val="nil"/>
            </w:tcBorders>
            <w:shd w:val="clear" w:color="auto" w:fill="auto"/>
            <w:vAlign w:val="center"/>
            <w:hideMark/>
          </w:tcPr>
          <w:p w14:paraId="4A38AF9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13409.55 </w:t>
            </w:r>
          </w:p>
        </w:tc>
        <w:tc>
          <w:tcPr>
            <w:tcW w:w="1020" w:type="dxa"/>
            <w:tcBorders>
              <w:top w:val="nil"/>
              <w:left w:val="nil"/>
              <w:bottom w:val="nil"/>
              <w:right w:val="nil"/>
            </w:tcBorders>
            <w:shd w:val="clear" w:color="auto" w:fill="auto"/>
            <w:vAlign w:val="center"/>
            <w:hideMark/>
          </w:tcPr>
          <w:p w14:paraId="7BB4ECF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415.42 </w:t>
            </w:r>
          </w:p>
        </w:tc>
        <w:tc>
          <w:tcPr>
            <w:tcW w:w="1020" w:type="dxa"/>
            <w:tcBorders>
              <w:top w:val="nil"/>
              <w:left w:val="nil"/>
              <w:bottom w:val="nil"/>
              <w:right w:val="nil"/>
            </w:tcBorders>
            <w:shd w:val="clear" w:color="auto" w:fill="auto"/>
            <w:vAlign w:val="center"/>
            <w:hideMark/>
          </w:tcPr>
          <w:p w14:paraId="66F30FD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406.69 </w:t>
            </w:r>
          </w:p>
        </w:tc>
      </w:tr>
      <w:tr w:rsidR="00D91E8B" w:rsidRPr="00D91E8B" w14:paraId="176ABF53" w14:textId="77777777" w:rsidTr="00D91E8B">
        <w:trPr>
          <w:trHeight w:val="270"/>
          <w:jc w:val="center"/>
        </w:trPr>
        <w:tc>
          <w:tcPr>
            <w:tcW w:w="3100" w:type="dxa"/>
            <w:tcBorders>
              <w:top w:val="nil"/>
              <w:left w:val="nil"/>
              <w:bottom w:val="nil"/>
              <w:right w:val="nil"/>
            </w:tcBorders>
            <w:shd w:val="clear" w:color="auto" w:fill="auto"/>
            <w:vAlign w:val="center"/>
            <w:hideMark/>
          </w:tcPr>
          <w:p w14:paraId="33DD8757"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Number of Observations</w:t>
            </w:r>
          </w:p>
        </w:tc>
        <w:tc>
          <w:tcPr>
            <w:tcW w:w="1020" w:type="dxa"/>
            <w:tcBorders>
              <w:top w:val="nil"/>
              <w:left w:val="nil"/>
              <w:bottom w:val="nil"/>
              <w:right w:val="nil"/>
            </w:tcBorders>
            <w:shd w:val="clear" w:color="auto" w:fill="auto"/>
            <w:vAlign w:val="center"/>
            <w:hideMark/>
          </w:tcPr>
          <w:p w14:paraId="549DE0A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21420 </w:t>
            </w:r>
          </w:p>
        </w:tc>
        <w:tc>
          <w:tcPr>
            <w:tcW w:w="1020" w:type="dxa"/>
            <w:tcBorders>
              <w:top w:val="nil"/>
              <w:left w:val="nil"/>
              <w:bottom w:val="nil"/>
              <w:right w:val="nil"/>
            </w:tcBorders>
            <w:shd w:val="clear" w:color="auto" w:fill="auto"/>
            <w:vAlign w:val="center"/>
            <w:hideMark/>
          </w:tcPr>
          <w:p w14:paraId="47C074E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21420 </w:t>
            </w:r>
          </w:p>
        </w:tc>
        <w:tc>
          <w:tcPr>
            <w:tcW w:w="1020" w:type="dxa"/>
            <w:tcBorders>
              <w:top w:val="nil"/>
              <w:left w:val="nil"/>
              <w:bottom w:val="nil"/>
              <w:right w:val="nil"/>
            </w:tcBorders>
            <w:shd w:val="clear" w:color="auto" w:fill="auto"/>
            <w:vAlign w:val="center"/>
            <w:hideMark/>
          </w:tcPr>
          <w:p w14:paraId="3D50D28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21420 </w:t>
            </w:r>
          </w:p>
        </w:tc>
        <w:tc>
          <w:tcPr>
            <w:tcW w:w="1020" w:type="dxa"/>
            <w:tcBorders>
              <w:top w:val="nil"/>
              <w:left w:val="nil"/>
              <w:bottom w:val="nil"/>
              <w:right w:val="nil"/>
            </w:tcBorders>
            <w:shd w:val="clear" w:color="auto" w:fill="auto"/>
            <w:vAlign w:val="center"/>
            <w:hideMark/>
          </w:tcPr>
          <w:p w14:paraId="60A84E8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21420 </w:t>
            </w:r>
          </w:p>
        </w:tc>
        <w:tc>
          <w:tcPr>
            <w:tcW w:w="1020" w:type="dxa"/>
            <w:tcBorders>
              <w:top w:val="nil"/>
              <w:left w:val="nil"/>
              <w:bottom w:val="nil"/>
              <w:right w:val="nil"/>
            </w:tcBorders>
            <w:shd w:val="clear" w:color="auto" w:fill="auto"/>
            <w:vAlign w:val="center"/>
            <w:hideMark/>
          </w:tcPr>
          <w:p w14:paraId="33D90BE0"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21420 </w:t>
            </w:r>
          </w:p>
        </w:tc>
        <w:tc>
          <w:tcPr>
            <w:tcW w:w="1120" w:type="dxa"/>
            <w:tcBorders>
              <w:top w:val="nil"/>
              <w:left w:val="nil"/>
              <w:bottom w:val="nil"/>
              <w:right w:val="nil"/>
            </w:tcBorders>
            <w:shd w:val="clear" w:color="auto" w:fill="auto"/>
            <w:vAlign w:val="center"/>
            <w:hideMark/>
          </w:tcPr>
          <w:p w14:paraId="28A955C3"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21420 </w:t>
            </w:r>
          </w:p>
        </w:tc>
        <w:tc>
          <w:tcPr>
            <w:tcW w:w="1020" w:type="dxa"/>
            <w:tcBorders>
              <w:top w:val="nil"/>
              <w:left w:val="nil"/>
              <w:bottom w:val="nil"/>
              <w:right w:val="nil"/>
            </w:tcBorders>
            <w:shd w:val="clear" w:color="auto" w:fill="auto"/>
            <w:vAlign w:val="center"/>
            <w:hideMark/>
          </w:tcPr>
          <w:p w14:paraId="034BD4F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21420 </w:t>
            </w:r>
          </w:p>
        </w:tc>
        <w:tc>
          <w:tcPr>
            <w:tcW w:w="1020" w:type="dxa"/>
            <w:tcBorders>
              <w:top w:val="nil"/>
              <w:left w:val="nil"/>
              <w:bottom w:val="nil"/>
              <w:right w:val="nil"/>
            </w:tcBorders>
            <w:shd w:val="clear" w:color="auto" w:fill="auto"/>
            <w:vAlign w:val="center"/>
            <w:hideMark/>
          </w:tcPr>
          <w:p w14:paraId="0F35A0E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21420 </w:t>
            </w:r>
          </w:p>
        </w:tc>
      </w:tr>
      <w:tr w:rsidR="00D91E8B" w:rsidRPr="00D91E8B" w14:paraId="7DE5E39B" w14:textId="77777777" w:rsidTr="00D91E8B">
        <w:trPr>
          <w:trHeight w:val="270"/>
          <w:jc w:val="center"/>
        </w:trPr>
        <w:tc>
          <w:tcPr>
            <w:tcW w:w="3100" w:type="dxa"/>
            <w:tcBorders>
              <w:top w:val="nil"/>
              <w:left w:val="nil"/>
              <w:bottom w:val="single" w:sz="8" w:space="0" w:color="auto"/>
              <w:right w:val="nil"/>
            </w:tcBorders>
            <w:shd w:val="clear" w:color="auto" w:fill="auto"/>
            <w:vAlign w:val="center"/>
            <w:hideMark/>
          </w:tcPr>
          <w:p w14:paraId="753A91DD"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color w:val="000000"/>
                <w:sz w:val="22"/>
                <w:szCs w:val="22"/>
              </w:rPr>
              <w:t>Number of Firms</w:t>
            </w:r>
          </w:p>
        </w:tc>
        <w:tc>
          <w:tcPr>
            <w:tcW w:w="1020" w:type="dxa"/>
            <w:tcBorders>
              <w:top w:val="nil"/>
              <w:left w:val="nil"/>
              <w:bottom w:val="single" w:sz="8" w:space="0" w:color="auto"/>
              <w:right w:val="nil"/>
            </w:tcBorders>
            <w:shd w:val="clear" w:color="auto" w:fill="auto"/>
            <w:vAlign w:val="center"/>
            <w:hideMark/>
          </w:tcPr>
          <w:p w14:paraId="62FACCC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119 </w:t>
            </w:r>
          </w:p>
        </w:tc>
        <w:tc>
          <w:tcPr>
            <w:tcW w:w="1020" w:type="dxa"/>
            <w:tcBorders>
              <w:top w:val="nil"/>
              <w:left w:val="nil"/>
              <w:bottom w:val="single" w:sz="8" w:space="0" w:color="auto"/>
              <w:right w:val="nil"/>
            </w:tcBorders>
            <w:shd w:val="clear" w:color="auto" w:fill="auto"/>
            <w:vAlign w:val="center"/>
            <w:hideMark/>
          </w:tcPr>
          <w:p w14:paraId="4A8E29E2"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119 </w:t>
            </w:r>
          </w:p>
        </w:tc>
        <w:tc>
          <w:tcPr>
            <w:tcW w:w="1020" w:type="dxa"/>
            <w:tcBorders>
              <w:top w:val="nil"/>
              <w:left w:val="nil"/>
              <w:bottom w:val="single" w:sz="8" w:space="0" w:color="auto"/>
              <w:right w:val="nil"/>
            </w:tcBorders>
            <w:shd w:val="clear" w:color="auto" w:fill="auto"/>
            <w:vAlign w:val="center"/>
            <w:hideMark/>
          </w:tcPr>
          <w:p w14:paraId="4AE9A329"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119 </w:t>
            </w:r>
          </w:p>
        </w:tc>
        <w:tc>
          <w:tcPr>
            <w:tcW w:w="1020" w:type="dxa"/>
            <w:tcBorders>
              <w:top w:val="nil"/>
              <w:left w:val="nil"/>
              <w:bottom w:val="single" w:sz="8" w:space="0" w:color="auto"/>
              <w:right w:val="nil"/>
            </w:tcBorders>
            <w:shd w:val="clear" w:color="auto" w:fill="auto"/>
            <w:vAlign w:val="center"/>
            <w:hideMark/>
          </w:tcPr>
          <w:p w14:paraId="0025307E"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119 </w:t>
            </w:r>
          </w:p>
        </w:tc>
        <w:tc>
          <w:tcPr>
            <w:tcW w:w="1020" w:type="dxa"/>
            <w:tcBorders>
              <w:top w:val="nil"/>
              <w:left w:val="nil"/>
              <w:bottom w:val="single" w:sz="8" w:space="0" w:color="auto"/>
              <w:right w:val="nil"/>
            </w:tcBorders>
            <w:shd w:val="clear" w:color="auto" w:fill="auto"/>
            <w:vAlign w:val="center"/>
            <w:hideMark/>
          </w:tcPr>
          <w:p w14:paraId="2DC2080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119 </w:t>
            </w:r>
          </w:p>
        </w:tc>
        <w:tc>
          <w:tcPr>
            <w:tcW w:w="1120" w:type="dxa"/>
            <w:tcBorders>
              <w:top w:val="nil"/>
              <w:left w:val="nil"/>
              <w:bottom w:val="single" w:sz="8" w:space="0" w:color="auto"/>
              <w:right w:val="nil"/>
            </w:tcBorders>
            <w:shd w:val="clear" w:color="auto" w:fill="auto"/>
            <w:vAlign w:val="center"/>
            <w:hideMark/>
          </w:tcPr>
          <w:p w14:paraId="07BA9524"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119 </w:t>
            </w:r>
          </w:p>
        </w:tc>
        <w:tc>
          <w:tcPr>
            <w:tcW w:w="1020" w:type="dxa"/>
            <w:tcBorders>
              <w:top w:val="nil"/>
              <w:left w:val="nil"/>
              <w:bottom w:val="single" w:sz="8" w:space="0" w:color="auto"/>
              <w:right w:val="nil"/>
            </w:tcBorders>
            <w:shd w:val="clear" w:color="auto" w:fill="auto"/>
            <w:vAlign w:val="center"/>
            <w:hideMark/>
          </w:tcPr>
          <w:p w14:paraId="1BF84878"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119 </w:t>
            </w:r>
          </w:p>
        </w:tc>
        <w:tc>
          <w:tcPr>
            <w:tcW w:w="1020" w:type="dxa"/>
            <w:tcBorders>
              <w:top w:val="nil"/>
              <w:left w:val="nil"/>
              <w:bottom w:val="single" w:sz="8" w:space="0" w:color="auto"/>
              <w:right w:val="nil"/>
            </w:tcBorders>
            <w:shd w:val="clear" w:color="auto" w:fill="auto"/>
            <w:vAlign w:val="center"/>
            <w:hideMark/>
          </w:tcPr>
          <w:p w14:paraId="1F00D486" w14:textId="77777777" w:rsidR="00D91E8B" w:rsidRPr="00D91E8B" w:rsidRDefault="00D91E8B" w:rsidP="00D91E8B">
            <w:pPr>
              <w:spacing w:after="0" w:line="240" w:lineRule="auto"/>
              <w:jc w:val="center"/>
              <w:rPr>
                <w:rFonts w:eastAsia="Times New Roman"/>
                <w:color w:val="000000"/>
                <w:sz w:val="22"/>
                <w:szCs w:val="22"/>
              </w:rPr>
            </w:pPr>
            <w:r w:rsidRPr="00D91E8B">
              <w:rPr>
                <w:rFonts w:eastAsia="Times New Roman"/>
                <w:color w:val="000000"/>
                <w:sz w:val="22"/>
                <w:szCs w:val="22"/>
              </w:rPr>
              <w:t xml:space="preserve">119 </w:t>
            </w:r>
          </w:p>
        </w:tc>
      </w:tr>
      <w:tr w:rsidR="00D91E8B" w:rsidRPr="00D91E8B" w14:paraId="44EAD822" w14:textId="77777777" w:rsidTr="00D91E8B">
        <w:trPr>
          <w:trHeight w:val="998"/>
          <w:jc w:val="center"/>
        </w:trPr>
        <w:tc>
          <w:tcPr>
            <w:tcW w:w="11360" w:type="dxa"/>
            <w:gridSpan w:val="9"/>
            <w:tcBorders>
              <w:top w:val="single" w:sz="8" w:space="0" w:color="auto"/>
              <w:left w:val="nil"/>
              <w:bottom w:val="nil"/>
              <w:right w:val="nil"/>
            </w:tcBorders>
            <w:shd w:val="clear" w:color="auto" w:fill="auto"/>
            <w:vAlign w:val="center"/>
            <w:hideMark/>
          </w:tcPr>
          <w:p w14:paraId="7759A3B9" w14:textId="77777777" w:rsidR="00D91E8B" w:rsidRPr="00D91E8B" w:rsidRDefault="00D91E8B" w:rsidP="00D91E8B">
            <w:pPr>
              <w:spacing w:after="0" w:line="240" w:lineRule="auto"/>
              <w:rPr>
                <w:rFonts w:eastAsia="Times New Roman"/>
                <w:color w:val="000000"/>
                <w:sz w:val="22"/>
                <w:szCs w:val="22"/>
              </w:rPr>
            </w:pPr>
            <w:r w:rsidRPr="00D91E8B">
              <w:rPr>
                <w:rFonts w:eastAsia="Times New Roman"/>
                <w:i/>
                <w:iCs/>
                <w:color w:val="000000"/>
                <w:sz w:val="22"/>
                <w:szCs w:val="22"/>
              </w:rPr>
              <w:t>Note: T</w:t>
            </w:r>
            <w:r w:rsidRPr="00D91E8B">
              <w:rPr>
                <w:rFonts w:eastAsia="Times New Roman"/>
                <w:color w:val="000000"/>
                <w:sz w:val="22"/>
                <w:szCs w:val="22"/>
              </w:rPr>
              <w:t>he dependent variable is</w:t>
            </w:r>
            <w:r w:rsidRPr="00D91E8B">
              <w:rPr>
                <w:rFonts w:eastAsia="Times New Roman"/>
                <w:i/>
                <w:iCs/>
                <w:color w:val="000000"/>
                <w:sz w:val="22"/>
                <w:szCs w:val="22"/>
              </w:rPr>
              <w:t xml:space="preserve"> entry</w:t>
            </w:r>
            <w:r w:rsidRPr="00D91E8B">
              <w:rPr>
                <w:rFonts w:eastAsia="Times New Roman"/>
                <w:color w:val="000000"/>
                <w:sz w:val="22"/>
                <w:szCs w:val="22"/>
              </w:rPr>
              <w:t xml:space="preserve"> in model (1) - (6), </w:t>
            </w:r>
            <w:r w:rsidRPr="00D91E8B">
              <w:rPr>
                <w:rFonts w:eastAsia="Times New Roman"/>
                <w:i/>
                <w:iCs/>
                <w:color w:val="000000"/>
                <w:sz w:val="22"/>
                <w:szCs w:val="22"/>
              </w:rPr>
              <w:t>two years entry sum</w:t>
            </w:r>
            <w:r w:rsidRPr="00D91E8B">
              <w:rPr>
                <w:rFonts w:eastAsia="Times New Roman"/>
                <w:color w:val="000000"/>
                <w:sz w:val="22"/>
                <w:szCs w:val="22"/>
              </w:rPr>
              <w:t xml:space="preserve"> (years t and t+1) in model (7), and</w:t>
            </w:r>
            <w:r w:rsidRPr="00D91E8B">
              <w:rPr>
                <w:rFonts w:eastAsia="Times New Roman"/>
                <w:i/>
                <w:iCs/>
                <w:color w:val="000000"/>
                <w:sz w:val="22"/>
                <w:szCs w:val="22"/>
              </w:rPr>
              <w:t xml:space="preserve"> three years entry sum</w:t>
            </w:r>
            <w:r w:rsidRPr="00D91E8B">
              <w:rPr>
                <w:rFonts w:eastAsia="Times New Roman"/>
                <w:color w:val="000000"/>
                <w:sz w:val="22"/>
                <w:szCs w:val="22"/>
              </w:rPr>
              <w:t xml:space="preserve"> (years t, t+1 and t+2) in model (8); all models are fitted with conditional logit regressions grouped by firm (firm fixed effects); standard errors are in parentheses.+ </w:t>
            </w:r>
            <w:r w:rsidRPr="00D91E8B">
              <w:rPr>
                <w:rFonts w:eastAsia="Times New Roman"/>
                <w:i/>
                <w:iCs/>
                <w:color w:val="000000"/>
                <w:sz w:val="22"/>
                <w:szCs w:val="22"/>
              </w:rPr>
              <w:t>p</w:t>
            </w:r>
            <w:r w:rsidRPr="00D91E8B">
              <w:rPr>
                <w:rFonts w:eastAsia="Times New Roman"/>
                <w:color w:val="000000"/>
                <w:sz w:val="22"/>
                <w:szCs w:val="22"/>
              </w:rPr>
              <w:t xml:space="preserve"> &lt; 0.1, *</w:t>
            </w:r>
            <w:r w:rsidRPr="00D91E8B">
              <w:rPr>
                <w:rFonts w:eastAsia="Times New Roman"/>
                <w:i/>
                <w:iCs/>
                <w:color w:val="000000"/>
                <w:sz w:val="22"/>
                <w:szCs w:val="22"/>
              </w:rPr>
              <w:t xml:space="preserve"> p</w:t>
            </w:r>
            <w:r w:rsidRPr="00D91E8B">
              <w:rPr>
                <w:rFonts w:eastAsia="Times New Roman"/>
                <w:color w:val="000000"/>
                <w:sz w:val="22"/>
                <w:szCs w:val="22"/>
              </w:rPr>
              <w:t xml:space="preserve"> &lt; 0.05, **</w:t>
            </w:r>
            <w:r w:rsidRPr="00D91E8B">
              <w:rPr>
                <w:rFonts w:eastAsia="Times New Roman"/>
                <w:i/>
                <w:iCs/>
                <w:color w:val="000000"/>
                <w:sz w:val="22"/>
                <w:szCs w:val="22"/>
              </w:rPr>
              <w:t xml:space="preserve"> p </w:t>
            </w:r>
            <w:r w:rsidRPr="00D91E8B">
              <w:rPr>
                <w:rFonts w:eastAsia="Times New Roman"/>
                <w:color w:val="000000"/>
                <w:sz w:val="22"/>
                <w:szCs w:val="22"/>
              </w:rPr>
              <w:t>&lt; 0.01,</w:t>
            </w:r>
            <w:r w:rsidRPr="00D91E8B">
              <w:rPr>
                <w:rFonts w:eastAsia="Times New Roman"/>
                <w:i/>
                <w:iCs/>
                <w:color w:val="000000"/>
                <w:sz w:val="22"/>
                <w:szCs w:val="22"/>
              </w:rPr>
              <w:t xml:space="preserve"> </w:t>
            </w:r>
            <w:r w:rsidRPr="00D91E8B">
              <w:rPr>
                <w:rFonts w:eastAsia="Times New Roman"/>
                <w:color w:val="000000"/>
                <w:sz w:val="22"/>
                <w:szCs w:val="22"/>
              </w:rPr>
              <w:t>***</w:t>
            </w:r>
            <w:r w:rsidRPr="00D91E8B">
              <w:rPr>
                <w:rFonts w:eastAsia="Times New Roman"/>
                <w:i/>
                <w:iCs/>
                <w:color w:val="000000"/>
                <w:sz w:val="22"/>
                <w:szCs w:val="22"/>
              </w:rPr>
              <w:t xml:space="preserve"> p </w:t>
            </w:r>
            <w:r w:rsidRPr="00D91E8B">
              <w:rPr>
                <w:rFonts w:eastAsia="Times New Roman"/>
                <w:color w:val="000000"/>
                <w:sz w:val="22"/>
                <w:szCs w:val="22"/>
              </w:rPr>
              <w:t>&lt; 0.001</w:t>
            </w:r>
          </w:p>
        </w:tc>
      </w:tr>
    </w:tbl>
    <w:p w14:paraId="06534664" w14:textId="77777777" w:rsidR="00D91E8B" w:rsidRDefault="00D91E8B" w:rsidP="003373BD">
      <w:pPr>
        <w:sectPr w:rsidR="00D91E8B" w:rsidSect="00D91E8B">
          <w:pgSz w:w="12240" w:h="15840" w:code="1"/>
          <w:pgMar w:top="720" w:right="720" w:bottom="720" w:left="720" w:header="720" w:footer="720" w:gutter="0"/>
          <w:cols w:space="720"/>
          <w:docGrid w:linePitch="360"/>
        </w:sectPr>
      </w:pPr>
    </w:p>
    <w:tbl>
      <w:tblPr>
        <w:tblW w:w="9180" w:type="dxa"/>
        <w:jc w:val="center"/>
        <w:tblLook w:val="04A0" w:firstRow="1" w:lastRow="0" w:firstColumn="1" w:lastColumn="0" w:noHBand="0" w:noVBand="1"/>
      </w:tblPr>
      <w:tblGrid>
        <w:gridCol w:w="4460"/>
        <w:gridCol w:w="1140"/>
        <w:gridCol w:w="1300"/>
        <w:gridCol w:w="1140"/>
        <w:gridCol w:w="1140"/>
      </w:tblGrid>
      <w:tr w:rsidR="00D91E8B" w:rsidRPr="00D91E8B" w14:paraId="6815FA57" w14:textId="77777777" w:rsidTr="00D91E8B">
        <w:trPr>
          <w:trHeight w:val="280"/>
          <w:jc w:val="center"/>
        </w:trPr>
        <w:tc>
          <w:tcPr>
            <w:tcW w:w="9180" w:type="dxa"/>
            <w:gridSpan w:val="5"/>
            <w:tcBorders>
              <w:top w:val="nil"/>
              <w:left w:val="nil"/>
              <w:bottom w:val="single" w:sz="8" w:space="0" w:color="auto"/>
              <w:right w:val="nil"/>
            </w:tcBorders>
            <w:shd w:val="clear" w:color="auto" w:fill="auto"/>
            <w:noWrap/>
            <w:vAlign w:val="bottom"/>
            <w:hideMark/>
          </w:tcPr>
          <w:p w14:paraId="419E1199" w14:textId="77777777" w:rsidR="00D91E8B" w:rsidRPr="00D91E8B" w:rsidRDefault="00D91E8B" w:rsidP="00D91E8B">
            <w:pPr>
              <w:spacing w:after="0" w:line="240" w:lineRule="auto"/>
              <w:rPr>
                <w:rFonts w:eastAsia="Times New Roman"/>
                <w:b/>
                <w:bCs/>
                <w:color w:val="000000"/>
              </w:rPr>
            </w:pPr>
            <w:r w:rsidRPr="00D91E8B">
              <w:rPr>
                <w:rFonts w:eastAsia="Times New Roman"/>
                <w:b/>
                <w:bCs/>
                <w:color w:val="000000"/>
              </w:rPr>
              <w:lastRenderedPageBreak/>
              <w:t>Table 6. Moderating effects tests</w:t>
            </w:r>
          </w:p>
        </w:tc>
      </w:tr>
      <w:tr w:rsidR="00D91E8B" w:rsidRPr="00D91E8B" w14:paraId="7933CF8C" w14:textId="77777777" w:rsidTr="00D91E8B">
        <w:trPr>
          <w:trHeight w:val="280"/>
          <w:jc w:val="center"/>
        </w:trPr>
        <w:tc>
          <w:tcPr>
            <w:tcW w:w="4460" w:type="dxa"/>
            <w:tcBorders>
              <w:top w:val="nil"/>
              <w:left w:val="nil"/>
              <w:bottom w:val="nil"/>
              <w:right w:val="nil"/>
            </w:tcBorders>
            <w:shd w:val="clear" w:color="auto" w:fill="auto"/>
            <w:vAlign w:val="center"/>
            <w:hideMark/>
          </w:tcPr>
          <w:p w14:paraId="2E31C628" w14:textId="77777777" w:rsidR="00D91E8B" w:rsidRPr="00D91E8B" w:rsidRDefault="00D91E8B" w:rsidP="00D91E8B">
            <w:pPr>
              <w:spacing w:after="0" w:line="240" w:lineRule="auto"/>
              <w:rPr>
                <w:rFonts w:eastAsia="Times New Roman"/>
                <w:b/>
                <w:bCs/>
                <w:color w:val="000000"/>
              </w:rPr>
            </w:pPr>
          </w:p>
        </w:tc>
        <w:tc>
          <w:tcPr>
            <w:tcW w:w="1140" w:type="dxa"/>
            <w:tcBorders>
              <w:top w:val="nil"/>
              <w:left w:val="nil"/>
              <w:bottom w:val="single" w:sz="8" w:space="0" w:color="auto"/>
              <w:right w:val="nil"/>
            </w:tcBorders>
            <w:shd w:val="clear" w:color="auto" w:fill="auto"/>
            <w:vAlign w:val="center"/>
            <w:hideMark/>
          </w:tcPr>
          <w:p w14:paraId="468BAB3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(9)</w:t>
            </w:r>
          </w:p>
        </w:tc>
        <w:tc>
          <w:tcPr>
            <w:tcW w:w="1300" w:type="dxa"/>
            <w:tcBorders>
              <w:top w:val="nil"/>
              <w:left w:val="nil"/>
              <w:bottom w:val="single" w:sz="8" w:space="0" w:color="auto"/>
              <w:right w:val="nil"/>
            </w:tcBorders>
            <w:shd w:val="clear" w:color="auto" w:fill="auto"/>
            <w:vAlign w:val="center"/>
            <w:hideMark/>
          </w:tcPr>
          <w:p w14:paraId="77356AF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(10)</w:t>
            </w:r>
          </w:p>
        </w:tc>
        <w:tc>
          <w:tcPr>
            <w:tcW w:w="1140" w:type="dxa"/>
            <w:tcBorders>
              <w:top w:val="nil"/>
              <w:left w:val="nil"/>
              <w:bottom w:val="single" w:sz="8" w:space="0" w:color="auto"/>
              <w:right w:val="nil"/>
            </w:tcBorders>
            <w:shd w:val="clear" w:color="auto" w:fill="auto"/>
            <w:vAlign w:val="center"/>
            <w:hideMark/>
          </w:tcPr>
          <w:p w14:paraId="5756B40B"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(11)</w:t>
            </w:r>
          </w:p>
        </w:tc>
        <w:tc>
          <w:tcPr>
            <w:tcW w:w="1140" w:type="dxa"/>
            <w:tcBorders>
              <w:top w:val="nil"/>
              <w:left w:val="nil"/>
              <w:bottom w:val="single" w:sz="8" w:space="0" w:color="auto"/>
              <w:right w:val="nil"/>
            </w:tcBorders>
            <w:shd w:val="clear" w:color="auto" w:fill="auto"/>
            <w:vAlign w:val="center"/>
            <w:hideMark/>
          </w:tcPr>
          <w:p w14:paraId="3445EA2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(12)</w:t>
            </w:r>
          </w:p>
        </w:tc>
      </w:tr>
      <w:tr w:rsidR="00D91E8B" w:rsidRPr="00D91E8B" w14:paraId="0DC07D06" w14:textId="77777777" w:rsidTr="00D91E8B">
        <w:trPr>
          <w:trHeight w:val="315"/>
          <w:jc w:val="center"/>
        </w:trPr>
        <w:tc>
          <w:tcPr>
            <w:tcW w:w="4460" w:type="dxa"/>
            <w:tcBorders>
              <w:top w:val="nil"/>
              <w:left w:val="nil"/>
              <w:bottom w:val="nil"/>
              <w:right w:val="nil"/>
            </w:tcBorders>
            <w:shd w:val="clear" w:color="auto" w:fill="auto"/>
            <w:vAlign w:val="center"/>
            <w:hideMark/>
          </w:tcPr>
          <w:p w14:paraId="53AE2CB6" w14:textId="77777777" w:rsidR="00D91E8B" w:rsidRPr="00D91E8B" w:rsidRDefault="00D91E8B" w:rsidP="00D91E8B">
            <w:pPr>
              <w:spacing w:after="0" w:line="240" w:lineRule="auto"/>
              <w:rPr>
                <w:rFonts w:eastAsia="Times New Roman"/>
                <w:b/>
                <w:bCs/>
                <w:color w:val="000000"/>
              </w:rPr>
            </w:pPr>
            <w:r w:rsidRPr="00D91E8B">
              <w:rPr>
                <w:rFonts w:eastAsia="Times New Roman"/>
                <w:b/>
                <w:bCs/>
                <w:color w:val="000000"/>
              </w:rPr>
              <w:t>Dependent Variable</w:t>
            </w:r>
          </w:p>
        </w:tc>
        <w:tc>
          <w:tcPr>
            <w:tcW w:w="1140" w:type="dxa"/>
            <w:tcBorders>
              <w:top w:val="nil"/>
              <w:left w:val="nil"/>
              <w:bottom w:val="nil"/>
              <w:right w:val="nil"/>
            </w:tcBorders>
            <w:shd w:val="clear" w:color="auto" w:fill="auto"/>
            <w:vAlign w:val="center"/>
            <w:hideMark/>
          </w:tcPr>
          <w:p w14:paraId="5BF62FE3"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Entry</w:t>
            </w:r>
          </w:p>
        </w:tc>
        <w:tc>
          <w:tcPr>
            <w:tcW w:w="1300" w:type="dxa"/>
            <w:tcBorders>
              <w:top w:val="nil"/>
              <w:left w:val="nil"/>
              <w:bottom w:val="nil"/>
              <w:right w:val="nil"/>
            </w:tcBorders>
            <w:shd w:val="clear" w:color="auto" w:fill="auto"/>
            <w:vAlign w:val="center"/>
            <w:hideMark/>
          </w:tcPr>
          <w:p w14:paraId="0E97F547"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Entry</w:t>
            </w:r>
          </w:p>
        </w:tc>
        <w:tc>
          <w:tcPr>
            <w:tcW w:w="1140" w:type="dxa"/>
            <w:tcBorders>
              <w:top w:val="nil"/>
              <w:left w:val="nil"/>
              <w:bottom w:val="nil"/>
              <w:right w:val="nil"/>
            </w:tcBorders>
            <w:shd w:val="clear" w:color="auto" w:fill="auto"/>
            <w:vAlign w:val="center"/>
            <w:hideMark/>
          </w:tcPr>
          <w:p w14:paraId="76A96827"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Entry</w:t>
            </w:r>
          </w:p>
        </w:tc>
        <w:tc>
          <w:tcPr>
            <w:tcW w:w="1140" w:type="dxa"/>
            <w:tcBorders>
              <w:top w:val="nil"/>
              <w:left w:val="nil"/>
              <w:bottom w:val="nil"/>
              <w:right w:val="nil"/>
            </w:tcBorders>
            <w:shd w:val="clear" w:color="auto" w:fill="auto"/>
            <w:vAlign w:val="center"/>
            <w:hideMark/>
          </w:tcPr>
          <w:p w14:paraId="5C0D8552"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Entry</w:t>
            </w:r>
          </w:p>
        </w:tc>
      </w:tr>
      <w:tr w:rsidR="00D91E8B" w:rsidRPr="00D91E8B" w14:paraId="1F1A4D45" w14:textId="77777777" w:rsidTr="00D91E8B">
        <w:trPr>
          <w:trHeight w:val="315"/>
          <w:jc w:val="center"/>
        </w:trPr>
        <w:tc>
          <w:tcPr>
            <w:tcW w:w="4460" w:type="dxa"/>
            <w:tcBorders>
              <w:top w:val="nil"/>
              <w:left w:val="nil"/>
              <w:bottom w:val="nil"/>
              <w:right w:val="nil"/>
            </w:tcBorders>
            <w:shd w:val="clear" w:color="auto" w:fill="auto"/>
            <w:vAlign w:val="center"/>
            <w:hideMark/>
          </w:tcPr>
          <w:p w14:paraId="2C8907AD" w14:textId="77777777" w:rsidR="00D91E8B" w:rsidRPr="00D91E8B" w:rsidRDefault="00D91E8B" w:rsidP="00D91E8B">
            <w:pPr>
              <w:spacing w:after="0" w:line="240" w:lineRule="auto"/>
              <w:rPr>
                <w:rFonts w:eastAsia="Times New Roman"/>
                <w:b/>
                <w:bCs/>
                <w:color w:val="000000"/>
              </w:rPr>
            </w:pPr>
            <w:r w:rsidRPr="00D91E8B">
              <w:rPr>
                <w:rFonts w:eastAsia="Times New Roman"/>
                <w:b/>
                <w:bCs/>
                <w:color w:val="000000"/>
              </w:rPr>
              <w:t xml:space="preserve">Host Country Attributes </w:t>
            </w:r>
          </w:p>
        </w:tc>
        <w:tc>
          <w:tcPr>
            <w:tcW w:w="1140" w:type="dxa"/>
            <w:tcBorders>
              <w:top w:val="nil"/>
              <w:left w:val="nil"/>
              <w:bottom w:val="nil"/>
              <w:right w:val="nil"/>
            </w:tcBorders>
            <w:shd w:val="clear" w:color="auto" w:fill="auto"/>
            <w:vAlign w:val="center"/>
            <w:hideMark/>
          </w:tcPr>
          <w:p w14:paraId="1FF8500A" w14:textId="77777777" w:rsidR="00D91E8B" w:rsidRPr="00D91E8B" w:rsidRDefault="00D91E8B" w:rsidP="00D91E8B">
            <w:pPr>
              <w:spacing w:after="0" w:line="240" w:lineRule="auto"/>
              <w:rPr>
                <w:rFonts w:eastAsia="Times New Roman"/>
                <w:b/>
                <w:bCs/>
                <w:color w:val="000000"/>
              </w:rPr>
            </w:pPr>
          </w:p>
        </w:tc>
        <w:tc>
          <w:tcPr>
            <w:tcW w:w="1300" w:type="dxa"/>
            <w:tcBorders>
              <w:top w:val="nil"/>
              <w:left w:val="nil"/>
              <w:bottom w:val="nil"/>
              <w:right w:val="nil"/>
            </w:tcBorders>
            <w:shd w:val="clear" w:color="auto" w:fill="auto"/>
            <w:vAlign w:val="center"/>
            <w:hideMark/>
          </w:tcPr>
          <w:p w14:paraId="14236175" w14:textId="77777777" w:rsidR="00D91E8B" w:rsidRPr="00D91E8B" w:rsidRDefault="00D91E8B" w:rsidP="00D91E8B">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2C5E8678" w14:textId="77777777" w:rsidR="00D91E8B" w:rsidRPr="00D91E8B" w:rsidRDefault="00D91E8B" w:rsidP="00D91E8B">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41596F94" w14:textId="77777777" w:rsidR="00D91E8B" w:rsidRPr="00D91E8B" w:rsidRDefault="00D91E8B" w:rsidP="00D91E8B">
            <w:pPr>
              <w:spacing w:after="0" w:line="240" w:lineRule="auto"/>
              <w:jc w:val="center"/>
              <w:rPr>
                <w:rFonts w:eastAsia="Times New Roman"/>
                <w:sz w:val="20"/>
                <w:szCs w:val="20"/>
              </w:rPr>
            </w:pPr>
          </w:p>
        </w:tc>
      </w:tr>
      <w:tr w:rsidR="00D91E8B" w:rsidRPr="00D91E8B" w14:paraId="211D35E4" w14:textId="77777777" w:rsidTr="00D91E8B">
        <w:trPr>
          <w:trHeight w:val="280"/>
          <w:jc w:val="center"/>
        </w:trPr>
        <w:tc>
          <w:tcPr>
            <w:tcW w:w="4460" w:type="dxa"/>
            <w:tcBorders>
              <w:top w:val="nil"/>
              <w:left w:val="nil"/>
              <w:bottom w:val="nil"/>
              <w:right w:val="nil"/>
            </w:tcBorders>
            <w:shd w:val="clear" w:color="auto" w:fill="auto"/>
            <w:vAlign w:val="center"/>
            <w:hideMark/>
          </w:tcPr>
          <w:p w14:paraId="4F131500"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xml:space="preserve">Institutional development </w:t>
            </w:r>
          </w:p>
        </w:tc>
        <w:tc>
          <w:tcPr>
            <w:tcW w:w="1140" w:type="dxa"/>
            <w:tcBorders>
              <w:top w:val="nil"/>
              <w:left w:val="nil"/>
              <w:bottom w:val="nil"/>
              <w:right w:val="nil"/>
            </w:tcBorders>
            <w:shd w:val="clear" w:color="auto" w:fill="auto"/>
            <w:vAlign w:val="center"/>
            <w:hideMark/>
          </w:tcPr>
          <w:p w14:paraId="2A197F09"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0.15 </w:t>
            </w:r>
          </w:p>
        </w:tc>
        <w:tc>
          <w:tcPr>
            <w:tcW w:w="1300" w:type="dxa"/>
            <w:tcBorders>
              <w:top w:val="nil"/>
              <w:left w:val="nil"/>
              <w:bottom w:val="nil"/>
              <w:right w:val="nil"/>
            </w:tcBorders>
            <w:shd w:val="clear" w:color="auto" w:fill="auto"/>
            <w:vAlign w:val="center"/>
            <w:hideMark/>
          </w:tcPr>
          <w:p w14:paraId="2F2B5489"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0.14 </w:t>
            </w:r>
          </w:p>
        </w:tc>
        <w:tc>
          <w:tcPr>
            <w:tcW w:w="1140" w:type="dxa"/>
            <w:tcBorders>
              <w:top w:val="nil"/>
              <w:left w:val="nil"/>
              <w:bottom w:val="nil"/>
              <w:right w:val="nil"/>
            </w:tcBorders>
            <w:shd w:val="clear" w:color="auto" w:fill="auto"/>
            <w:vAlign w:val="center"/>
            <w:hideMark/>
          </w:tcPr>
          <w:p w14:paraId="2C56E490"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0.08 </w:t>
            </w:r>
          </w:p>
        </w:tc>
        <w:tc>
          <w:tcPr>
            <w:tcW w:w="1140" w:type="dxa"/>
            <w:tcBorders>
              <w:top w:val="nil"/>
              <w:left w:val="nil"/>
              <w:bottom w:val="nil"/>
              <w:right w:val="nil"/>
            </w:tcBorders>
            <w:shd w:val="clear" w:color="auto" w:fill="auto"/>
            <w:vAlign w:val="center"/>
            <w:hideMark/>
          </w:tcPr>
          <w:p w14:paraId="1C8B2528"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0.09 </w:t>
            </w:r>
          </w:p>
        </w:tc>
      </w:tr>
      <w:tr w:rsidR="00D91E8B" w:rsidRPr="00D91E8B" w14:paraId="07E08AA5" w14:textId="77777777" w:rsidTr="00D91E8B">
        <w:trPr>
          <w:trHeight w:val="280"/>
          <w:jc w:val="center"/>
        </w:trPr>
        <w:tc>
          <w:tcPr>
            <w:tcW w:w="4460" w:type="dxa"/>
            <w:tcBorders>
              <w:top w:val="nil"/>
              <w:left w:val="nil"/>
              <w:bottom w:val="nil"/>
              <w:right w:val="nil"/>
            </w:tcBorders>
            <w:shd w:val="clear" w:color="auto" w:fill="auto"/>
            <w:vAlign w:val="center"/>
            <w:hideMark/>
          </w:tcPr>
          <w:p w14:paraId="78A934CE"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0E5BBFE5"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(0.39)</w:t>
            </w:r>
          </w:p>
        </w:tc>
        <w:tc>
          <w:tcPr>
            <w:tcW w:w="1300" w:type="dxa"/>
            <w:tcBorders>
              <w:top w:val="nil"/>
              <w:left w:val="nil"/>
              <w:bottom w:val="nil"/>
              <w:right w:val="nil"/>
            </w:tcBorders>
            <w:shd w:val="clear" w:color="auto" w:fill="auto"/>
            <w:vAlign w:val="center"/>
            <w:hideMark/>
          </w:tcPr>
          <w:p w14:paraId="70DD6DC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(0.39)</w:t>
            </w:r>
          </w:p>
        </w:tc>
        <w:tc>
          <w:tcPr>
            <w:tcW w:w="1140" w:type="dxa"/>
            <w:tcBorders>
              <w:top w:val="nil"/>
              <w:left w:val="nil"/>
              <w:bottom w:val="nil"/>
              <w:right w:val="nil"/>
            </w:tcBorders>
            <w:shd w:val="clear" w:color="auto" w:fill="auto"/>
            <w:vAlign w:val="center"/>
            <w:hideMark/>
          </w:tcPr>
          <w:p w14:paraId="79CA922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(0.39)</w:t>
            </w:r>
          </w:p>
        </w:tc>
        <w:tc>
          <w:tcPr>
            <w:tcW w:w="1140" w:type="dxa"/>
            <w:tcBorders>
              <w:top w:val="nil"/>
              <w:left w:val="nil"/>
              <w:bottom w:val="nil"/>
              <w:right w:val="nil"/>
            </w:tcBorders>
            <w:shd w:val="clear" w:color="auto" w:fill="auto"/>
            <w:vAlign w:val="center"/>
            <w:hideMark/>
          </w:tcPr>
          <w:p w14:paraId="6B571C2B"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(0.39)</w:t>
            </w:r>
          </w:p>
        </w:tc>
      </w:tr>
      <w:tr w:rsidR="00D91E8B" w:rsidRPr="00D91E8B" w14:paraId="3589671C" w14:textId="77777777" w:rsidTr="00D91E8B">
        <w:trPr>
          <w:trHeight w:val="280"/>
          <w:jc w:val="center"/>
        </w:trPr>
        <w:tc>
          <w:tcPr>
            <w:tcW w:w="4460" w:type="dxa"/>
            <w:tcBorders>
              <w:top w:val="nil"/>
              <w:left w:val="nil"/>
              <w:bottom w:val="nil"/>
              <w:right w:val="nil"/>
            </w:tcBorders>
            <w:shd w:val="clear" w:color="auto" w:fill="auto"/>
            <w:vAlign w:val="center"/>
            <w:hideMark/>
          </w:tcPr>
          <w:p w14:paraId="4C339A82"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GDP</w:t>
            </w:r>
          </w:p>
        </w:tc>
        <w:tc>
          <w:tcPr>
            <w:tcW w:w="1140" w:type="dxa"/>
            <w:tcBorders>
              <w:top w:val="nil"/>
              <w:left w:val="nil"/>
              <w:bottom w:val="nil"/>
              <w:right w:val="nil"/>
            </w:tcBorders>
            <w:shd w:val="clear" w:color="auto" w:fill="auto"/>
            <w:vAlign w:val="center"/>
            <w:hideMark/>
          </w:tcPr>
          <w:p w14:paraId="72BB3A6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0.05***</w:t>
            </w:r>
          </w:p>
        </w:tc>
        <w:tc>
          <w:tcPr>
            <w:tcW w:w="1300" w:type="dxa"/>
            <w:tcBorders>
              <w:top w:val="nil"/>
              <w:left w:val="nil"/>
              <w:bottom w:val="nil"/>
              <w:right w:val="nil"/>
            </w:tcBorders>
            <w:shd w:val="clear" w:color="auto" w:fill="auto"/>
            <w:vAlign w:val="center"/>
            <w:hideMark/>
          </w:tcPr>
          <w:p w14:paraId="13BC5EB5"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0.05***</w:t>
            </w:r>
          </w:p>
        </w:tc>
        <w:tc>
          <w:tcPr>
            <w:tcW w:w="1140" w:type="dxa"/>
            <w:tcBorders>
              <w:top w:val="nil"/>
              <w:left w:val="nil"/>
              <w:bottom w:val="nil"/>
              <w:right w:val="nil"/>
            </w:tcBorders>
            <w:shd w:val="clear" w:color="auto" w:fill="auto"/>
            <w:vAlign w:val="center"/>
            <w:hideMark/>
          </w:tcPr>
          <w:p w14:paraId="3C89FEC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0.05***</w:t>
            </w:r>
          </w:p>
        </w:tc>
        <w:tc>
          <w:tcPr>
            <w:tcW w:w="1140" w:type="dxa"/>
            <w:tcBorders>
              <w:top w:val="nil"/>
              <w:left w:val="nil"/>
              <w:bottom w:val="nil"/>
              <w:right w:val="nil"/>
            </w:tcBorders>
            <w:shd w:val="clear" w:color="auto" w:fill="auto"/>
            <w:vAlign w:val="center"/>
            <w:hideMark/>
          </w:tcPr>
          <w:p w14:paraId="14FFD48A"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0.05***</w:t>
            </w:r>
          </w:p>
        </w:tc>
      </w:tr>
      <w:tr w:rsidR="00D91E8B" w:rsidRPr="00D91E8B" w14:paraId="43C407C6" w14:textId="77777777" w:rsidTr="00D91E8B">
        <w:trPr>
          <w:trHeight w:val="280"/>
          <w:jc w:val="center"/>
        </w:trPr>
        <w:tc>
          <w:tcPr>
            <w:tcW w:w="4460" w:type="dxa"/>
            <w:tcBorders>
              <w:top w:val="nil"/>
              <w:left w:val="nil"/>
              <w:bottom w:val="nil"/>
              <w:right w:val="nil"/>
            </w:tcBorders>
            <w:shd w:val="clear" w:color="auto" w:fill="auto"/>
            <w:vAlign w:val="center"/>
            <w:hideMark/>
          </w:tcPr>
          <w:p w14:paraId="734560C1"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479DC62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300" w:type="dxa"/>
            <w:tcBorders>
              <w:top w:val="nil"/>
              <w:left w:val="nil"/>
              <w:bottom w:val="nil"/>
              <w:right w:val="nil"/>
            </w:tcBorders>
            <w:shd w:val="clear" w:color="auto" w:fill="auto"/>
            <w:vAlign w:val="center"/>
            <w:hideMark/>
          </w:tcPr>
          <w:p w14:paraId="0AC85BC8"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140" w:type="dxa"/>
            <w:tcBorders>
              <w:top w:val="nil"/>
              <w:left w:val="nil"/>
              <w:bottom w:val="nil"/>
              <w:right w:val="nil"/>
            </w:tcBorders>
            <w:shd w:val="clear" w:color="auto" w:fill="auto"/>
            <w:vAlign w:val="center"/>
            <w:hideMark/>
          </w:tcPr>
          <w:p w14:paraId="4375BA4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140" w:type="dxa"/>
            <w:tcBorders>
              <w:top w:val="nil"/>
              <w:left w:val="nil"/>
              <w:bottom w:val="nil"/>
              <w:right w:val="nil"/>
            </w:tcBorders>
            <w:shd w:val="clear" w:color="auto" w:fill="auto"/>
            <w:vAlign w:val="center"/>
            <w:hideMark/>
          </w:tcPr>
          <w:p w14:paraId="16793A73"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r>
      <w:tr w:rsidR="00D91E8B" w:rsidRPr="00D91E8B" w14:paraId="40178EDE" w14:textId="77777777" w:rsidTr="00D91E8B">
        <w:trPr>
          <w:trHeight w:val="280"/>
          <w:jc w:val="center"/>
        </w:trPr>
        <w:tc>
          <w:tcPr>
            <w:tcW w:w="4460" w:type="dxa"/>
            <w:tcBorders>
              <w:top w:val="nil"/>
              <w:left w:val="nil"/>
              <w:bottom w:val="nil"/>
              <w:right w:val="nil"/>
            </w:tcBorders>
            <w:shd w:val="clear" w:color="auto" w:fill="auto"/>
            <w:vAlign w:val="center"/>
            <w:hideMark/>
          </w:tcPr>
          <w:p w14:paraId="526B010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GDP growth</w:t>
            </w:r>
          </w:p>
        </w:tc>
        <w:tc>
          <w:tcPr>
            <w:tcW w:w="1140" w:type="dxa"/>
            <w:tcBorders>
              <w:top w:val="nil"/>
              <w:left w:val="nil"/>
              <w:bottom w:val="nil"/>
              <w:right w:val="nil"/>
            </w:tcBorders>
            <w:shd w:val="clear" w:color="auto" w:fill="auto"/>
            <w:vAlign w:val="center"/>
            <w:hideMark/>
          </w:tcPr>
          <w:p w14:paraId="6E138265"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0.04***</w:t>
            </w:r>
          </w:p>
        </w:tc>
        <w:tc>
          <w:tcPr>
            <w:tcW w:w="1300" w:type="dxa"/>
            <w:tcBorders>
              <w:top w:val="nil"/>
              <w:left w:val="nil"/>
              <w:bottom w:val="nil"/>
              <w:right w:val="nil"/>
            </w:tcBorders>
            <w:shd w:val="clear" w:color="auto" w:fill="auto"/>
            <w:vAlign w:val="center"/>
            <w:hideMark/>
          </w:tcPr>
          <w:p w14:paraId="7D7E4B82"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0.04***</w:t>
            </w:r>
          </w:p>
        </w:tc>
        <w:tc>
          <w:tcPr>
            <w:tcW w:w="1140" w:type="dxa"/>
            <w:tcBorders>
              <w:top w:val="nil"/>
              <w:left w:val="nil"/>
              <w:bottom w:val="nil"/>
              <w:right w:val="nil"/>
            </w:tcBorders>
            <w:shd w:val="clear" w:color="auto" w:fill="auto"/>
            <w:vAlign w:val="center"/>
            <w:hideMark/>
          </w:tcPr>
          <w:p w14:paraId="7123ACF0"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0.04***</w:t>
            </w:r>
          </w:p>
        </w:tc>
        <w:tc>
          <w:tcPr>
            <w:tcW w:w="1140" w:type="dxa"/>
            <w:tcBorders>
              <w:top w:val="nil"/>
              <w:left w:val="nil"/>
              <w:bottom w:val="nil"/>
              <w:right w:val="nil"/>
            </w:tcBorders>
            <w:shd w:val="clear" w:color="auto" w:fill="auto"/>
            <w:vAlign w:val="center"/>
            <w:hideMark/>
          </w:tcPr>
          <w:p w14:paraId="00AE76F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0.04***</w:t>
            </w:r>
          </w:p>
        </w:tc>
      </w:tr>
      <w:tr w:rsidR="00D91E8B" w:rsidRPr="00D91E8B" w14:paraId="6647CE6B" w14:textId="77777777" w:rsidTr="00D91E8B">
        <w:trPr>
          <w:trHeight w:val="280"/>
          <w:jc w:val="center"/>
        </w:trPr>
        <w:tc>
          <w:tcPr>
            <w:tcW w:w="4460" w:type="dxa"/>
            <w:tcBorders>
              <w:top w:val="nil"/>
              <w:left w:val="nil"/>
              <w:bottom w:val="nil"/>
              <w:right w:val="nil"/>
            </w:tcBorders>
            <w:shd w:val="clear" w:color="auto" w:fill="auto"/>
            <w:vAlign w:val="center"/>
            <w:hideMark/>
          </w:tcPr>
          <w:p w14:paraId="62D0B503"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7BBD1BA3"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300" w:type="dxa"/>
            <w:tcBorders>
              <w:top w:val="nil"/>
              <w:left w:val="nil"/>
              <w:bottom w:val="nil"/>
              <w:right w:val="nil"/>
            </w:tcBorders>
            <w:shd w:val="clear" w:color="auto" w:fill="auto"/>
            <w:vAlign w:val="center"/>
            <w:hideMark/>
          </w:tcPr>
          <w:p w14:paraId="20DA3D78"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140" w:type="dxa"/>
            <w:tcBorders>
              <w:top w:val="nil"/>
              <w:left w:val="nil"/>
              <w:bottom w:val="nil"/>
              <w:right w:val="nil"/>
            </w:tcBorders>
            <w:shd w:val="clear" w:color="auto" w:fill="auto"/>
            <w:vAlign w:val="center"/>
            <w:hideMark/>
          </w:tcPr>
          <w:p w14:paraId="6F74E4C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140" w:type="dxa"/>
            <w:tcBorders>
              <w:top w:val="nil"/>
              <w:left w:val="nil"/>
              <w:bottom w:val="nil"/>
              <w:right w:val="nil"/>
            </w:tcBorders>
            <w:shd w:val="clear" w:color="auto" w:fill="auto"/>
            <w:vAlign w:val="center"/>
            <w:hideMark/>
          </w:tcPr>
          <w:p w14:paraId="727AA639"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r>
      <w:tr w:rsidR="00D91E8B" w:rsidRPr="00D91E8B" w14:paraId="65C754AF" w14:textId="77777777" w:rsidTr="00D91E8B">
        <w:trPr>
          <w:trHeight w:val="280"/>
          <w:jc w:val="center"/>
        </w:trPr>
        <w:tc>
          <w:tcPr>
            <w:tcW w:w="4460" w:type="dxa"/>
            <w:tcBorders>
              <w:top w:val="nil"/>
              <w:left w:val="nil"/>
              <w:bottom w:val="nil"/>
              <w:right w:val="nil"/>
            </w:tcBorders>
            <w:shd w:val="clear" w:color="auto" w:fill="auto"/>
            <w:vAlign w:val="center"/>
            <w:hideMark/>
          </w:tcPr>
          <w:p w14:paraId="6BC6C67F"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FDI levels</w:t>
            </w:r>
          </w:p>
        </w:tc>
        <w:tc>
          <w:tcPr>
            <w:tcW w:w="1140" w:type="dxa"/>
            <w:tcBorders>
              <w:top w:val="nil"/>
              <w:left w:val="nil"/>
              <w:bottom w:val="nil"/>
              <w:right w:val="nil"/>
            </w:tcBorders>
            <w:shd w:val="clear" w:color="auto" w:fill="auto"/>
            <w:vAlign w:val="center"/>
            <w:hideMark/>
          </w:tcPr>
          <w:p w14:paraId="43B9D7F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0.04*</w:t>
            </w:r>
          </w:p>
        </w:tc>
        <w:tc>
          <w:tcPr>
            <w:tcW w:w="1300" w:type="dxa"/>
            <w:tcBorders>
              <w:top w:val="nil"/>
              <w:left w:val="nil"/>
              <w:bottom w:val="nil"/>
              <w:right w:val="nil"/>
            </w:tcBorders>
            <w:shd w:val="clear" w:color="auto" w:fill="auto"/>
            <w:vAlign w:val="center"/>
            <w:hideMark/>
          </w:tcPr>
          <w:p w14:paraId="4BA00DC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0.04*</w:t>
            </w:r>
          </w:p>
        </w:tc>
        <w:tc>
          <w:tcPr>
            <w:tcW w:w="1140" w:type="dxa"/>
            <w:tcBorders>
              <w:top w:val="nil"/>
              <w:left w:val="nil"/>
              <w:bottom w:val="nil"/>
              <w:right w:val="nil"/>
            </w:tcBorders>
            <w:shd w:val="clear" w:color="auto" w:fill="auto"/>
            <w:vAlign w:val="center"/>
            <w:hideMark/>
          </w:tcPr>
          <w:p w14:paraId="563E6C34"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0.04*</w:t>
            </w:r>
          </w:p>
        </w:tc>
        <w:tc>
          <w:tcPr>
            <w:tcW w:w="1140" w:type="dxa"/>
            <w:tcBorders>
              <w:top w:val="nil"/>
              <w:left w:val="nil"/>
              <w:bottom w:val="nil"/>
              <w:right w:val="nil"/>
            </w:tcBorders>
            <w:shd w:val="clear" w:color="auto" w:fill="auto"/>
            <w:vAlign w:val="center"/>
            <w:hideMark/>
          </w:tcPr>
          <w:p w14:paraId="33C9F4F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0.04*</w:t>
            </w:r>
          </w:p>
        </w:tc>
      </w:tr>
      <w:tr w:rsidR="00D91E8B" w:rsidRPr="00D91E8B" w14:paraId="60E1B2FB" w14:textId="77777777" w:rsidTr="00D91E8B">
        <w:trPr>
          <w:trHeight w:val="280"/>
          <w:jc w:val="center"/>
        </w:trPr>
        <w:tc>
          <w:tcPr>
            <w:tcW w:w="4460" w:type="dxa"/>
            <w:tcBorders>
              <w:top w:val="nil"/>
              <w:left w:val="nil"/>
              <w:bottom w:val="nil"/>
              <w:right w:val="nil"/>
            </w:tcBorders>
            <w:shd w:val="clear" w:color="auto" w:fill="auto"/>
            <w:vAlign w:val="center"/>
            <w:hideMark/>
          </w:tcPr>
          <w:p w14:paraId="2B08BD2E"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094E4E0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(0.02)</w:t>
            </w:r>
          </w:p>
        </w:tc>
        <w:tc>
          <w:tcPr>
            <w:tcW w:w="1300" w:type="dxa"/>
            <w:tcBorders>
              <w:top w:val="nil"/>
              <w:left w:val="nil"/>
              <w:bottom w:val="nil"/>
              <w:right w:val="nil"/>
            </w:tcBorders>
            <w:shd w:val="clear" w:color="auto" w:fill="auto"/>
            <w:vAlign w:val="center"/>
            <w:hideMark/>
          </w:tcPr>
          <w:p w14:paraId="1C1329F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(0.02)</w:t>
            </w:r>
          </w:p>
        </w:tc>
        <w:tc>
          <w:tcPr>
            <w:tcW w:w="1140" w:type="dxa"/>
            <w:tcBorders>
              <w:top w:val="nil"/>
              <w:left w:val="nil"/>
              <w:bottom w:val="nil"/>
              <w:right w:val="nil"/>
            </w:tcBorders>
            <w:shd w:val="clear" w:color="auto" w:fill="auto"/>
            <w:vAlign w:val="center"/>
            <w:hideMark/>
          </w:tcPr>
          <w:p w14:paraId="263EE6D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(0.02)</w:t>
            </w:r>
          </w:p>
        </w:tc>
        <w:tc>
          <w:tcPr>
            <w:tcW w:w="1140" w:type="dxa"/>
            <w:tcBorders>
              <w:top w:val="nil"/>
              <w:left w:val="nil"/>
              <w:bottom w:val="nil"/>
              <w:right w:val="nil"/>
            </w:tcBorders>
            <w:shd w:val="clear" w:color="auto" w:fill="auto"/>
            <w:vAlign w:val="center"/>
            <w:hideMark/>
          </w:tcPr>
          <w:p w14:paraId="562B943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(0.02)</w:t>
            </w:r>
          </w:p>
        </w:tc>
      </w:tr>
      <w:tr w:rsidR="00D91E8B" w:rsidRPr="00D91E8B" w14:paraId="17AF7578" w14:textId="77777777" w:rsidTr="00D91E8B">
        <w:trPr>
          <w:trHeight w:val="280"/>
          <w:jc w:val="center"/>
        </w:trPr>
        <w:tc>
          <w:tcPr>
            <w:tcW w:w="4460" w:type="dxa"/>
            <w:tcBorders>
              <w:top w:val="nil"/>
              <w:left w:val="nil"/>
              <w:bottom w:val="nil"/>
              <w:right w:val="nil"/>
            </w:tcBorders>
            <w:shd w:val="clear" w:color="auto" w:fill="auto"/>
            <w:vAlign w:val="center"/>
            <w:hideMark/>
          </w:tcPr>
          <w:p w14:paraId="4D9C3F71"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Natural resources</w:t>
            </w:r>
          </w:p>
        </w:tc>
        <w:tc>
          <w:tcPr>
            <w:tcW w:w="1140" w:type="dxa"/>
            <w:tcBorders>
              <w:top w:val="nil"/>
              <w:left w:val="nil"/>
              <w:bottom w:val="nil"/>
              <w:right w:val="nil"/>
            </w:tcBorders>
            <w:shd w:val="clear" w:color="auto" w:fill="auto"/>
            <w:vAlign w:val="center"/>
            <w:hideMark/>
          </w:tcPr>
          <w:p w14:paraId="7E3AC057"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-0.04***</w:t>
            </w:r>
          </w:p>
        </w:tc>
        <w:tc>
          <w:tcPr>
            <w:tcW w:w="1300" w:type="dxa"/>
            <w:tcBorders>
              <w:top w:val="nil"/>
              <w:left w:val="nil"/>
              <w:bottom w:val="nil"/>
              <w:right w:val="nil"/>
            </w:tcBorders>
            <w:shd w:val="clear" w:color="auto" w:fill="auto"/>
            <w:vAlign w:val="center"/>
            <w:hideMark/>
          </w:tcPr>
          <w:p w14:paraId="2EF1D832"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-0.04***</w:t>
            </w:r>
          </w:p>
        </w:tc>
        <w:tc>
          <w:tcPr>
            <w:tcW w:w="1140" w:type="dxa"/>
            <w:tcBorders>
              <w:top w:val="nil"/>
              <w:left w:val="nil"/>
              <w:bottom w:val="nil"/>
              <w:right w:val="nil"/>
            </w:tcBorders>
            <w:shd w:val="clear" w:color="auto" w:fill="auto"/>
            <w:vAlign w:val="center"/>
            <w:hideMark/>
          </w:tcPr>
          <w:p w14:paraId="0EFFC31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-0.05***</w:t>
            </w:r>
          </w:p>
        </w:tc>
        <w:tc>
          <w:tcPr>
            <w:tcW w:w="1140" w:type="dxa"/>
            <w:tcBorders>
              <w:top w:val="nil"/>
              <w:left w:val="nil"/>
              <w:bottom w:val="nil"/>
              <w:right w:val="nil"/>
            </w:tcBorders>
            <w:shd w:val="clear" w:color="auto" w:fill="auto"/>
            <w:vAlign w:val="center"/>
            <w:hideMark/>
          </w:tcPr>
          <w:p w14:paraId="04ED1E48"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-0.05***</w:t>
            </w:r>
          </w:p>
        </w:tc>
      </w:tr>
      <w:tr w:rsidR="00D91E8B" w:rsidRPr="00D91E8B" w14:paraId="21E8DB9C" w14:textId="77777777" w:rsidTr="00D91E8B">
        <w:trPr>
          <w:trHeight w:val="280"/>
          <w:jc w:val="center"/>
        </w:trPr>
        <w:tc>
          <w:tcPr>
            <w:tcW w:w="4460" w:type="dxa"/>
            <w:tcBorders>
              <w:top w:val="nil"/>
              <w:left w:val="nil"/>
              <w:bottom w:val="nil"/>
              <w:right w:val="nil"/>
            </w:tcBorders>
            <w:shd w:val="clear" w:color="auto" w:fill="auto"/>
            <w:vAlign w:val="center"/>
            <w:hideMark/>
          </w:tcPr>
          <w:p w14:paraId="413A30BE"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706CD30B"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300" w:type="dxa"/>
            <w:tcBorders>
              <w:top w:val="nil"/>
              <w:left w:val="nil"/>
              <w:bottom w:val="nil"/>
              <w:right w:val="nil"/>
            </w:tcBorders>
            <w:shd w:val="clear" w:color="auto" w:fill="auto"/>
            <w:vAlign w:val="center"/>
            <w:hideMark/>
          </w:tcPr>
          <w:p w14:paraId="19E94E0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140" w:type="dxa"/>
            <w:tcBorders>
              <w:top w:val="nil"/>
              <w:left w:val="nil"/>
              <w:bottom w:val="nil"/>
              <w:right w:val="nil"/>
            </w:tcBorders>
            <w:shd w:val="clear" w:color="auto" w:fill="auto"/>
            <w:vAlign w:val="center"/>
            <w:hideMark/>
          </w:tcPr>
          <w:p w14:paraId="26630DE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140" w:type="dxa"/>
            <w:tcBorders>
              <w:top w:val="nil"/>
              <w:left w:val="nil"/>
              <w:bottom w:val="nil"/>
              <w:right w:val="nil"/>
            </w:tcBorders>
            <w:shd w:val="clear" w:color="auto" w:fill="auto"/>
            <w:vAlign w:val="center"/>
            <w:hideMark/>
          </w:tcPr>
          <w:p w14:paraId="411A1D75"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r>
      <w:tr w:rsidR="00D91E8B" w:rsidRPr="00D91E8B" w14:paraId="2BC833AF" w14:textId="77777777" w:rsidTr="00D91E8B">
        <w:trPr>
          <w:trHeight w:val="280"/>
          <w:jc w:val="center"/>
        </w:trPr>
        <w:tc>
          <w:tcPr>
            <w:tcW w:w="4460" w:type="dxa"/>
            <w:tcBorders>
              <w:top w:val="nil"/>
              <w:left w:val="nil"/>
              <w:bottom w:val="nil"/>
              <w:right w:val="nil"/>
            </w:tcBorders>
            <w:shd w:val="clear" w:color="auto" w:fill="auto"/>
            <w:vAlign w:val="center"/>
            <w:hideMark/>
          </w:tcPr>
          <w:p w14:paraId="7D3DBBCC"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Bilateral relations</w:t>
            </w:r>
          </w:p>
        </w:tc>
        <w:tc>
          <w:tcPr>
            <w:tcW w:w="1140" w:type="dxa"/>
            <w:tcBorders>
              <w:top w:val="nil"/>
              <w:left w:val="nil"/>
              <w:bottom w:val="nil"/>
              <w:right w:val="nil"/>
            </w:tcBorders>
            <w:shd w:val="clear" w:color="auto" w:fill="auto"/>
            <w:vAlign w:val="center"/>
            <w:hideMark/>
          </w:tcPr>
          <w:p w14:paraId="445A6FE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-0.03 </w:t>
            </w:r>
          </w:p>
        </w:tc>
        <w:tc>
          <w:tcPr>
            <w:tcW w:w="1300" w:type="dxa"/>
            <w:tcBorders>
              <w:top w:val="nil"/>
              <w:left w:val="nil"/>
              <w:bottom w:val="nil"/>
              <w:right w:val="nil"/>
            </w:tcBorders>
            <w:shd w:val="clear" w:color="auto" w:fill="auto"/>
            <w:vAlign w:val="center"/>
            <w:hideMark/>
          </w:tcPr>
          <w:p w14:paraId="5C84C9D0"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-0.03 </w:t>
            </w:r>
          </w:p>
        </w:tc>
        <w:tc>
          <w:tcPr>
            <w:tcW w:w="1140" w:type="dxa"/>
            <w:tcBorders>
              <w:top w:val="nil"/>
              <w:left w:val="nil"/>
              <w:bottom w:val="nil"/>
              <w:right w:val="nil"/>
            </w:tcBorders>
            <w:shd w:val="clear" w:color="auto" w:fill="auto"/>
            <w:vAlign w:val="center"/>
            <w:hideMark/>
          </w:tcPr>
          <w:p w14:paraId="6D3F0DE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-0.03 </w:t>
            </w:r>
          </w:p>
        </w:tc>
        <w:tc>
          <w:tcPr>
            <w:tcW w:w="1140" w:type="dxa"/>
            <w:tcBorders>
              <w:top w:val="nil"/>
              <w:left w:val="nil"/>
              <w:bottom w:val="nil"/>
              <w:right w:val="nil"/>
            </w:tcBorders>
            <w:shd w:val="clear" w:color="auto" w:fill="auto"/>
            <w:vAlign w:val="center"/>
            <w:hideMark/>
          </w:tcPr>
          <w:p w14:paraId="2705FD03"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-0.03 </w:t>
            </w:r>
          </w:p>
        </w:tc>
      </w:tr>
      <w:tr w:rsidR="00D91E8B" w:rsidRPr="00D91E8B" w14:paraId="3AF5FBA3" w14:textId="77777777" w:rsidTr="00D91E8B">
        <w:trPr>
          <w:trHeight w:val="280"/>
          <w:jc w:val="center"/>
        </w:trPr>
        <w:tc>
          <w:tcPr>
            <w:tcW w:w="4460" w:type="dxa"/>
            <w:tcBorders>
              <w:top w:val="nil"/>
              <w:left w:val="nil"/>
              <w:bottom w:val="nil"/>
              <w:right w:val="nil"/>
            </w:tcBorders>
            <w:shd w:val="clear" w:color="auto" w:fill="auto"/>
            <w:vAlign w:val="center"/>
            <w:hideMark/>
          </w:tcPr>
          <w:p w14:paraId="3A738103"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7C293205"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(0.02)</w:t>
            </w:r>
          </w:p>
        </w:tc>
        <w:tc>
          <w:tcPr>
            <w:tcW w:w="1300" w:type="dxa"/>
            <w:tcBorders>
              <w:top w:val="nil"/>
              <w:left w:val="nil"/>
              <w:bottom w:val="nil"/>
              <w:right w:val="nil"/>
            </w:tcBorders>
            <w:shd w:val="clear" w:color="auto" w:fill="auto"/>
            <w:vAlign w:val="center"/>
            <w:hideMark/>
          </w:tcPr>
          <w:p w14:paraId="5370D32A"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(0.02)</w:t>
            </w:r>
          </w:p>
        </w:tc>
        <w:tc>
          <w:tcPr>
            <w:tcW w:w="1140" w:type="dxa"/>
            <w:tcBorders>
              <w:top w:val="nil"/>
              <w:left w:val="nil"/>
              <w:bottom w:val="nil"/>
              <w:right w:val="nil"/>
            </w:tcBorders>
            <w:shd w:val="clear" w:color="auto" w:fill="auto"/>
            <w:vAlign w:val="center"/>
            <w:hideMark/>
          </w:tcPr>
          <w:p w14:paraId="2A61DB1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(0.02)</w:t>
            </w:r>
          </w:p>
        </w:tc>
        <w:tc>
          <w:tcPr>
            <w:tcW w:w="1140" w:type="dxa"/>
            <w:tcBorders>
              <w:top w:val="nil"/>
              <w:left w:val="nil"/>
              <w:bottom w:val="nil"/>
              <w:right w:val="nil"/>
            </w:tcBorders>
            <w:shd w:val="clear" w:color="auto" w:fill="auto"/>
            <w:vAlign w:val="center"/>
            <w:hideMark/>
          </w:tcPr>
          <w:p w14:paraId="071E92E4"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(0.02)</w:t>
            </w:r>
          </w:p>
        </w:tc>
      </w:tr>
      <w:tr w:rsidR="00D91E8B" w:rsidRPr="00D91E8B" w14:paraId="1E05BFB7" w14:textId="77777777" w:rsidTr="00D91E8B">
        <w:trPr>
          <w:trHeight w:val="315"/>
          <w:jc w:val="center"/>
        </w:trPr>
        <w:tc>
          <w:tcPr>
            <w:tcW w:w="4460" w:type="dxa"/>
            <w:tcBorders>
              <w:top w:val="nil"/>
              <w:left w:val="nil"/>
              <w:bottom w:val="nil"/>
              <w:right w:val="nil"/>
            </w:tcBorders>
            <w:shd w:val="clear" w:color="auto" w:fill="auto"/>
            <w:vAlign w:val="center"/>
            <w:hideMark/>
          </w:tcPr>
          <w:p w14:paraId="09C368A5" w14:textId="77777777" w:rsidR="00D91E8B" w:rsidRPr="00D91E8B" w:rsidRDefault="00D91E8B" w:rsidP="00D91E8B">
            <w:pPr>
              <w:spacing w:after="0" w:line="240" w:lineRule="auto"/>
              <w:rPr>
                <w:rFonts w:eastAsia="Times New Roman"/>
                <w:b/>
                <w:bCs/>
                <w:color w:val="000000"/>
              </w:rPr>
            </w:pPr>
            <w:r w:rsidRPr="00D91E8B">
              <w:rPr>
                <w:rFonts w:eastAsia="Times New Roman"/>
                <w:b/>
                <w:bCs/>
                <w:color w:val="000000"/>
              </w:rPr>
              <w:t>Firm Attributes</w:t>
            </w:r>
          </w:p>
        </w:tc>
        <w:tc>
          <w:tcPr>
            <w:tcW w:w="1140" w:type="dxa"/>
            <w:tcBorders>
              <w:top w:val="nil"/>
              <w:left w:val="nil"/>
              <w:bottom w:val="nil"/>
              <w:right w:val="nil"/>
            </w:tcBorders>
            <w:shd w:val="clear" w:color="auto" w:fill="auto"/>
            <w:vAlign w:val="center"/>
            <w:hideMark/>
          </w:tcPr>
          <w:p w14:paraId="28923FE9" w14:textId="77777777" w:rsidR="00D91E8B" w:rsidRPr="00D91E8B" w:rsidRDefault="00D91E8B" w:rsidP="00D91E8B">
            <w:pPr>
              <w:spacing w:after="0" w:line="240" w:lineRule="auto"/>
              <w:rPr>
                <w:rFonts w:eastAsia="Times New Roman"/>
                <w:b/>
                <w:bCs/>
                <w:color w:val="000000"/>
              </w:rPr>
            </w:pPr>
          </w:p>
        </w:tc>
        <w:tc>
          <w:tcPr>
            <w:tcW w:w="1300" w:type="dxa"/>
            <w:tcBorders>
              <w:top w:val="nil"/>
              <w:left w:val="nil"/>
              <w:bottom w:val="nil"/>
              <w:right w:val="nil"/>
            </w:tcBorders>
            <w:shd w:val="clear" w:color="auto" w:fill="auto"/>
            <w:vAlign w:val="center"/>
            <w:hideMark/>
          </w:tcPr>
          <w:p w14:paraId="0DAA8971" w14:textId="77777777" w:rsidR="00D91E8B" w:rsidRPr="00D91E8B" w:rsidRDefault="00D91E8B" w:rsidP="00D91E8B">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62676594" w14:textId="77777777" w:rsidR="00D91E8B" w:rsidRPr="00D91E8B" w:rsidRDefault="00D91E8B" w:rsidP="00D91E8B">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33B0BB14" w14:textId="77777777" w:rsidR="00D91E8B" w:rsidRPr="00D91E8B" w:rsidRDefault="00D91E8B" w:rsidP="00D91E8B">
            <w:pPr>
              <w:spacing w:after="0" w:line="240" w:lineRule="auto"/>
              <w:jc w:val="center"/>
              <w:rPr>
                <w:rFonts w:eastAsia="Times New Roman"/>
                <w:sz w:val="20"/>
                <w:szCs w:val="20"/>
              </w:rPr>
            </w:pPr>
          </w:p>
        </w:tc>
      </w:tr>
      <w:tr w:rsidR="00D91E8B" w:rsidRPr="00D91E8B" w14:paraId="6DEC7195" w14:textId="77777777" w:rsidTr="00D91E8B">
        <w:trPr>
          <w:trHeight w:val="280"/>
          <w:jc w:val="center"/>
        </w:trPr>
        <w:tc>
          <w:tcPr>
            <w:tcW w:w="4460" w:type="dxa"/>
            <w:tcBorders>
              <w:top w:val="nil"/>
              <w:left w:val="nil"/>
              <w:bottom w:val="nil"/>
              <w:right w:val="nil"/>
            </w:tcBorders>
            <w:shd w:val="clear" w:color="auto" w:fill="auto"/>
            <w:vAlign w:val="center"/>
            <w:hideMark/>
          </w:tcPr>
          <w:p w14:paraId="5D9893F7"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Total assets</w:t>
            </w:r>
          </w:p>
        </w:tc>
        <w:tc>
          <w:tcPr>
            <w:tcW w:w="1140" w:type="dxa"/>
            <w:tcBorders>
              <w:top w:val="nil"/>
              <w:left w:val="nil"/>
              <w:bottom w:val="nil"/>
              <w:right w:val="nil"/>
            </w:tcBorders>
            <w:shd w:val="clear" w:color="auto" w:fill="auto"/>
            <w:vAlign w:val="center"/>
            <w:hideMark/>
          </w:tcPr>
          <w:p w14:paraId="41714552"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-0.80 </w:t>
            </w:r>
          </w:p>
        </w:tc>
        <w:tc>
          <w:tcPr>
            <w:tcW w:w="1300" w:type="dxa"/>
            <w:tcBorders>
              <w:top w:val="nil"/>
              <w:left w:val="nil"/>
              <w:bottom w:val="nil"/>
              <w:right w:val="nil"/>
            </w:tcBorders>
            <w:shd w:val="clear" w:color="auto" w:fill="auto"/>
            <w:vAlign w:val="center"/>
            <w:hideMark/>
          </w:tcPr>
          <w:p w14:paraId="317D256B"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-0.80 </w:t>
            </w:r>
          </w:p>
        </w:tc>
        <w:tc>
          <w:tcPr>
            <w:tcW w:w="1140" w:type="dxa"/>
            <w:tcBorders>
              <w:top w:val="nil"/>
              <w:left w:val="nil"/>
              <w:bottom w:val="nil"/>
              <w:right w:val="nil"/>
            </w:tcBorders>
            <w:shd w:val="clear" w:color="auto" w:fill="auto"/>
            <w:vAlign w:val="center"/>
            <w:hideMark/>
          </w:tcPr>
          <w:p w14:paraId="2911506A"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-0.84 </w:t>
            </w:r>
          </w:p>
        </w:tc>
        <w:tc>
          <w:tcPr>
            <w:tcW w:w="1140" w:type="dxa"/>
            <w:tcBorders>
              <w:top w:val="nil"/>
              <w:left w:val="nil"/>
              <w:bottom w:val="nil"/>
              <w:right w:val="nil"/>
            </w:tcBorders>
            <w:shd w:val="clear" w:color="auto" w:fill="auto"/>
            <w:vAlign w:val="center"/>
            <w:hideMark/>
          </w:tcPr>
          <w:p w14:paraId="1846C47B"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-0.83 </w:t>
            </w:r>
          </w:p>
        </w:tc>
      </w:tr>
      <w:tr w:rsidR="00D91E8B" w:rsidRPr="00D91E8B" w14:paraId="54E07AC8" w14:textId="77777777" w:rsidTr="00D91E8B">
        <w:trPr>
          <w:trHeight w:val="280"/>
          <w:jc w:val="center"/>
        </w:trPr>
        <w:tc>
          <w:tcPr>
            <w:tcW w:w="4460" w:type="dxa"/>
            <w:tcBorders>
              <w:top w:val="nil"/>
              <w:left w:val="nil"/>
              <w:bottom w:val="nil"/>
              <w:right w:val="nil"/>
            </w:tcBorders>
            <w:shd w:val="clear" w:color="auto" w:fill="auto"/>
            <w:vAlign w:val="center"/>
            <w:hideMark/>
          </w:tcPr>
          <w:p w14:paraId="22CE453C"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5E42DC0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(1.88)</w:t>
            </w:r>
          </w:p>
        </w:tc>
        <w:tc>
          <w:tcPr>
            <w:tcW w:w="1300" w:type="dxa"/>
            <w:tcBorders>
              <w:top w:val="nil"/>
              <w:left w:val="nil"/>
              <w:bottom w:val="nil"/>
              <w:right w:val="nil"/>
            </w:tcBorders>
            <w:shd w:val="clear" w:color="auto" w:fill="auto"/>
            <w:vAlign w:val="center"/>
            <w:hideMark/>
          </w:tcPr>
          <w:p w14:paraId="46009C9D"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(1.88)</w:t>
            </w:r>
          </w:p>
        </w:tc>
        <w:tc>
          <w:tcPr>
            <w:tcW w:w="1140" w:type="dxa"/>
            <w:tcBorders>
              <w:top w:val="nil"/>
              <w:left w:val="nil"/>
              <w:bottom w:val="nil"/>
              <w:right w:val="nil"/>
            </w:tcBorders>
            <w:shd w:val="clear" w:color="auto" w:fill="auto"/>
            <w:vAlign w:val="center"/>
            <w:hideMark/>
          </w:tcPr>
          <w:p w14:paraId="20850E3A"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(1.88)</w:t>
            </w:r>
          </w:p>
        </w:tc>
        <w:tc>
          <w:tcPr>
            <w:tcW w:w="1140" w:type="dxa"/>
            <w:tcBorders>
              <w:top w:val="nil"/>
              <w:left w:val="nil"/>
              <w:bottom w:val="nil"/>
              <w:right w:val="nil"/>
            </w:tcBorders>
            <w:shd w:val="clear" w:color="auto" w:fill="auto"/>
            <w:vAlign w:val="center"/>
            <w:hideMark/>
          </w:tcPr>
          <w:p w14:paraId="2B7F7CB8"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(1.88)</w:t>
            </w:r>
          </w:p>
        </w:tc>
      </w:tr>
      <w:tr w:rsidR="00D91E8B" w:rsidRPr="00D91E8B" w14:paraId="74FD05A8" w14:textId="77777777" w:rsidTr="00D91E8B">
        <w:trPr>
          <w:trHeight w:val="280"/>
          <w:jc w:val="center"/>
        </w:trPr>
        <w:tc>
          <w:tcPr>
            <w:tcW w:w="4460" w:type="dxa"/>
            <w:tcBorders>
              <w:top w:val="nil"/>
              <w:left w:val="nil"/>
              <w:bottom w:val="nil"/>
              <w:right w:val="nil"/>
            </w:tcBorders>
            <w:shd w:val="clear" w:color="auto" w:fill="auto"/>
            <w:vAlign w:val="center"/>
            <w:hideMark/>
          </w:tcPr>
          <w:p w14:paraId="42D31FA0"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ROA</w:t>
            </w:r>
          </w:p>
        </w:tc>
        <w:tc>
          <w:tcPr>
            <w:tcW w:w="1140" w:type="dxa"/>
            <w:tcBorders>
              <w:top w:val="nil"/>
              <w:left w:val="nil"/>
              <w:bottom w:val="nil"/>
              <w:right w:val="nil"/>
            </w:tcBorders>
            <w:shd w:val="clear" w:color="auto" w:fill="auto"/>
            <w:vAlign w:val="center"/>
            <w:hideMark/>
          </w:tcPr>
          <w:p w14:paraId="38711637"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0.04 </w:t>
            </w:r>
          </w:p>
        </w:tc>
        <w:tc>
          <w:tcPr>
            <w:tcW w:w="1300" w:type="dxa"/>
            <w:tcBorders>
              <w:top w:val="nil"/>
              <w:left w:val="nil"/>
              <w:bottom w:val="nil"/>
              <w:right w:val="nil"/>
            </w:tcBorders>
            <w:shd w:val="clear" w:color="auto" w:fill="auto"/>
            <w:vAlign w:val="center"/>
            <w:hideMark/>
          </w:tcPr>
          <w:p w14:paraId="656E14B2"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0.04 </w:t>
            </w:r>
          </w:p>
        </w:tc>
        <w:tc>
          <w:tcPr>
            <w:tcW w:w="1140" w:type="dxa"/>
            <w:tcBorders>
              <w:top w:val="nil"/>
              <w:left w:val="nil"/>
              <w:bottom w:val="nil"/>
              <w:right w:val="nil"/>
            </w:tcBorders>
            <w:shd w:val="clear" w:color="auto" w:fill="auto"/>
            <w:vAlign w:val="center"/>
            <w:hideMark/>
          </w:tcPr>
          <w:p w14:paraId="4B1CCCE7"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0.05 </w:t>
            </w:r>
          </w:p>
        </w:tc>
        <w:tc>
          <w:tcPr>
            <w:tcW w:w="1140" w:type="dxa"/>
            <w:tcBorders>
              <w:top w:val="nil"/>
              <w:left w:val="nil"/>
              <w:bottom w:val="nil"/>
              <w:right w:val="nil"/>
            </w:tcBorders>
            <w:shd w:val="clear" w:color="auto" w:fill="auto"/>
            <w:vAlign w:val="center"/>
            <w:hideMark/>
          </w:tcPr>
          <w:p w14:paraId="2AED846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0.05 </w:t>
            </w:r>
          </w:p>
        </w:tc>
      </w:tr>
      <w:tr w:rsidR="00D91E8B" w:rsidRPr="00D91E8B" w14:paraId="077B90F5" w14:textId="77777777" w:rsidTr="00D91E8B">
        <w:trPr>
          <w:trHeight w:val="280"/>
          <w:jc w:val="center"/>
        </w:trPr>
        <w:tc>
          <w:tcPr>
            <w:tcW w:w="4460" w:type="dxa"/>
            <w:tcBorders>
              <w:top w:val="nil"/>
              <w:left w:val="nil"/>
              <w:bottom w:val="nil"/>
              <w:right w:val="nil"/>
            </w:tcBorders>
            <w:shd w:val="clear" w:color="auto" w:fill="auto"/>
            <w:vAlign w:val="center"/>
            <w:hideMark/>
          </w:tcPr>
          <w:p w14:paraId="29CEFE9C"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050A74D3"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(0.25)</w:t>
            </w:r>
          </w:p>
        </w:tc>
        <w:tc>
          <w:tcPr>
            <w:tcW w:w="1300" w:type="dxa"/>
            <w:tcBorders>
              <w:top w:val="nil"/>
              <w:left w:val="nil"/>
              <w:bottom w:val="nil"/>
              <w:right w:val="nil"/>
            </w:tcBorders>
            <w:shd w:val="clear" w:color="auto" w:fill="auto"/>
            <w:vAlign w:val="center"/>
            <w:hideMark/>
          </w:tcPr>
          <w:p w14:paraId="7D30876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(0.25)</w:t>
            </w:r>
          </w:p>
        </w:tc>
        <w:tc>
          <w:tcPr>
            <w:tcW w:w="1140" w:type="dxa"/>
            <w:tcBorders>
              <w:top w:val="nil"/>
              <w:left w:val="nil"/>
              <w:bottom w:val="nil"/>
              <w:right w:val="nil"/>
            </w:tcBorders>
            <w:shd w:val="clear" w:color="auto" w:fill="auto"/>
            <w:vAlign w:val="center"/>
            <w:hideMark/>
          </w:tcPr>
          <w:p w14:paraId="49C8A3C9"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(0.25)</w:t>
            </w:r>
          </w:p>
        </w:tc>
        <w:tc>
          <w:tcPr>
            <w:tcW w:w="1140" w:type="dxa"/>
            <w:tcBorders>
              <w:top w:val="nil"/>
              <w:left w:val="nil"/>
              <w:bottom w:val="nil"/>
              <w:right w:val="nil"/>
            </w:tcBorders>
            <w:shd w:val="clear" w:color="auto" w:fill="auto"/>
            <w:vAlign w:val="center"/>
            <w:hideMark/>
          </w:tcPr>
          <w:p w14:paraId="3140369A"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(0.25)</w:t>
            </w:r>
          </w:p>
        </w:tc>
      </w:tr>
      <w:tr w:rsidR="00D91E8B" w:rsidRPr="00D91E8B" w14:paraId="407BC99B" w14:textId="77777777" w:rsidTr="00D91E8B">
        <w:trPr>
          <w:trHeight w:val="280"/>
          <w:jc w:val="center"/>
        </w:trPr>
        <w:tc>
          <w:tcPr>
            <w:tcW w:w="4460" w:type="dxa"/>
            <w:tcBorders>
              <w:top w:val="nil"/>
              <w:left w:val="nil"/>
              <w:bottom w:val="nil"/>
              <w:right w:val="nil"/>
            </w:tcBorders>
            <w:shd w:val="clear" w:color="auto" w:fill="auto"/>
            <w:vAlign w:val="center"/>
            <w:hideMark/>
          </w:tcPr>
          <w:p w14:paraId="2A74C6C5"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FDI experience</w:t>
            </w:r>
          </w:p>
        </w:tc>
        <w:tc>
          <w:tcPr>
            <w:tcW w:w="1140" w:type="dxa"/>
            <w:tcBorders>
              <w:top w:val="nil"/>
              <w:left w:val="nil"/>
              <w:bottom w:val="nil"/>
              <w:right w:val="nil"/>
            </w:tcBorders>
            <w:shd w:val="clear" w:color="auto" w:fill="auto"/>
            <w:vAlign w:val="center"/>
            <w:hideMark/>
          </w:tcPr>
          <w:p w14:paraId="5CFA3D25"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300" w:type="dxa"/>
            <w:tcBorders>
              <w:top w:val="nil"/>
              <w:left w:val="nil"/>
              <w:bottom w:val="nil"/>
              <w:right w:val="nil"/>
            </w:tcBorders>
            <w:shd w:val="clear" w:color="auto" w:fill="auto"/>
            <w:vAlign w:val="center"/>
            <w:hideMark/>
          </w:tcPr>
          <w:p w14:paraId="07089C85"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140" w:type="dxa"/>
            <w:tcBorders>
              <w:top w:val="nil"/>
              <w:left w:val="nil"/>
              <w:bottom w:val="nil"/>
              <w:right w:val="nil"/>
            </w:tcBorders>
            <w:shd w:val="clear" w:color="auto" w:fill="auto"/>
            <w:vAlign w:val="center"/>
            <w:hideMark/>
          </w:tcPr>
          <w:p w14:paraId="7069594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c>
          <w:tcPr>
            <w:tcW w:w="1140" w:type="dxa"/>
            <w:tcBorders>
              <w:top w:val="nil"/>
              <w:left w:val="nil"/>
              <w:bottom w:val="nil"/>
              <w:right w:val="nil"/>
            </w:tcBorders>
            <w:shd w:val="clear" w:color="auto" w:fill="auto"/>
            <w:vAlign w:val="center"/>
            <w:hideMark/>
          </w:tcPr>
          <w:p w14:paraId="149202A2"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0.01***</w:t>
            </w:r>
          </w:p>
        </w:tc>
      </w:tr>
      <w:tr w:rsidR="00D91E8B" w:rsidRPr="00D91E8B" w14:paraId="2517F043" w14:textId="77777777" w:rsidTr="00D91E8B">
        <w:trPr>
          <w:trHeight w:val="280"/>
          <w:jc w:val="center"/>
        </w:trPr>
        <w:tc>
          <w:tcPr>
            <w:tcW w:w="4460" w:type="dxa"/>
            <w:tcBorders>
              <w:top w:val="nil"/>
              <w:left w:val="nil"/>
              <w:bottom w:val="nil"/>
              <w:right w:val="nil"/>
            </w:tcBorders>
            <w:shd w:val="clear" w:color="auto" w:fill="auto"/>
            <w:vAlign w:val="center"/>
            <w:hideMark/>
          </w:tcPr>
          <w:p w14:paraId="67F22775"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4FE09FC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(0.00)</w:t>
            </w:r>
          </w:p>
        </w:tc>
        <w:tc>
          <w:tcPr>
            <w:tcW w:w="1300" w:type="dxa"/>
            <w:tcBorders>
              <w:top w:val="nil"/>
              <w:left w:val="nil"/>
              <w:bottom w:val="nil"/>
              <w:right w:val="nil"/>
            </w:tcBorders>
            <w:shd w:val="clear" w:color="auto" w:fill="auto"/>
            <w:vAlign w:val="center"/>
            <w:hideMark/>
          </w:tcPr>
          <w:p w14:paraId="775E5AD3"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(0.00)</w:t>
            </w:r>
          </w:p>
        </w:tc>
        <w:tc>
          <w:tcPr>
            <w:tcW w:w="1140" w:type="dxa"/>
            <w:tcBorders>
              <w:top w:val="nil"/>
              <w:left w:val="nil"/>
              <w:bottom w:val="nil"/>
              <w:right w:val="nil"/>
            </w:tcBorders>
            <w:shd w:val="clear" w:color="auto" w:fill="auto"/>
            <w:vAlign w:val="center"/>
            <w:hideMark/>
          </w:tcPr>
          <w:p w14:paraId="79CF401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(0.00)</w:t>
            </w:r>
          </w:p>
        </w:tc>
        <w:tc>
          <w:tcPr>
            <w:tcW w:w="1140" w:type="dxa"/>
            <w:tcBorders>
              <w:top w:val="nil"/>
              <w:left w:val="nil"/>
              <w:bottom w:val="nil"/>
              <w:right w:val="nil"/>
            </w:tcBorders>
            <w:shd w:val="clear" w:color="auto" w:fill="auto"/>
            <w:vAlign w:val="center"/>
            <w:hideMark/>
          </w:tcPr>
          <w:p w14:paraId="1ED9D047"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(0.00)</w:t>
            </w:r>
          </w:p>
        </w:tc>
      </w:tr>
      <w:tr w:rsidR="00D91E8B" w:rsidRPr="00D91E8B" w14:paraId="0BA3C086" w14:textId="77777777" w:rsidTr="00D91E8B">
        <w:trPr>
          <w:trHeight w:val="315"/>
          <w:jc w:val="center"/>
        </w:trPr>
        <w:tc>
          <w:tcPr>
            <w:tcW w:w="4460" w:type="dxa"/>
            <w:tcBorders>
              <w:top w:val="nil"/>
              <w:left w:val="nil"/>
              <w:bottom w:val="nil"/>
              <w:right w:val="nil"/>
            </w:tcBorders>
            <w:shd w:val="clear" w:color="auto" w:fill="auto"/>
            <w:vAlign w:val="center"/>
            <w:hideMark/>
          </w:tcPr>
          <w:p w14:paraId="22690439" w14:textId="77777777" w:rsidR="00D91E8B" w:rsidRPr="00D91E8B" w:rsidRDefault="00D91E8B" w:rsidP="00D91E8B">
            <w:pPr>
              <w:spacing w:after="0" w:line="240" w:lineRule="auto"/>
              <w:rPr>
                <w:rFonts w:eastAsia="Times New Roman"/>
                <w:b/>
                <w:bCs/>
                <w:color w:val="000000"/>
              </w:rPr>
            </w:pPr>
            <w:r w:rsidRPr="00D91E8B">
              <w:rPr>
                <w:rFonts w:eastAsia="Times New Roman"/>
                <w:b/>
                <w:bCs/>
                <w:color w:val="000000"/>
              </w:rPr>
              <w:t>Focal Independent Variables</w:t>
            </w:r>
          </w:p>
        </w:tc>
        <w:tc>
          <w:tcPr>
            <w:tcW w:w="1140" w:type="dxa"/>
            <w:tcBorders>
              <w:top w:val="nil"/>
              <w:left w:val="nil"/>
              <w:bottom w:val="nil"/>
              <w:right w:val="nil"/>
            </w:tcBorders>
            <w:shd w:val="clear" w:color="auto" w:fill="auto"/>
            <w:vAlign w:val="center"/>
            <w:hideMark/>
          </w:tcPr>
          <w:p w14:paraId="31D3B5EE" w14:textId="77777777" w:rsidR="00D91E8B" w:rsidRPr="00D91E8B" w:rsidRDefault="00D91E8B" w:rsidP="00D91E8B">
            <w:pPr>
              <w:spacing w:after="0" w:line="240" w:lineRule="auto"/>
              <w:rPr>
                <w:rFonts w:eastAsia="Times New Roman"/>
                <w:b/>
                <w:bCs/>
                <w:color w:val="000000"/>
              </w:rPr>
            </w:pPr>
          </w:p>
        </w:tc>
        <w:tc>
          <w:tcPr>
            <w:tcW w:w="1300" w:type="dxa"/>
            <w:tcBorders>
              <w:top w:val="nil"/>
              <w:left w:val="nil"/>
              <w:bottom w:val="nil"/>
              <w:right w:val="nil"/>
            </w:tcBorders>
            <w:shd w:val="clear" w:color="auto" w:fill="auto"/>
            <w:vAlign w:val="center"/>
            <w:hideMark/>
          </w:tcPr>
          <w:p w14:paraId="21F74048" w14:textId="77777777" w:rsidR="00D91E8B" w:rsidRPr="00D91E8B" w:rsidRDefault="00D91E8B" w:rsidP="00D91E8B">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2569D550" w14:textId="77777777" w:rsidR="00D91E8B" w:rsidRPr="00D91E8B" w:rsidRDefault="00D91E8B" w:rsidP="00D91E8B">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682918A8" w14:textId="77777777" w:rsidR="00D91E8B" w:rsidRPr="00D91E8B" w:rsidRDefault="00D91E8B" w:rsidP="00D91E8B">
            <w:pPr>
              <w:spacing w:after="0" w:line="240" w:lineRule="auto"/>
              <w:jc w:val="center"/>
              <w:rPr>
                <w:rFonts w:eastAsia="Times New Roman"/>
                <w:sz w:val="20"/>
                <w:szCs w:val="20"/>
              </w:rPr>
            </w:pPr>
          </w:p>
        </w:tc>
      </w:tr>
      <w:tr w:rsidR="00D91E8B" w:rsidRPr="00D91E8B" w14:paraId="4B895F6C" w14:textId="77777777" w:rsidTr="00D91E8B">
        <w:trPr>
          <w:trHeight w:val="280"/>
          <w:jc w:val="center"/>
        </w:trPr>
        <w:tc>
          <w:tcPr>
            <w:tcW w:w="4460" w:type="dxa"/>
            <w:tcBorders>
              <w:top w:val="nil"/>
              <w:left w:val="nil"/>
              <w:bottom w:val="nil"/>
              <w:right w:val="nil"/>
            </w:tcBorders>
            <w:shd w:val="clear" w:color="auto" w:fill="auto"/>
            <w:vAlign w:val="center"/>
            <w:hideMark/>
          </w:tcPr>
          <w:p w14:paraId="241D7FD7"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King's foreign honors</w:t>
            </w:r>
          </w:p>
        </w:tc>
        <w:tc>
          <w:tcPr>
            <w:tcW w:w="1140" w:type="dxa"/>
            <w:tcBorders>
              <w:top w:val="nil"/>
              <w:left w:val="nil"/>
              <w:bottom w:val="nil"/>
              <w:right w:val="nil"/>
            </w:tcBorders>
            <w:shd w:val="clear" w:color="auto" w:fill="auto"/>
            <w:vAlign w:val="center"/>
            <w:hideMark/>
          </w:tcPr>
          <w:p w14:paraId="1ABE2690"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0.04 </w:t>
            </w:r>
          </w:p>
        </w:tc>
        <w:tc>
          <w:tcPr>
            <w:tcW w:w="1300" w:type="dxa"/>
            <w:tcBorders>
              <w:top w:val="nil"/>
              <w:left w:val="nil"/>
              <w:bottom w:val="nil"/>
              <w:right w:val="nil"/>
            </w:tcBorders>
            <w:shd w:val="clear" w:color="auto" w:fill="auto"/>
            <w:vAlign w:val="center"/>
            <w:hideMark/>
          </w:tcPr>
          <w:p w14:paraId="0BDA126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0.04 </w:t>
            </w:r>
          </w:p>
        </w:tc>
        <w:tc>
          <w:tcPr>
            <w:tcW w:w="1140" w:type="dxa"/>
            <w:tcBorders>
              <w:top w:val="nil"/>
              <w:left w:val="nil"/>
              <w:bottom w:val="nil"/>
              <w:right w:val="nil"/>
            </w:tcBorders>
            <w:shd w:val="clear" w:color="auto" w:fill="auto"/>
            <w:vAlign w:val="center"/>
            <w:hideMark/>
          </w:tcPr>
          <w:p w14:paraId="48015DE0"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0.04 </w:t>
            </w:r>
          </w:p>
        </w:tc>
        <w:tc>
          <w:tcPr>
            <w:tcW w:w="1140" w:type="dxa"/>
            <w:tcBorders>
              <w:top w:val="nil"/>
              <w:left w:val="nil"/>
              <w:bottom w:val="nil"/>
              <w:right w:val="nil"/>
            </w:tcBorders>
            <w:shd w:val="clear" w:color="auto" w:fill="auto"/>
            <w:vAlign w:val="center"/>
            <w:hideMark/>
          </w:tcPr>
          <w:p w14:paraId="777B2D64"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0.04 </w:t>
            </w:r>
          </w:p>
        </w:tc>
      </w:tr>
      <w:tr w:rsidR="00D91E8B" w:rsidRPr="00D91E8B" w14:paraId="3714DA3A" w14:textId="77777777" w:rsidTr="00D91E8B">
        <w:trPr>
          <w:trHeight w:val="280"/>
          <w:jc w:val="center"/>
        </w:trPr>
        <w:tc>
          <w:tcPr>
            <w:tcW w:w="4460" w:type="dxa"/>
            <w:tcBorders>
              <w:top w:val="nil"/>
              <w:left w:val="nil"/>
              <w:bottom w:val="nil"/>
              <w:right w:val="nil"/>
            </w:tcBorders>
            <w:shd w:val="clear" w:color="auto" w:fill="auto"/>
            <w:vAlign w:val="center"/>
            <w:hideMark/>
          </w:tcPr>
          <w:p w14:paraId="701E8314"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5D979618"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(0.14)</w:t>
            </w:r>
          </w:p>
        </w:tc>
        <w:tc>
          <w:tcPr>
            <w:tcW w:w="1300" w:type="dxa"/>
            <w:tcBorders>
              <w:top w:val="nil"/>
              <w:left w:val="nil"/>
              <w:bottom w:val="nil"/>
              <w:right w:val="nil"/>
            </w:tcBorders>
            <w:shd w:val="clear" w:color="auto" w:fill="auto"/>
            <w:vAlign w:val="center"/>
            <w:hideMark/>
          </w:tcPr>
          <w:p w14:paraId="1B65EC1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(0.14)</w:t>
            </w:r>
          </w:p>
        </w:tc>
        <w:tc>
          <w:tcPr>
            <w:tcW w:w="1140" w:type="dxa"/>
            <w:tcBorders>
              <w:top w:val="nil"/>
              <w:left w:val="nil"/>
              <w:bottom w:val="nil"/>
              <w:right w:val="nil"/>
            </w:tcBorders>
            <w:shd w:val="clear" w:color="auto" w:fill="auto"/>
            <w:vAlign w:val="center"/>
            <w:hideMark/>
          </w:tcPr>
          <w:p w14:paraId="301DF762"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(0.14)</w:t>
            </w:r>
          </w:p>
        </w:tc>
        <w:tc>
          <w:tcPr>
            <w:tcW w:w="1140" w:type="dxa"/>
            <w:tcBorders>
              <w:top w:val="nil"/>
              <w:left w:val="nil"/>
              <w:bottom w:val="nil"/>
              <w:right w:val="nil"/>
            </w:tcBorders>
            <w:shd w:val="clear" w:color="auto" w:fill="auto"/>
            <w:vAlign w:val="center"/>
            <w:hideMark/>
          </w:tcPr>
          <w:p w14:paraId="08A82EB7"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(0.14)</w:t>
            </w:r>
          </w:p>
        </w:tc>
      </w:tr>
      <w:tr w:rsidR="00D91E8B" w:rsidRPr="00D91E8B" w14:paraId="34E12FDE" w14:textId="77777777" w:rsidTr="00D91E8B">
        <w:trPr>
          <w:trHeight w:val="280"/>
          <w:jc w:val="center"/>
        </w:trPr>
        <w:tc>
          <w:tcPr>
            <w:tcW w:w="4460" w:type="dxa"/>
            <w:tcBorders>
              <w:top w:val="nil"/>
              <w:left w:val="nil"/>
              <w:bottom w:val="nil"/>
              <w:right w:val="nil"/>
            </w:tcBorders>
            <w:shd w:val="clear" w:color="auto" w:fill="auto"/>
            <w:vAlign w:val="center"/>
            <w:hideMark/>
          </w:tcPr>
          <w:p w14:paraId="3604C24E"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Prince's military influence</w:t>
            </w:r>
          </w:p>
        </w:tc>
        <w:tc>
          <w:tcPr>
            <w:tcW w:w="1140" w:type="dxa"/>
            <w:tcBorders>
              <w:top w:val="nil"/>
              <w:left w:val="nil"/>
              <w:bottom w:val="nil"/>
              <w:right w:val="nil"/>
            </w:tcBorders>
            <w:shd w:val="clear" w:color="auto" w:fill="auto"/>
            <w:vAlign w:val="center"/>
            <w:hideMark/>
          </w:tcPr>
          <w:p w14:paraId="6F9EFF0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0.33 </w:t>
            </w:r>
          </w:p>
        </w:tc>
        <w:tc>
          <w:tcPr>
            <w:tcW w:w="1300" w:type="dxa"/>
            <w:tcBorders>
              <w:top w:val="nil"/>
              <w:left w:val="nil"/>
              <w:bottom w:val="nil"/>
              <w:right w:val="nil"/>
            </w:tcBorders>
            <w:shd w:val="clear" w:color="auto" w:fill="auto"/>
            <w:vAlign w:val="center"/>
            <w:hideMark/>
          </w:tcPr>
          <w:p w14:paraId="41A9ACF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0.33 </w:t>
            </w:r>
          </w:p>
        </w:tc>
        <w:tc>
          <w:tcPr>
            <w:tcW w:w="1140" w:type="dxa"/>
            <w:tcBorders>
              <w:top w:val="nil"/>
              <w:left w:val="nil"/>
              <w:bottom w:val="nil"/>
              <w:right w:val="nil"/>
            </w:tcBorders>
            <w:shd w:val="clear" w:color="auto" w:fill="auto"/>
            <w:vAlign w:val="center"/>
            <w:hideMark/>
          </w:tcPr>
          <w:p w14:paraId="255C82D4"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0.36 </w:t>
            </w:r>
          </w:p>
        </w:tc>
        <w:tc>
          <w:tcPr>
            <w:tcW w:w="1140" w:type="dxa"/>
            <w:tcBorders>
              <w:top w:val="nil"/>
              <w:left w:val="nil"/>
              <w:bottom w:val="nil"/>
              <w:right w:val="nil"/>
            </w:tcBorders>
            <w:shd w:val="clear" w:color="auto" w:fill="auto"/>
            <w:vAlign w:val="center"/>
            <w:hideMark/>
          </w:tcPr>
          <w:p w14:paraId="6913BA5B"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0.34 </w:t>
            </w:r>
          </w:p>
        </w:tc>
      </w:tr>
      <w:tr w:rsidR="00D91E8B" w:rsidRPr="00D91E8B" w14:paraId="4313808A" w14:textId="77777777" w:rsidTr="00D91E8B">
        <w:trPr>
          <w:trHeight w:val="280"/>
          <w:jc w:val="center"/>
        </w:trPr>
        <w:tc>
          <w:tcPr>
            <w:tcW w:w="4460" w:type="dxa"/>
            <w:tcBorders>
              <w:top w:val="nil"/>
              <w:left w:val="nil"/>
              <w:bottom w:val="nil"/>
              <w:right w:val="nil"/>
            </w:tcBorders>
            <w:shd w:val="clear" w:color="auto" w:fill="auto"/>
            <w:vAlign w:val="center"/>
            <w:hideMark/>
          </w:tcPr>
          <w:p w14:paraId="3DF62653"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27290D5A"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(0.26)</w:t>
            </w:r>
          </w:p>
        </w:tc>
        <w:tc>
          <w:tcPr>
            <w:tcW w:w="1300" w:type="dxa"/>
            <w:tcBorders>
              <w:top w:val="nil"/>
              <w:left w:val="nil"/>
              <w:bottom w:val="nil"/>
              <w:right w:val="nil"/>
            </w:tcBorders>
            <w:shd w:val="clear" w:color="auto" w:fill="auto"/>
            <w:vAlign w:val="center"/>
            <w:hideMark/>
          </w:tcPr>
          <w:p w14:paraId="6CF20F4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(0.26)</w:t>
            </w:r>
          </w:p>
        </w:tc>
        <w:tc>
          <w:tcPr>
            <w:tcW w:w="1140" w:type="dxa"/>
            <w:tcBorders>
              <w:top w:val="nil"/>
              <w:left w:val="nil"/>
              <w:bottom w:val="nil"/>
              <w:right w:val="nil"/>
            </w:tcBorders>
            <w:shd w:val="clear" w:color="auto" w:fill="auto"/>
            <w:vAlign w:val="center"/>
            <w:hideMark/>
          </w:tcPr>
          <w:p w14:paraId="1D422CD5"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(0.26)</w:t>
            </w:r>
          </w:p>
        </w:tc>
        <w:tc>
          <w:tcPr>
            <w:tcW w:w="1140" w:type="dxa"/>
            <w:tcBorders>
              <w:top w:val="nil"/>
              <w:left w:val="nil"/>
              <w:bottom w:val="nil"/>
              <w:right w:val="nil"/>
            </w:tcBorders>
            <w:shd w:val="clear" w:color="auto" w:fill="auto"/>
            <w:vAlign w:val="center"/>
            <w:hideMark/>
          </w:tcPr>
          <w:p w14:paraId="0EBEA6D9"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(0.42)</w:t>
            </w:r>
          </w:p>
        </w:tc>
      </w:tr>
      <w:tr w:rsidR="00D91E8B" w:rsidRPr="00D91E8B" w14:paraId="39EEF3F5" w14:textId="77777777" w:rsidTr="00D91E8B">
        <w:trPr>
          <w:trHeight w:val="280"/>
          <w:jc w:val="center"/>
        </w:trPr>
        <w:tc>
          <w:tcPr>
            <w:tcW w:w="4460" w:type="dxa"/>
            <w:tcBorders>
              <w:top w:val="nil"/>
              <w:left w:val="nil"/>
              <w:bottom w:val="nil"/>
              <w:right w:val="nil"/>
            </w:tcBorders>
            <w:shd w:val="clear" w:color="auto" w:fill="auto"/>
            <w:vAlign w:val="center"/>
            <w:hideMark/>
          </w:tcPr>
          <w:p w14:paraId="5E370054" w14:textId="77777777" w:rsidR="00D91E8B" w:rsidRPr="00D91E8B" w:rsidRDefault="00D91E8B" w:rsidP="00D91E8B">
            <w:pPr>
              <w:spacing w:after="0" w:line="240" w:lineRule="auto"/>
              <w:rPr>
                <w:rFonts w:eastAsia="Times New Roman"/>
              </w:rPr>
            </w:pPr>
            <w:r w:rsidRPr="00D91E8B">
              <w:rPr>
                <w:rFonts w:eastAsia="Times New Roman"/>
              </w:rPr>
              <w:t>King-Prince differences</w:t>
            </w:r>
          </w:p>
        </w:tc>
        <w:tc>
          <w:tcPr>
            <w:tcW w:w="1140" w:type="dxa"/>
            <w:tcBorders>
              <w:top w:val="nil"/>
              <w:left w:val="nil"/>
              <w:bottom w:val="nil"/>
              <w:right w:val="nil"/>
            </w:tcBorders>
            <w:shd w:val="clear" w:color="auto" w:fill="auto"/>
            <w:vAlign w:val="center"/>
            <w:hideMark/>
          </w:tcPr>
          <w:p w14:paraId="7F147A5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-1.43***</w:t>
            </w:r>
          </w:p>
        </w:tc>
        <w:tc>
          <w:tcPr>
            <w:tcW w:w="1300" w:type="dxa"/>
            <w:tcBorders>
              <w:top w:val="nil"/>
              <w:left w:val="nil"/>
              <w:bottom w:val="nil"/>
              <w:right w:val="nil"/>
            </w:tcBorders>
            <w:shd w:val="clear" w:color="auto" w:fill="auto"/>
            <w:vAlign w:val="center"/>
            <w:hideMark/>
          </w:tcPr>
          <w:p w14:paraId="4FA57388"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-1.43***</w:t>
            </w:r>
          </w:p>
        </w:tc>
        <w:tc>
          <w:tcPr>
            <w:tcW w:w="1140" w:type="dxa"/>
            <w:tcBorders>
              <w:top w:val="nil"/>
              <w:left w:val="nil"/>
              <w:bottom w:val="nil"/>
              <w:right w:val="nil"/>
            </w:tcBorders>
            <w:shd w:val="clear" w:color="auto" w:fill="auto"/>
            <w:vAlign w:val="center"/>
            <w:hideMark/>
          </w:tcPr>
          <w:p w14:paraId="194DF6D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-1.50***</w:t>
            </w:r>
          </w:p>
        </w:tc>
        <w:tc>
          <w:tcPr>
            <w:tcW w:w="1140" w:type="dxa"/>
            <w:tcBorders>
              <w:top w:val="nil"/>
              <w:left w:val="nil"/>
              <w:bottom w:val="nil"/>
              <w:right w:val="nil"/>
            </w:tcBorders>
            <w:shd w:val="clear" w:color="auto" w:fill="auto"/>
            <w:vAlign w:val="center"/>
            <w:hideMark/>
          </w:tcPr>
          <w:p w14:paraId="5F041037"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-1.49***</w:t>
            </w:r>
          </w:p>
        </w:tc>
      </w:tr>
      <w:tr w:rsidR="00D91E8B" w:rsidRPr="00D91E8B" w14:paraId="1BBDE4C7" w14:textId="77777777" w:rsidTr="00D91E8B">
        <w:trPr>
          <w:trHeight w:val="280"/>
          <w:jc w:val="center"/>
        </w:trPr>
        <w:tc>
          <w:tcPr>
            <w:tcW w:w="4460" w:type="dxa"/>
            <w:tcBorders>
              <w:top w:val="nil"/>
              <w:left w:val="nil"/>
              <w:bottom w:val="nil"/>
              <w:right w:val="nil"/>
            </w:tcBorders>
            <w:shd w:val="clear" w:color="auto" w:fill="auto"/>
            <w:vAlign w:val="center"/>
            <w:hideMark/>
          </w:tcPr>
          <w:p w14:paraId="1F11E003"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0BCB9D0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(0.26)</w:t>
            </w:r>
          </w:p>
        </w:tc>
        <w:tc>
          <w:tcPr>
            <w:tcW w:w="1300" w:type="dxa"/>
            <w:tcBorders>
              <w:top w:val="nil"/>
              <w:left w:val="nil"/>
              <w:bottom w:val="nil"/>
              <w:right w:val="nil"/>
            </w:tcBorders>
            <w:shd w:val="clear" w:color="auto" w:fill="auto"/>
            <w:vAlign w:val="center"/>
            <w:hideMark/>
          </w:tcPr>
          <w:p w14:paraId="1D54938D"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(0.26)</w:t>
            </w:r>
          </w:p>
        </w:tc>
        <w:tc>
          <w:tcPr>
            <w:tcW w:w="1140" w:type="dxa"/>
            <w:tcBorders>
              <w:top w:val="nil"/>
              <w:left w:val="nil"/>
              <w:bottom w:val="nil"/>
              <w:right w:val="nil"/>
            </w:tcBorders>
            <w:shd w:val="clear" w:color="auto" w:fill="auto"/>
            <w:vAlign w:val="center"/>
            <w:hideMark/>
          </w:tcPr>
          <w:p w14:paraId="50AD58EB"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(0.26)</w:t>
            </w:r>
          </w:p>
        </w:tc>
        <w:tc>
          <w:tcPr>
            <w:tcW w:w="1140" w:type="dxa"/>
            <w:tcBorders>
              <w:top w:val="nil"/>
              <w:left w:val="nil"/>
              <w:bottom w:val="nil"/>
              <w:right w:val="nil"/>
            </w:tcBorders>
            <w:shd w:val="clear" w:color="auto" w:fill="auto"/>
            <w:vAlign w:val="center"/>
            <w:hideMark/>
          </w:tcPr>
          <w:p w14:paraId="25392144"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(0.27)</w:t>
            </w:r>
          </w:p>
        </w:tc>
      </w:tr>
      <w:tr w:rsidR="00D91E8B" w:rsidRPr="00D91E8B" w14:paraId="611D6D4D" w14:textId="77777777" w:rsidTr="00D91E8B">
        <w:trPr>
          <w:trHeight w:val="280"/>
          <w:jc w:val="center"/>
        </w:trPr>
        <w:tc>
          <w:tcPr>
            <w:tcW w:w="4460" w:type="dxa"/>
            <w:tcBorders>
              <w:top w:val="nil"/>
              <w:left w:val="nil"/>
              <w:bottom w:val="nil"/>
              <w:right w:val="nil"/>
            </w:tcBorders>
            <w:shd w:val="clear" w:color="auto" w:fill="auto"/>
            <w:vAlign w:val="center"/>
            <w:hideMark/>
          </w:tcPr>
          <w:p w14:paraId="5EFE6D2C"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Succession</w:t>
            </w:r>
          </w:p>
        </w:tc>
        <w:tc>
          <w:tcPr>
            <w:tcW w:w="1140" w:type="dxa"/>
            <w:tcBorders>
              <w:top w:val="nil"/>
              <w:left w:val="nil"/>
              <w:bottom w:val="nil"/>
              <w:right w:val="nil"/>
            </w:tcBorders>
            <w:shd w:val="clear" w:color="auto" w:fill="auto"/>
            <w:vAlign w:val="center"/>
            <w:hideMark/>
          </w:tcPr>
          <w:p w14:paraId="61AF2AB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-1.22**</w:t>
            </w:r>
          </w:p>
        </w:tc>
        <w:tc>
          <w:tcPr>
            <w:tcW w:w="1300" w:type="dxa"/>
            <w:tcBorders>
              <w:top w:val="nil"/>
              <w:left w:val="nil"/>
              <w:bottom w:val="nil"/>
              <w:right w:val="nil"/>
            </w:tcBorders>
            <w:shd w:val="clear" w:color="auto" w:fill="auto"/>
            <w:vAlign w:val="center"/>
            <w:hideMark/>
          </w:tcPr>
          <w:p w14:paraId="18079B3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-13.26***</w:t>
            </w:r>
          </w:p>
        </w:tc>
        <w:tc>
          <w:tcPr>
            <w:tcW w:w="1140" w:type="dxa"/>
            <w:tcBorders>
              <w:top w:val="nil"/>
              <w:left w:val="nil"/>
              <w:bottom w:val="nil"/>
              <w:right w:val="nil"/>
            </w:tcBorders>
            <w:shd w:val="clear" w:color="auto" w:fill="auto"/>
            <w:vAlign w:val="center"/>
            <w:hideMark/>
          </w:tcPr>
          <w:p w14:paraId="76DB08F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-3.75***</w:t>
            </w:r>
          </w:p>
        </w:tc>
        <w:tc>
          <w:tcPr>
            <w:tcW w:w="1140" w:type="dxa"/>
            <w:tcBorders>
              <w:top w:val="nil"/>
              <w:left w:val="nil"/>
              <w:bottom w:val="nil"/>
              <w:right w:val="nil"/>
            </w:tcBorders>
            <w:shd w:val="clear" w:color="auto" w:fill="auto"/>
            <w:vAlign w:val="center"/>
            <w:hideMark/>
          </w:tcPr>
          <w:p w14:paraId="4BF3C019"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-3.52**</w:t>
            </w:r>
          </w:p>
        </w:tc>
      </w:tr>
      <w:tr w:rsidR="00D91E8B" w:rsidRPr="00D91E8B" w14:paraId="0898A175" w14:textId="77777777" w:rsidTr="00D91E8B">
        <w:trPr>
          <w:trHeight w:val="280"/>
          <w:jc w:val="center"/>
        </w:trPr>
        <w:tc>
          <w:tcPr>
            <w:tcW w:w="4460" w:type="dxa"/>
            <w:tcBorders>
              <w:top w:val="nil"/>
              <w:left w:val="nil"/>
              <w:bottom w:val="nil"/>
              <w:right w:val="nil"/>
            </w:tcBorders>
            <w:shd w:val="clear" w:color="auto" w:fill="auto"/>
            <w:vAlign w:val="center"/>
            <w:hideMark/>
          </w:tcPr>
          <w:p w14:paraId="40F7043B"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5F6A1C6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(0.47)</w:t>
            </w:r>
          </w:p>
        </w:tc>
        <w:tc>
          <w:tcPr>
            <w:tcW w:w="1300" w:type="dxa"/>
            <w:tcBorders>
              <w:top w:val="nil"/>
              <w:left w:val="nil"/>
              <w:bottom w:val="nil"/>
              <w:right w:val="nil"/>
            </w:tcBorders>
            <w:shd w:val="clear" w:color="auto" w:fill="auto"/>
            <w:vAlign w:val="center"/>
            <w:hideMark/>
          </w:tcPr>
          <w:p w14:paraId="04D18F5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(0.35)</w:t>
            </w:r>
          </w:p>
        </w:tc>
        <w:tc>
          <w:tcPr>
            <w:tcW w:w="1140" w:type="dxa"/>
            <w:tcBorders>
              <w:top w:val="nil"/>
              <w:left w:val="nil"/>
              <w:bottom w:val="nil"/>
              <w:right w:val="nil"/>
            </w:tcBorders>
            <w:shd w:val="clear" w:color="auto" w:fill="auto"/>
            <w:vAlign w:val="center"/>
            <w:hideMark/>
          </w:tcPr>
          <w:p w14:paraId="7675AFB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(0.92)</w:t>
            </w:r>
          </w:p>
        </w:tc>
        <w:tc>
          <w:tcPr>
            <w:tcW w:w="1140" w:type="dxa"/>
            <w:tcBorders>
              <w:top w:val="nil"/>
              <w:left w:val="nil"/>
              <w:bottom w:val="nil"/>
              <w:right w:val="nil"/>
            </w:tcBorders>
            <w:shd w:val="clear" w:color="auto" w:fill="auto"/>
            <w:vAlign w:val="center"/>
            <w:hideMark/>
          </w:tcPr>
          <w:p w14:paraId="1BE3AE0B"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(1.32)</w:t>
            </w:r>
          </w:p>
        </w:tc>
      </w:tr>
      <w:tr w:rsidR="00D91E8B" w:rsidRPr="00D91E8B" w14:paraId="540EF86D" w14:textId="77777777" w:rsidTr="00D91E8B">
        <w:trPr>
          <w:trHeight w:val="280"/>
          <w:jc w:val="center"/>
        </w:trPr>
        <w:tc>
          <w:tcPr>
            <w:tcW w:w="4460" w:type="dxa"/>
            <w:tcBorders>
              <w:top w:val="nil"/>
              <w:left w:val="nil"/>
              <w:bottom w:val="nil"/>
              <w:right w:val="nil"/>
            </w:tcBorders>
            <w:shd w:val="clear" w:color="auto" w:fill="auto"/>
            <w:vAlign w:val="center"/>
            <w:hideMark/>
          </w:tcPr>
          <w:p w14:paraId="6276C797"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King's foreign honors × Succession</w:t>
            </w:r>
          </w:p>
        </w:tc>
        <w:tc>
          <w:tcPr>
            <w:tcW w:w="1140" w:type="dxa"/>
            <w:tcBorders>
              <w:top w:val="nil"/>
              <w:left w:val="nil"/>
              <w:bottom w:val="nil"/>
              <w:right w:val="nil"/>
            </w:tcBorders>
            <w:shd w:val="clear" w:color="auto" w:fill="auto"/>
            <w:vAlign w:val="center"/>
            <w:hideMark/>
          </w:tcPr>
          <w:p w14:paraId="01D3CDA4"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-11.61</w:t>
            </w:r>
            <w:r w:rsidRPr="00D91E8B">
              <w:rPr>
                <w:rFonts w:eastAsia="Times New Roman"/>
                <w:color w:val="000000"/>
                <w:vertAlign w:val="superscript"/>
              </w:rPr>
              <w:t>***</w:t>
            </w:r>
          </w:p>
        </w:tc>
        <w:tc>
          <w:tcPr>
            <w:tcW w:w="1300" w:type="dxa"/>
            <w:tcBorders>
              <w:top w:val="nil"/>
              <w:left w:val="nil"/>
              <w:bottom w:val="nil"/>
              <w:right w:val="nil"/>
            </w:tcBorders>
            <w:shd w:val="clear" w:color="auto" w:fill="auto"/>
            <w:vAlign w:val="center"/>
            <w:hideMark/>
          </w:tcPr>
          <w:p w14:paraId="3584C1A1"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4105080B" w14:textId="77777777" w:rsidR="00D91E8B" w:rsidRPr="00D91E8B" w:rsidRDefault="00D91E8B" w:rsidP="00D91E8B">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79127492"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-11.63</w:t>
            </w:r>
            <w:r w:rsidRPr="00D91E8B">
              <w:rPr>
                <w:rFonts w:eastAsia="Times New Roman"/>
                <w:color w:val="000000"/>
                <w:vertAlign w:val="superscript"/>
              </w:rPr>
              <w:t>***</w:t>
            </w:r>
          </w:p>
        </w:tc>
      </w:tr>
      <w:tr w:rsidR="00D91E8B" w:rsidRPr="00D91E8B" w14:paraId="7FE690F6" w14:textId="77777777" w:rsidTr="00D91E8B">
        <w:trPr>
          <w:trHeight w:val="280"/>
          <w:jc w:val="center"/>
        </w:trPr>
        <w:tc>
          <w:tcPr>
            <w:tcW w:w="4460" w:type="dxa"/>
            <w:tcBorders>
              <w:top w:val="nil"/>
              <w:left w:val="nil"/>
              <w:bottom w:val="nil"/>
              <w:right w:val="nil"/>
            </w:tcBorders>
            <w:shd w:val="clear" w:color="auto" w:fill="auto"/>
            <w:vAlign w:val="center"/>
            <w:hideMark/>
          </w:tcPr>
          <w:p w14:paraId="5D5D634F"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62B7B540"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(0.57)</w:t>
            </w:r>
          </w:p>
        </w:tc>
        <w:tc>
          <w:tcPr>
            <w:tcW w:w="1300" w:type="dxa"/>
            <w:tcBorders>
              <w:top w:val="nil"/>
              <w:left w:val="nil"/>
              <w:bottom w:val="nil"/>
              <w:right w:val="nil"/>
            </w:tcBorders>
            <w:shd w:val="clear" w:color="auto" w:fill="auto"/>
            <w:vAlign w:val="center"/>
            <w:hideMark/>
          </w:tcPr>
          <w:p w14:paraId="3CB13323"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7503AC37" w14:textId="77777777" w:rsidR="00D91E8B" w:rsidRPr="00D91E8B" w:rsidRDefault="00D91E8B" w:rsidP="00D91E8B">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28F2A667"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(0.75)</w:t>
            </w:r>
          </w:p>
        </w:tc>
      </w:tr>
      <w:tr w:rsidR="00D91E8B" w:rsidRPr="00D91E8B" w14:paraId="3886E33D" w14:textId="77777777" w:rsidTr="00D91E8B">
        <w:trPr>
          <w:trHeight w:val="280"/>
          <w:jc w:val="center"/>
        </w:trPr>
        <w:tc>
          <w:tcPr>
            <w:tcW w:w="4460" w:type="dxa"/>
            <w:tcBorders>
              <w:top w:val="nil"/>
              <w:left w:val="nil"/>
              <w:bottom w:val="nil"/>
              <w:right w:val="nil"/>
            </w:tcBorders>
            <w:shd w:val="clear" w:color="auto" w:fill="auto"/>
            <w:vAlign w:val="center"/>
            <w:hideMark/>
          </w:tcPr>
          <w:p w14:paraId="4B541B83"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Prince's military influence × Succession</w:t>
            </w:r>
          </w:p>
        </w:tc>
        <w:tc>
          <w:tcPr>
            <w:tcW w:w="1140" w:type="dxa"/>
            <w:tcBorders>
              <w:top w:val="nil"/>
              <w:left w:val="nil"/>
              <w:bottom w:val="nil"/>
              <w:right w:val="nil"/>
            </w:tcBorders>
            <w:shd w:val="clear" w:color="auto" w:fill="auto"/>
            <w:vAlign w:val="center"/>
            <w:hideMark/>
          </w:tcPr>
          <w:p w14:paraId="74B04B07" w14:textId="77777777" w:rsidR="00D91E8B" w:rsidRPr="00D91E8B" w:rsidRDefault="00D91E8B" w:rsidP="00D91E8B">
            <w:pPr>
              <w:spacing w:after="0" w:line="240" w:lineRule="auto"/>
              <w:rPr>
                <w:rFonts w:eastAsia="Times New Roman"/>
                <w:color w:val="000000"/>
              </w:rPr>
            </w:pPr>
          </w:p>
        </w:tc>
        <w:tc>
          <w:tcPr>
            <w:tcW w:w="1300" w:type="dxa"/>
            <w:tcBorders>
              <w:top w:val="nil"/>
              <w:left w:val="nil"/>
              <w:bottom w:val="nil"/>
              <w:right w:val="nil"/>
            </w:tcBorders>
            <w:shd w:val="clear" w:color="auto" w:fill="auto"/>
            <w:vAlign w:val="center"/>
            <w:hideMark/>
          </w:tcPr>
          <w:p w14:paraId="2A3B2E9A"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11.99***</w:t>
            </w:r>
          </w:p>
        </w:tc>
        <w:tc>
          <w:tcPr>
            <w:tcW w:w="1140" w:type="dxa"/>
            <w:tcBorders>
              <w:top w:val="nil"/>
              <w:left w:val="nil"/>
              <w:bottom w:val="nil"/>
              <w:right w:val="nil"/>
            </w:tcBorders>
            <w:shd w:val="clear" w:color="auto" w:fill="auto"/>
            <w:vAlign w:val="center"/>
            <w:hideMark/>
          </w:tcPr>
          <w:p w14:paraId="3B778284"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72D6E11C"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0.00 </w:t>
            </w:r>
          </w:p>
        </w:tc>
      </w:tr>
      <w:tr w:rsidR="00D91E8B" w:rsidRPr="00D91E8B" w14:paraId="15A8D253" w14:textId="77777777" w:rsidTr="00D91E8B">
        <w:trPr>
          <w:trHeight w:val="280"/>
          <w:jc w:val="center"/>
        </w:trPr>
        <w:tc>
          <w:tcPr>
            <w:tcW w:w="4460" w:type="dxa"/>
            <w:tcBorders>
              <w:top w:val="nil"/>
              <w:left w:val="nil"/>
              <w:bottom w:val="nil"/>
              <w:right w:val="nil"/>
            </w:tcBorders>
            <w:shd w:val="clear" w:color="auto" w:fill="auto"/>
            <w:vAlign w:val="center"/>
            <w:hideMark/>
          </w:tcPr>
          <w:p w14:paraId="29C85C93"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06943CD6" w14:textId="77777777" w:rsidR="00D91E8B" w:rsidRPr="00D91E8B" w:rsidRDefault="00D91E8B" w:rsidP="00D91E8B">
            <w:pPr>
              <w:spacing w:after="0" w:line="240" w:lineRule="auto"/>
              <w:rPr>
                <w:rFonts w:eastAsia="Times New Roman"/>
                <w:sz w:val="20"/>
                <w:szCs w:val="20"/>
              </w:rPr>
            </w:pPr>
          </w:p>
        </w:tc>
        <w:tc>
          <w:tcPr>
            <w:tcW w:w="1300" w:type="dxa"/>
            <w:tcBorders>
              <w:top w:val="nil"/>
              <w:left w:val="nil"/>
              <w:bottom w:val="nil"/>
              <w:right w:val="nil"/>
            </w:tcBorders>
            <w:shd w:val="clear" w:color="auto" w:fill="auto"/>
            <w:vAlign w:val="center"/>
            <w:hideMark/>
          </w:tcPr>
          <w:p w14:paraId="7FEE9184"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(0.60)</w:t>
            </w:r>
          </w:p>
        </w:tc>
        <w:tc>
          <w:tcPr>
            <w:tcW w:w="1140" w:type="dxa"/>
            <w:tcBorders>
              <w:top w:val="nil"/>
              <w:left w:val="nil"/>
              <w:bottom w:val="nil"/>
              <w:right w:val="nil"/>
            </w:tcBorders>
            <w:shd w:val="clear" w:color="auto" w:fill="auto"/>
            <w:vAlign w:val="center"/>
            <w:hideMark/>
          </w:tcPr>
          <w:p w14:paraId="7E51627F" w14:textId="77777777" w:rsidR="00D91E8B" w:rsidRPr="00D91E8B" w:rsidRDefault="00D91E8B" w:rsidP="00D91E8B">
            <w:pPr>
              <w:spacing w:after="0" w:line="240" w:lineRule="auto"/>
              <w:jc w:val="center"/>
              <w:rPr>
                <w:rFonts w:eastAsia="Times New Roman"/>
                <w:color w:val="000000"/>
              </w:rPr>
            </w:pPr>
          </w:p>
        </w:tc>
        <w:tc>
          <w:tcPr>
            <w:tcW w:w="1140" w:type="dxa"/>
            <w:tcBorders>
              <w:top w:val="nil"/>
              <w:left w:val="nil"/>
              <w:bottom w:val="nil"/>
              <w:right w:val="nil"/>
            </w:tcBorders>
            <w:shd w:val="clear" w:color="auto" w:fill="auto"/>
            <w:vAlign w:val="center"/>
            <w:hideMark/>
          </w:tcPr>
          <w:p w14:paraId="133C918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(0.78)</w:t>
            </w:r>
          </w:p>
        </w:tc>
      </w:tr>
      <w:tr w:rsidR="00D91E8B" w:rsidRPr="00D91E8B" w14:paraId="0F524139" w14:textId="77777777" w:rsidTr="00D91E8B">
        <w:trPr>
          <w:trHeight w:val="280"/>
          <w:jc w:val="center"/>
        </w:trPr>
        <w:tc>
          <w:tcPr>
            <w:tcW w:w="4460" w:type="dxa"/>
            <w:tcBorders>
              <w:top w:val="nil"/>
              <w:left w:val="nil"/>
              <w:bottom w:val="nil"/>
              <w:right w:val="nil"/>
            </w:tcBorders>
            <w:shd w:val="clear" w:color="auto" w:fill="auto"/>
            <w:vAlign w:val="center"/>
            <w:hideMark/>
          </w:tcPr>
          <w:p w14:paraId="0899768C"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King-Prince differences × Succession</w:t>
            </w:r>
          </w:p>
        </w:tc>
        <w:tc>
          <w:tcPr>
            <w:tcW w:w="1140" w:type="dxa"/>
            <w:tcBorders>
              <w:top w:val="nil"/>
              <w:left w:val="nil"/>
              <w:bottom w:val="nil"/>
              <w:right w:val="nil"/>
            </w:tcBorders>
            <w:shd w:val="clear" w:color="auto" w:fill="auto"/>
            <w:vAlign w:val="center"/>
            <w:hideMark/>
          </w:tcPr>
          <w:p w14:paraId="02659BC6" w14:textId="77777777" w:rsidR="00D91E8B" w:rsidRPr="00D91E8B" w:rsidRDefault="00D91E8B" w:rsidP="00D91E8B">
            <w:pPr>
              <w:spacing w:after="0" w:line="240" w:lineRule="auto"/>
              <w:rPr>
                <w:rFonts w:eastAsia="Times New Roman"/>
                <w:color w:val="000000"/>
              </w:rPr>
            </w:pPr>
          </w:p>
        </w:tc>
        <w:tc>
          <w:tcPr>
            <w:tcW w:w="1300" w:type="dxa"/>
            <w:tcBorders>
              <w:top w:val="nil"/>
              <w:left w:val="nil"/>
              <w:bottom w:val="nil"/>
              <w:right w:val="nil"/>
            </w:tcBorders>
            <w:shd w:val="clear" w:color="auto" w:fill="auto"/>
            <w:vAlign w:val="center"/>
            <w:hideMark/>
          </w:tcPr>
          <w:p w14:paraId="0F15B647" w14:textId="77777777" w:rsidR="00D91E8B" w:rsidRPr="00D91E8B" w:rsidRDefault="00D91E8B" w:rsidP="00D91E8B">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4EFE6FE0"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3.68***</w:t>
            </w:r>
          </w:p>
        </w:tc>
        <w:tc>
          <w:tcPr>
            <w:tcW w:w="1140" w:type="dxa"/>
            <w:tcBorders>
              <w:top w:val="nil"/>
              <w:left w:val="nil"/>
              <w:bottom w:val="nil"/>
              <w:right w:val="nil"/>
            </w:tcBorders>
            <w:shd w:val="clear" w:color="auto" w:fill="auto"/>
            <w:vAlign w:val="center"/>
            <w:hideMark/>
          </w:tcPr>
          <w:p w14:paraId="1216CA0E"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3.45**</w:t>
            </w:r>
          </w:p>
        </w:tc>
      </w:tr>
      <w:tr w:rsidR="00D91E8B" w:rsidRPr="00D91E8B" w14:paraId="18AD7AC5" w14:textId="77777777" w:rsidTr="00D91E8B">
        <w:trPr>
          <w:trHeight w:val="280"/>
          <w:jc w:val="center"/>
        </w:trPr>
        <w:tc>
          <w:tcPr>
            <w:tcW w:w="4460" w:type="dxa"/>
            <w:tcBorders>
              <w:top w:val="nil"/>
              <w:left w:val="nil"/>
              <w:bottom w:val="single" w:sz="8" w:space="0" w:color="auto"/>
              <w:right w:val="nil"/>
            </w:tcBorders>
            <w:shd w:val="clear" w:color="auto" w:fill="auto"/>
            <w:vAlign w:val="center"/>
            <w:hideMark/>
          </w:tcPr>
          <w:p w14:paraId="619CDBC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 </w:t>
            </w:r>
          </w:p>
        </w:tc>
        <w:tc>
          <w:tcPr>
            <w:tcW w:w="1140" w:type="dxa"/>
            <w:tcBorders>
              <w:top w:val="nil"/>
              <w:left w:val="nil"/>
              <w:bottom w:val="single" w:sz="8" w:space="0" w:color="auto"/>
              <w:right w:val="nil"/>
            </w:tcBorders>
            <w:shd w:val="clear" w:color="auto" w:fill="auto"/>
            <w:vAlign w:val="center"/>
            <w:hideMark/>
          </w:tcPr>
          <w:p w14:paraId="59A86AB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w:t>
            </w:r>
          </w:p>
        </w:tc>
        <w:tc>
          <w:tcPr>
            <w:tcW w:w="1300" w:type="dxa"/>
            <w:tcBorders>
              <w:top w:val="nil"/>
              <w:left w:val="nil"/>
              <w:bottom w:val="single" w:sz="8" w:space="0" w:color="auto"/>
              <w:right w:val="nil"/>
            </w:tcBorders>
            <w:shd w:val="clear" w:color="auto" w:fill="auto"/>
            <w:vAlign w:val="center"/>
            <w:hideMark/>
          </w:tcPr>
          <w:p w14:paraId="2D12A6E7"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w:t>
            </w:r>
          </w:p>
        </w:tc>
        <w:tc>
          <w:tcPr>
            <w:tcW w:w="1140" w:type="dxa"/>
            <w:tcBorders>
              <w:top w:val="nil"/>
              <w:left w:val="nil"/>
              <w:bottom w:val="single" w:sz="8" w:space="0" w:color="auto"/>
              <w:right w:val="nil"/>
            </w:tcBorders>
            <w:shd w:val="clear" w:color="auto" w:fill="auto"/>
            <w:vAlign w:val="center"/>
            <w:hideMark/>
          </w:tcPr>
          <w:p w14:paraId="3F99BD24"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(1.11)</w:t>
            </w:r>
          </w:p>
        </w:tc>
        <w:tc>
          <w:tcPr>
            <w:tcW w:w="1140" w:type="dxa"/>
            <w:tcBorders>
              <w:top w:val="nil"/>
              <w:left w:val="nil"/>
              <w:bottom w:val="single" w:sz="8" w:space="0" w:color="auto"/>
              <w:right w:val="nil"/>
            </w:tcBorders>
            <w:shd w:val="clear" w:color="auto" w:fill="auto"/>
            <w:vAlign w:val="center"/>
            <w:hideMark/>
          </w:tcPr>
          <w:p w14:paraId="07F9E40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(1.17)</w:t>
            </w:r>
          </w:p>
        </w:tc>
      </w:tr>
      <w:tr w:rsidR="00D91E8B" w:rsidRPr="00D91E8B" w14:paraId="795298AE" w14:textId="77777777" w:rsidTr="00D91E8B">
        <w:trPr>
          <w:trHeight w:val="280"/>
          <w:jc w:val="center"/>
        </w:trPr>
        <w:tc>
          <w:tcPr>
            <w:tcW w:w="4460" w:type="dxa"/>
            <w:tcBorders>
              <w:top w:val="nil"/>
              <w:left w:val="nil"/>
              <w:bottom w:val="nil"/>
              <w:right w:val="nil"/>
            </w:tcBorders>
            <w:shd w:val="clear" w:color="auto" w:fill="auto"/>
            <w:vAlign w:val="center"/>
            <w:hideMark/>
          </w:tcPr>
          <w:p w14:paraId="524BA112"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Log-likelihood</w:t>
            </w:r>
          </w:p>
        </w:tc>
        <w:tc>
          <w:tcPr>
            <w:tcW w:w="1140" w:type="dxa"/>
            <w:tcBorders>
              <w:top w:val="nil"/>
              <w:left w:val="nil"/>
              <w:bottom w:val="nil"/>
              <w:right w:val="nil"/>
            </w:tcBorders>
            <w:shd w:val="clear" w:color="auto" w:fill="auto"/>
            <w:vAlign w:val="center"/>
            <w:hideMark/>
          </w:tcPr>
          <w:p w14:paraId="3A6F10A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-849.1</w:t>
            </w:r>
          </w:p>
        </w:tc>
        <w:tc>
          <w:tcPr>
            <w:tcW w:w="1300" w:type="dxa"/>
            <w:tcBorders>
              <w:top w:val="nil"/>
              <w:left w:val="nil"/>
              <w:bottom w:val="nil"/>
              <w:right w:val="nil"/>
            </w:tcBorders>
            <w:shd w:val="clear" w:color="auto" w:fill="auto"/>
            <w:vAlign w:val="center"/>
            <w:hideMark/>
          </w:tcPr>
          <w:p w14:paraId="51DE735D"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-849.28</w:t>
            </w:r>
          </w:p>
        </w:tc>
        <w:tc>
          <w:tcPr>
            <w:tcW w:w="1140" w:type="dxa"/>
            <w:tcBorders>
              <w:top w:val="nil"/>
              <w:left w:val="nil"/>
              <w:bottom w:val="nil"/>
              <w:right w:val="nil"/>
            </w:tcBorders>
            <w:shd w:val="clear" w:color="auto" w:fill="auto"/>
            <w:vAlign w:val="center"/>
            <w:hideMark/>
          </w:tcPr>
          <w:p w14:paraId="5DFCA66D"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-848.41</w:t>
            </w:r>
          </w:p>
        </w:tc>
        <w:tc>
          <w:tcPr>
            <w:tcW w:w="1140" w:type="dxa"/>
            <w:tcBorders>
              <w:top w:val="nil"/>
              <w:left w:val="nil"/>
              <w:bottom w:val="nil"/>
              <w:right w:val="nil"/>
            </w:tcBorders>
            <w:shd w:val="clear" w:color="auto" w:fill="auto"/>
            <w:vAlign w:val="center"/>
            <w:hideMark/>
          </w:tcPr>
          <w:p w14:paraId="4089962A"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-848.16</w:t>
            </w:r>
          </w:p>
        </w:tc>
      </w:tr>
      <w:tr w:rsidR="00D91E8B" w:rsidRPr="00D91E8B" w14:paraId="070F17CB" w14:textId="77777777" w:rsidTr="00D91E8B">
        <w:trPr>
          <w:trHeight w:val="280"/>
          <w:jc w:val="center"/>
        </w:trPr>
        <w:tc>
          <w:tcPr>
            <w:tcW w:w="4460" w:type="dxa"/>
            <w:tcBorders>
              <w:top w:val="nil"/>
              <w:left w:val="nil"/>
              <w:bottom w:val="nil"/>
              <w:right w:val="nil"/>
            </w:tcBorders>
            <w:shd w:val="clear" w:color="auto" w:fill="auto"/>
            <w:vAlign w:val="center"/>
            <w:hideMark/>
          </w:tcPr>
          <w:p w14:paraId="70B839BA"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χ2</w:t>
            </w:r>
          </w:p>
        </w:tc>
        <w:tc>
          <w:tcPr>
            <w:tcW w:w="1140" w:type="dxa"/>
            <w:tcBorders>
              <w:top w:val="nil"/>
              <w:left w:val="nil"/>
              <w:bottom w:val="nil"/>
              <w:right w:val="nil"/>
            </w:tcBorders>
            <w:shd w:val="clear" w:color="auto" w:fill="auto"/>
            <w:vAlign w:val="center"/>
            <w:hideMark/>
          </w:tcPr>
          <w:p w14:paraId="668B91C6"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12214.37</w:t>
            </w:r>
          </w:p>
        </w:tc>
        <w:tc>
          <w:tcPr>
            <w:tcW w:w="1300" w:type="dxa"/>
            <w:tcBorders>
              <w:top w:val="nil"/>
              <w:left w:val="nil"/>
              <w:bottom w:val="nil"/>
              <w:right w:val="nil"/>
            </w:tcBorders>
            <w:shd w:val="clear" w:color="auto" w:fill="auto"/>
            <w:vAlign w:val="center"/>
            <w:hideMark/>
          </w:tcPr>
          <w:p w14:paraId="136446DA"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9798.15</w:t>
            </w:r>
          </w:p>
        </w:tc>
        <w:tc>
          <w:tcPr>
            <w:tcW w:w="1140" w:type="dxa"/>
            <w:tcBorders>
              <w:top w:val="nil"/>
              <w:left w:val="nil"/>
              <w:bottom w:val="nil"/>
              <w:right w:val="nil"/>
            </w:tcBorders>
            <w:shd w:val="clear" w:color="auto" w:fill="auto"/>
            <w:vAlign w:val="center"/>
            <w:hideMark/>
          </w:tcPr>
          <w:p w14:paraId="08FEDE95"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415.58</w:t>
            </w:r>
          </w:p>
        </w:tc>
        <w:tc>
          <w:tcPr>
            <w:tcW w:w="1140" w:type="dxa"/>
            <w:tcBorders>
              <w:top w:val="nil"/>
              <w:left w:val="nil"/>
              <w:bottom w:val="nil"/>
              <w:right w:val="nil"/>
            </w:tcBorders>
            <w:shd w:val="clear" w:color="auto" w:fill="auto"/>
            <w:vAlign w:val="center"/>
            <w:hideMark/>
          </w:tcPr>
          <w:p w14:paraId="34ADB540"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7476.03</w:t>
            </w:r>
          </w:p>
        </w:tc>
      </w:tr>
      <w:tr w:rsidR="00D91E8B" w:rsidRPr="00D91E8B" w14:paraId="4D812647" w14:textId="77777777" w:rsidTr="00D91E8B">
        <w:trPr>
          <w:trHeight w:val="280"/>
          <w:jc w:val="center"/>
        </w:trPr>
        <w:tc>
          <w:tcPr>
            <w:tcW w:w="4460" w:type="dxa"/>
            <w:tcBorders>
              <w:top w:val="nil"/>
              <w:left w:val="nil"/>
              <w:bottom w:val="nil"/>
              <w:right w:val="nil"/>
            </w:tcBorders>
            <w:shd w:val="clear" w:color="auto" w:fill="auto"/>
            <w:vAlign w:val="center"/>
            <w:hideMark/>
          </w:tcPr>
          <w:p w14:paraId="69107B6B"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Number of Observations</w:t>
            </w:r>
          </w:p>
        </w:tc>
        <w:tc>
          <w:tcPr>
            <w:tcW w:w="1140" w:type="dxa"/>
            <w:tcBorders>
              <w:top w:val="nil"/>
              <w:left w:val="nil"/>
              <w:bottom w:val="nil"/>
              <w:right w:val="nil"/>
            </w:tcBorders>
            <w:shd w:val="clear" w:color="auto" w:fill="auto"/>
            <w:vAlign w:val="center"/>
            <w:hideMark/>
          </w:tcPr>
          <w:p w14:paraId="385BAC4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21420</w:t>
            </w:r>
          </w:p>
        </w:tc>
        <w:tc>
          <w:tcPr>
            <w:tcW w:w="1300" w:type="dxa"/>
            <w:tcBorders>
              <w:top w:val="nil"/>
              <w:left w:val="nil"/>
              <w:bottom w:val="nil"/>
              <w:right w:val="nil"/>
            </w:tcBorders>
            <w:shd w:val="clear" w:color="auto" w:fill="auto"/>
            <w:vAlign w:val="center"/>
            <w:hideMark/>
          </w:tcPr>
          <w:p w14:paraId="2FEE36E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21420</w:t>
            </w:r>
          </w:p>
        </w:tc>
        <w:tc>
          <w:tcPr>
            <w:tcW w:w="1140" w:type="dxa"/>
            <w:tcBorders>
              <w:top w:val="nil"/>
              <w:left w:val="nil"/>
              <w:bottom w:val="nil"/>
              <w:right w:val="nil"/>
            </w:tcBorders>
            <w:shd w:val="clear" w:color="auto" w:fill="auto"/>
            <w:vAlign w:val="center"/>
            <w:hideMark/>
          </w:tcPr>
          <w:p w14:paraId="60BC29F5"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21420</w:t>
            </w:r>
          </w:p>
        </w:tc>
        <w:tc>
          <w:tcPr>
            <w:tcW w:w="1140" w:type="dxa"/>
            <w:tcBorders>
              <w:top w:val="nil"/>
              <w:left w:val="nil"/>
              <w:bottom w:val="nil"/>
              <w:right w:val="nil"/>
            </w:tcBorders>
            <w:shd w:val="clear" w:color="auto" w:fill="auto"/>
            <w:vAlign w:val="center"/>
            <w:hideMark/>
          </w:tcPr>
          <w:p w14:paraId="2DA27C23"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21420</w:t>
            </w:r>
          </w:p>
        </w:tc>
      </w:tr>
      <w:tr w:rsidR="00D91E8B" w:rsidRPr="00D91E8B" w14:paraId="4E0CA78E" w14:textId="77777777" w:rsidTr="00D91E8B">
        <w:trPr>
          <w:trHeight w:val="280"/>
          <w:jc w:val="center"/>
        </w:trPr>
        <w:tc>
          <w:tcPr>
            <w:tcW w:w="4460" w:type="dxa"/>
            <w:tcBorders>
              <w:top w:val="nil"/>
              <w:left w:val="nil"/>
              <w:bottom w:val="single" w:sz="8" w:space="0" w:color="auto"/>
              <w:right w:val="nil"/>
            </w:tcBorders>
            <w:shd w:val="clear" w:color="auto" w:fill="auto"/>
            <w:vAlign w:val="center"/>
            <w:hideMark/>
          </w:tcPr>
          <w:p w14:paraId="6EA64A48" w14:textId="77777777" w:rsidR="00D91E8B" w:rsidRPr="00D91E8B" w:rsidRDefault="00D91E8B" w:rsidP="00D91E8B">
            <w:pPr>
              <w:spacing w:after="0" w:line="240" w:lineRule="auto"/>
              <w:rPr>
                <w:rFonts w:eastAsia="Times New Roman"/>
                <w:color w:val="000000"/>
              </w:rPr>
            </w:pPr>
            <w:r w:rsidRPr="00D91E8B">
              <w:rPr>
                <w:rFonts w:eastAsia="Times New Roman"/>
                <w:color w:val="000000"/>
              </w:rPr>
              <w:t>Number of Firms</w:t>
            </w:r>
          </w:p>
        </w:tc>
        <w:tc>
          <w:tcPr>
            <w:tcW w:w="1140" w:type="dxa"/>
            <w:tcBorders>
              <w:top w:val="nil"/>
              <w:left w:val="nil"/>
              <w:bottom w:val="single" w:sz="8" w:space="0" w:color="auto"/>
              <w:right w:val="nil"/>
            </w:tcBorders>
            <w:shd w:val="clear" w:color="auto" w:fill="auto"/>
            <w:vAlign w:val="center"/>
            <w:hideMark/>
          </w:tcPr>
          <w:p w14:paraId="7C7C99D9"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119 </w:t>
            </w:r>
          </w:p>
        </w:tc>
        <w:tc>
          <w:tcPr>
            <w:tcW w:w="1300" w:type="dxa"/>
            <w:tcBorders>
              <w:top w:val="nil"/>
              <w:left w:val="nil"/>
              <w:bottom w:val="single" w:sz="8" w:space="0" w:color="auto"/>
              <w:right w:val="nil"/>
            </w:tcBorders>
            <w:shd w:val="clear" w:color="auto" w:fill="auto"/>
            <w:vAlign w:val="center"/>
            <w:hideMark/>
          </w:tcPr>
          <w:p w14:paraId="53271709"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119 </w:t>
            </w:r>
          </w:p>
        </w:tc>
        <w:tc>
          <w:tcPr>
            <w:tcW w:w="1140" w:type="dxa"/>
            <w:tcBorders>
              <w:top w:val="nil"/>
              <w:left w:val="nil"/>
              <w:bottom w:val="single" w:sz="8" w:space="0" w:color="auto"/>
              <w:right w:val="nil"/>
            </w:tcBorders>
            <w:shd w:val="clear" w:color="auto" w:fill="auto"/>
            <w:vAlign w:val="center"/>
            <w:hideMark/>
          </w:tcPr>
          <w:p w14:paraId="1DABA231"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119 </w:t>
            </w:r>
          </w:p>
        </w:tc>
        <w:tc>
          <w:tcPr>
            <w:tcW w:w="1140" w:type="dxa"/>
            <w:tcBorders>
              <w:top w:val="nil"/>
              <w:left w:val="nil"/>
              <w:bottom w:val="single" w:sz="8" w:space="0" w:color="auto"/>
              <w:right w:val="nil"/>
            </w:tcBorders>
            <w:shd w:val="clear" w:color="auto" w:fill="auto"/>
            <w:vAlign w:val="center"/>
            <w:hideMark/>
          </w:tcPr>
          <w:p w14:paraId="5C79F72F" w14:textId="77777777" w:rsidR="00D91E8B" w:rsidRPr="00D91E8B" w:rsidRDefault="00D91E8B" w:rsidP="00D91E8B">
            <w:pPr>
              <w:spacing w:after="0" w:line="240" w:lineRule="auto"/>
              <w:jc w:val="center"/>
              <w:rPr>
                <w:rFonts w:eastAsia="Times New Roman"/>
                <w:color w:val="000000"/>
              </w:rPr>
            </w:pPr>
            <w:r w:rsidRPr="00D91E8B">
              <w:rPr>
                <w:rFonts w:eastAsia="Times New Roman"/>
                <w:color w:val="000000"/>
              </w:rPr>
              <w:t xml:space="preserve">119 </w:t>
            </w:r>
          </w:p>
        </w:tc>
      </w:tr>
      <w:tr w:rsidR="00D91E8B" w:rsidRPr="00D91E8B" w14:paraId="41720E73" w14:textId="77777777" w:rsidTr="00D91E8B">
        <w:trPr>
          <w:trHeight w:val="998"/>
          <w:jc w:val="center"/>
        </w:trPr>
        <w:tc>
          <w:tcPr>
            <w:tcW w:w="9180" w:type="dxa"/>
            <w:gridSpan w:val="5"/>
            <w:tcBorders>
              <w:top w:val="nil"/>
              <w:left w:val="nil"/>
              <w:bottom w:val="nil"/>
              <w:right w:val="nil"/>
            </w:tcBorders>
            <w:shd w:val="clear" w:color="auto" w:fill="auto"/>
            <w:vAlign w:val="center"/>
            <w:hideMark/>
          </w:tcPr>
          <w:p w14:paraId="5684D87D" w14:textId="77777777" w:rsidR="00D91E8B" w:rsidRPr="00D91E8B" w:rsidRDefault="00D91E8B" w:rsidP="00D91E8B">
            <w:pPr>
              <w:spacing w:after="0" w:line="240" w:lineRule="auto"/>
              <w:rPr>
                <w:rFonts w:eastAsia="Times New Roman"/>
                <w:color w:val="000000"/>
              </w:rPr>
            </w:pPr>
            <w:r w:rsidRPr="00D91E8B">
              <w:rPr>
                <w:rFonts w:eastAsia="Times New Roman"/>
                <w:i/>
                <w:iCs/>
                <w:color w:val="000000"/>
              </w:rPr>
              <w:t>Note</w:t>
            </w:r>
            <w:r w:rsidRPr="00D91E8B">
              <w:rPr>
                <w:rFonts w:eastAsia="Times New Roman"/>
                <w:color w:val="000000"/>
              </w:rPr>
              <w:t xml:space="preserve">: The dependent variable is </w:t>
            </w:r>
            <w:r w:rsidRPr="00D91E8B">
              <w:rPr>
                <w:rFonts w:eastAsia="Times New Roman"/>
                <w:i/>
                <w:iCs/>
                <w:color w:val="000000"/>
              </w:rPr>
              <w:t xml:space="preserve">entry </w:t>
            </w:r>
            <w:r w:rsidRPr="00D91E8B">
              <w:rPr>
                <w:rFonts w:eastAsia="Times New Roman"/>
                <w:color w:val="000000"/>
              </w:rPr>
              <w:t xml:space="preserve">in model (9)- (12); all models fitted with conditional logistic regressions grouped by firm (firm fixed effects); standard errors are in parentheses. + </w:t>
            </w:r>
            <w:r w:rsidRPr="00D91E8B">
              <w:rPr>
                <w:rFonts w:eastAsia="Times New Roman"/>
                <w:i/>
                <w:iCs/>
                <w:color w:val="000000"/>
              </w:rPr>
              <w:t>p</w:t>
            </w:r>
            <w:r w:rsidRPr="00D91E8B">
              <w:rPr>
                <w:rFonts w:eastAsia="Times New Roman"/>
                <w:color w:val="000000"/>
              </w:rPr>
              <w:t xml:space="preserve"> &lt; 0.1, * </w:t>
            </w:r>
            <w:r w:rsidRPr="00D91E8B">
              <w:rPr>
                <w:rFonts w:eastAsia="Times New Roman"/>
                <w:i/>
                <w:iCs/>
                <w:color w:val="000000"/>
              </w:rPr>
              <w:t>p</w:t>
            </w:r>
            <w:r w:rsidRPr="00D91E8B">
              <w:rPr>
                <w:rFonts w:eastAsia="Times New Roman"/>
                <w:color w:val="000000"/>
              </w:rPr>
              <w:t xml:space="preserve"> &lt; 0.05, ** </w:t>
            </w:r>
            <w:r w:rsidRPr="00D91E8B">
              <w:rPr>
                <w:rFonts w:eastAsia="Times New Roman"/>
                <w:i/>
                <w:iCs/>
                <w:color w:val="000000"/>
              </w:rPr>
              <w:t>p</w:t>
            </w:r>
            <w:r w:rsidRPr="00D91E8B">
              <w:rPr>
                <w:rFonts w:eastAsia="Times New Roman"/>
                <w:color w:val="000000"/>
              </w:rPr>
              <w:t xml:space="preserve"> &lt; 0.01, *** </w:t>
            </w:r>
            <w:r w:rsidRPr="00D91E8B">
              <w:rPr>
                <w:rFonts w:eastAsia="Times New Roman"/>
                <w:i/>
                <w:iCs/>
                <w:color w:val="000000"/>
              </w:rPr>
              <w:t xml:space="preserve">p </w:t>
            </w:r>
            <w:r w:rsidRPr="00D91E8B">
              <w:rPr>
                <w:rFonts w:eastAsia="Times New Roman"/>
                <w:color w:val="000000"/>
              </w:rPr>
              <w:t>&lt; 0.001</w:t>
            </w:r>
          </w:p>
        </w:tc>
      </w:tr>
    </w:tbl>
    <w:p w14:paraId="4E183730" w14:textId="77777777" w:rsidR="00D91E8B" w:rsidRDefault="00D91E8B" w:rsidP="003373BD">
      <w:pPr>
        <w:sectPr w:rsidR="00D91E8B" w:rsidSect="00D91E8B">
          <w:pgSz w:w="12240" w:h="15840" w:code="1"/>
          <w:pgMar w:top="720" w:right="720" w:bottom="720" w:left="720" w:header="720" w:footer="720" w:gutter="0"/>
          <w:cols w:space="720"/>
          <w:docGrid w:linePitch="360"/>
        </w:sectPr>
      </w:pPr>
    </w:p>
    <w:tbl>
      <w:tblPr>
        <w:tblW w:w="9020" w:type="dxa"/>
        <w:jc w:val="center"/>
        <w:tblLook w:val="04A0" w:firstRow="1" w:lastRow="0" w:firstColumn="1" w:lastColumn="0" w:noHBand="0" w:noVBand="1"/>
      </w:tblPr>
      <w:tblGrid>
        <w:gridCol w:w="4460"/>
        <w:gridCol w:w="1140"/>
        <w:gridCol w:w="1140"/>
        <w:gridCol w:w="1140"/>
        <w:gridCol w:w="1140"/>
      </w:tblGrid>
      <w:tr w:rsidR="00EE4535" w:rsidRPr="00EE4535" w14:paraId="1BB818CF" w14:textId="77777777" w:rsidTr="00EE4535">
        <w:trPr>
          <w:trHeight w:val="250"/>
          <w:jc w:val="center"/>
        </w:trPr>
        <w:tc>
          <w:tcPr>
            <w:tcW w:w="9020" w:type="dxa"/>
            <w:gridSpan w:val="5"/>
            <w:tcBorders>
              <w:top w:val="nil"/>
              <w:left w:val="nil"/>
              <w:bottom w:val="single" w:sz="8" w:space="0" w:color="auto"/>
              <w:right w:val="nil"/>
            </w:tcBorders>
            <w:shd w:val="clear" w:color="auto" w:fill="auto"/>
            <w:noWrap/>
            <w:vAlign w:val="bottom"/>
            <w:hideMark/>
          </w:tcPr>
          <w:p w14:paraId="350F0178" w14:textId="77777777" w:rsidR="00EE4535" w:rsidRPr="00EE4535" w:rsidRDefault="00EE4535" w:rsidP="00EE4535">
            <w:pPr>
              <w:spacing w:after="0" w:line="240" w:lineRule="auto"/>
              <w:rPr>
                <w:rFonts w:eastAsia="Times New Roman"/>
                <w:b/>
                <w:bCs/>
                <w:color w:val="000000"/>
                <w:sz w:val="22"/>
                <w:szCs w:val="22"/>
              </w:rPr>
            </w:pPr>
            <w:r w:rsidRPr="00EE4535">
              <w:rPr>
                <w:rFonts w:eastAsia="Times New Roman"/>
                <w:b/>
                <w:bCs/>
                <w:color w:val="000000"/>
                <w:sz w:val="22"/>
                <w:szCs w:val="22"/>
              </w:rPr>
              <w:lastRenderedPageBreak/>
              <w:t>Table 7. Additional analysis: Exit propensity of Japanese firms in succession year</w:t>
            </w:r>
          </w:p>
        </w:tc>
      </w:tr>
      <w:tr w:rsidR="00EE4535" w:rsidRPr="00EE4535" w14:paraId="62F4EE83" w14:textId="77777777" w:rsidTr="00EE4535">
        <w:trPr>
          <w:trHeight w:val="250"/>
          <w:jc w:val="center"/>
        </w:trPr>
        <w:tc>
          <w:tcPr>
            <w:tcW w:w="4460" w:type="dxa"/>
            <w:tcBorders>
              <w:top w:val="nil"/>
              <w:left w:val="nil"/>
              <w:bottom w:val="nil"/>
              <w:right w:val="nil"/>
            </w:tcBorders>
            <w:shd w:val="clear" w:color="auto" w:fill="auto"/>
            <w:vAlign w:val="center"/>
            <w:hideMark/>
          </w:tcPr>
          <w:p w14:paraId="009C8A3B" w14:textId="77777777" w:rsidR="00EE4535" w:rsidRPr="00EE4535" w:rsidRDefault="00EE4535" w:rsidP="00EE4535">
            <w:pPr>
              <w:spacing w:after="0" w:line="240" w:lineRule="auto"/>
              <w:rPr>
                <w:rFonts w:eastAsia="Times New Roman"/>
                <w:b/>
                <w:bCs/>
                <w:color w:val="000000"/>
                <w:sz w:val="22"/>
                <w:szCs w:val="22"/>
              </w:rPr>
            </w:pPr>
          </w:p>
        </w:tc>
        <w:tc>
          <w:tcPr>
            <w:tcW w:w="1140" w:type="dxa"/>
            <w:tcBorders>
              <w:top w:val="nil"/>
              <w:left w:val="nil"/>
              <w:bottom w:val="single" w:sz="8" w:space="0" w:color="auto"/>
              <w:right w:val="nil"/>
            </w:tcBorders>
            <w:shd w:val="clear" w:color="auto" w:fill="auto"/>
            <w:vAlign w:val="center"/>
            <w:hideMark/>
          </w:tcPr>
          <w:p w14:paraId="106FA26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(13)</w:t>
            </w:r>
          </w:p>
        </w:tc>
        <w:tc>
          <w:tcPr>
            <w:tcW w:w="1140" w:type="dxa"/>
            <w:tcBorders>
              <w:top w:val="nil"/>
              <w:left w:val="nil"/>
              <w:bottom w:val="single" w:sz="8" w:space="0" w:color="auto"/>
              <w:right w:val="nil"/>
            </w:tcBorders>
            <w:shd w:val="clear" w:color="auto" w:fill="auto"/>
            <w:vAlign w:val="center"/>
            <w:hideMark/>
          </w:tcPr>
          <w:p w14:paraId="25B6CA6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(14)</w:t>
            </w:r>
          </w:p>
        </w:tc>
        <w:tc>
          <w:tcPr>
            <w:tcW w:w="1140" w:type="dxa"/>
            <w:tcBorders>
              <w:top w:val="nil"/>
              <w:left w:val="nil"/>
              <w:bottom w:val="single" w:sz="8" w:space="0" w:color="auto"/>
              <w:right w:val="nil"/>
            </w:tcBorders>
            <w:shd w:val="clear" w:color="auto" w:fill="auto"/>
            <w:vAlign w:val="center"/>
            <w:hideMark/>
          </w:tcPr>
          <w:p w14:paraId="7080779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(15)</w:t>
            </w:r>
          </w:p>
        </w:tc>
        <w:tc>
          <w:tcPr>
            <w:tcW w:w="1140" w:type="dxa"/>
            <w:tcBorders>
              <w:top w:val="nil"/>
              <w:left w:val="nil"/>
              <w:bottom w:val="single" w:sz="8" w:space="0" w:color="auto"/>
              <w:right w:val="nil"/>
            </w:tcBorders>
            <w:shd w:val="clear" w:color="auto" w:fill="auto"/>
            <w:vAlign w:val="center"/>
            <w:hideMark/>
          </w:tcPr>
          <w:p w14:paraId="0B7A03EA"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(16)</w:t>
            </w:r>
          </w:p>
        </w:tc>
      </w:tr>
      <w:tr w:rsidR="00EE4535" w:rsidRPr="00EE4535" w14:paraId="3E13DE96" w14:textId="77777777" w:rsidTr="00EE4535">
        <w:trPr>
          <w:trHeight w:val="250"/>
          <w:jc w:val="center"/>
        </w:trPr>
        <w:tc>
          <w:tcPr>
            <w:tcW w:w="4460" w:type="dxa"/>
            <w:tcBorders>
              <w:top w:val="nil"/>
              <w:left w:val="nil"/>
              <w:bottom w:val="nil"/>
              <w:right w:val="nil"/>
            </w:tcBorders>
            <w:shd w:val="clear" w:color="auto" w:fill="auto"/>
            <w:vAlign w:val="center"/>
            <w:hideMark/>
          </w:tcPr>
          <w:p w14:paraId="696F14DE" w14:textId="77777777" w:rsidR="00EE4535" w:rsidRPr="00EE4535" w:rsidRDefault="00EE4535" w:rsidP="00EE4535">
            <w:pPr>
              <w:spacing w:after="0" w:line="240" w:lineRule="auto"/>
              <w:rPr>
                <w:rFonts w:eastAsia="Times New Roman"/>
                <w:b/>
                <w:bCs/>
                <w:color w:val="000000"/>
                <w:sz w:val="22"/>
                <w:szCs w:val="22"/>
              </w:rPr>
            </w:pPr>
            <w:r w:rsidRPr="00EE4535">
              <w:rPr>
                <w:rFonts w:eastAsia="Times New Roman"/>
                <w:b/>
                <w:bCs/>
                <w:color w:val="000000"/>
                <w:sz w:val="22"/>
                <w:szCs w:val="22"/>
              </w:rPr>
              <w:t xml:space="preserve">Host Country Attributes </w:t>
            </w:r>
          </w:p>
        </w:tc>
        <w:tc>
          <w:tcPr>
            <w:tcW w:w="1140" w:type="dxa"/>
            <w:tcBorders>
              <w:top w:val="nil"/>
              <w:left w:val="nil"/>
              <w:bottom w:val="nil"/>
              <w:right w:val="nil"/>
            </w:tcBorders>
            <w:shd w:val="clear" w:color="auto" w:fill="auto"/>
            <w:vAlign w:val="center"/>
            <w:hideMark/>
          </w:tcPr>
          <w:p w14:paraId="65807D76" w14:textId="77777777" w:rsidR="00EE4535" w:rsidRPr="00EE4535" w:rsidRDefault="00EE4535" w:rsidP="00EE4535">
            <w:pPr>
              <w:spacing w:after="0" w:line="240" w:lineRule="auto"/>
              <w:rPr>
                <w:rFonts w:eastAsia="Times New Roman"/>
                <w:b/>
                <w:bCs/>
                <w:color w:val="000000"/>
                <w:sz w:val="22"/>
                <w:szCs w:val="22"/>
              </w:rPr>
            </w:pPr>
          </w:p>
        </w:tc>
        <w:tc>
          <w:tcPr>
            <w:tcW w:w="1140" w:type="dxa"/>
            <w:tcBorders>
              <w:top w:val="nil"/>
              <w:left w:val="nil"/>
              <w:bottom w:val="nil"/>
              <w:right w:val="nil"/>
            </w:tcBorders>
            <w:shd w:val="clear" w:color="auto" w:fill="auto"/>
            <w:vAlign w:val="center"/>
            <w:hideMark/>
          </w:tcPr>
          <w:p w14:paraId="0D59F887"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4FA012A8"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noWrap/>
            <w:vAlign w:val="bottom"/>
            <w:hideMark/>
          </w:tcPr>
          <w:p w14:paraId="4AF8990A" w14:textId="77777777" w:rsidR="00EE4535" w:rsidRPr="00EE4535" w:rsidRDefault="00EE4535" w:rsidP="00EE4535">
            <w:pPr>
              <w:spacing w:after="0" w:line="240" w:lineRule="auto"/>
              <w:jc w:val="center"/>
              <w:rPr>
                <w:rFonts w:eastAsia="Times New Roman"/>
                <w:sz w:val="20"/>
                <w:szCs w:val="20"/>
              </w:rPr>
            </w:pPr>
          </w:p>
        </w:tc>
      </w:tr>
      <w:tr w:rsidR="00EE4535" w:rsidRPr="00EE4535" w14:paraId="51358151" w14:textId="77777777" w:rsidTr="00EE4535">
        <w:trPr>
          <w:trHeight w:val="250"/>
          <w:jc w:val="center"/>
        </w:trPr>
        <w:tc>
          <w:tcPr>
            <w:tcW w:w="4460" w:type="dxa"/>
            <w:tcBorders>
              <w:top w:val="nil"/>
              <w:left w:val="nil"/>
              <w:bottom w:val="nil"/>
              <w:right w:val="nil"/>
            </w:tcBorders>
            <w:shd w:val="clear" w:color="auto" w:fill="auto"/>
            <w:vAlign w:val="center"/>
            <w:hideMark/>
          </w:tcPr>
          <w:p w14:paraId="1B4F050C"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 xml:space="preserve">Institutional development </w:t>
            </w:r>
          </w:p>
        </w:tc>
        <w:tc>
          <w:tcPr>
            <w:tcW w:w="1140" w:type="dxa"/>
            <w:tcBorders>
              <w:top w:val="nil"/>
              <w:left w:val="nil"/>
              <w:bottom w:val="nil"/>
              <w:right w:val="nil"/>
            </w:tcBorders>
            <w:shd w:val="clear" w:color="auto" w:fill="auto"/>
            <w:vAlign w:val="center"/>
            <w:hideMark/>
          </w:tcPr>
          <w:p w14:paraId="41816E0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-1.20</w:t>
            </w:r>
          </w:p>
        </w:tc>
        <w:tc>
          <w:tcPr>
            <w:tcW w:w="1140" w:type="dxa"/>
            <w:tcBorders>
              <w:top w:val="nil"/>
              <w:left w:val="nil"/>
              <w:bottom w:val="nil"/>
              <w:right w:val="nil"/>
            </w:tcBorders>
            <w:shd w:val="clear" w:color="auto" w:fill="auto"/>
            <w:vAlign w:val="center"/>
            <w:hideMark/>
          </w:tcPr>
          <w:p w14:paraId="1D6800F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-1.14</w:t>
            </w:r>
          </w:p>
        </w:tc>
        <w:tc>
          <w:tcPr>
            <w:tcW w:w="1140" w:type="dxa"/>
            <w:tcBorders>
              <w:top w:val="nil"/>
              <w:left w:val="nil"/>
              <w:bottom w:val="nil"/>
              <w:right w:val="nil"/>
            </w:tcBorders>
            <w:shd w:val="clear" w:color="auto" w:fill="auto"/>
            <w:vAlign w:val="center"/>
            <w:hideMark/>
          </w:tcPr>
          <w:p w14:paraId="39FA5442"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-1.32</w:t>
            </w:r>
          </w:p>
        </w:tc>
        <w:tc>
          <w:tcPr>
            <w:tcW w:w="1140" w:type="dxa"/>
            <w:tcBorders>
              <w:top w:val="nil"/>
              <w:left w:val="nil"/>
              <w:bottom w:val="nil"/>
              <w:right w:val="nil"/>
            </w:tcBorders>
            <w:shd w:val="clear" w:color="auto" w:fill="auto"/>
            <w:noWrap/>
            <w:vAlign w:val="bottom"/>
            <w:hideMark/>
          </w:tcPr>
          <w:p w14:paraId="537F2ED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-1.52</w:t>
            </w:r>
          </w:p>
        </w:tc>
      </w:tr>
      <w:tr w:rsidR="00EE4535" w:rsidRPr="00EE4535" w14:paraId="2BB22D02" w14:textId="77777777" w:rsidTr="00EE4535">
        <w:trPr>
          <w:trHeight w:val="250"/>
          <w:jc w:val="center"/>
        </w:trPr>
        <w:tc>
          <w:tcPr>
            <w:tcW w:w="4460" w:type="dxa"/>
            <w:tcBorders>
              <w:top w:val="nil"/>
              <w:left w:val="nil"/>
              <w:bottom w:val="nil"/>
              <w:right w:val="nil"/>
            </w:tcBorders>
            <w:shd w:val="clear" w:color="auto" w:fill="auto"/>
            <w:vAlign w:val="center"/>
            <w:hideMark/>
          </w:tcPr>
          <w:p w14:paraId="0CAEE0A3"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2BEC8962"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(2.25)</w:t>
            </w:r>
          </w:p>
        </w:tc>
        <w:tc>
          <w:tcPr>
            <w:tcW w:w="1140" w:type="dxa"/>
            <w:tcBorders>
              <w:top w:val="nil"/>
              <w:left w:val="nil"/>
              <w:bottom w:val="nil"/>
              <w:right w:val="nil"/>
            </w:tcBorders>
            <w:shd w:val="clear" w:color="auto" w:fill="auto"/>
            <w:vAlign w:val="center"/>
            <w:hideMark/>
          </w:tcPr>
          <w:p w14:paraId="2C5F48F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(2.17)</w:t>
            </w:r>
          </w:p>
        </w:tc>
        <w:tc>
          <w:tcPr>
            <w:tcW w:w="1140" w:type="dxa"/>
            <w:tcBorders>
              <w:top w:val="nil"/>
              <w:left w:val="nil"/>
              <w:bottom w:val="nil"/>
              <w:right w:val="nil"/>
            </w:tcBorders>
            <w:shd w:val="clear" w:color="auto" w:fill="auto"/>
            <w:vAlign w:val="center"/>
            <w:hideMark/>
          </w:tcPr>
          <w:p w14:paraId="5E7F402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(2.19)</w:t>
            </w:r>
          </w:p>
        </w:tc>
        <w:tc>
          <w:tcPr>
            <w:tcW w:w="1140" w:type="dxa"/>
            <w:tcBorders>
              <w:top w:val="nil"/>
              <w:left w:val="nil"/>
              <w:bottom w:val="nil"/>
              <w:right w:val="nil"/>
            </w:tcBorders>
            <w:shd w:val="clear" w:color="auto" w:fill="auto"/>
            <w:noWrap/>
            <w:vAlign w:val="bottom"/>
            <w:hideMark/>
          </w:tcPr>
          <w:p w14:paraId="52CD5E9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(2.16)</w:t>
            </w:r>
          </w:p>
        </w:tc>
      </w:tr>
      <w:tr w:rsidR="00EE4535" w:rsidRPr="00EE4535" w14:paraId="1574BB5A" w14:textId="77777777" w:rsidTr="00EE4535">
        <w:trPr>
          <w:trHeight w:val="250"/>
          <w:jc w:val="center"/>
        </w:trPr>
        <w:tc>
          <w:tcPr>
            <w:tcW w:w="4460" w:type="dxa"/>
            <w:tcBorders>
              <w:top w:val="nil"/>
              <w:left w:val="nil"/>
              <w:bottom w:val="nil"/>
              <w:right w:val="nil"/>
            </w:tcBorders>
            <w:shd w:val="clear" w:color="auto" w:fill="auto"/>
            <w:vAlign w:val="center"/>
            <w:hideMark/>
          </w:tcPr>
          <w:p w14:paraId="6D756603"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GDP</w:t>
            </w:r>
          </w:p>
        </w:tc>
        <w:tc>
          <w:tcPr>
            <w:tcW w:w="1140" w:type="dxa"/>
            <w:tcBorders>
              <w:top w:val="nil"/>
              <w:left w:val="nil"/>
              <w:bottom w:val="nil"/>
              <w:right w:val="nil"/>
            </w:tcBorders>
            <w:shd w:val="clear" w:color="auto" w:fill="auto"/>
            <w:vAlign w:val="center"/>
            <w:hideMark/>
          </w:tcPr>
          <w:p w14:paraId="4BD77B73"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0.10***</w:t>
            </w:r>
          </w:p>
        </w:tc>
        <w:tc>
          <w:tcPr>
            <w:tcW w:w="1140" w:type="dxa"/>
            <w:tcBorders>
              <w:top w:val="nil"/>
              <w:left w:val="nil"/>
              <w:bottom w:val="nil"/>
              <w:right w:val="nil"/>
            </w:tcBorders>
            <w:shd w:val="clear" w:color="auto" w:fill="auto"/>
            <w:vAlign w:val="center"/>
            <w:hideMark/>
          </w:tcPr>
          <w:p w14:paraId="24A7B61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0.09***</w:t>
            </w:r>
          </w:p>
        </w:tc>
        <w:tc>
          <w:tcPr>
            <w:tcW w:w="1140" w:type="dxa"/>
            <w:tcBorders>
              <w:top w:val="nil"/>
              <w:left w:val="nil"/>
              <w:bottom w:val="nil"/>
              <w:right w:val="nil"/>
            </w:tcBorders>
            <w:shd w:val="clear" w:color="auto" w:fill="auto"/>
            <w:vAlign w:val="center"/>
            <w:hideMark/>
          </w:tcPr>
          <w:p w14:paraId="51010C2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0.10***</w:t>
            </w:r>
          </w:p>
        </w:tc>
        <w:tc>
          <w:tcPr>
            <w:tcW w:w="1140" w:type="dxa"/>
            <w:tcBorders>
              <w:top w:val="nil"/>
              <w:left w:val="nil"/>
              <w:bottom w:val="nil"/>
              <w:right w:val="nil"/>
            </w:tcBorders>
            <w:shd w:val="clear" w:color="auto" w:fill="auto"/>
            <w:noWrap/>
            <w:vAlign w:val="bottom"/>
            <w:hideMark/>
          </w:tcPr>
          <w:p w14:paraId="303C542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0.09***</w:t>
            </w:r>
          </w:p>
        </w:tc>
      </w:tr>
      <w:tr w:rsidR="00EE4535" w:rsidRPr="00EE4535" w14:paraId="1B803199" w14:textId="77777777" w:rsidTr="00EE4535">
        <w:trPr>
          <w:trHeight w:val="250"/>
          <w:jc w:val="center"/>
        </w:trPr>
        <w:tc>
          <w:tcPr>
            <w:tcW w:w="4460" w:type="dxa"/>
            <w:tcBorders>
              <w:top w:val="nil"/>
              <w:left w:val="nil"/>
              <w:bottom w:val="nil"/>
              <w:right w:val="nil"/>
            </w:tcBorders>
            <w:shd w:val="clear" w:color="auto" w:fill="auto"/>
            <w:vAlign w:val="center"/>
            <w:hideMark/>
          </w:tcPr>
          <w:p w14:paraId="3A44301B"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64F64F6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(0.02)</w:t>
            </w:r>
          </w:p>
        </w:tc>
        <w:tc>
          <w:tcPr>
            <w:tcW w:w="1140" w:type="dxa"/>
            <w:tcBorders>
              <w:top w:val="nil"/>
              <w:left w:val="nil"/>
              <w:bottom w:val="nil"/>
              <w:right w:val="nil"/>
            </w:tcBorders>
            <w:shd w:val="clear" w:color="auto" w:fill="auto"/>
            <w:vAlign w:val="center"/>
            <w:hideMark/>
          </w:tcPr>
          <w:p w14:paraId="5851FDB6"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(0.02)</w:t>
            </w:r>
          </w:p>
        </w:tc>
        <w:tc>
          <w:tcPr>
            <w:tcW w:w="1140" w:type="dxa"/>
            <w:tcBorders>
              <w:top w:val="nil"/>
              <w:left w:val="nil"/>
              <w:bottom w:val="nil"/>
              <w:right w:val="nil"/>
            </w:tcBorders>
            <w:shd w:val="clear" w:color="auto" w:fill="auto"/>
            <w:vAlign w:val="center"/>
            <w:hideMark/>
          </w:tcPr>
          <w:p w14:paraId="5C7F054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(0.02)</w:t>
            </w:r>
          </w:p>
        </w:tc>
        <w:tc>
          <w:tcPr>
            <w:tcW w:w="1140" w:type="dxa"/>
            <w:tcBorders>
              <w:top w:val="nil"/>
              <w:left w:val="nil"/>
              <w:bottom w:val="nil"/>
              <w:right w:val="nil"/>
            </w:tcBorders>
            <w:shd w:val="clear" w:color="auto" w:fill="auto"/>
            <w:noWrap/>
            <w:vAlign w:val="bottom"/>
            <w:hideMark/>
          </w:tcPr>
          <w:p w14:paraId="0FFA970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(0.02)</w:t>
            </w:r>
          </w:p>
        </w:tc>
      </w:tr>
      <w:tr w:rsidR="00EE4535" w:rsidRPr="00EE4535" w14:paraId="67E32269" w14:textId="77777777" w:rsidTr="00EE4535">
        <w:trPr>
          <w:trHeight w:val="250"/>
          <w:jc w:val="center"/>
        </w:trPr>
        <w:tc>
          <w:tcPr>
            <w:tcW w:w="4460" w:type="dxa"/>
            <w:tcBorders>
              <w:top w:val="nil"/>
              <w:left w:val="nil"/>
              <w:bottom w:val="nil"/>
              <w:right w:val="nil"/>
            </w:tcBorders>
            <w:shd w:val="clear" w:color="auto" w:fill="auto"/>
            <w:vAlign w:val="center"/>
            <w:hideMark/>
          </w:tcPr>
          <w:p w14:paraId="1FFB7674"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GDP growth</w:t>
            </w:r>
          </w:p>
        </w:tc>
        <w:tc>
          <w:tcPr>
            <w:tcW w:w="1140" w:type="dxa"/>
            <w:tcBorders>
              <w:top w:val="nil"/>
              <w:left w:val="nil"/>
              <w:bottom w:val="nil"/>
              <w:right w:val="nil"/>
            </w:tcBorders>
            <w:shd w:val="clear" w:color="auto" w:fill="auto"/>
            <w:vAlign w:val="center"/>
            <w:hideMark/>
          </w:tcPr>
          <w:p w14:paraId="0CFBF8A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-0.18*</w:t>
            </w:r>
          </w:p>
        </w:tc>
        <w:tc>
          <w:tcPr>
            <w:tcW w:w="1140" w:type="dxa"/>
            <w:tcBorders>
              <w:top w:val="nil"/>
              <w:left w:val="nil"/>
              <w:bottom w:val="nil"/>
              <w:right w:val="nil"/>
            </w:tcBorders>
            <w:shd w:val="clear" w:color="auto" w:fill="auto"/>
            <w:vAlign w:val="center"/>
            <w:hideMark/>
          </w:tcPr>
          <w:p w14:paraId="397E5D68"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-0.15+</w:t>
            </w:r>
          </w:p>
        </w:tc>
        <w:tc>
          <w:tcPr>
            <w:tcW w:w="1140" w:type="dxa"/>
            <w:tcBorders>
              <w:top w:val="nil"/>
              <w:left w:val="nil"/>
              <w:bottom w:val="nil"/>
              <w:right w:val="nil"/>
            </w:tcBorders>
            <w:shd w:val="clear" w:color="auto" w:fill="auto"/>
            <w:vAlign w:val="center"/>
            <w:hideMark/>
          </w:tcPr>
          <w:p w14:paraId="3FD2309A"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-0.17*</w:t>
            </w:r>
          </w:p>
        </w:tc>
        <w:tc>
          <w:tcPr>
            <w:tcW w:w="1140" w:type="dxa"/>
            <w:tcBorders>
              <w:top w:val="nil"/>
              <w:left w:val="nil"/>
              <w:bottom w:val="nil"/>
              <w:right w:val="nil"/>
            </w:tcBorders>
            <w:shd w:val="clear" w:color="auto" w:fill="auto"/>
            <w:noWrap/>
            <w:vAlign w:val="bottom"/>
            <w:hideMark/>
          </w:tcPr>
          <w:p w14:paraId="7D9F6B4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-0.16+</w:t>
            </w:r>
          </w:p>
        </w:tc>
      </w:tr>
      <w:tr w:rsidR="00EE4535" w:rsidRPr="00EE4535" w14:paraId="434601DE" w14:textId="77777777" w:rsidTr="00EE4535">
        <w:trPr>
          <w:trHeight w:val="250"/>
          <w:jc w:val="center"/>
        </w:trPr>
        <w:tc>
          <w:tcPr>
            <w:tcW w:w="4460" w:type="dxa"/>
            <w:tcBorders>
              <w:top w:val="nil"/>
              <w:left w:val="nil"/>
              <w:bottom w:val="nil"/>
              <w:right w:val="nil"/>
            </w:tcBorders>
            <w:shd w:val="clear" w:color="auto" w:fill="auto"/>
            <w:vAlign w:val="center"/>
            <w:hideMark/>
          </w:tcPr>
          <w:p w14:paraId="0FAC092A"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55E83CC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(0.09)</w:t>
            </w:r>
          </w:p>
        </w:tc>
        <w:tc>
          <w:tcPr>
            <w:tcW w:w="1140" w:type="dxa"/>
            <w:tcBorders>
              <w:top w:val="nil"/>
              <w:left w:val="nil"/>
              <w:bottom w:val="nil"/>
              <w:right w:val="nil"/>
            </w:tcBorders>
            <w:shd w:val="clear" w:color="auto" w:fill="auto"/>
            <w:vAlign w:val="center"/>
            <w:hideMark/>
          </w:tcPr>
          <w:p w14:paraId="497000F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(0.08)</w:t>
            </w:r>
          </w:p>
        </w:tc>
        <w:tc>
          <w:tcPr>
            <w:tcW w:w="1140" w:type="dxa"/>
            <w:tcBorders>
              <w:top w:val="nil"/>
              <w:left w:val="nil"/>
              <w:bottom w:val="nil"/>
              <w:right w:val="nil"/>
            </w:tcBorders>
            <w:shd w:val="clear" w:color="auto" w:fill="auto"/>
            <w:vAlign w:val="center"/>
            <w:hideMark/>
          </w:tcPr>
          <w:p w14:paraId="68E30FA6"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(0.08)</w:t>
            </w:r>
          </w:p>
        </w:tc>
        <w:tc>
          <w:tcPr>
            <w:tcW w:w="1140" w:type="dxa"/>
            <w:tcBorders>
              <w:top w:val="nil"/>
              <w:left w:val="nil"/>
              <w:bottom w:val="nil"/>
              <w:right w:val="nil"/>
            </w:tcBorders>
            <w:shd w:val="clear" w:color="auto" w:fill="auto"/>
            <w:noWrap/>
            <w:vAlign w:val="bottom"/>
            <w:hideMark/>
          </w:tcPr>
          <w:p w14:paraId="69DC4B6A"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(0.09)</w:t>
            </w:r>
          </w:p>
        </w:tc>
      </w:tr>
      <w:tr w:rsidR="00EE4535" w:rsidRPr="00EE4535" w14:paraId="6F2B315F" w14:textId="77777777" w:rsidTr="00EE4535">
        <w:trPr>
          <w:trHeight w:val="250"/>
          <w:jc w:val="center"/>
        </w:trPr>
        <w:tc>
          <w:tcPr>
            <w:tcW w:w="4460" w:type="dxa"/>
            <w:tcBorders>
              <w:top w:val="nil"/>
              <w:left w:val="nil"/>
              <w:bottom w:val="nil"/>
              <w:right w:val="nil"/>
            </w:tcBorders>
            <w:shd w:val="clear" w:color="auto" w:fill="auto"/>
            <w:vAlign w:val="center"/>
            <w:hideMark/>
          </w:tcPr>
          <w:p w14:paraId="6FC26BC0"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FDI levels</w:t>
            </w:r>
          </w:p>
        </w:tc>
        <w:tc>
          <w:tcPr>
            <w:tcW w:w="1140" w:type="dxa"/>
            <w:tcBorders>
              <w:top w:val="nil"/>
              <w:left w:val="nil"/>
              <w:bottom w:val="nil"/>
              <w:right w:val="nil"/>
            </w:tcBorders>
            <w:shd w:val="clear" w:color="auto" w:fill="auto"/>
            <w:vAlign w:val="center"/>
            <w:hideMark/>
          </w:tcPr>
          <w:p w14:paraId="10AC973E"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0.00***</w:t>
            </w:r>
          </w:p>
        </w:tc>
        <w:tc>
          <w:tcPr>
            <w:tcW w:w="1140" w:type="dxa"/>
            <w:tcBorders>
              <w:top w:val="nil"/>
              <w:left w:val="nil"/>
              <w:bottom w:val="nil"/>
              <w:right w:val="nil"/>
            </w:tcBorders>
            <w:shd w:val="clear" w:color="auto" w:fill="auto"/>
            <w:vAlign w:val="center"/>
            <w:hideMark/>
          </w:tcPr>
          <w:p w14:paraId="4832EDF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0.00**</w:t>
            </w:r>
          </w:p>
        </w:tc>
        <w:tc>
          <w:tcPr>
            <w:tcW w:w="1140" w:type="dxa"/>
            <w:tcBorders>
              <w:top w:val="nil"/>
              <w:left w:val="nil"/>
              <w:bottom w:val="nil"/>
              <w:right w:val="nil"/>
            </w:tcBorders>
            <w:shd w:val="clear" w:color="auto" w:fill="auto"/>
            <w:vAlign w:val="center"/>
            <w:hideMark/>
          </w:tcPr>
          <w:p w14:paraId="64E0827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0.00**</w:t>
            </w:r>
          </w:p>
        </w:tc>
        <w:tc>
          <w:tcPr>
            <w:tcW w:w="1140" w:type="dxa"/>
            <w:tcBorders>
              <w:top w:val="nil"/>
              <w:left w:val="nil"/>
              <w:bottom w:val="nil"/>
              <w:right w:val="nil"/>
            </w:tcBorders>
            <w:shd w:val="clear" w:color="auto" w:fill="auto"/>
            <w:noWrap/>
            <w:vAlign w:val="bottom"/>
            <w:hideMark/>
          </w:tcPr>
          <w:p w14:paraId="13F9BF43"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0.00**</w:t>
            </w:r>
          </w:p>
        </w:tc>
      </w:tr>
      <w:tr w:rsidR="00EE4535" w:rsidRPr="00EE4535" w14:paraId="71D2C628" w14:textId="77777777" w:rsidTr="00EE4535">
        <w:trPr>
          <w:trHeight w:val="250"/>
          <w:jc w:val="center"/>
        </w:trPr>
        <w:tc>
          <w:tcPr>
            <w:tcW w:w="4460" w:type="dxa"/>
            <w:tcBorders>
              <w:top w:val="nil"/>
              <w:left w:val="nil"/>
              <w:bottom w:val="nil"/>
              <w:right w:val="nil"/>
            </w:tcBorders>
            <w:shd w:val="clear" w:color="auto" w:fill="auto"/>
            <w:vAlign w:val="center"/>
            <w:hideMark/>
          </w:tcPr>
          <w:p w14:paraId="67120704"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39A407E2"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(0.00)</w:t>
            </w:r>
          </w:p>
        </w:tc>
        <w:tc>
          <w:tcPr>
            <w:tcW w:w="1140" w:type="dxa"/>
            <w:tcBorders>
              <w:top w:val="nil"/>
              <w:left w:val="nil"/>
              <w:bottom w:val="nil"/>
              <w:right w:val="nil"/>
            </w:tcBorders>
            <w:shd w:val="clear" w:color="auto" w:fill="auto"/>
            <w:vAlign w:val="center"/>
            <w:hideMark/>
          </w:tcPr>
          <w:p w14:paraId="64CF445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(0.00)</w:t>
            </w:r>
          </w:p>
        </w:tc>
        <w:tc>
          <w:tcPr>
            <w:tcW w:w="1140" w:type="dxa"/>
            <w:tcBorders>
              <w:top w:val="nil"/>
              <w:left w:val="nil"/>
              <w:bottom w:val="nil"/>
              <w:right w:val="nil"/>
            </w:tcBorders>
            <w:shd w:val="clear" w:color="auto" w:fill="auto"/>
            <w:vAlign w:val="center"/>
            <w:hideMark/>
          </w:tcPr>
          <w:p w14:paraId="7E7E86C3"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(0.00)</w:t>
            </w:r>
          </w:p>
        </w:tc>
        <w:tc>
          <w:tcPr>
            <w:tcW w:w="1140" w:type="dxa"/>
            <w:tcBorders>
              <w:top w:val="nil"/>
              <w:left w:val="nil"/>
              <w:bottom w:val="nil"/>
              <w:right w:val="nil"/>
            </w:tcBorders>
            <w:shd w:val="clear" w:color="auto" w:fill="auto"/>
            <w:noWrap/>
            <w:vAlign w:val="bottom"/>
            <w:hideMark/>
          </w:tcPr>
          <w:p w14:paraId="5704E50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(0.00)</w:t>
            </w:r>
          </w:p>
        </w:tc>
      </w:tr>
      <w:tr w:rsidR="00EE4535" w:rsidRPr="00EE4535" w14:paraId="484ACBE7" w14:textId="77777777" w:rsidTr="00EE4535">
        <w:trPr>
          <w:trHeight w:val="250"/>
          <w:jc w:val="center"/>
        </w:trPr>
        <w:tc>
          <w:tcPr>
            <w:tcW w:w="4460" w:type="dxa"/>
            <w:tcBorders>
              <w:top w:val="nil"/>
              <w:left w:val="nil"/>
              <w:bottom w:val="nil"/>
              <w:right w:val="nil"/>
            </w:tcBorders>
            <w:shd w:val="clear" w:color="auto" w:fill="auto"/>
            <w:vAlign w:val="center"/>
            <w:hideMark/>
          </w:tcPr>
          <w:p w14:paraId="3E08E877"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Natural resources</w:t>
            </w:r>
          </w:p>
        </w:tc>
        <w:tc>
          <w:tcPr>
            <w:tcW w:w="1140" w:type="dxa"/>
            <w:tcBorders>
              <w:top w:val="nil"/>
              <w:left w:val="nil"/>
              <w:bottom w:val="nil"/>
              <w:right w:val="nil"/>
            </w:tcBorders>
            <w:shd w:val="clear" w:color="auto" w:fill="auto"/>
            <w:vAlign w:val="center"/>
            <w:hideMark/>
          </w:tcPr>
          <w:p w14:paraId="76CAE17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-0.40***</w:t>
            </w:r>
          </w:p>
        </w:tc>
        <w:tc>
          <w:tcPr>
            <w:tcW w:w="1140" w:type="dxa"/>
            <w:tcBorders>
              <w:top w:val="nil"/>
              <w:left w:val="nil"/>
              <w:bottom w:val="nil"/>
              <w:right w:val="nil"/>
            </w:tcBorders>
            <w:shd w:val="clear" w:color="auto" w:fill="auto"/>
            <w:vAlign w:val="center"/>
            <w:hideMark/>
          </w:tcPr>
          <w:p w14:paraId="6039647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-0.35***</w:t>
            </w:r>
          </w:p>
        </w:tc>
        <w:tc>
          <w:tcPr>
            <w:tcW w:w="1140" w:type="dxa"/>
            <w:tcBorders>
              <w:top w:val="nil"/>
              <w:left w:val="nil"/>
              <w:bottom w:val="nil"/>
              <w:right w:val="nil"/>
            </w:tcBorders>
            <w:shd w:val="clear" w:color="auto" w:fill="auto"/>
            <w:vAlign w:val="center"/>
            <w:hideMark/>
          </w:tcPr>
          <w:p w14:paraId="14CFB3A6"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-0.34***</w:t>
            </w:r>
          </w:p>
        </w:tc>
        <w:tc>
          <w:tcPr>
            <w:tcW w:w="1140" w:type="dxa"/>
            <w:tcBorders>
              <w:top w:val="nil"/>
              <w:left w:val="nil"/>
              <w:bottom w:val="nil"/>
              <w:right w:val="nil"/>
            </w:tcBorders>
            <w:shd w:val="clear" w:color="auto" w:fill="auto"/>
            <w:noWrap/>
            <w:vAlign w:val="bottom"/>
            <w:hideMark/>
          </w:tcPr>
          <w:p w14:paraId="7F2BA44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-0.39***</w:t>
            </w:r>
          </w:p>
        </w:tc>
      </w:tr>
      <w:tr w:rsidR="00EE4535" w:rsidRPr="00EE4535" w14:paraId="1CBB0DD9" w14:textId="77777777" w:rsidTr="00EE4535">
        <w:trPr>
          <w:trHeight w:val="250"/>
          <w:jc w:val="center"/>
        </w:trPr>
        <w:tc>
          <w:tcPr>
            <w:tcW w:w="4460" w:type="dxa"/>
            <w:tcBorders>
              <w:top w:val="nil"/>
              <w:left w:val="nil"/>
              <w:bottom w:val="nil"/>
              <w:right w:val="nil"/>
            </w:tcBorders>
            <w:shd w:val="clear" w:color="auto" w:fill="auto"/>
            <w:vAlign w:val="center"/>
            <w:hideMark/>
          </w:tcPr>
          <w:p w14:paraId="787D4417"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78AA2B20"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(0.08)</w:t>
            </w:r>
          </w:p>
        </w:tc>
        <w:tc>
          <w:tcPr>
            <w:tcW w:w="1140" w:type="dxa"/>
            <w:tcBorders>
              <w:top w:val="nil"/>
              <w:left w:val="nil"/>
              <w:bottom w:val="nil"/>
              <w:right w:val="nil"/>
            </w:tcBorders>
            <w:shd w:val="clear" w:color="auto" w:fill="auto"/>
            <w:vAlign w:val="center"/>
            <w:hideMark/>
          </w:tcPr>
          <w:p w14:paraId="334565B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(0.07)</w:t>
            </w:r>
          </w:p>
        </w:tc>
        <w:tc>
          <w:tcPr>
            <w:tcW w:w="1140" w:type="dxa"/>
            <w:tcBorders>
              <w:top w:val="nil"/>
              <w:left w:val="nil"/>
              <w:bottom w:val="nil"/>
              <w:right w:val="nil"/>
            </w:tcBorders>
            <w:shd w:val="clear" w:color="auto" w:fill="auto"/>
            <w:vAlign w:val="center"/>
            <w:hideMark/>
          </w:tcPr>
          <w:p w14:paraId="085CA18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(0.07)</w:t>
            </w:r>
          </w:p>
        </w:tc>
        <w:tc>
          <w:tcPr>
            <w:tcW w:w="1140" w:type="dxa"/>
            <w:tcBorders>
              <w:top w:val="nil"/>
              <w:left w:val="nil"/>
              <w:bottom w:val="nil"/>
              <w:right w:val="nil"/>
            </w:tcBorders>
            <w:shd w:val="clear" w:color="auto" w:fill="auto"/>
            <w:noWrap/>
            <w:vAlign w:val="bottom"/>
            <w:hideMark/>
          </w:tcPr>
          <w:p w14:paraId="64AEB0A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(0.08)</w:t>
            </w:r>
          </w:p>
        </w:tc>
      </w:tr>
      <w:tr w:rsidR="00EE4535" w:rsidRPr="00EE4535" w14:paraId="6A87F3A9" w14:textId="77777777" w:rsidTr="00EE4535">
        <w:trPr>
          <w:trHeight w:val="250"/>
          <w:jc w:val="center"/>
        </w:trPr>
        <w:tc>
          <w:tcPr>
            <w:tcW w:w="4460" w:type="dxa"/>
            <w:tcBorders>
              <w:top w:val="nil"/>
              <w:left w:val="nil"/>
              <w:bottom w:val="nil"/>
              <w:right w:val="nil"/>
            </w:tcBorders>
            <w:shd w:val="clear" w:color="auto" w:fill="auto"/>
            <w:vAlign w:val="center"/>
            <w:hideMark/>
          </w:tcPr>
          <w:p w14:paraId="4F0EECE3"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Bilateral relations</w:t>
            </w:r>
          </w:p>
        </w:tc>
        <w:tc>
          <w:tcPr>
            <w:tcW w:w="1140" w:type="dxa"/>
            <w:tcBorders>
              <w:top w:val="nil"/>
              <w:left w:val="nil"/>
              <w:bottom w:val="nil"/>
              <w:right w:val="nil"/>
            </w:tcBorders>
            <w:shd w:val="clear" w:color="auto" w:fill="auto"/>
            <w:vAlign w:val="center"/>
            <w:hideMark/>
          </w:tcPr>
          <w:p w14:paraId="0AA29D0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0.30**</w:t>
            </w:r>
          </w:p>
        </w:tc>
        <w:tc>
          <w:tcPr>
            <w:tcW w:w="1140" w:type="dxa"/>
            <w:tcBorders>
              <w:top w:val="nil"/>
              <w:left w:val="nil"/>
              <w:bottom w:val="nil"/>
              <w:right w:val="nil"/>
            </w:tcBorders>
            <w:shd w:val="clear" w:color="auto" w:fill="auto"/>
            <w:vAlign w:val="center"/>
            <w:hideMark/>
          </w:tcPr>
          <w:p w14:paraId="1B6DEF5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0.26**</w:t>
            </w:r>
          </w:p>
        </w:tc>
        <w:tc>
          <w:tcPr>
            <w:tcW w:w="1140" w:type="dxa"/>
            <w:tcBorders>
              <w:top w:val="nil"/>
              <w:left w:val="nil"/>
              <w:bottom w:val="nil"/>
              <w:right w:val="nil"/>
            </w:tcBorders>
            <w:shd w:val="clear" w:color="auto" w:fill="auto"/>
            <w:vAlign w:val="center"/>
            <w:hideMark/>
          </w:tcPr>
          <w:p w14:paraId="63842E2E"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0.28***</w:t>
            </w:r>
          </w:p>
        </w:tc>
        <w:tc>
          <w:tcPr>
            <w:tcW w:w="1140" w:type="dxa"/>
            <w:tcBorders>
              <w:top w:val="nil"/>
              <w:left w:val="nil"/>
              <w:bottom w:val="nil"/>
              <w:right w:val="nil"/>
            </w:tcBorders>
            <w:shd w:val="clear" w:color="auto" w:fill="auto"/>
            <w:noWrap/>
            <w:vAlign w:val="bottom"/>
            <w:hideMark/>
          </w:tcPr>
          <w:p w14:paraId="60EC766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0.29**</w:t>
            </w:r>
          </w:p>
        </w:tc>
      </w:tr>
      <w:tr w:rsidR="00EE4535" w:rsidRPr="00EE4535" w14:paraId="66E7DD24" w14:textId="77777777" w:rsidTr="00EE4535">
        <w:trPr>
          <w:trHeight w:val="250"/>
          <w:jc w:val="center"/>
        </w:trPr>
        <w:tc>
          <w:tcPr>
            <w:tcW w:w="4460" w:type="dxa"/>
            <w:tcBorders>
              <w:top w:val="nil"/>
              <w:left w:val="nil"/>
              <w:bottom w:val="nil"/>
              <w:right w:val="nil"/>
            </w:tcBorders>
            <w:shd w:val="clear" w:color="auto" w:fill="auto"/>
            <w:vAlign w:val="center"/>
            <w:hideMark/>
          </w:tcPr>
          <w:p w14:paraId="7C9B7FD8"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74847F6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(0.09)</w:t>
            </w:r>
          </w:p>
        </w:tc>
        <w:tc>
          <w:tcPr>
            <w:tcW w:w="1140" w:type="dxa"/>
            <w:tcBorders>
              <w:top w:val="nil"/>
              <w:left w:val="nil"/>
              <w:bottom w:val="nil"/>
              <w:right w:val="nil"/>
            </w:tcBorders>
            <w:shd w:val="clear" w:color="auto" w:fill="auto"/>
            <w:vAlign w:val="center"/>
            <w:hideMark/>
          </w:tcPr>
          <w:p w14:paraId="1A19391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(0.08)</w:t>
            </w:r>
          </w:p>
        </w:tc>
        <w:tc>
          <w:tcPr>
            <w:tcW w:w="1140" w:type="dxa"/>
            <w:tcBorders>
              <w:top w:val="nil"/>
              <w:left w:val="nil"/>
              <w:bottom w:val="nil"/>
              <w:right w:val="nil"/>
            </w:tcBorders>
            <w:shd w:val="clear" w:color="auto" w:fill="auto"/>
            <w:vAlign w:val="center"/>
            <w:hideMark/>
          </w:tcPr>
          <w:p w14:paraId="54B0D02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(0.08)</w:t>
            </w:r>
          </w:p>
        </w:tc>
        <w:tc>
          <w:tcPr>
            <w:tcW w:w="1140" w:type="dxa"/>
            <w:tcBorders>
              <w:top w:val="nil"/>
              <w:left w:val="nil"/>
              <w:bottom w:val="nil"/>
              <w:right w:val="nil"/>
            </w:tcBorders>
            <w:shd w:val="clear" w:color="auto" w:fill="auto"/>
            <w:noWrap/>
            <w:vAlign w:val="bottom"/>
            <w:hideMark/>
          </w:tcPr>
          <w:p w14:paraId="1E2E07A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(0.10)</w:t>
            </w:r>
          </w:p>
        </w:tc>
      </w:tr>
      <w:tr w:rsidR="00EE4535" w:rsidRPr="00EE4535" w14:paraId="0467027A" w14:textId="77777777" w:rsidTr="00EE4535">
        <w:trPr>
          <w:trHeight w:val="250"/>
          <w:jc w:val="center"/>
        </w:trPr>
        <w:tc>
          <w:tcPr>
            <w:tcW w:w="4460" w:type="dxa"/>
            <w:tcBorders>
              <w:top w:val="nil"/>
              <w:left w:val="nil"/>
              <w:bottom w:val="nil"/>
              <w:right w:val="nil"/>
            </w:tcBorders>
            <w:shd w:val="clear" w:color="auto" w:fill="auto"/>
            <w:vAlign w:val="center"/>
            <w:hideMark/>
          </w:tcPr>
          <w:p w14:paraId="681BA19E" w14:textId="77777777" w:rsidR="00EE4535" w:rsidRPr="00EE4535" w:rsidRDefault="00EE4535" w:rsidP="00EE4535">
            <w:pPr>
              <w:spacing w:after="0" w:line="240" w:lineRule="auto"/>
              <w:rPr>
                <w:rFonts w:eastAsia="Times New Roman"/>
                <w:b/>
                <w:bCs/>
                <w:color w:val="000000"/>
                <w:sz w:val="22"/>
                <w:szCs w:val="22"/>
              </w:rPr>
            </w:pPr>
            <w:r w:rsidRPr="00EE4535">
              <w:rPr>
                <w:rFonts w:eastAsia="Times New Roman"/>
                <w:b/>
                <w:bCs/>
                <w:color w:val="000000"/>
                <w:sz w:val="22"/>
                <w:szCs w:val="22"/>
              </w:rPr>
              <w:t>Firm Attributes</w:t>
            </w:r>
          </w:p>
        </w:tc>
        <w:tc>
          <w:tcPr>
            <w:tcW w:w="1140" w:type="dxa"/>
            <w:tcBorders>
              <w:top w:val="nil"/>
              <w:left w:val="nil"/>
              <w:bottom w:val="nil"/>
              <w:right w:val="nil"/>
            </w:tcBorders>
            <w:shd w:val="clear" w:color="auto" w:fill="auto"/>
            <w:vAlign w:val="center"/>
            <w:hideMark/>
          </w:tcPr>
          <w:p w14:paraId="071407B0" w14:textId="77777777" w:rsidR="00EE4535" w:rsidRPr="00EE4535" w:rsidRDefault="00EE4535" w:rsidP="00EE4535">
            <w:pPr>
              <w:spacing w:after="0" w:line="240" w:lineRule="auto"/>
              <w:rPr>
                <w:rFonts w:eastAsia="Times New Roman"/>
                <w:b/>
                <w:bCs/>
                <w:color w:val="000000"/>
                <w:sz w:val="22"/>
                <w:szCs w:val="22"/>
              </w:rPr>
            </w:pPr>
          </w:p>
        </w:tc>
        <w:tc>
          <w:tcPr>
            <w:tcW w:w="1140" w:type="dxa"/>
            <w:tcBorders>
              <w:top w:val="nil"/>
              <w:left w:val="nil"/>
              <w:bottom w:val="nil"/>
              <w:right w:val="nil"/>
            </w:tcBorders>
            <w:shd w:val="clear" w:color="auto" w:fill="auto"/>
            <w:vAlign w:val="center"/>
            <w:hideMark/>
          </w:tcPr>
          <w:p w14:paraId="2677A3E3"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56D6F0BD"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noWrap/>
            <w:vAlign w:val="bottom"/>
            <w:hideMark/>
          </w:tcPr>
          <w:p w14:paraId="0EDE621F" w14:textId="77777777" w:rsidR="00EE4535" w:rsidRPr="00EE4535" w:rsidRDefault="00EE4535" w:rsidP="00EE4535">
            <w:pPr>
              <w:spacing w:after="0" w:line="240" w:lineRule="auto"/>
              <w:jc w:val="center"/>
              <w:rPr>
                <w:rFonts w:eastAsia="Times New Roman"/>
                <w:sz w:val="20"/>
                <w:szCs w:val="20"/>
              </w:rPr>
            </w:pPr>
          </w:p>
        </w:tc>
      </w:tr>
      <w:tr w:rsidR="00EE4535" w:rsidRPr="00EE4535" w14:paraId="71A2FD15" w14:textId="77777777" w:rsidTr="00EE4535">
        <w:trPr>
          <w:trHeight w:val="250"/>
          <w:jc w:val="center"/>
        </w:trPr>
        <w:tc>
          <w:tcPr>
            <w:tcW w:w="4460" w:type="dxa"/>
            <w:tcBorders>
              <w:top w:val="nil"/>
              <w:left w:val="nil"/>
              <w:bottom w:val="nil"/>
              <w:right w:val="nil"/>
            </w:tcBorders>
            <w:shd w:val="clear" w:color="auto" w:fill="auto"/>
            <w:vAlign w:val="center"/>
            <w:hideMark/>
          </w:tcPr>
          <w:p w14:paraId="7ED6B32C"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Total assets</w:t>
            </w:r>
          </w:p>
        </w:tc>
        <w:tc>
          <w:tcPr>
            <w:tcW w:w="1140" w:type="dxa"/>
            <w:tcBorders>
              <w:top w:val="nil"/>
              <w:left w:val="nil"/>
              <w:bottom w:val="nil"/>
              <w:right w:val="nil"/>
            </w:tcBorders>
            <w:shd w:val="clear" w:color="auto" w:fill="auto"/>
            <w:vAlign w:val="center"/>
            <w:hideMark/>
          </w:tcPr>
          <w:p w14:paraId="0DA48950"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0.46</w:t>
            </w:r>
          </w:p>
        </w:tc>
        <w:tc>
          <w:tcPr>
            <w:tcW w:w="1140" w:type="dxa"/>
            <w:tcBorders>
              <w:top w:val="nil"/>
              <w:left w:val="nil"/>
              <w:bottom w:val="nil"/>
              <w:right w:val="nil"/>
            </w:tcBorders>
            <w:shd w:val="clear" w:color="auto" w:fill="auto"/>
            <w:vAlign w:val="center"/>
            <w:hideMark/>
          </w:tcPr>
          <w:p w14:paraId="7C346BF2"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0.72</w:t>
            </w:r>
          </w:p>
        </w:tc>
        <w:tc>
          <w:tcPr>
            <w:tcW w:w="1140" w:type="dxa"/>
            <w:tcBorders>
              <w:top w:val="nil"/>
              <w:left w:val="nil"/>
              <w:bottom w:val="nil"/>
              <w:right w:val="nil"/>
            </w:tcBorders>
            <w:shd w:val="clear" w:color="auto" w:fill="auto"/>
            <w:vAlign w:val="center"/>
            <w:hideMark/>
          </w:tcPr>
          <w:p w14:paraId="021E115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0.32</w:t>
            </w:r>
          </w:p>
        </w:tc>
        <w:tc>
          <w:tcPr>
            <w:tcW w:w="1140" w:type="dxa"/>
            <w:tcBorders>
              <w:top w:val="nil"/>
              <w:left w:val="nil"/>
              <w:bottom w:val="nil"/>
              <w:right w:val="nil"/>
            </w:tcBorders>
            <w:shd w:val="clear" w:color="auto" w:fill="auto"/>
            <w:noWrap/>
            <w:vAlign w:val="bottom"/>
            <w:hideMark/>
          </w:tcPr>
          <w:p w14:paraId="568CC65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-0.03</w:t>
            </w:r>
          </w:p>
        </w:tc>
      </w:tr>
      <w:tr w:rsidR="00EE4535" w:rsidRPr="00EE4535" w14:paraId="62CF0254" w14:textId="77777777" w:rsidTr="00EE4535">
        <w:trPr>
          <w:trHeight w:val="250"/>
          <w:jc w:val="center"/>
        </w:trPr>
        <w:tc>
          <w:tcPr>
            <w:tcW w:w="4460" w:type="dxa"/>
            <w:tcBorders>
              <w:top w:val="nil"/>
              <w:left w:val="nil"/>
              <w:bottom w:val="nil"/>
              <w:right w:val="nil"/>
            </w:tcBorders>
            <w:shd w:val="clear" w:color="auto" w:fill="auto"/>
            <w:vAlign w:val="center"/>
            <w:hideMark/>
          </w:tcPr>
          <w:p w14:paraId="14D405EB"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24F3C27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(1.45)</w:t>
            </w:r>
          </w:p>
        </w:tc>
        <w:tc>
          <w:tcPr>
            <w:tcW w:w="1140" w:type="dxa"/>
            <w:tcBorders>
              <w:top w:val="nil"/>
              <w:left w:val="nil"/>
              <w:bottom w:val="nil"/>
              <w:right w:val="nil"/>
            </w:tcBorders>
            <w:shd w:val="clear" w:color="auto" w:fill="auto"/>
            <w:vAlign w:val="center"/>
            <w:hideMark/>
          </w:tcPr>
          <w:p w14:paraId="36773A20"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(1.60)</w:t>
            </w:r>
          </w:p>
        </w:tc>
        <w:tc>
          <w:tcPr>
            <w:tcW w:w="1140" w:type="dxa"/>
            <w:tcBorders>
              <w:top w:val="nil"/>
              <w:left w:val="nil"/>
              <w:bottom w:val="nil"/>
              <w:right w:val="nil"/>
            </w:tcBorders>
            <w:shd w:val="clear" w:color="auto" w:fill="auto"/>
            <w:vAlign w:val="center"/>
            <w:hideMark/>
          </w:tcPr>
          <w:p w14:paraId="16FDA5A2"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(1.57)</w:t>
            </w:r>
          </w:p>
        </w:tc>
        <w:tc>
          <w:tcPr>
            <w:tcW w:w="1140" w:type="dxa"/>
            <w:tcBorders>
              <w:top w:val="nil"/>
              <w:left w:val="nil"/>
              <w:bottom w:val="nil"/>
              <w:right w:val="nil"/>
            </w:tcBorders>
            <w:shd w:val="clear" w:color="auto" w:fill="auto"/>
            <w:noWrap/>
            <w:vAlign w:val="bottom"/>
            <w:hideMark/>
          </w:tcPr>
          <w:p w14:paraId="1BC800A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(1.53)</w:t>
            </w:r>
          </w:p>
        </w:tc>
      </w:tr>
      <w:tr w:rsidR="00EE4535" w:rsidRPr="00EE4535" w14:paraId="0168EA63" w14:textId="77777777" w:rsidTr="00EE4535">
        <w:trPr>
          <w:trHeight w:val="250"/>
          <w:jc w:val="center"/>
        </w:trPr>
        <w:tc>
          <w:tcPr>
            <w:tcW w:w="4460" w:type="dxa"/>
            <w:tcBorders>
              <w:top w:val="nil"/>
              <w:left w:val="nil"/>
              <w:bottom w:val="nil"/>
              <w:right w:val="nil"/>
            </w:tcBorders>
            <w:shd w:val="clear" w:color="auto" w:fill="auto"/>
            <w:vAlign w:val="center"/>
            <w:hideMark/>
          </w:tcPr>
          <w:p w14:paraId="3A9938AB"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ROA</w:t>
            </w:r>
          </w:p>
        </w:tc>
        <w:tc>
          <w:tcPr>
            <w:tcW w:w="1140" w:type="dxa"/>
            <w:tcBorders>
              <w:top w:val="nil"/>
              <w:left w:val="nil"/>
              <w:bottom w:val="nil"/>
              <w:right w:val="nil"/>
            </w:tcBorders>
            <w:shd w:val="clear" w:color="auto" w:fill="auto"/>
            <w:vAlign w:val="center"/>
            <w:hideMark/>
          </w:tcPr>
          <w:p w14:paraId="231FBE08"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2.90 </w:t>
            </w:r>
          </w:p>
        </w:tc>
        <w:tc>
          <w:tcPr>
            <w:tcW w:w="1140" w:type="dxa"/>
            <w:tcBorders>
              <w:top w:val="nil"/>
              <w:left w:val="nil"/>
              <w:bottom w:val="nil"/>
              <w:right w:val="nil"/>
            </w:tcBorders>
            <w:shd w:val="clear" w:color="auto" w:fill="auto"/>
            <w:vAlign w:val="center"/>
            <w:hideMark/>
          </w:tcPr>
          <w:p w14:paraId="13C9FE7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2.66 </w:t>
            </w:r>
          </w:p>
        </w:tc>
        <w:tc>
          <w:tcPr>
            <w:tcW w:w="1140" w:type="dxa"/>
            <w:tcBorders>
              <w:top w:val="nil"/>
              <w:left w:val="nil"/>
              <w:bottom w:val="nil"/>
              <w:right w:val="nil"/>
            </w:tcBorders>
            <w:shd w:val="clear" w:color="auto" w:fill="auto"/>
            <w:vAlign w:val="center"/>
            <w:hideMark/>
          </w:tcPr>
          <w:p w14:paraId="4732FE1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3.09 </w:t>
            </w:r>
          </w:p>
        </w:tc>
        <w:tc>
          <w:tcPr>
            <w:tcW w:w="1140" w:type="dxa"/>
            <w:tcBorders>
              <w:top w:val="nil"/>
              <w:left w:val="nil"/>
              <w:bottom w:val="nil"/>
              <w:right w:val="nil"/>
            </w:tcBorders>
            <w:shd w:val="clear" w:color="auto" w:fill="auto"/>
            <w:noWrap/>
            <w:vAlign w:val="bottom"/>
            <w:hideMark/>
          </w:tcPr>
          <w:p w14:paraId="0A4B2F7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2.94 </w:t>
            </w:r>
          </w:p>
        </w:tc>
      </w:tr>
      <w:tr w:rsidR="00EE4535" w:rsidRPr="00EE4535" w14:paraId="7BF8D607" w14:textId="77777777" w:rsidTr="00EE4535">
        <w:trPr>
          <w:trHeight w:val="250"/>
          <w:jc w:val="center"/>
        </w:trPr>
        <w:tc>
          <w:tcPr>
            <w:tcW w:w="4460" w:type="dxa"/>
            <w:tcBorders>
              <w:top w:val="nil"/>
              <w:left w:val="nil"/>
              <w:bottom w:val="nil"/>
              <w:right w:val="nil"/>
            </w:tcBorders>
            <w:shd w:val="clear" w:color="auto" w:fill="auto"/>
            <w:vAlign w:val="center"/>
            <w:hideMark/>
          </w:tcPr>
          <w:p w14:paraId="30F478A3"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2DC4C030"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(5.21)</w:t>
            </w:r>
          </w:p>
        </w:tc>
        <w:tc>
          <w:tcPr>
            <w:tcW w:w="1140" w:type="dxa"/>
            <w:tcBorders>
              <w:top w:val="nil"/>
              <w:left w:val="nil"/>
              <w:bottom w:val="nil"/>
              <w:right w:val="nil"/>
            </w:tcBorders>
            <w:shd w:val="clear" w:color="auto" w:fill="auto"/>
            <w:vAlign w:val="center"/>
            <w:hideMark/>
          </w:tcPr>
          <w:p w14:paraId="700DAE8A"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(4.35)</w:t>
            </w:r>
          </w:p>
        </w:tc>
        <w:tc>
          <w:tcPr>
            <w:tcW w:w="1140" w:type="dxa"/>
            <w:tcBorders>
              <w:top w:val="nil"/>
              <w:left w:val="nil"/>
              <w:bottom w:val="nil"/>
              <w:right w:val="nil"/>
            </w:tcBorders>
            <w:shd w:val="clear" w:color="auto" w:fill="auto"/>
            <w:vAlign w:val="center"/>
            <w:hideMark/>
          </w:tcPr>
          <w:p w14:paraId="57EDD60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(4.76)</w:t>
            </w:r>
          </w:p>
        </w:tc>
        <w:tc>
          <w:tcPr>
            <w:tcW w:w="1140" w:type="dxa"/>
            <w:tcBorders>
              <w:top w:val="nil"/>
              <w:left w:val="nil"/>
              <w:bottom w:val="nil"/>
              <w:right w:val="nil"/>
            </w:tcBorders>
            <w:shd w:val="clear" w:color="auto" w:fill="auto"/>
            <w:noWrap/>
            <w:vAlign w:val="bottom"/>
            <w:hideMark/>
          </w:tcPr>
          <w:p w14:paraId="5A39F1A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(4.78)</w:t>
            </w:r>
          </w:p>
        </w:tc>
      </w:tr>
      <w:tr w:rsidR="00EE4535" w:rsidRPr="00EE4535" w14:paraId="554D48ED" w14:textId="77777777" w:rsidTr="00EE4535">
        <w:trPr>
          <w:trHeight w:val="250"/>
          <w:jc w:val="center"/>
        </w:trPr>
        <w:tc>
          <w:tcPr>
            <w:tcW w:w="4460" w:type="dxa"/>
            <w:tcBorders>
              <w:top w:val="nil"/>
              <w:left w:val="nil"/>
              <w:bottom w:val="nil"/>
              <w:right w:val="nil"/>
            </w:tcBorders>
            <w:shd w:val="clear" w:color="auto" w:fill="auto"/>
            <w:vAlign w:val="center"/>
            <w:hideMark/>
          </w:tcPr>
          <w:p w14:paraId="1437D17E"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FDI experience</w:t>
            </w:r>
          </w:p>
        </w:tc>
        <w:tc>
          <w:tcPr>
            <w:tcW w:w="1140" w:type="dxa"/>
            <w:tcBorders>
              <w:top w:val="nil"/>
              <w:left w:val="nil"/>
              <w:bottom w:val="nil"/>
              <w:right w:val="nil"/>
            </w:tcBorders>
            <w:shd w:val="clear" w:color="auto" w:fill="auto"/>
            <w:vAlign w:val="center"/>
            <w:hideMark/>
          </w:tcPr>
          <w:p w14:paraId="3C6C877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-0.01</w:t>
            </w:r>
          </w:p>
        </w:tc>
        <w:tc>
          <w:tcPr>
            <w:tcW w:w="1140" w:type="dxa"/>
            <w:tcBorders>
              <w:top w:val="nil"/>
              <w:left w:val="nil"/>
              <w:bottom w:val="nil"/>
              <w:right w:val="nil"/>
            </w:tcBorders>
            <w:shd w:val="clear" w:color="auto" w:fill="auto"/>
            <w:vAlign w:val="center"/>
            <w:hideMark/>
          </w:tcPr>
          <w:p w14:paraId="2A96D9D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-0.01</w:t>
            </w:r>
          </w:p>
        </w:tc>
        <w:tc>
          <w:tcPr>
            <w:tcW w:w="1140" w:type="dxa"/>
            <w:tcBorders>
              <w:top w:val="nil"/>
              <w:left w:val="nil"/>
              <w:bottom w:val="nil"/>
              <w:right w:val="nil"/>
            </w:tcBorders>
            <w:shd w:val="clear" w:color="auto" w:fill="auto"/>
            <w:vAlign w:val="center"/>
            <w:hideMark/>
          </w:tcPr>
          <w:p w14:paraId="78310578"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-0.01</w:t>
            </w:r>
          </w:p>
        </w:tc>
        <w:tc>
          <w:tcPr>
            <w:tcW w:w="1140" w:type="dxa"/>
            <w:tcBorders>
              <w:top w:val="nil"/>
              <w:left w:val="nil"/>
              <w:bottom w:val="nil"/>
              <w:right w:val="nil"/>
            </w:tcBorders>
            <w:shd w:val="clear" w:color="auto" w:fill="auto"/>
            <w:noWrap/>
            <w:vAlign w:val="bottom"/>
            <w:hideMark/>
          </w:tcPr>
          <w:p w14:paraId="0BABB50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-0.01</w:t>
            </w:r>
          </w:p>
        </w:tc>
      </w:tr>
      <w:tr w:rsidR="00EE4535" w:rsidRPr="00EE4535" w14:paraId="68FB4DD3" w14:textId="77777777" w:rsidTr="00EE4535">
        <w:trPr>
          <w:trHeight w:val="250"/>
          <w:jc w:val="center"/>
        </w:trPr>
        <w:tc>
          <w:tcPr>
            <w:tcW w:w="4460" w:type="dxa"/>
            <w:tcBorders>
              <w:top w:val="nil"/>
              <w:left w:val="nil"/>
              <w:bottom w:val="nil"/>
              <w:right w:val="nil"/>
            </w:tcBorders>
            <w:shd w:val="clear" w:color="auto" w:fill="auto"/>
            <w:vAlign w:val="center"/>
            <w:hideMark/>
          </w:tcPr>
          <w:p w14:paraId="10F39573"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6BB91F16"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(0.01)</w:t>
            </w:r>
          </w:p>
        </w:tc>
        <w:tc>
          <w:tcPr>
            <w:tcW w:w="1140" w:type="dxa"/>
            <w:tcBorders>
              <w:top w:val="nil"/>
              <w:left w:val="nil"/>
              <w:bottom w:val="nil"/>
              <w:right w:val="nil"/>
            </w:tcBorders>
            <w:shd w:val="clear" w:color="auto" w:fill="auto"/>
            <w:vAlign w:val="center"/>
            <w:hideMark/>
          </w:tcPr>
          <w:p w14:paraId="37EA85AE"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(0.01)</w:t>
            </w:r>
          </w:p>
        </w:tc>
        <w:tc>
          <w:tcPr>
            <w:tcW w:w="1140" w:type="dxa"/>
            <w:tcBorders>
              <w:top w:val="nil"/>
              <w:left w:val="nil"/>
              <w:bottom w:val="nil"/>
              <w:right w:val="nil"/>
            </w:tcBorders>
            <w:shd w:val="clear" w:color="auto" w:fill="auto"/>
            <w:vAlign w:val="center"/>
            <w:hideMark/>
          </w:tcPr>
          <w:p w14:paraId="3B173343"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(0.01)</w:t>
            </w:r>
          </w:p>
        </w:tc>
        <w:tc>
          <w:tcPr>
            <w:tcW w:w="1140" w:type="dxa"/>
            <w:tcBorders>
              <w:top w:val="nil"/>
              <w:left w:val="nil"/>
              <w:bottom w:val="nil"/>
              <w:right w:val="nil"/>
            </w:tcBorders>
            <w:shd w:val="clear" w:color="auto" w:fill="auto"/>
            <w:noWrap/>
            <w:vAlign w:val="bottom"/>
            <w:hideMark/>
          </w:tcPr>
          <w:p w14:paraId="04165D0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(0.01)</w:t>
            </w:r>
          </w:p>
        </w:tc>
      </w:tr>
      <w:tr w:rsidR="00EE4535" w:rsidRPr="00EE4535" w14:paraId="01D45380" w14:textId="77777777" w:rsidTr="00EE4535">
        <w:trPr>
          <w:trHeight w:val="250"/>
          <w:jc w:val="center"/>
        </w:trPr>
        <w:tc>
          <w:tcPr>
            <w:tcW w:w="4460" w:type="dxa"/>
            <w:tcBorders>
              <w:top w:val="nil"/>
              <w:left w:val="nil"/>
              <w:bottom w:val="nil"/>
              <w:right w:val="nil"/>
            </w:tcBorders>
            <w:shd w:val="clear" w:color="auto" w:fill="auto"/>
            <w:vAlign w:val="center"/>
            <w:hideMark/>
          </w:tcPr>
          <w:p w14:paraId="0BE57CA9" w14:textId="77777777" w:rsidR="00EE4535" w:rsidRPr="00EE4535" w:rsidRDefault="00EE4535" w:rsidP="00EE4535">
            <w:pPr>
              <w:spacing w:after="0" w:line="240" w:lineRule="auto"/>
              <w:rPr>
                <w:rFonts w:eastAsia="Times New Roman"/>
                <w:b/>
                <w:bCs/>
                <w:color w:val="000000"/>
                <w:sz w:val="22"/>
                <w:szCs w:val="22"/>
              </w:rPr>
            </w:pPr>
            <w:r w:rsidRPr="00EE4535">
              <w:rPr>
                <w:rFonts w:eastAsia="Times New Roman"/>
                <w:b/>
                <w:bCs/>
                <w:color w:val="000000"/>
                <w:sz w:val="22"/>
                <w:szCs w:val="22"/>
              </w:rPr>
              <w:t>Subsidiary Attributes</w:t>
            </w:r>
          </w:p>
        </w:tc>
        <w:tc>
          <w:tcPr>
            <w:tcW w:w="1140" w:type="dxa"/>
            <w:tcBorders>
              <w:top w:val="nil"/>
              <w:left w:val="nil"/>
              <w:bottom w:val="nil"/>
              <w:right w:val="nil"/>
            </w:tcBorders>
            <w:shd w:val="clear" w:color="auto" w:fill="auto"/>
            <w:vAlign w:val="center"/>
            <w:hideMark/>
          </w:tcPr>
          <w:p w14:paraId="7DEC0D2C" w14:textId="77777777" w:rsidR="00EE4535" w:rsidRPr="00EE4535" w:rsidRDefault="00EE4535" w:rsidP="00EE4535">
            <w:pPr>
              <w:spacing w:after="0" w:line="240" w:lineRule="auto"/>
              <w:rPr>
                <w:rFonts w:eastAsia="Times New Roman"/>
                <w:b/>
                <w:bCs/>
                <w:color w:val="000000"/>
                <w:sz w:val="22"/>
                <w:szCs w:val="22"/>
              </w:rPr>
            </w:pPr>
          </w:p>
        </w:tc>
        <w:tc>
          <w:tcPr>
            <w:tcW w:w="1140" w:type="dxa"/>
            <w:tcBorders>
              <w:top w:val="nil"/>
              <w:left w:val="nil"/>
              <w:bottom w:val="nil"/>
              <w:right w:val="nil"/>
            </w:tcBorders>
            <w:shd w:val="clear" w:color="auto" w:fill="auto"/>
            <w:vAlign w:val="center"/>
            <w:hideMark/>
          </w:tcPr>
          <w:p w14:paraId="63C25083"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3097916D"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noWrap/>
            <w:vAlign w:val="bottom"/>
            <w:hideMark/>
          </w:tcPr>
          <w:p w14:paraId="41B2C249" w14:textId="77777777" w:rsidR="00EE4535" w:rsidRPr="00EE4535" w:rsidRDefault="00EE4535" w:rsidP="00EE4535">
            <w:pPr>
              <w:spacing w:after="0" w:line="240" w:lineRule="auto"/>
              <w:jc w:val="center"/>
              <w:rPr>
                <w:rFonts w:eastAsia="Times New Roman"/>
                <w:sz w:val="20"/>
                <w:szCs w:val="20"/>
              </w:rPr>
            </w:pPr>
          </w:p>
        </w:tc>
      </w:tr>
      <w:tr w:rsidR="00EE4535" w:rsidRPr="00EE4535" w14:paraId="37C842AE" w14:textId="77777777" w:rsidTr="00EE4535">
        <w:trPr>
          <w:trHeight w:val="250"/>
          <w:jc w:val="center"/>
        </w:trPr>
        <w:tc>
          <w:tcPr>
            <w:tcW w:w="4460" w:type="dxa"/>
            <w:tcBorders>
              <w:top w:val="nil"/>
              <w:left w:val="nil"/>
              <w:bottom w:val="nil"/>
              <w:right w:val="nil"/>
            </w:tcBorders>
            <w:shd w:val="clear" w:color="auto" w:fill="auto"/>
            <w:vAlign w:val="center"/>
            <w:hideMark/>
          </w:tcPr>
          <w:p w14:paraId="4993F4F8"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CEO nationality</w:t>
            </w:r>
          </w:p>
        </w:tc>
        <w:tc>
          <w:tcPr>
            <w:tcW w:w="1140" w:type="dxa"/>
            <w:tcBorders>
              <w:top w:val="nil"/>
              <w:left w:val="nil"/>
              <w:bottom w:val="nil"/>
              <w:right w:val="nil"/>
            </w:tcBorders>
            <w:shd w:val="clear" w:color="auto" w:fill="auto"/>
            <w:vAlign w:val="center"/>
            <w:hideMark/>
          </w:tcPr>
          <w:p w14:paraId="4C29B306"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2.80*</w:t>
            </w:r>
          </w:p>
        </w:tc>
        <w:tc>
          <w:tcPr>
            <w:tcW w:w="1140" w:type="dxa"/>
            <w:tcBorders>
              <w:top w:val="nil"/>
              <w:left w:val="nil"/>
              <w:bottom w:val="nil"/>
              <w:right w:val="nil"/>
            </w:tcBorders>
            <w:shd w:val="clear" w:color="auto" w:fill="auto"/>
            <w:vAlign w:val="center"/>
            <w:hideMark/>
          </w:tcPr>
          <w:p w14:paraId="76C5D15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2.70*</w:t>
            </w:r>
          </w:p>
        </w:tc>
        <w:tc>
          <w:tcPr>
            <w:tcW w:w="1140" w:type="dxa"/>
            <w:tcBorders>
              <w:top w:val="nil"/>
              <w:left w:val="nil"/>
              <w:bottom w:val="nil"/>
              <w:right w:val="nil"/>
            </w:tcBorders>
            <w:shd w:val="clear" w:color="auto" w:fill="auto"/>
            <w:vAlign w:val="center"/>
            <w:hideMark/>
          </w:tcPr>
          <w:p w14:paraId="1DFD8AA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2.48+</w:t>
            </w:r>
          </w:p>
        </w:tc>
        <w:tc>
          <w:tcPr>
            <w:tcW w:w="1140" w:type="dxa"/>
            <w:tcBorders>
              <w:top w:val="nil"/>
              <w:left w:val="nil"/>
              <w:bottom w:val="nil"/>
              <w:right w:val="nil"/>
            </w:tcBorders>
            <w:shd w:val="clear" w:color="auto" w:fill="auto"/>
            <w:noWrap/>
            <w:vAlign w:val="bottom"/>
            <w:hideMark/>
          </w:tcPr>
          <w:p w14:paraId="22BC95B7"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1.87 </w:t>
            </w:r>
          </w:p>
        </w:tc>
      </w:tr>
      <w:tr w:rsidR="00EE4535" w:rsidRPr="00EE4535" w14:paraId="5D4EB3B9" w14:textId="77777777" w:rsidTr="00EE4535">
        <w:trPr>
          <w:trHeight w:val="250"/>
          <w:jc w:val="center"/>
        </w:trPr>
        <w:tc>
          <w:tcPr>
            <w:tcW w:w="4460" w:type="dxa"/>
            <w:tcBorders>
              <w:top w:val="nil"/>
              <w:left w:val="nil"/>
              <w:bottom w:val="nil"/>
              <w:right w:val="nil"/>
            </w:tcBorders>
            <w:shd w:val="clear" w:color="auto" w:fill="auto"/>
            <w:noWrap/>
            <w:vAlign w:val="bottom"/>
            <w:hideMark/>
          </w:tcPr>
          <w:p w14:paraId="18B2E5B4"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2222F1B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(1.40)</w:t>
            </w:r>
          </w:p>
        </w:tc>
        <w:tc>
          <w:tcPr>
            <w:tcW w:w="1140" w:type="dxa"/>
            <w:tcBorders>
              <w:top w:val="nil"/>
              <w:left w:val="nil"/>
              <w:bottom w:val="nil"/>
              <w:right w:val="nil"/>
            </w:tcBorders>
            <w:shd w:val="clear" w:color="auto" w:fill="auto"/>
            <w:vAlign w:val="center"/>
            <w:hideMark/>
          </w:tcPr>
          <w:p w14:paraId="31A01D0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(1.34)</w:t>
            </w:r>
          </w:p>
        </w:tc>
        <w:tc>
          <w:tcPr>
            <w:tcW w:w="1140" w:type="dxa"/>
            <w:tcBorders>
              <w:top w:val="nil"/>
              <w:left w:val="nil"/>
              <w:bottom w:val="nil"/>
              <w:right w:val="nil"/>
            </w:tcBorders>
            <w:shd w:val="clear" w:color="auto" w:fill="auto"/>
            <w:vAlign w:val="center"/>
            <w:hideMark/>
          </w:tcPr>
          <w:p w14:paraId="6687433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(1.34)</w:t>
            </w:r>
          </w:p>
        </w:tc>
        <w:tc>
          <w:tcPr>
            <w:tcW w:w="1140" w:type="dxa"/>
            <w:tcBorders>
              <w:top w:val="nil"/>
              <w:left w:val="nil"/>
              <w:bottom w:val="nil"/>
              <w:right w:val="nil"/>
            </w:tcBorders>
            <w:shd w:val="clear" w:color="auto" w:fill="auto"/>
            <w:noWrap/>
            <w:vAlign w:val="bottom"/>
            <w:hideMark/>
          </w:tcPr>
          <w:p w14:paraId="6E2A06A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(1.38)</w:t>
            </w:r>
          </w:p>
        </w:tc>
      </w:tr>
      <w:tr w:rsidR="00EE4535" w:rsidRPr="00EE4535" w14:paraId="77812784" w14:textId="77777777" w:rsidTr="00EE4535">
        <w:trPr>
          <w:trHeight w:val="250"/>
          <w:jc w:val="center"/>
        </w:trPr>
        <w:tc>
          <w:tcPr>
            <w:tcW w:w="4460" w:type="dxa"/>
            <w:tcBorders>
              <w:top w:val="nil"/>
              <w:left w:val="nil"/>
              <w:bottom w:val="nil"/>
              <w:right w:val="nil"/>
            </w:tcBorders>
            <w:shd w:val="clear" w:color="auto" w:fill="auto"/>
            <w:vAlign w:val="center"/>
            <w:hideMark/>
          </w:tcPr>
          <w:p w14:paraId="2F51A5BC"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Joint venture</w:t>
            </w:r>
          </w:p>
        </w:tc>
        <w:tc>
          <w:tcPr>
            <w:tcW w:w="1140" w:type="dxa"/>
            <w:tcBorders>
              <w:top w:val="nil"/>
              <w:left w:val="nil"/>
              <w:bottom w:val="nil"/>
              <w:right w:val="nil"/>
            </w:tcBorders>
            <w:shd w:val="clear" w:color="auto" w:fill="auto"/>
            <w:vAlign w:val="center"/>
            <w:hideMark/>
          </w:tcPr>
          <w:p w14:paraId="6A4FFBD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4.30 </w:t>
            </w:r>
          </w:p>
        </w:tc>
        <w:tc>
          <w:tcPr>
            <w:tcW w:w="1140" w:type="dxa"/>
            <w:tcBorders>
              <w:top w:val="nil"/>
              <w:left w:val="nil"/>
              <w:bottom w:val="nil"/>
              <w:right w:val="nil"/>
            </w:tcBorders>
            <w:shd w:val="clear" w:color="auto" w:fill="auto"/>
            <w:vAlign w:val="center"/>
            <w:hideMark/>
          </w:tcPr>
          <w:p w14:paraId="197DE33E"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3.89 </w:t>
            </w:r>
          </w:p>
        </w:tc>
        <w:tc>
          <w:tcPr>
            <w:tcW w:w="1140" w:type="dxa"/>
            <w:tcBorders>
              <w:top w:val="nil"/>
              <w:left w:val="nil"/>
              <w:bottom w:val="nil"/>
              <w:right w:val="nil"/>
            </w:tcBorders>
            <w:shd w:val="clear" w:color="auto" w:fill="auto"/>
            <w:vAlign w:val="center"/>
            <w:hideMark/>
          </w:tcPr>
          <w:p w14:paraId="0D837D78"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4.05 </w:t>
            </w:r>
          </w:p>
        </w:tc>
        <w:tc>
          <w:tcPr>
            <w:tcW w:w="1140" w:type="dxa"/>
            <w:tcBorders>
              <w:top w:val="nil"/>
              <w:left w:val="nil"/>
              <w:bottom w:val="nil"/>
              <w:right w:val="nil"/>
            </w:tcBorders>
            <w:shd w:val="clear" w:color="auto" w:fill="auto"/>
            <w:noWrap/>
            <w:vAlign w:val="bottom"/>
            <w:hideMark/>
          </w:tcPr>
          <w:p w14:paraId="08712410"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4.51 </w:t>
            </w:r>
          </w:p>
        </w:tc>
      </w:tr>
      <w:tr w:rsidR="00EE4535" w:rsidRPr="00EE4535" w14:paraId="4D119FF3" w14:textId="77777777" w:rsidTr="00EE4535">
        <w:trPr>
          <w:trHeight w:val="250"/>
          <w:jc w:val="center"/>
        </w:trPr>
        <w:tc>
          <w:tcPr>
            <w:tcW w:w="4460" w:type="dxa"/>
            <w:tcBorders>
              <w:top w:val="nil"/>
              <w:left w:val="nil"/>
              <w:bottom w:val="nil"/>
              <w:right w:val="nil"/>
            </w:tcBorders>
            <w:shd w:val="clear" w:color="auto" w:fill="auto"/>
            <w:vAlign w:val="center"/>
            <w:hideMark/>
          </w:tcPr>
          <w:p w14:paraId="30D5EB84"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19B8E47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(17.57)</w:t>
            </w:r>
          </w:p>
        </w:tc>
        <w:tc>
          <w:tcPr>
            <w:tcW w:w="1140" w:type="dxa"/>
            <w:tcBorders>
              <w:top w:val="nil"/>
              <w:left w:val="nil"/>
              <w:bottom w:val="nil"/>
              <w:right w:val="nil"/>
            </w:tcBorders>
            <w:shd w:val="clear" w:color="auto" w:fill="auto"/>
            <w:vAlign w:val="center"/>
            <w:hideMark/>
          </w:tcPr>
          <w:p w14:paraId="6521AE4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(10.15)</w:t>
            </w:r>
          </w:p>
        </w:tc>
        <w:tc>
          <w:tcPr>
            <w:tcW w:w="1140" w:type="dxa"/>
            <w:tcBorders>
              <w:top w:val="nil"/>
              <w:left w:val="nil"/>
              <w:bottom w:val="nil"/>
              <w:right w:val="nil"/>
            </w:tcBorders>
            <w:shd w:val="clear" w:color="auto" w:fill="auto"/>
            <w:vAlign w:val="center"/>
            <w:hideMark/>
          </w:tcPr>
          <w:p w14:paraId="5828B097"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(11.01)</w:t>
            </w:r>
          </w:p>
        </w:tc>
        <w:tc>
          <w:tcPr>
            <w:tcW w:w="1140" w:type="dxa"/>
            <w:tcBorders>
              <w:top w:val="nil"/>
              <w:left w:val="nil"/>
              <w:bottom w:val="nil"/>
              <w:right w:val="nil"/>
            </w:tcBorders>
            <w:shd w:val="clear" w:color="auto" w:fill="auto"/>
            <w:noWrap/>
            <w:vAlign w:val="bottom"/>
            <w:hideMark/>
          </w:tcPr>
          <w:p w14:paraId="2C0B6AE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(9.98)</w:t>
            </w:r>
          </w:p>
        </w:tc>
      </w:tr>
      <w:tr w:rsidR="00EE4535" w:rsidRPr="00EE4535" w14:paraId="1588B690" w14:textId="77777777" w:rsidTr="00EE4535">
        <w:trPr>
          <w:trHeight w:val="250"/>
          <w:jc w:val="center"/>
        </w:trPr>
        <w:tc>
          <w:tcPr>
            <w:tcW w:w="4460" w:type="dxa"/>
            <w:tcBorders>
              <w:top w:val="nil"/>
              <w:left w:val="nil"/>
              <w:bottom w:val="nil"/>
              <w:right w:val="nil"/>
            </w:tcBorders>
            <w:shd w:val="clear" w:color="auto" w:fill="auto"/>
            <w:vAlign w:val="center"/>
            <w:hideMark/>
          </w:tcPr>
          <w:p w14:paraId="3831FA4E"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Productivity</w:t>
            </w:r>
          </w:p>
        </w:tc>
        <w:tc>
          <w:tcPr>
            <w:tcW w:w="1140" w:type="dxa"/>
            <w:tcBorders>
              <w:top w:val="nil"/>
              <w:left w:val="nil"/>
              <w:bottom w:val="nil"/>
              <w:right w:val="nil"/>
            </w:tcBorders>
            <w:shd w:val="clear" w:color="auto" w:fill="auto"/>
            <w:vAlign w:val="center"/>
            <w:hideMark/>
          </w:tcPr>
          <w:p w14:paraId="705C51A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-0.23 </w:t>
            </w:r>
          </w:p>
        </w:tc>
        <w:tc>
          <w:tcPr>
            <w:tcW w:w="1140" w:type="dxa"/>
            <w:tcBorders>
              <w:top w:val="nil"/>
              <w:left w:val="nil"/>
              <w:bottom w:val="nil"/>
              <w:right w:val="nil"/>
            </w:tcBorders>
            <w:shd w:val="clear" w:color="auto" w:fill="auto"/>
            <w:vAlign w:val="center"/>
            <w:hideMark/>
          </w:tcPr>
          <w:p w14:paraId="20B68E2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-0.22 </w:t>
            </w:r>
          </w:p>
        </w:tc>
        <w:tc>
          <w:tcPr>
            <w:tcW w:w="1140" w:type="dxa"/>
            <w:tcBorders>
              <w:top w:val="nil"/>
              <w:left w:val="nil"/>
              <w:bottom w:val="nil"/>
              <w:right w:val="nil"/>
            </w:tcBorders>
            <w:shd w:val="clear" w:color="auto" w:fill="auto"/>
            <w:vAlign w:val="center"/>
            <w:hideMark/>
          </w:tcPr>
          <w:p w14:paraId="16773CAA"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-0.27*</w:t>
            </w:r>
          </w:p>
        </w:tc>
        <w:tc>
          <w:tcPr>
            <w:tcW w:w="1140" w:type="dxa"/>
            <w:tcBorders>
              <w:top w:val="nil"/>
              <w:left w:val="nil"/>
              <w:bottom w:val="nil"/>
              <w:right w:val="nil"/>
            </w:tcBorders>
            <w:shd w:val="clear" w:color="auto" w:fill="auto"/>
            <w:noWrap/>
            <w:vAlign w:val="bottom"/>
            <w:hideMark/>
          </w:tcPr>
          <w:p w14:paraId="775F13D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-0.27+</w:t>
            </w:r>
          </w:p>
        </w:tc>
      </w:tr>
      <w:tr w:rsidR="00EE4535" w:rsidRPr="00EE4535" w14:paraId="0CC731F0" w14:textId="77777777" w:rsidTr="00EE4535">
        <w:trPr>
          <w:trHeight w:val="250"/>
          <w:jc w:val="center"/>
        </w:trPr>
        <w:tc>
          <w:tcPr>
            <w:tcW w:w="4460" w:type="dxa"/>
            <w:tcBorders>
              <w:top w:val="nil"/>
              <w:left w:val="nil"/>
              <w:bottom w:val="nil"/>
              <w:right w:val="nil"/>
            </w:tcBorders>
            <w:shd w:val="clear" w:color="auto" w:fill="auto"/>
            <w:vAlign w:val="center"/>
            <w:hideMark/>
          </w:tcPr>
          <w:p w14:paraId="38D0603F"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2D0911A0"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(0.16)</w:t>
            </w:r>
          </w:p>
        </w:tc>
        <w:tc>
          <w:tcPr>
            <w:tcW w:w="1140" w:type="dxa"/>
            <w:tcBorders>
              <w:top w:val="nil"/>
              <w:left w:val="nil"/>
              <w:bottom w:val="nil"/>
              <w:right w:val="nil"/>
            </w:tcBorders>
            <w:shd w:val="clear" w:color="auto" w:fill="auto"/>
            <w:vAlign w:val="center"/>
            <w:hideMark/>
          </w:tcPr>
          <w:p w14:paraId="4FF5FE9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(0.15)</w:t>
            </w:r>
          </w:p>
        </w:tc>
        <w:tc>
          <w:tcPr>
            <w:tcW w:w="1140" w:type="dxa"/>
            <w:tcBorders>
              <w:top w:val="nil"/>
              <w:left w:val="nil"/>
              <w:bottom w:val="nil"/>
              <w:right w:val="nil"/>
            </w:tcBorders>
            <w:shd w:val="clear" w:color="auto" w:fill="auto"/>
            <w:vAlign w:val="center"/>
            <w:hideMark/>
          </w:tcPr>
          <w:p w14:paraId="2B33D98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(0.14)</w:t>
            </w:r>
          </w:p>
        </w:tc>
        <w:tc>
          <w:tcPr>
            <w:tcW w:w="1140" w:type="dxa"/>
            <w:tcBorders>
              <w:top w:val="nil"/>
              <w:left w:val="nil"/>
              <w:bottom w:val="nil"/>
              <w:right w:val="nil"/>
            </w:tcBorders>
            <w:shd w:val="clear" w:color="auto" w:fill="auto"/>
            <w:noWrap/>
            <w:vAlign w:val="bottom"/>
            <w:hideMark/>
          </w:tcPr>
          <w:p w14:paraId="7F2D6D4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(0.14)</w:t>
            </w:r>
          </w:p>
        </w:tc>
      </w:tr>
      <w:tr w:rsidR="00EE4535" w:rsidRPr="00EE4535" w14:paraId="1132E625" w14:textId="77777777" w:rsidTr="00EE4535">
        <w:trPr>
          <w:trHeight w:val="250"/>
          <w:jc w:val="center"/>
        </w:trPr>
        <w:tc>
          <w:tcPr>
            <w:tcW w:w="4460" w:type="dxa"/>
            <w:tcBorders>
              <w:top w:val="nil"/>
              <w:left w:val="nil"/>
              <w:bottom w:val="nil"/>
              <w:right w:val="nil"/>
            </w:tcBorders>
            <w:shd w:val="clear" w:color="auto" w:fill="auto"/>
            <w:vAlign w:val="center"/>
            <w:hideMark/>
          </w:tcPr>
          <w:p w14:paraId="50D38D8B"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Size</w:t>
            </w:r>
          </w:p>
        </w:tc>
        <w:tc>
          <w:tcPr>
            <w:tcW w:w="1140" w:type="dxa"/>
            <w:tcBorders>
              <w:top w:val="nil"/>
              <w:left w:val="nil"/>
              <w:bottom w:val="nil"/>
              <w:right w:val="nil"/>
            </w:tcBorders>
            <w:shd w:val="clear" w:color="auto" w:fill="auto"/>
            <w:vAlign w:val="center"/>
            <w:hideMark/>
          </w:tcPr>
          <w:p w14:paraId="5EE9E0AA"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0.27 </w:t>
            </w:r>
          </w:p>
        </w:tc>
        <w:tc>
          <w:tcPr>
            <w:tcW w:w="1140" w:type="dxa"/>
            <w:tcBorders>
              <w:top w:val="nil"/>
              <w:left w:val="nil"/>
              <w:bottom w:val="nil"/>
              <w:right w:val="nil"/>
            </w:tcBorders>
            <w:shd w:val="clear" w:color="auto" w:fill="auto"/>
            <w:vAlign w:val="center"/>
            <w:hideMark/>
          </w:tcPr>
          <w:p w14:paraId="4D5CCB6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0.22 </w:t>
            </w:r>
          </w:p>
        </w:tc>
        <w:tc>
          <w:tcPr>
            <w:tcW w:w="1140" w:type="dxa"/>
            <w:tcBorders>
              <w:top w:val="nil"/>
              <w:left w:val="nil"/>
              <w:bottom w:val="nil"/>
              <w:right w:val="nil"/>
            </w:tcBorders>
            <w:shd w:val="clear" w:color="auto" w:fill="auto"/>
            <w:vAlign w:val="center"/>
            <w:hideMark/>
          </w:tcPr>
          <w:p w14:paraId="7BF4DD20"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0.15 </w:t>
            </w:r>
          </w:p>
        </w:tc>
        <w:tc>
          <w:tcPr>
            <w:tcW w:w="1140" w:type="dxa"/>
            <w:tcBorders>
              <w:top w:val="nil"/>
              <w:left w:val="nil"/>
              <w:bottom w:val="nil"/>
              <w:right w:val="nil"/>
            </w:tcBorders>
            <w:shd w:val="clear" w:color="auto" w:fill="auto"/>
            <w:noWrap/>
            <w:vAlign w:val="bottom"/>
            <w:hideMark/>
          </w:tcPr>
          <w:p w14:paraId="7BD40E3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0.18 </w:t>
            </w:r>
          </w:p>
        </w:tc>
      </w:tr>
      <w:tr w:rsidR="00EE4535" w:rsidRPr="00EE4535" w14:paraId="48DAE0A0" w14:textId="77777777" w:rsidTr="00EE4535">
        <w:trPr>
          <w:trHeight w:val="250"/>
          <w:jc w:val="center"/>
        </w:trPr>
        <w:tc>
          <w:tcPr>
            <w:tcW w:w="4460" w:type="dxa"/>
            <w:tcBorders>
              <w:top w:val="nil"/>
              <w:left w:val="nil"/>
              <w:bottom w:val="nil"/>
              <w:right w:val="nil"/>
            </w:tcBorders>
            <w:shd w:val="clear" w:color="auto" w:fill="auto"/>
            <w:vAlign w:val="center"/>
            <w:hideMark/>
          </w:tcPr>
          <w:p w14:paraId="68B3E4E4"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5860FBA8"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(0.48)</w:t>
            </w:r>
          </w:p>
        </w:tc>
        <w:tc>
          <w:tcPr>
            <w:tcW w:w="1140" w:type="dxa"/>
            <w:tcBorders>
              <w:top w:val="nil"/>
              <w:left w:val="nil"/>
              <w:bottom w:val="nil"/>
              <w:right w:val="nil"/>
            </w:tcBorders>
            <w:shd w:val="clear" w:color="auto" w:fill="auto"/>
            <w:vAlign w:val="center"/>
            <w:hideMark/>
          </w:tcPr>
          <w:p w14:paraId="1BA34D66"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(0.46)</w:t>
            </w:r>
          </w:p>
        </w:tc>
        <w:tc>
          <w:tcPr>
            <w:tcW w:w="1140" w:type="dxa"/>
            <w:tcBorders>
              <w:top w:val="nil"/>
              <w:left w:val="nil"/>
              <w:bottom w:val="nil"/>
              <w:right w:val="nil"/>
            </w:tcBorders>
            <w:shd w:val="clear" w:color="auto" w:fill="auto"/>
            <w:vAlign w:val="center"/>
            <w:hideMark/>
          </w:tcPr>
          <w:p w14:paraId="62DD1513"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(0.52)</w:t>
            </w:r>
          </w:p>
        </w:tc>
        <w:tc>
          <w:tcPr>
            <w:tcW w:w="1140" w:type="dxa"/>
            <w:tcBorders>
              <w:top w:val="nil"/>
              <w:left w:val="nil"/>
              <w:bottom w:val="nil"/>
              <w:right w:val="nil"/>
            </w:tcBorders>
            <w:shd w:val="clear" w:color="auto" w:fill="auto"/>
            <w:noWrap/>
            <w:vAlign w:val="bottom"/>
            <w:hideMark/>
          </w:tcPr>
          <w:p w14:paraId="567E5DA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(0.51)</w:t>
            </w:r>
          </w:p>
        </w:tc>
      </w:tr>
      <w:tr w:rsidR="00EE4535" w:rsidRPr="00EE4535" w14:paraId="6F39D7D7" w14:textId="77777777" w:rsidTr="00EE4535">
        <w:trPr>
          <w:trHeight w:val="250"/>
          <w:jc w:val="center"/>
        </w:trPr>
        <w:tc>
          <w:tcPr>
            <w:tcW w:w="4460" w:type="dxa"/>
            <w:tcBorders>
              <w:top w:val="nil"/>
              <w:left w:val="nil"/>
              <w:bottom w:val="nil"/>
              <w:right w:val="nil"/>
            </w:tcBorders>
            <w:shd w:val="clear" w:color="auto" w:fill="auto"/>
            <w:vAlign w:val="center"/>
            <w:hideMark/>
          </w:tcPr>
          <w:p w14:paraId="0FE82CA0" w14:textId="77777777" w:rsidR="00EE4535" w:rsidRPr="00EE4535" w:rsidRDefault="00EE4535" w:rsidP="00EE4535">
            <w:pPr>
              <w:spacing w:after="0" w:line="240" w:lineRule="auto"/>
              <w:rPr>
                <w:rFonts w:eastAsia="Times New Roman"/>
                <w:b/>
                <w:bCs/>
                <w:color w:val="000000"/>
                <w:sz w:val="22"/>
                <w:szCs w:val="22"/>
              </w:rPr>
            </w:pPr>
            <w:r w:rsidRPr="00EE4535">
              <w:rPr>
                <w:rFonts w:eastAsia="Times New Roman"/>
                <w:b/>
                <w:bCs/>
                <w:color w:val="000000"/>
                <w:sz w:val="22"/>
                <w:szCs w:val="22"/>
              </w:rPr>
              <w:t>Focal Independent Variables</w:t>
            </w:r>
          </w:p>
        </w:tc>
        <w:tc>
          <w:tcPr>
            <w:tcW w:w="1140" w:type="dxa"/>
            <w:tcBorders>
              <w:top w:val="nil"/>
              <w:left w:val="nil"/>
              <w:bottom w:val="nil"/>
              <w:right w:val="nil"/>
            </w:tcBorders>
            <w:shd w:val="clear" w:color="auto" w:fill="auto"/>
            <w:vAlign w:val="center"/>
            <w:hideMark/>
          </w:tcPr>
          <w:p w14:paraId="5904A913" w14:textId="77777777" w:rsidR="00EE4535" w:rsidRPr="00EE4535" w:rsidRDefault="00EE4535" w:rsidP="00EE4535">
            <w:pPr>
              <w:spacing w:after="0" w:line="240" w:lineRule="auto"/>
              <w:rPr>
                <w:rFonts w:eastAsia="Times New Roman"/>
                <w:b/>
                <w:bCs/>
                <w:color w:val="000000"/>
                <w:sz w:val="22"/>
                <w:szCs w:val="22"/>
              </w:rPr>
            </w:pPr>
          </w:p>
        </w:tc>
        <w:tc>
          <w:tcPr>
            <w:tcW w:w="1140" w:type="dxa"/>
            <w:tcBorders>
              <w:top w:val="nil"/>
              <w:left w:val="nil"/>
              <w:bottom w:val="nil"/>
              <w:right w:val="nil"/>
            </w:tcBorders>
            <w:shd w:val="clear" w:color="auto" w:fill="auto"/>
            <w:vAlign w:val="center"/>
            <w:hideMark/>
          </w:tcPr>
          <w:p w14:paraId="22D72B86"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33AD838E"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noWrap/>
            <w:vAlign w:val="bottom"/>
            <w:hideMark/>
          </w:tcPr>
          <w:p w14:paraId="229CAA31" w14:textId="77777777" w:rsidR="00EE4535" w:rsidRPr="00EE4535" w:rsidRDefault="00EE4535" w:rsidP="00EE4535">
            <w:pPr>
              <w:spacing w:after="0" w:line="240" w:lineRule="auto"/>
              <w:jc w:val="center"/>
              <w:rPr>
                <w:rFonts w:eastAsia="Times New Roman"/>
                <w:sz w:val="20"/>
                <w:szCs w:val="20"/>
              </w:rPr>
            </w:pPr>
          </w:p>
        </w:tc>
      </w:tr>
      <w:tr w:rsidR="00EE4535" w:rsidRPr="00EE4535" w14:paraId="0A337CCB" w14:textId="77777777" w:rsidTr="00EE4535">
        <w:trPr>
          <w:trHeight w:val="250"/>
          <w:jc w:val="center"/>
        </w:trPr>
        <w:tc>
          <w:tcPr>
            <w:tcW w:w="4460" w:type="dxa"/>
            <w:tcBorders>
              <w:top w:val="nil"/>
              <w:left w:val="nil"/>
              <w:bottom w:val="nil"/>
              <w:right w:val="nil"/>
            </w:tcBorders>
            <w:shd w:val="clear" w:color="auto" w:fill="auto"/>
            <w:vAlign w:val="center"/>
            <w:hideMark/>
          </w:tcPr>
          <w:p w14:paraId="191A3C3C"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King's foreign honors</w:t>
            </w:r>
          </w:p>
        </w:tc>
        <w:tc>
          <w:tcPr>
            <w:tcW w:w="1140" w:type="dxa"/>
            <w:tcBorders>
              <w:top w:val="nil"/>
              <w:left w:val="nil"/>
              <w:bottom w:val="nil"/>
              <w:right w:val="nil"/>
            </w:tcBorders>
            <w:shd w:val="clear" w:color="auto" w:fill="auto"/>
            <w:vAlign w:val="center"/>
            <w:hideMark/>
          </w:tcPr>
          <w:p w14:paraId="1E857748"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-0.34</w:t>
            </w:r>
          </w:p>
        </w:tc>
        <w:tc>
          <w:tcPr>
            <w:tcW w:w="1140" w:type="dxa"/>
            <w:tcBorders>
              <w:top w:val="nil"/>
              <w:left w:val="nil"/>
              <w:bottom w:val="nil"/>
              <w:right w:val="nil"/>
            </w:tcBorders>
            <w:shd w:val="clear" w:color="auto" w:fill="auto"/>
            <w:vAlign w:val="center"/>
            <w:hideMark/>
          </w:tcPr>
          <w:p w14:paraId="013DC27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-0.42</w:t>
            </w:r>
          </w:p>
        </w:tc>
        <w:tc>
          <w:tcPr>
            <w:tcW w:w="1140" w:type="dxa"/>
            <w:tcBorders>
              <w:top w:val="nil"/>
              <w:left w:val="nil"/>
              <w:bottom w:val="nil"/>
              <w:right w:val="nil"/>
            </w:tcBorders>
            <w:shd w:val="clear" w:color="auto" w:fill="auto"/>
            <w:vAlign w:val="center"/>
            <w:hideMark/>
          </w:tcPr>
          <w:p w14:paraId="39597F9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-0.46</w:t>
            </w:r>
          </w:p>
        </w:tc>
        <w:tc>
          <w:tcPr>
            <w:tcW w:w="1140" w:type="dxa"/>
            <w:tcBorders>
              <w:top w:val="nil"/>
              <w:left w:val="nil"/>
              <w:bottom w:val="nil"/>
              <w:right w:val="nil"/>
            </w:tcBorders>
            <w:shd w:val="clear" w:color="auto" w:fill="auto"/>
            <w:vAlign w:val="center"/>
            <w:hideMark/>
          </w:tcPr>
          <w:p w14:paraId="39804DB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-0.15</w:t>
            </w:r>
          </w:p>
        </w:tc>
      </w:tr>
      <w:tr w:rsidR="00EE4535" w:rsidRPr="00EE4535" w14:paraId="47172FFC" w14:textId="77777777" w:rsidTr="00EE4535">
        <w:trPr>
          <w:trHeight w:val="250"/>
          <w:jc w:val="center"/>
        </w:trPr>
        <w:tc>
          <w:tcPr>
            <w:tcW w:w="4460" w:type="dxa"/>
            <w:tcBorders>
              <w:top w:val="nil"/>
              <w:left w:val="nil"/>
              <w:bottom w:val="nil"/>
              <w:right w:val="nil"/>
            </w:tcBorders>
            <w:shd w:val="clear" w:color="auto" w:fill="auto"/>
            <w:vAlign w:val="center"/>
            <w:hideMark/>
          </w:tcPr>
          <w:p w14:paraId="74473A81"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6B9C60FE"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(0.56)</w:t>
            </w:r>
          </w:p>
        </w:tc>
        <w:tc>
          <w:tcPr>
            <w:tcW w:w="1140" w:type="dxa"/>
            <w:tcBorders>
              <w:top w:val="nil"/>
              <w:left w:val="nil"/>
              <w:bottom w:val="nil"/>
              <w:right w:val="nil"/>
            </w:tcBorders>
            <w:shd w:val="clear" w:color="auto" w:fill="auto"/>
            <w:vAlign w:val="center"/>
            <w:hideMark/>
          </w:tcPr>
          <w:p w14:paraId="6941F378"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(0.55)</w:t>
            </w:r>
          </w:p>
        </w:tc>
        <w:tc>
          <w:tcPr>
            <w:tcW w:w="1140" w:type="dxa"/>
            <w:tcBorders>
              <w:top w:val="nil"/>
              <w:left w:val="nil"/>
              <w:bottom w:val="nil"/>
              <w:right w:val="nil"/>
            </w:tcBorders>
            <w:shd w:val="clear" w:color="auto" w:fill="auto"/>
            <w:vAlign w:val="center"/>
            <w:hideMark/>
          </w:tcPr>
          <w:p w14:paraId="222644E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(0.57)</w:t>
            </w:r>
          </w:p>
        </w:tc>
        <w:tc>
          <w:tcPr>
            <w:tcW w:w="1140" w:type="dxa"/>
            <w:tcBorders>
              <w:top w:val="nil"/>
              <w:left w:val="nil"/>
              <w:bottom w:val="nil"/>
              <w:right w:val="nil"/>
            </w:tcBorders>
            <w:shd w:val="clear" w:color="auto" w:fill="auto"/>
            <w:vAlign w:val="center"/>
            <w:hideMark/>
          </w:tcPr>
          <w:p w14:paraId="312DDA2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(0.56)</w:t>
            </w:r>
          </w:p>
        </w:tc>
      </w:tr>
      <w:tr w:rsidR="00EE4535" w:rsidRPr="00EE4535" w14:paraId="2418DCD8" w14:textId="77777777" w:rsidTr="00EE4535">
        <w:trPr>
          <w:trHeight w:val="250"/>
          <w:jc w:val="center"/>
        </w:trPr>
        <w:tc>
          <w:tcPr>
            <w:tcW w:w="4460" w:type="dxa"/>
            <w:tcBorders>
              <w:top w:val="nil"/>
              <w:left w:val="nil"/>
              <w:bottom w:val="nil"/>
              <w:right w:val="nil"/>
            </w:tcBorders>
            <w:shd w:val="clear" w:color="auto" w:fill="auto"/>
            <w:vAlign w:val="center"/>
            <w:hideMark/>
          </w:tcPr>
          <w:p w14:paraId="5F98AF43"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Prince's military influence</w:t>
            </w:r>
          </w:p>
        </w:tc>
        <w:tc>
          <w:tcPr>
            <w:tcW w:w="1140" w:type="dxa"/>
            <w:tcBorders>
              <w:top w:val="nil"/>
              <w:left w:val="nil"/>
              <w:bottom w:val="nil"/>
              <w:right w:val="nil"/>
            </w:tcBorders>
            <w:shd w:val="clear" w:color="auto" w:fill="auto"/>
            <w:vAlign w:val="center"/>
            <w:hideMark/>
          </w:tcPr>
          <w:p w14:paraId="7F887993"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1.14</w:t>
            </w:r>
          </w:p>
        </w:tc>
        <w:tc>
          <w:tcPr>
            <w:tcW w:w="1140" w:type="dxa"/>
            <w:tcBorders>
              <w:top w:val="nil"/>
              <w:left w:val="nil"/>
              <w:bottom w:val="nil"/>
              <w:right w:val="nil"/>
            </w:tcBorders>
            <w:shd w:val="clear" w:color="auto" w:fill="auto"/>
            <w:vAlign w:val="center"/>
            <w:hideMark/>
          </w:tcPr>
          <w:p w14:paraId="31ACED3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1.29</w:t>
            </w:r>
          </w:p>
        </w:tc>
        <w:tc>
          <w:tcPr>
            <w:tcW w:w="1140" w:type="dxa"/>
            <w:tcBorders>
              <w:top w:val="nil"/>
              <w:left w:val="nil"/>
              <w:bottom w:val="nil"/>
              <w:right w:val="nil"/>
            </w:tcBorders>
            <w:shd w:val="clear" w:color="auto" w:fill="auto"/>
            <w:vAlign w:val="center"/>
            <w:hideMark/>
          </w:tcPr>
          <w:p w14:paraId="521652A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0.37</w:t>
            </w:r>
          </w:p>
        </w:tc>
        <w:tc>
          <w:tcPr>
            <w:tcW w:w="1140" w:type="dxa"/>
            <w:tcBorders>
              <w:top w:val="nil"/>
              <w:left w:val="nil"/>
              <w:bottom w:val="nil"/>
              <w:right w:val="nil"/>
            </w:tcBorders>
            <w:shd w:val="clear" w:color="auto" w:fill="auto"/>
            <w:vAlign w:val="center"/>
            <w:hideMark/>
          </w:tcPr>
          <w:p w14:paraId="3D6D45B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2.70</w:t>
            </w:r>
          </w:p>
        </w:tc>
      </w:tr>
      <w:tr w:rsidR="00EE4535" w:rsidRPr="00EE4535" w14:paraId="7131C27E" w14:textId="77777777" w:rsidTr="00EE4535">
        <w:trPr>
          <w:trHeight w:val="250"/>
          <w:jc w:val="center"/>
        </w:trPr>
        <w:tc>
          <w:tcPr>
            <w:tcW w:w="4460" w:type="dxa"/>
            <w:tcBorders>
              <w:top w:val="nil"/>
              <w:left w:val="nil"/>
              <w:bottom w:val="nil"/>
              <w:right w:val="nil"/>
            </w:tcBorders>
            <w:shd w:val="clear" w:color="auto" w:fill="auto"/>
            <w:vAlign w:val="center"/>
            <w:hideMark/>
          </w:tcPr>
          <w:p w14:paraId="68DD1000"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03BBBF6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(4.41)</w:t>
            </w:r>
          </w:p>
        </w:tc>
        <w:tc>
          <w:tcPr>
            <w:tcW w:w="1140" w:type="dxa"/>
            <w:tcBorders>
              <w:top w:val="nil"/>
              <w:left w:val="nil"/>
              <w:bottom w:val="nil"/>
              <w:right w:val="nil"/>
            </w:tcBorders>
            <w:shd w:val="clear" w:color="auto" w:fill="auto"/>
            <w:vAlign w:val="center"/>
            <w:hideMark/>
          </w:tcPr>
          <w:p w14:paraId="54AB4988"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(4.35)</w:t>
            </w:r>
          </w:p>
        </w:tc>
        <w:tc>
          <w:tcPr>
            <w:tcW w:w="1140" w:type="dxa"/>
            <w:tcBorders>
              <w:top w:val="nil"/>
              <w:left w:val="nil"/>
              <w:bottom w:val="nil"/>
              <w:right w:val="nil"/>
            </w:tcBorders>
            <w:shd w:val="clear" w:color="auto" w:fill="auto"/>
            <w:vAlign w:val="center"/>
            <w:hideMark/>
          </w:tcPr>
          <w:p w14:paraId="4A30C23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(3.51)</w:t>
            </w:r>
          </w:p>
        </w:tc>
        <w:tc>
          <w:tcPr>
            <w:tcW w:w="1140" w:type="dxa"/>
            <w:tcBorders>
              <w:top w:val="nil"/>
              <w:left w:val="nil"/>
              <w:bottom w:val="nil"/>
              <w:right w:val="nil"/>
            </w:tcBorders>
            <w:shd w:val="clear" w:color="auto" w:fill="auto"/>
            <w:vAlign w:val="center"/>
            <w:hideMark/>
          </w:tcPr>
          <w:p w14:paraId="4B96BF32"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(6.10)</w:t>
            </w:r>
          </w:p>
        </w:tc>
      </w:tr>
      <w:tr w:rsidR="00EE4535" w:rsidRPr="00EE4535" w14:paraId="3680D987" w14:textId="77777777" w:rsidTr="00EE4535">
        <w:trPr>
          <w:trHeight w:val="250"/>
          <w:jc w:val="center"/>
        </w:trPr>
        <w:tc>
          <w:tcPr>
            <w:tcW w:w="4460" w:type="dxa"/>
            <w:tcBorders>
              <w:top w:val="nil"/>
              <w:left w:val="nil"/>
              <w:bottom w:val="nil"/>
              <w:right w:val="nil"/>
            </w:tcBorders>
            <w:shd w:val="clear" w:color="auto" w:fill="auto"/>
            <w:vAlign w:val="center"/>
            <w:hideMark/>
          </w:tcPr>
          <w:p w14:paraId="1CFF5A1B" w14:textId="77777777" w:rsidR="00EE4535" w:rsidRPr="00EE4535" w:rsidRDefault="00EE4535" w:rsidP="00EE4535">
            <w:pPr>
              <w:spacing w:after="0" w:line="240" w:lineRule="auto"/>
              <w:rPr>
                <w:rFonts w:eastAsia="Times New Roman"/>
                <w:sz w:val="22"/>
                <w:szCs w:val="22"/>
              </w:rPr>
            </w:pPr>
            <w:r w:rsidRPr="00EE4535">
              <w:rPr>
                <w:rFonts w:eastAsia="Times New Roman"/>
                <w:sz w:val="22"/>
                <w:szCs w:val="22"/>
              </w:rPr>
              <w:t>King-Prince differences</w:t>
            </w:r>
          </w:p>
        </w:tc>
        <w:tc>
          <w:tcPr>
            <w:tcW w:w="1140" w:type="dxa"/>
            <w:tcBorders>
              <w:top w:val="nil"/>
              <w:left w:val="nil"/>
              <w:bottom w:val="nil"/>
              <w:right w:val="nil"/>
            </w:tcBorders>
            <w:shd w:val="clear" w:color="auto" w:fill="auto"/>
            <w:vAlign w:val="center"/>
            <w:hideMark/>
          </w:tcPr>
          <w:p w14:paraId="0B307AE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-6.35</w:t>
            </w:r>
          </w:p>
        </w:tc>
        <w:tc>
          <w:tcPr>
            <w:tcW w:w="1140" w:type="dxa"/>
            <w:tcBorders>
              <w:top w:val="nil"/>
              <w:left w:val="nil"/>
              <w:bottom w:val="nil"/>
              <w:right w:val="nil"/>
            </w:tcBorders>
            <w:shd w:val="clear" w:color="auto" w:fill="auto"/>
            <w:vAlign w:val="center"/>
            <w:hideMark/>
          </w:tcPr>
          <w:p w14:paraId="5DE6BEA3"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-6.13</w:t>
            </w:r>
          </w:p>
        </w:tc>
        <w:tc>
          <w:tcPr>
            <w:tcW w:w="1140" w:type="dxa"/>
            <w:tcBorders>
              <w:top w:val="nil"/>
              <w:left w:val="nil"/>
              <w:bottom w:val="nil"/>
              <w:right w:val="nil"/>
            </w:tcBorders>
            <w:shd w:val="clear" w:color="auto" w:fill="auto"/>
            <w:vAlign w:val="center"/>
            <w:hideMark/>
          </w:tcPr>
          <w:p w14:paraId="782C563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-2.77</w:t>
            </w:r>
          </w:p>
        </w:tc>
        <w:tc>
          <w:tcPr>
            <w:tcW w:w="1140" w:type="dxa"/>
            <w:tcBorders>
              <w:top w:val="nil"/>
              <w:left w:val="nil"/>
              <w:bottom w:val="nil"/>
              <w:right w:val="nil"/>
            </w:tcBorders>
            <w:shd w:val="clear" w:color="auto" w:fill="auto"/>
            <w:vAlign w:val="center"/>
            <w:hideMark/>
          </w:tcPr>
          <w:p w14:paraId="57F393F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-5.63</w:t>
            </w:r>
          </w:p>
        </w:tc>
      </w:tr>
      <w:tr w:rsidR="00EE4535" w:rsidRPr="00EE4535" w14:paraId="7B0E8D90" w14:textId="77777777" w:rsidTr="00EE4535">
        <w:trPr>
          <w:trHeight w:val="250"/>
          <w:jc w:val="center"/>
        </w:trPr>
        <w:tc>
          <w:tcPr>
            <w:tcW w:w="4460" w:type="dxa"/>
            <w:tcBorders>
              <w:top w:val="nil"/>
              <w:left w:val="nil"/>
              <w:bottom w:val="nil"/>
              <w:right w:val="nil"/>
            </w:tcBorders>
            <w:shd w:val="clear" w:color="auto" w:fill="auto"/>
            <w:vAlign w:val="center"/>
            <w:hideMark/>
          </w:tcPr>
          <w:p w14:paraId="0825E59D"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30E67C2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(4.99)</w:t>
            </w:r>
          </w:p>
        </w:tc>
        <w:tc>
          <w:tcPr>
            <w:tcW w:w="1140" w:type="dxa"/>
            <w:tcBorders>
              <w:top w:val="nil"/>
              <w:left w:val="nil"/>
              <w:bottom w:val="nil"/>
              <w:right w:val="nil"/>
            </w:tcBorders>
            <w:shd w:val="clear" w:color="auto" w:fill="auto"/>
            <w:vAlign w:val="center"/>
            <w:hideMark/>
          </w:tcPr>
          <w:p w14:paraId="1535758E"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(5.29)</w:t>
            </w:r>
          </w:p>
        </w:tc>
        <w:tc>
          <w:tcPr>
            <w:tcW w:w="1140" w:type="dxa"/>
            <w:tcBorders>
              <w:top w:val="nil"/>
              <w:left w:val="nil"/>
              <w:bottom w:val="nil"/>
              <w:right w:val="nil"/>
            </w:tcBorders>
            <w:shd w:val="clear" w:color="auto" w:fill="auto"/>
            <w:vAlign w:val="center"/>
            <w:hideMark/>
          </w:tcPr>
          <w:p w14:paraId="3EEB817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(5.00)</w:t>
            </w:r>
          </w:p>
        </w:tc>
        <w:tc>
          <w:tcPr>
            <w:tcW w:w="1140" w:type="dxa"/>
            <w:tcBorders>
              <w:top w:val="nil"/>
              <w:left w:val="nil"/>
              <w:bottom w:val="nil"/>
              <w:right w:val="nil"/>
            </w:tcBorders>
            <w:shd w:val="clear" w:color="auto" w:fill="auto"/>
            <w:vAlign w:val="center"/>
            <w:hideMark/>
          </w:tcPr>
          <w:p w14:paraId="6BD23A2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(5.56)</w:t>
            </w:r>
          </w:p>
        </w:tc>
      </w:tr>
      <w:tr w:rsidR="00EE4535" w:rsidRPr="00EE4535" w14:paraId="6ED55668" w14:textId="77777777" w:rsidTr="00EE4535">
        <w:trPr>
          <w:trHeight w:val="250"/>
          <w:jc w:val="center"/>
        </w:trPr>
        <w:tc>
          <w:tcPr>
            <w:tcW w:w="4460" w:type="dxa"/>
            <w:tcBorders>
              <w:top w:val="nil"/>
              <w:left w:val="nil"/>
              <w:bottom w:val="nil"/>
              <w:right w:val="nil"/>
            </w:tcBorders>
            <w:shd w:val="clear" w:color="auto" w:fill="auto"/>
            <w:vAlign w:val="center"/>
            <w:hideMark/>
          </w:tcPr>
          <w:p w14:paraId="7859B695"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Succession</w:t>
            </w:r>
          </w:p>
        </w:tc>
        <w:tc>
          <w:tcPr>
            <w:tcW w:w="1140" w:type="dxa"/>
            <w:tcBorders>
              <w:top w:val="nil"/>
              <w:left w:val="nil"/>
              <w:bottom w:val="nil"/>
              <w:right w:val="nil"/>
            </w:tcBorders>
            <w:shd w:val="clear" w:color="auto" w:fill="auto"/>
            <w:vAlign w:val="center"/>
            <w:hideMark/>
          </w:tcPr>
          <w:p w14:paraId="24BE7A47"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3.19**</w:t>
            </w:r>
          </w:p>
        </w:tc>
        <w:tc>
          <w:tcPr>
            <w:tcW w:w="1140" w:type="dxa"/>
            <w:tcBorders>
              <w:top w:val="nil"/>
              <w:left w:val="nil"/>
              <w:bottom w:val="nil"/>
              <w:right w:val="nil"/>
            </w:tcBorders>
            <w:shd w:val="clear" w:color="auto" w:fill="auto"/>
            <w:vAlign w:val="center"/>
            <w:hideMark/>
          </w:tcPr>
          <w:p w14:paraId="3A65AAEB"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695ACAE4"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5B267EA5" w14:textId="77777777" w:rsidR="00EE4535" w:rsidRPr="00EE4535" w:rsidRDefault="00EE4535" w:rsidP="00EE4535">
            <w:pPr>
              <w:spacing w:after="0" w:line="240" w:lineRule="auto"/>
              <w:jc w:val="center"/>
              <w:rPr>
                <w:rFonts w:eastAsia="Times New Roman"/>
                <w:sz w:val="20"/>
                <w:szCs w:val="20"/>
              </w:rPr>
            </w:pPr>
          </w:p>
        </w:tc>
      </w:tr>
      <w:tr w:rsidR="00EE4535" w:rsidRPr="00EE4535" w14:paraId="40813D11" w14:textId="77777777" w:rsidTr="00EE4535">
        <w:trPr>
          <w:trHeight w:val="250"/>
          <w:jc w:val="center"/>
        </w:trPr>
        <w:tc>
          <w:tcPr>
            <w:tcW w:w="4460" w:type="dxa"/>
            <w:tcBorders>
              <w:top w:val="nil"/>
              <w:left w:val="nil"/>
              <w:bottom w:val="nil"/>
              <w:right w:val="nil"/>
            </w:tcBorders>
            <w:shd w:val="clear" w:color="auto" w:fill="auto"/>
            <w:vAlign w:val="center"/>
            <w:hideMark/>
          </w:tcPr>
          <w:p w14:paraId="0960C527"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607815E6"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(0.99)</w:t>
            </w:r>
          </w:p>
        </w:tc>
        <w:tc>
          <w:tcPr>
            <w:tcW w:w="1140" w:type="dxa"/>
            <w:tcBorders>
              <w:top w:val="nil"/>
              <w:left w:val="nil"/>
              <w:bottom w:val="nil"/>
              <w:right w:val="nil"/>
            </w:tcBorders>
            <w:shd w:val="clear" w:color="auto" w:fill="auto"/>
            <w:vAlign w:val="center"/>
            <w:hideMark/>
          </w:tcPr>
          <w:p w14:paraId="79ED0340"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14A2A145"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3E1180A6" w14:textId="77777777" w:rsidR="00EE4535" w:rsidRPr="00EE4535" w:rsidRDefault="00EE4535" w:rsidP="00EE4535">
            <w:pPr>
              <w:spacing w:after="0" w:line="240" w:lineRule="auto"/>
              <w:jc w:val="center"/>
              <w:rPr>
                <w:rFonts w:eastAsia="Times New Roman"/>
                <w:sz w:val="20"/>
                <w:szCs w:val="20"/>
              </w:rPr>
            </w:pPr>
          </w:p>
        </w:tc>
      </w:tr>
      <w:tr w:rsidR="00EE4535" w:rsidRPr="00EE4535" w14:paraId="69120BE1" w14:textId="77777777" w:rsidTr="00EE4535">
        <w:trPr>
          <w:trHeight w:val="250"/>
          <w:jc w:val="center"/>
        </w:trPr>
        <w:tc>
          <w:tcPr>
            <w:tcW w:w="4460" w:type="dxa"/>
            <w:tcBorders>
              <w:top w:val="nil"/>
              <w:left w:val="nil"/>
              <w:bottom w:val="nil"/>
              <w:right w:val="nil"/>
            </w:tcBorders>
            <w:shd w:val="clear" w:color="auto" w:fill="auto"/>
            <w:vAlign w:val="center"/>
            <w:hideMark/>
          </w:tcPr>
          <w:p w14:paraId="39108A12"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Hereditary succession</w:t>
            </w:r>
          </w:p>
        </w:tc>
        <w:tc>
          <w:tcPr>
            <w:tcW w:w="1140" w:type="dxa"/>
            <w:tcBorders>
              <w:top w:val="nil"/>
              <w:left w:val="nil"/>
              <w:bottom w:val="nil"/>
              <w:right w:val="nil"/>
            </w:tcBorders>
            <w:shd w:val="clear" w:color="auto" w:fill="auto"/>
            <w:vAlign w:val="center"/>
            <w:hideMark/>
          </w:tcPr>
          <w:p w14:paraId="4A8DA6A9" w14:textId="77777777" w:rsidR="00EE4535" w:rsidRPr="00EE4535" w:rsidRDefault="00EE4535" w:rsidP="00EE4535">
            <w:pPr>
              <w:spacing w:after="0" w:line="240" w:lineRule="auto"/>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373F7E3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xml:space="preserve">2.09 </w:t>
            </w:r>
          </w:p>
        </w:tc>
        <w:tc>
          <w:tcPr>
            <w:tcW w:w="1140" w:type="dxa"/>
            <w:tcBorders>
              <w:top w:val="nil"/>
              <w:left w:val="nil"/>
              <w:bottom w:val="nil"/>
              <w:right w:val="nil"/>
            </w:tcBorders>
            <w:shd w:val="clear" w:color="auto" w:fill="auto"/>
            <w:vAlign w:val="center"/>
            <w:hideMark/>
          </w:tcPr>
          <w:p w14:paraId="19DA794C"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6D6C269B" w14:textId="77777777" w:rsidR="00EE4535" w:rsidRPr="00EE4535" w:rsidRDefault="00EE4535" w:rsidP="00EE4535">
            <w:pPr>
              <w:spacing w:after="0" w:line="240" w:lineRule="auto"/>
              <w:jc w:val="center"/>
              <w:rPr>
                <w:rFonts w:eastAsia="Times New Roman"/>
                <w:sz w:val="20"/>
                <w:szCs w:val="20"/>
              </w:rPr>
            </w:pPr>
          </w:p>
        </w:tc>
      </w:tr>
      <w:tr w:rsidR="00EE4535" w:rsidRPr="00EE4535" w14:paraId="7D141E6F" w14:textId="77777777" w:rsidTr="00EE4535">
        <w:trPr>
          <w:trHeight w:val="250"/>
          <w:jc w:val="center"/>
        </w:trPr>
        <w:tc>
          <w:tcPr>
            <w:tcW w:w="4460" w:type="dxa"/>
            <w:tcBorders>
              <w:top w:val="nil"/>
              <w:left w:val="nil"/>
              <w:bottom w:val="nil"/>
              <w:right w:val="nil"/>
            </w:tcBorders>
            <w:shd w:val="clear" w:color="auto" w:fill="auto"/>
            <w:vAlign w:val="center"/>
            <w:hideMark/>
          </w:tcPr>
          <w:p w14:paraId="745EB570"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70638FCE" w14:textId="77777777" w:rsidR="00EE4535" w:rsidRPr="00EE4535" w:rsidRDefault="00EE4535" w:rsidP="00EE4535">
            <w:pPr>
              <w:spacing w:after="0" w:line="240" w:lineRule="auto"/>
              <w:rPr>
                <w:rFonts w:eastAsia="Times New Roman"/>
                <w:sz w:val="20"/>
                <w:szCs w:val="20"/>
              </w:rPr>
            </w:pPr>
          </w:p>
        </w:tc>
        <w:tc>
          <w:tcPr>
            <w:tcW w:w="1140" w:type="dxa"/>
            <w:tcBorders>
              <w:top w:val="nil"/>
              <w:left w:val="nil"/>
              <w:bottom w:val="nil"/>
              <w:right w:val="nil"/>
            </w:tcBorders>
            <w:shd w:val="clear" w:color="auto" w:fill="auto"/>
            <w:vAlign w:val="center"/>
            <w:hideMark/>
          </w:tcPr>
          <w:p w14:paraId="3690D76F"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(1.31)</w:t>
            </w:r>
          </w:p>
        </w:tc>
        <w:tc>
          <w:tcPr>
            <w:tcW w:w="1140" w:type="dxa"/>
            <w:tcBorders>
              <w:top w:val="nil"/>
              <w:left w:val="nil"/>
              <w:bottom w:val="nil"/>
              <w:right w:val="nil"/>
            </w:tcBorders>
            <w:shd w:val="clear" w:color="auto" w:fill="auto"/>
            <w:vAlign w:val="center"/>
            <w:hideMark/>
          </w:tcPr>
          <w:p w14:paraId="6DA59211" w14:textId="77777777" w:rsidR="00EE4535" w:rsidRPr="00EE4535" w:rsidRDefault="00EE4535" w:rsidP="00EE4535">
            <w:pPr>
              <w:spacing w:after="0" w:line="240" w:lineRule="auto"/>
              <w:jc w:val="center"/>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03E180BA" w14:textId="77777777" w:rsidR="00EE4535" w:rsidRPr="00EE4535" w:rsidRDefault="00EE4535" w:rsidP="00EE4535">
            <w:pPr>
              <w:spacing w:after="0" w:line="240" w:lineRule="auto"/>
              <w:jc w:val="center"/>
              <w:rPr>
                <w:rFonts w:eastAsia="Times New Roman"/>
                <w:sz w:val="20"/>
                <w:szCs w:val="20"/>
              </w:rPr>
            </w:pPr>
          </w:p>
        </w:tc>
      </w:tr>
      <w:tr w:rsidR="00EE4535" w:rsidRPr="00EE4535" w14:paraId="49126AA2" w14:textId="77777777" w:rsidTr="00EE4535">
        <w:trPr>
          <w:trHeight w:val="250"/>
          <w:jc w:val="center"/>
        </w:trPr>
        <w:tc>
          <w:tcPr>
            <w:tcW w:w="4460" w:type="dxa"/>
            <w:tcBorders>
              <w:top w:val="nil"/>
              <w:left w:val="nil"/>
              <w:bottom w:val="nil"/>
              <w:right w:val="nil"/>
            </w:tcBorders>
            <w:shd w:val="clear" w:color="auto" w:fill="auto"/>
            <w:vAlign w:val="center"/>
            <w:hideMark/>
          </w:tcPr>
          <w:p w14:paraId="07E07161"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Fraternal succession</w:t>
            </w:r>
          </w:p>
        </w:tc>
        <w:tc>
          <w:tcPr>
            <w:tcW w:w="1140" w:type="dxa"/>
            <w:tcBorders>
              <w:top w:val="nil"/>
              <w:left w:val="nil"/>
              <w:bottom w:val="nil"/>
              <w:right w:val="nil"/>
            </w:tcBorders>
            <w:shd w:val="clear" w:color="auto" w:fill="auto"/>
            <w:vAlign w:val="center"/>
            <w:hideMark/>
          </w:tcPr>
          <w:p w14:paraId="486A3CD3" w14:textId="77777777" w:rsidR="00EE4535" w:rsidRPr="00EE4535" w:rsidRDefault="00EE4535" w:rsidP="00EE4535">
            <w:pPr>
              <w:spacing w:after="0" w:line="240" w:lineRule="auto"/>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2EAC5966"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24EE635E"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5.80+</w:t>
            </w:r>
          </w:p>
        </w:tc>
        <w:tc>
          <w:tcPr>
            <w:tcW w:w="1140" w:type="dxa"/>
            <w:tcBorders>
              <w:top w:val="nil"/>
              <w:left w:val="nil"/>
              <w:bottom w:val="nil"/>
              <w:right w:val="nil"/>
            </w:tcBorders>
            <w:shd w:val="clear" w:color="auto" w:fill="auto"/>
            <w:vAlign w:val="center"/>
            <w:hideMark/>
          </w:tcPr>
          <w:p w14:paraId="6866C14C" w14:textId="77777777" w:rsidR="00EE4535" w:rsidRPr="00EE4535" w:rsidRDefault="00EE4535" w:rsidP="00EE4535">
            <w:pPr>
              <w:spacing w:after="0" w:line="240" w:lineRule="auto"/>
              <w:jc w:val="center"/>
              <w:rPr>
                <w:rFonts w:eastAsia="Times New Roman"/>
                <w:color w:val="000000"/>
                <w:sz w:val="22"/>
                <w:szCs w:val="22"/>
              </w:rPr>
            </w:pPr>
          </w:p>
        </w:tc>
      </w:tr>
      <w:tr w:rsidR="00EE4535" w:rsidRPr="00EE4535" w14:paraId="335C6ED7" w14:textId="77777777" w:rsidTr="00EE4535">
        <w:trPr>
          <w:trHeight w:val="250"/>
          <w:jc w:val="center"/>
        </w:trPr>
        <w:tc>
          <w:tcPr>
            <w:tcW w:w="4460" w:type="dxa"/>
            <w:tcBorders>
              <w:top w:val="nil"/>
              <w:left w:val="nil"/>
              <w:bottom w:val="nil"/>
              <w:right w:val="nil"/>
            </w:tcBorders>
            <w:shd w:val="clear" w:color="auto" w:fill="auto"/>
            <w:vAlign w:val="center"/>
            <w:hideMark/>
          </w:tcPr>
          <w:p w14:paraId="6291A383"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083AD08E" w14:textId="77777777" w:rsidR="00EE4535" w:rsidRPr="00EE4535" w:rsidRDefault="00EE4535" w:rsidP="00EE4535">
            <w:pPr>
              <w:spacing w:after="0" w:line="240" w:lineRule="auto"/>
              <w:rPr>
                <w:rFonts w:eastAsia="Times New Roman"/>
                <w:sz w:val="20"/>
                <w:szCs w:val="20"/>
              </w:rPr>
            </w:pPr>
          </w:p>
        </w:tc>
        <w:tc>
          <w:tcPr>
            <w:tcW w:w="1140" w:type="dxa"/>
            <w:tcBorders>
              <w:top w:val="nil"/>
              <w:left w:val="nil"/>
              <w:bottom w:val="nil"/>
              <w:right w:val="nil"/>
            </w:tcBorders>
            <w:shd w:val="clear" w:color="auto" w:fill="auto"/>
            <w:vAlign w:val="center"/>
            <w:hideMark/>
          </w:tcPr>
          <w:p w14:paraId="535F83A5"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124A234A"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(3.41)</w:t>
            </w:r>
          </w:p>
        </w:tc>
        <w:tc>
          <w:tcPr>
            <w:tcW w:w="1140" w:type="dxa"/>
            <w:tcBorders>
              <w:top w:val="nil"/>
              <w:left w:val="nil"/>
              <w:bottom w:val="nil"/>
              <w:right w:val="nil"/>
            </w:tcBorders>
            <w:shd w:val="clear" w:color="auto" w:fill="auto"/>
            <w:vAlign w:val="center"/>
            <w:hideMark/>
          </w:tcPr>
          <w:p w14:paraId="41389943" w14:textId="77777777" w:rsidR="00EE4535" w:rsidRPr="00EE4535" w:rsidRDefault="00EE4535" w:rsidP="00EE4535">
            <w:pPr>
              <w:spacing w:after="0" w:line="240" w:lineRule="auto"/>
              <w:jc w:val="center"/>
              <w:rPr>
                <w:rFonts w:eastAsia="Times New Roman"/>
                <w:color w:val="000000"/>
                <w:sz w:val="22"/>
                <w:szCs w:val="22"/>
              </w:rPr>
            </w:pPr>
          </w:p>
        </w:tc>
      </w:tr>
      <w:tr w:rsidR="00EE4535" w:rsidRPr="00EE4535" w14:paraId="1952F8A1" w14:textId="77777777" w:rsidTr="00EE4535">
        <w:trPr>
          <w:trHeight w:val="250"/>
          <w:jc w:val="center"/>
        </w:trPr>
        <w:tc>
          <w:tcPr>
            <w:tcW w:w="4460" w:type="dxa"/>
            <w:tcBorders>
              <w:top w:val="nil"/>
              <w:left w:val="nil"/>
              <w:bottom w:val="nil"/>
              <w:right w:val="nil"/>
            </w:tcBorders>
            <w:shd w:val="clear" w:color="auto" w:fill="auto"/>
            <w:vAlign w:val="center"/>
            <w:hideMark/>
          </w:tcPr>
          <w:p w14:paraId="7C14FD3A"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Other successions</w:t>
            </w:r>
          </w:p>
        </w:tc>
        <w:tc>
          <w:tcPr>
            <w:tcW w:w="1140" w:type="dxa"/>
            <w:tcBorders>
              <w:top w:val="nil"/>
              <w:left w:val="nil"/>
              <w:bottom w:val="nil"/>
              <w:right w:val="nil"/>
            </w:tcBorders>
            <w:shd w:val="clear" w:color="auto" w:fill="auto"/>
            <w:vAlign w:val="center"/>
            <w:hideMark/>
          </w:tcPr>
          <w:p w14:paraId="4C439314" w14:textId="77777777" w:rsidR="00EE4535" w:rsidRPr="00EE4535" w:rsidRDefault="00EE4535" w:rsidP="00EE4535">
            <w:pPr>
              <w:spacing w:after="0" w:line="240" w:lineRule="auto"/>
              <w:rPr>
                <w:rFonts w:eastAsia="Times New Roman"/>
                <w:color w:val="000000"/>
                <w:sz w:val="22"/>
                <w:szCs w:val="22"/>
              </w:rPr>
            </w:pPr>
          </w:p>
        </w:tc>
        <w:tc>
          <w:tcPr>
            <w:tcW w:w="1140" w:type="dxa"/>
            <w:tcBorders>
              <w:top w:val="nil"/>
              <w:left w:val="nil"/>
              <w:bottom w:val="nil"/>
              <w:right w:val="nil"/>
            </w:tcBorders>
            <w:shd w:val="clear" w:color="auto" w:fill="auto"/>
            <w:vAlign w:val="center"/>
            <w:hideMark/>
          </w:tcPr>
          <w:p w14:paraId="576E4D97"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3DA38634" w14:textId="77777777" w:rsidR="00EE4535" w:rsidRPr="00EE4535" w:rsidRDefault="00EE4535" w:rsidP="00EE4535">
            <w:pPr>
              <w:spacing w:after="0" w:line="240" w:lineRule="auto"/>
              <w:jc w:val="center"/>
              <w:rPr>
                <w:rFonts w:eastAsia="Times New Roman"/>
                <w:sz w:val="20"/>
                <w:szCs w:val="20"/>
              </w:rPr>
            </w:pPr>
          </w:p>
        </w:tc>
        <w:tc>
          <w:tcPr>
            <w:tcW w:w="1140" w:type="dxa"/>
            <w:tcBorders>
              <w:top w:val="nil"/>
              <w:left w:val="nil"/>
              <w:bottom w:val="nil"/>
              <w:right w:val="nil"/>
            </w:tcBorders>
            <w:shd w:val="clear" w:color="auto" w:fill="auto"/>
            <w:vAlign w:val="center"/>
            <w:hideMark/>
          </w:tcPr>
          <w:p w14:paraId="4560456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4.53*</w:t>
            </w:r>
          </w:p>
        </w:tc>
      </w:tr>
      <w:tr w:rsidR="00EE4535" w:rsidRPr="00EE4535" w14:paraId="63F86F6E" w14:textId="77777777" w:rsidTr="00EE4535">
        <w:trPr>
          <w:trHeight w:val="250"/>
          <w:jc w:val="center"/>
        </w:trPr>
        <w:tc>
          <w:tcPr>
            <w:tcW w:w="4460" w:type="dxa"/>
            <w:tcBorders>
              <w:top w:val="nil"/>
              <w:left w:val="nil"/>
              <w:bottom w:val="single" w:sz="8" w:space="0" w:color="auto"/>
              <w:right w:val="nil"/>
            </w:tcBorders>
            <w:shd w:val="clear" w:color="auto" w:fill="auto"/>
            <w:vAlign w:val="center"/>
            <w:hideMark/>
          </w:tcPr>
          <w:p w14:paraId="1F18F02A"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 </w:t>
            </w:r>
          </w:p>
        </w:tc>
        <w:tc>
          <w:tcPr>
            <w:tcW w:w="1140" w:type="dxa"/>
            <w:tcBorders>
              <w:top w:val="nil"/>
              <w:left w:val="nil"/>
              <w:bottom w:val="single" w:sz="8" w:space="0" w:color="auto"/>
              <w:right w:val="nil"/>
            </w:tcBorders>
            <w:shd w:val="clear" w:color="auto" w:fill="auto"/>
            <w:vAlign w:val="center"/>
            <w:hideMark/>
          </w:tcPr>
          <w:p w14:paraId="1AC22D2A"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w:t>
            </w:r>
          </w:p>
        </w:tc>
        <w:tc>
          <w:tcPr>
            <w:tcW w:w="1140" w:type="dxa"/>
            <w:tcBorders>
              <w:top w:val="nil"/>
              <w:left w:val="nil"/>
              <w:bottom w:val="single" w:sz="8" w:space="0" w:color="auto"/>
              <w:right w:val="nil"/>
            </w:tcBorders>
            <w:shd w:val="clear" w:color="auto" w:fill="auto"/>
            <w:vAlign w:val="center"/>
            <w:hideMark/>
          </w:tcPr>
          <w:p w14:paraId="264B56B0"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w:t>
            </w:r>
          </w:p>
        </w:tc>
        <w:tc>
          <w:tcPr>
            <w:tcW w:w="1140" w:type="dxa"/>
            <w:tcBorders>
              <w:top w:val="nil"/>
              <w:left w:val="nil"/>
              <w:bottom w:val="single" w:sz="8" w:space="0" w:color="auto"/>
              <w:right w:val="nil"/>
            </w:tcBorders>
            <w:shd w:val="clear" w:color="auto" w:fill="auto"/>
            <w:vAlign w:val="center"/>
            <w:hideMark/>
          </w:tcPr>
          <w:p w14:paraId="33495AC8"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 </w:t>
            </w:r>
          </w:p>
        </w:tc>
        <w:tc>
          <w:tcPr>
            <w:tcW w:w="1140" w:type="dxa"/>
            <w:tcBorders>
              <w:top w:val="nil"/>
              <w:left w:val="nil"/>
              <w:bottom w:val="single" w:sz="8" w:space="0" w:color="auto"/>
              <w:right w:val="nil"/>
            </w:tcBorders>
            <w:shd w:val="clear" w:color="auto" w:fill="auto"/>
            <w:vAlign w:val="center"/>
            <w:hideMark/>
          </w:tcPr>
          <w:p w14:paraId="202C7104"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(1.95)</w:t>
            </w:r>
          </w:p>
        </w:tc>
      </w:tr>
      <w:tr w:rsidR="00EE4535" w:rsidRPr="00EE4535" w14:paraId="150E9CD2" w14:textId="77777777" w:rsidTr="00EE4535">
        <w:trPr>
          <w:trHeight w:val="250"/>
          <w:jc w:val="center"/>
        </w:trPr>
        <w:tc>
          <w:tcPr>
            <w:tcW w:w="4460" w:type="dxa"/>
            <w:tcBorders>
              <w:top w:val="nil"/>
              <w:left w:val="nil"/>
              <w:bottom w:val="nil"/>
              <w:right w:val="nil"/>
            </w:tcBorders>
            <w:shd w:val="clear" w:color="auto" w:fill="auto"/>
            <w:vAlign w:val="center"/>
            <w:hideMark/>
          </w:tcPr>
          <w:p w14:paraId="4CD7CC04"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Log-likelihood</w:t>
            </w:r>
          </w:p>
        </w:tc>
        <w:tc>
          <w:tcPr>
            <w:tcW w:w="1140" w:type="dxa"/>
            <w:tcBorders>
              <w:top w:val="nil"/>
              <w:left w:val="nil"/>
              <w:bottom w:val="nil"/>
              <w:right w:val="nil"/>
            </w:tcBorders>
            <w:shd w:val="clear" w:color="auto" w:fill="auto"/>
            <w:vAlign w:val="center"/>
            <w:hideMark/>
          </w:tcPr>
          <w:p w14:paraId="0DBA955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-47.44</w:t>
            </w:r>
          </w:p>
        </w:tc>
        <w:tc>
          <w:tcPr>
            <w:tcW w:w="1140" w:type="dxa"/>
            <w:tcBorders>
              <w:top w:val="nil"/>
              <w:left w:val="nil"/>
              <w:bottom w:val="nil"/>
              <w:right w:val="nil"/>
            </w:tcBorders>
            <w:shd w:val="clear" w:color="auto" w:fill="auto"/>
            <w:vAlign w:val="center"/>
            <w:hideMark/>
          </w:tcPr>
          <w:p w14:paraId="4A00D77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-51.34</w:t>
            </w:r>
          </w:p>
        </w:tc>
        <w:tc>
          <w:tcPr>
            <w:tcW w:w="1140" w:type="dxa"/>
            <w:tcBorders>
              <w:top w:val="nil"/>
              <w:left w:val="nil"/>
              <w:bottom w:val="nil"/>
              <w:right w:val="nil"/>
            </w:tcBorders>
            <w:shd w:val="clear" w:color="auto" w:fill="auto"/>
            <w:vAlign w:val="center"/>
            <w:hideMark/>
          </w:tcPr>
          <w:p w14:paraId="1D55EEE8"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-49.85</w:t>
            </w:r>
          </w:p>
        </w:tc>
        <w:tc>
          <w:tcPr>
            <w:tcW w:w="1140" w:type="dxa"/>
            <w:tcBorders>
              <w:top w:val="nil"/>
              <w:left w:val="nil"/>
              <w:bottom w:val="nil"/>
              <w:right w:val="nil"/>
            </w:tcBorders>
            <w:shd w:val="clear" w:color="auto" w:fill="auto"/>
            <w:vAlign w:val="center"/>
            <w:hideMark/>
          </w:tcPr>
          <w:p w14:paraId="04BB007E"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-50.01</w:t>
            </w:r>
          </w:p>
        </w:tc>
      </w:tr>
      <w:tr w:rsidR="00EE4535" w:rsidRPr="00EE4535" w14:paraId="3391CB3E" w14:textId="77777777" w:rsidTr="00EE4535">
        <w:trPr>
          <w:trHeight w:val="250"/>
          <w:jc w:val="center"/>
        </w:trPr>
        <w:tc>
          <w:tcPr>
            <w:tcW w:w="4460" w:type="dxa"/>
            <w:tcBorders>
              <w:top w:val="nil"/>
              <w:left w:val="nil"/>
              <w:bottom w:val="nil"/>
              <w:right w:val="nil"/>
            </w:tcBorders>
            <w:shd w:val="clear" w:color="auto" w:fill="auto"/>
            <w:vAlign w:val="center"/>
            <w:hideMark/>
          </w:tcPr>
          <w:p w14:paraId="6CA2DCDC"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χ2</w:t>
            </w:r>
          </w:p>
        </w:tc>
        <w:tc>
          <w:tcPr>
            <w:tcW w:w="1140" w:type="dxa"/>
            <w:tcBorders>
              <w:top w:val="nil"/>
              <w:left w:val="nil"/>
              <w:bottom w:val="nil"/>
              <w:right w:val="nil"/>
            </w:tcBorders>
            <w:shd w:val="clear" w:color="auto" w:fill="auto"/>
            <w:vAlign w:val="center"/>
            <w:hideMark/>
          </w:tcPr>
          <w:p w14:paraId="3EFFC31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182.55</w:t>
            </w:r>
          </w:p>
        </w:tc>
        <w:tc>
          <w:tcPr>
            <w:tcW w:w="1140" w:type="dxa"/>
            <w:tcBorders>
              <w:top w:val="nil"/>
              <w:left w:val="nil"/>
              <w:bottom w:val="nil"/>
              <w:right w:val="nil"/>
            </w:tcBorders>
            <w:shd w:val="clear" w:color="auto" w:fill="auto"/>
            <w:vAlign w:val="center"/>
            <w:hideMark/>
          </w:tcPr>
          <w:p w14:paraId="74EBCA7A"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174.75</w:t>
            </w:r>
          </w:p>
        </w:tc>
        <w:tc>
          <w:tcPr>
            <w:tcW w:w="1140" w:type="dxa"/>
            <w:tcBorders>
              <w:top w:val="nil"/>
              <w:left w:val="nil"/>
              <w:bottom w:val="nil"/>
              <w:right w:val="nil"/>
            </w:tcBorders>
            <w:shd w:val="clear" w:color="auto" w:fill="auto"/>
            <w:vAlign w:val="center"/>
            <w:hideMark/>
          </w:tcPr>
          <w:p w14:paraId="14C39FF6"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177.73</w:t>
            </w:r>
          </w:p>
        </w:tc>
        <w:tc>
          <w:tcPr>
            <w:tcW w:w="1140" w:type="dxa"/>
            <w:tcBorders>
              <w:top w:val="nil"/>
              <w:left w:val="nil"/>
              <w:bottom w:val="nil"/>
              <w:right w:val="nil"/>
            </w:tcBorders>
            <w:shd w:val="clear" w:color="auto" w:fill="auto"/>
            <w:vAlign w:val="center"/>
            <w:hideMark/>
          </w:tcPr>
          <w:p w14:paraId="2FDC5AB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177.4</w:t>
            </w:r>
          </w:p>
        </w:tc>
      </w:tr>
      <w:tr w:rsidR="00EE4535" w:rsidRPr="00EE4535" w14:paraId="4284DB0D" w14:textId="77777777" w:rsidTr="00EE4535">
        <w:trPr>
          <w:trHeight w:val="250"/>
          <w:jc w:val="center"/>
        </w:trPr>
        <w:tc>
          <w:tcPr>
            <w:tcW w:w="4460" w:type="dxa"/>
            <w:tcBorders>
              <w:top w:val="nil"/>
              <w:left w:val="nil"/>
              <w:bottom w:val="nil"/>
              <w:right w:val="nil"/>
            </w:tcBorders>
            <w:shd w:val="clear" w:color="auto" w:fill="auto"/>
            <w:vAlign w:val="center"/>
            <w:hideMark/>
          </w:tcPr>
          <w:p w14:paraId="7B2EE768"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Number of Observations</w:t>
            </w:r>
          </w:p>
        </w:tc>
        <w:tc>
          <w:tcPr>
            <w:tcW w:w="1140" w:type="dxa"/>
            <w:tcBorders>
              <w:top w:val="nil"/>
              <w:left w:val="nil"/>
              <w:bottom w:val="nil"/>
              <w:right w:val="nil"/>
            </w:tcBorders>
            <w:shd w:val="clear" w:color="auto" w:fill="auto"/>
            <w:vAlign w:val="center"/>
            <w:hideMark/>
          </w:tcPr>
          <w:p w14:paraId="5170717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586</w:t>
            </w:r>
          </w:p>
        </w:tc>
        <w:tc>
          <w:tcPr>
            <w:tcW w:w="1140" w:type="dxa"/>
            <w:tcBorders>
              <w:top w:val="nil"/>
              <w:left w:val="nil"/>
              <w:bottom w:val="nil"/>
              <w:right w:val="nil"/>
            </w:tcBorders>
            <w:shd w:val="clear" w:color="auto" w:fill="auto"/>
            <w:vAlign w:val="center"/>
            <w:hideMark/>
          </w:tcPr>
          <w:p w14:paraId="61BE0FF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586</w:t>
            </w:r>
          </w:p>
        </w:tc>
        <w:tc>
          <w:tcPr>
            <w:tcW w:w="1140" w:type="dxa"/>
            <w:tcBorders>
              <w:top w:val="nil"/>
              <w:left w:val="nil"/>
              <w:bottom w:val="nil"/>
              <w:right w:val="nil"/>
            </w:tcBorders>
            <w:shd w:val="clear" w:color="auto" w:fill="auto"/>
            <w:vAlign w:val="center"/>
            <w:hideMark/>
          </w:tcPr>
          <w:p w14:paraId="53783F5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586</w:t>
            </w:r>
          </w:p>
        </w:tc>
        <w:tc>
          <w:tcPr>
            <w:tcW w:w="1140" w:type="dxa"/>
            <w:tcBorders>
              <w:top w:val="nil"/>
              <w:left w:val="nil"/>
              <w:bottom w:val="nil"/>
              <w:right w:val="nil"/>
            </w:tcBorders>
            <w:shd w:val="clear" w:color="auto" w:fill="auto"/>
            <w:vAlign w:val="center"/>
            <w:hideMark/>
          </w:tcPr>
          <w:p w14:paraId="4723C68D"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586</w:t>
            </w:r>
          </w:p>
        </w:tc>
      </w:tr>
      <w:tr w:rsidR="00EE4535" w:rsidRPr="00EE4535" w14:paraId="1BEB0E55" w14:textId="77777777" w:rsidTr="00EE4535">
        <w:trPr>
          <w:trHeight w:val="250"/>
          <w:jc w:val="center"/>
        </w:trPr>
        <w:tc>
          <w:tcPr>
            <w:tcW w:w="4460" w:type="dxa"/>
            <w:tcBorders>
              <w:top w:val="nil"/>
              <w:left w:val="nil"/>
              <w:bottom w:val="nil"/>
              <w:right w:val="nil"/>
            </w:tcBorders>
            <w:shd w:val="clear" w:color="auto" w:fill="auto"/>
            <w:vAlign w:val="center"/>
            <w:hideMark/>
          </w:tcPr>
          <w:p w14:paraId="7DD454AA"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Number of Subsidiaries</w:t>
            </w:r>
          </w:p>
        </w:tc>
        <w:tc>
          <w:tcPr>
            <w:tcW w:w="1140" w:type="dxa"/>
            <w:tcBorders>
              <w:top w:val="nil"/>
              <w:left w:val="nil"/>
              <w:bottom w:val="nil"/>
              <w:right w:val="nil"/>
            </w:tcBorders>
            <w:shd w:val="clear" w:color="auto" w:fill="auto"/>
            <w:vAlign w:val="center"/>
            <w:hideMark/>
          </w:tcPr>
          <w:p w14:paraId="55C100E2"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76</w:t>
            </w:r>
          </w:p>
        </w:tc>
        <w:tc>
          <w:tcPr>
            <w:tcW w:w="1140" w:type="dxa"/>
            <w:tcBorders>
              <w:top w:val="nil"/>
              <w:left w:val="nil"/>
              <w:bottom w:val="nil"/>
              <w:right w:val="nil"/>
            </w:tcBorders>
            <w:shd w:val="clear" w:color="auto" w:fill="auto"/>
            <w:vAlign w:val="center"/>
            <w:hideMark/>
          </w:tcPr>
          <w:p w14:paraId="684BB325"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76</w:t>
            </w:r>
          </w:p>
        </w:tc>
        <w:tc>
          <w:tcPr>
            <w:tcW w:w="1140" w:type="dxa"/>
            <w:tcBorders>
              <w:top w:val="nil"/>
              <w:left w:val="nil"/>
              <w:bottom w:val="nil"/>
              <w:right w:val="nil"/>
            </w:tcBorders>
            <w:shd w:val="clear" w:color="auto" w:fill="auto"/>
            <w:vAlign w:val="center"/>
            <w:hideMark/>
          </w:tcPr>
          <w:p w14:paraId="3B247280"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76</w:t>
            </w:r>
          </w:p>
        </w:tc>
        <w:tc>
          <w:tcPr>
            <w:tcW w:w="1140" w:type="dxa"/>
            <w:tcBorders>
              <w:top w:val="nil"/>
              <w:left w:val="nil"/>
              <w:bottom w:val="nil"/>
              <w:right w:val="nil"/>
            </w:tcBorders>
            <w:shd w:val="clear" w:color="auto" w:fill="auto"/>
            <w:vAlign w:val="center"/>
            <w:hideMark/>
          </w:tcPr>
          <w:p w14:paraId="00496D19"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76</w:t>
            </w:r>
          </w:p>
        </w:tc>
      </w:tr>
      <w:tr w:rsidR="00EE4535" w:rsidRPr="00EE4535" w14:paraId="1717A5C6" w14:textId="77777777" w:rsidTr="00EE4535">
        <w:trPr>
          <w:trHeight w:val="250"/>
          <w:jc w:val="center"/>
        </w:trPr>
        <w:tc>
          <w:tcPr>
            <w:tcW w:w="4460" w:type="dxa"/>
            <w:tcBorders>
              <w:top w:val="nil"/>
              <w:left w:val="nil"/>
              <w:bottom w:val="single" w:sz="8" w:space="0" w:color="auto"/>
              <w:right w:val="nil"/>
            </w:tcBorders>
            <w:shd w:val="clear" w:color="auto" w:fill="auto"/>
            <w:vAlign w:val="center"/>
            <w:hideMark/>
          </w:tcPr>
          <w:p w14:paraId="239199D7" w14:textId="77777777" w:rsidR="00EE4535" w:rsidRPr="00EE4535" w:rsidRDefault="00EE4535" w:rsidP="00EE4535">
            <w:pPr>
              <w:spacing w:after="0" w:line="240" w:lineRule="auto"/>
              <w:rPr>
                <w:rFonts w:eastAsia="Times New Roman"/>
                <w:color w:val="000000"/>
                <w:sz w:val="22"/>
                <w:szCs w:val="22"/>
              </w:rPr>
            </w:pPr>
            <w:r w:rsidRPr="00EE4535">
              <w:rPr>
                <w:rFonts w:eastAsia="Times New Roman"/>
                <w:color w:val="000000"/>
                <w:sz w:val="22"/>
                <w:szCs w:val="22"/>
              </w:rPr>
              <w:t>Number of Firms</w:t>
            </w:r>
          </w:p>
        </w:tc>
        <w:tc>
          <w:tcPr>
            <w:tcW w:w="1140" w:type="dxa"/>
            <w:tcBorders>
              <w:top w:val="nil"/>
              <w:left w:val="nil"/>
              <w:bottom w:val="single" w:sz="8" w:space="0" w:color="auto"/>
              <w:right w:val="nil"/>
            </w:tcBorders>
            <w:shd w:val="clear" w:color="auto" w:fill="auto"/>
            <w:vAlign w:val="center"/>
            <w:hideMark/>
          </w:tcPr>
          <w:p w14:paraId="23C78F7E"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40</w:t>
            </w:r>
          </w:p>
        </w:tc>
        <w:tc>
          <w:tcPr>
            <w:tcW w:w="1140" w:type="dxa"/>
            <w:tcBorders>
              <w:top w:val="nil"/>
              <w:left w:val="nil"/>
              <w:bottom w:val="single" w:sz="8" w:space="0" w:color="auto"/>
              <w:right w:val="nil"/>
            </w:tcBorders>
            <w:shd w:val="clear" w:color="auto" w:fill="auto"/>
            <w:vAlign w:val="center"/>
            <w:hideMark/>
          </w:tcPr>
          <w:p w14:paraId="39D8AC11"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40</w:t>
            </w:r>
          </w:p>
        </w:tc>
        <w:tc>
          <w:tcPr>
            <w:tcW w:w="1140" w:type="dxa"/>
            <w:tcBorders>
              <w:top w:val="nil"/>
              <w:left w:val="nil"/>
              <w:bottom w:val="single" w:sz="8" w:space="0" w:color="auto"/>
              <w:right w:val="nil"/>
            </w:tcBorders>
            <w:shd w:val="clear" w:color="auto" w:fill="auto"/>
            <w:vAlign w:val="center"/>
            <w:hideMark/>
          </w:tcPr>
          <w:p w14:paraId="484DD31B"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40</w:t>
            </w:r>
          </w:p>
        </w:tc>
        <w:tc>
          <w:tcPr>
            <w:tcW w:w="1140" w:type="dxa"/>
            <w:tcBorders>
              <w:top w:val="nil"/>
              <w:left w:val="nil"/>
              <w:bottom w:val="single" w:sz="8" w:space="0" w:color="auto"/>
              <w:right w:val="nil"/>
            </w:tcBorders>
            <w:shd w:val="clear" w:color="auto" w:fill="auto"/>
            <w:vAlign w:val="center"/>
            <w:hideMark/>
          </w:tcPr>
          <w:p w14:paraId="6CA87EDC" w14:textId="77777777" w:rsidR="00EE4535" w:rsidRPr="00EE4535" w:rsidRDefault="00EE4535" w:rsidP="00EE4535">
            <w:pPr>
              <w:spacing w:after="0" w:line="240" w:lineRule="auto"/>
              <w:jc w:val="center"/>
              <w:rPr>
                <w:rFonts w:eastAsia="Times New Roman"/>
                <w:color w:val="000000"/>
                <w:sz w:val="22"/>
                <w:szCs w:val="22"/>
              </w:rPr>
            </w:pPr>
            <w:r w:rsidRPr="00EE4535">
              <w:rPr>
                <w:rFonts w:eastAsia="Times New Roman"/>
                <w:color w:val="000000"/>
                <w:sz w:val="22"/>
                <w:szCs w:val="22"/>
              </w:rPr>
              <w:t>40</w:t>
            </w:r>
          </w:p>
        </w:tc>
      </w:tr>
      <w:tr w:rsidR="00EE4535" w:rsidRPr="00EE4535" w14:paraId="7957C545" w14:textId="77777777" w:rsidTr="00EE4535">
        <w:trPr>
          <w:trHeight w:val="788"/>
          <w:jc w:val="center"/>
        </w:trPr>
        <w:tc>
          <w:tcPr>
            <w:tcW w:w="9020" w:type="dxa"/>
            <w:gridSpan w:val="5"/>
            <w:tcBorders>
              <w:top w:val="single" w:sz="8" w:space="0" w:color="auto"/>
              <w:left w:val="nil"/>
              <w:bottom w:val="nil"/>
              <w:right w:val="nil"/>
            </w:tcBorders>
            <w:shd w:val="clear" w:color="auto" w:fill="auto"/>
            <w:vAlign w:val="center"/>
            <w:hideMark/>
          </w:tcPr>
          <w:p w14:paraId="013F6D7B" w14:textId="38AE9F75" w:rsidR="00EE4535" w:rsidRPr="00EE4535" w:rsidRDefault="00EE4535" w:rsidP="00EE4535">
            <w:pPr>
              <w:spacing w:after="0" w:line="240" w:lineRule="auto"/>
              <w:rPr>
                <w:color w:val="000000"/>
                <w:sz w:val="22"/>
                <w:szCs w:val="22"/>
              </w:rPr>
            </w:pPr>
            <w:r w:rsidRPr="00EE4535">
              <w:rPr>
                <w:rFonts w:eastAsia="Times New Roman"/>
                <w:i/>
                <w:iCs/>
                <w:color w:val="000000"/>
                <w:sz w:val="22"/>
                <w:szCs w:val="22"/>
              </w:rPr>
              <w:t>Note:</w:t>
            </w:r>
            <w:r w:rsidRPr="00EE4535">
              <w:rPr>
                <w:rFonts w:eastAsia="Times New Roman"/>
                <w:color w:val="000000"/>
                <w:sz w:val="22"/>
                <w:szCs w:val="22"/>
              </w:rPr>
              <w:t xml:space="preserve"> The dependent variable is</w:t>
            </w:r>
            <w:r w:rsidRPr="00EE4535">
              <w:rPr>
                <w:rFonts w:eastAsia="Times New Roman"/>
                <w:i/>
                <w:iCs/>
                <w:color w:val="000000"/>
                <w:sz w:val="22"/>
                <w:szCs w:val="22"/>
              </w:rPr>
              <w:t xml:space="preserve"> exit</w:t>
            </w:r>
            <w:r w:rsidRPr="00EE4535">
              <w:rPr>
                <w:rFonts w:eastAsia="Times New Roman"/>
                <w:color w:val="000000"/>
                <w:sz w:val="22"/>
                <w:szCs w:val="22"/>
              </w:rPr>
              <w:t xml:space="preserve"> in Models (13) - (17); the sample is a subsidiary-year panel; all models are fitted with firm fixed effects logit regressions for panel data; standard errors are in parentheses; + </w:t>
            </w:r>
            <w:r w:rsidRPr="00EE4535">
              <w:rPr>
                <w:rFonts w:eastAsia="Times New Roman"/>
                <w:i/>
                <w:iCs/>
                <w:color w:val="000000"/>
                <w:sz w:val="22"/>
                <w:szCs w:val="22"/>
              </w:rPr>
              <w:t>p</w:t>
            </w:r>
            <w:r w:rsidRPr="00EE4535">
              <w:rPr>
                <w:rFonts w:eastAsia="Times New Roman"/>
                <w:color w:val="000000"/>
                <w:sz w:val="22"/>
                <w:szCs w:val="22"/>
              </w:rPr>
              <w:t xml:space="preserve"> &lt; 0.1, * </w:t>
            </w:r>
            <w:r w:rsidRPr="00EE4535">
              <w:rPr>
                <w:rFonts w:eastAsia="Times New Roman"/>
                <w:i/>
                <w:iCs/>
                <w:color w:val="000000"/>
                <w:sz w:val="22"/>
                <w:szCs w:val="22"/>
              </w:rPr>
              <w:t>p</w:t>
            </w:r>
            <w:r w:rsidRPr="00EE4535">
              <w:rPr>
                <w:rFonts w:eastAsia="Times New Roman"/>
                <w:color w:val="000000"/>
                <w:sz w:val="22"/>
                <w:szCs w:val="22"/>
              </w:rPr>
              <w:t xml:space="preserve"> &lt; 0.05, ** </w:t>
            </w:r>
            <w:r w:rsidRPr="00EE4535">
              <w:rPr>
                <w:rFonts w:eastAsia="Times New Roman"/>
                <w:i/>
                <w:iCs/>
                <w:color w:val="000000"/>
                <w:sz w:val="22"/>
                <w:szCs w:val="22"/>
              </w:rPr>
              <w:t>p</w:t>
            </w:r>
            <w:r w:rsidRPr="00EE4535">
              <w:rPr>
                <w:rFonts w:eastAsia="Times New Roman"/>
                <w:color w:val="000000"/>
                <w:sz w:val="22"/>
                <w:szCs w:val="22"/>
              </w:rPr>
              <w:t xml:space="preserve"> &lt; 0.01, *** </w:t>
            </w:r>
            <w:r w:rsidRPr="00EE4535">
              <w:rPr>
                <w:rFonts w:eastAsia="Times New Roman"/>
                <w:i/>
                <w:iCs/>
                <w:color w:val="000000"/>
                <w:sz w:val="22"/>
                <w:szCs w:val="22"/>
              </w:rPr>
              <w:t>p</w:t>
            </w:r>
            <w:r w:rsidRPr="00EE4535">
              <w:rPr>
                <w:rFonts w:eastAsia="Times New Roman"/>
                <w:color w:val="000000"/>
                <w:sz w:val="22"/>
                <w:szCs w:val="22"/>
              </w:rPr>
              <w:t xml:space="preserve"> &lt; 0.001.</w:t>
            </w:r>
          </w:p>
        </w:tc>
      </w:tr>
    </w:tbl>
    <w:p w14:paraId="78B3DD5F" w14:textId="6C286A3B" w:rsidR="000A443C" w:rsidRPr="00A229EA" w:rsidRDefault="000A443C" w:rsidP="00C6786A"/>
    <w:sectPr w:rsidR="000A443C" w:rsidRPr="00A229EA" w:rsidSect="00D91E8B">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CD299" w14:textId="77777777" w:rsidR="004F73BE" w:rsidRDefault="004F73BE" w:rsidP="002340EB">
      <w:pPr>
        <w:spacing w:after="0" w:line="240" w:lineRule="auto"/>
      </w:pPr>
      <w:r>
        <w:separator/>
      </w:r>
    </w:p>
  </w:endnote>
  <w:endnote w:type="continuationSeparator" w:id="0">
    <w:p w14:paraId="17181C52" w14:textId="77777777" w:rsidR="004F73BE" w:rsidRDefault="004F73BE" w:rsidP="0023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T42B8O00">
    <w:altName w:val="Microsoft YaHei"/>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8007814"/>
      <w:docPartObj>
        <w:docPartGallery w:val="Page Numbers (Bottom of Page)"/>
        <w:docPartUnique/>
      </w:docPartObj>
    </w:sdtPr>
    <w:sdtEndPr>
      <w:rPr>
        <w:noProof/>
      </w:rPr>
    </w:sdtEndPr>
    <w:sdtContent>
      <w:p w14:paraId="7C7EBEB6" w14:textId="140ACF67" w:rsidR="00D30D82" w:rsidRDefault="00D30D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7854A3" w14:textId="77777777" w:rsidR="00D30D82" w:rsidRDefault="00D30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31996E" w14:textId="77777777" w:rsidR="004F73BE" w:rsidRDefault="004F73BE" w:rsidP="002340EB">
      <w:pPr>
        <w:spacing w:after="0" w:line="240" w:lineRule="auto"/>
      </w:pPr>
      <w:r>
        <w:separator/>
      </w:r>
    </w:p>
  </w:footnote>
  <w:footnote w:type="continuationSeparator" w:id="0">
    <w:p w14:paraId="58A34DD7" w14:textId="77777777" w:rsidR="004F73BE" w:rsidRDefault="004F73BE" w:rsidP="002340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EA029B"/>
    <w:multiLevelType w:val="hybridMultilevel"/>
    <w:tmpl w:val="A3B28B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C2A1DD6"/>
    <w:multiLevelType w:val="hybridMultilevel"/>
    <w:tmpl w:val="372CE830"/>
    <w:lvl w:ilvl="0" w:tplc="0C5A41FE">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5177643">
    <w:abstractNumId w:val="1"/>
  </w:num>
  <w:num w:numId="2" w16cid:durableId="642007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DY3NDaxtARiA3MDEyUdpeDU4uLM/DyQAvNaAJMqhgksAAAA"/>
    <w:docVar w:name="EN.InstantFormat" w:val="&lt;ENInstantFormat&gt;&lt;Enabled&gt;0&lt;/Enabled&gt;&lt;ScanUnformatted&gt;1&lt;/ScanUnformatted&gt;&lt;ScanChanges&gt;1&lt;/ScanChanges&gt;&lt;Suspended&gt;0&lt;/Suspended&gt;&lt;/ENInstantFormat&gt;"/>
    <w:docVar w:name="EN.Layout" w:val="&lt;ENLayout&gt;&lt;Style&gt;Brit J Manag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a95fx9215vppiefzvh5drv7v0dsvepa0pz0&quot;&gt;My EndNote Library&lt;record-ids&gt;&lt;item&gt;12&lt;/item&gt;&lt;item&gt;16&lt;/item&gt;&lt;item&gt;18&lt;/item&gt;&lt;item&gt;19&lt;/item&gt;&lt;item&gt;27&lt;/item&gt;&lt;item&gt;34&lt;/item&gt;&lt;item&gt;43&lt;/item&gt;&lt;item&gt;46&lt;/item&gt;&lt;item&gt;48&lt;/item&gt;&lt;item&gt;49&lt;/item&gt;&lt;item&gt;50&lt;/item&gt;&lt;item&gt;51&lt;/item&gt;&lt;item&gt;52&lt;/item&gt;&lt;item&gt;56&lt;/item&gt;&lt;item&gt;58&lt;/item&gt;&lt;item&gt;78&lt;/item&gt;&lt;item&gt;82&lt;/item&gt;&lt;item&gt;83&lt;/item&gt;&lt;item&gt;84&lt;/item&gt;&lt;item&gt;85&lt;/item&gt;&lt;item&gt;86&lt;/item&gt;&lt;item&gt;88&lt;/item&gt;&lt;item&gt;89&lt;/item&gt;&lt;item&gt;90&lt;/item&gt;&lt;item&gt;91&lt;/item&gt;&lt;item&gt;92&lt;/item&gt;&lt;item&gt;93&lt;/item&gt;&lt;item&gt;94&lt;/item&gt;&lt;item&gt;103&lt;/item&gt;&lt;item&gt;112&lt;/item&gt;&lt;item&gt;115&lt;/item&gt;&lt;item&gt;142&lt;/item&gt;&lt;item&gt;143&lt;/item&gt;&lt;item&gt;144&lt;/item&gt;&lt;item&gt;145&lt;/item&gt;&lt;item&gt;146&lt;/item&gt;&lt;item&gt;147&lt;/item&gt;&lt;item&gt;168&lt;/item&gt;&lt;item&gt;169&lt;/item&gt;&lt;item&gt;170&lt;/item&gt;&lt;item&gt;171&lt;/item&gt;&lt;item&gt;172&lt;/item&gt;&lt;item&gt;173&lt;/item&gt;&lt;item&gt;174&lt;/item&gt;&lt;item&gt;175&lt;/item&gt;&lt;item&gt;177&lt;/item&gt;&lt;item&gt;178&lt;/item&gt;&lt;item&gt;179&lt;/item&gt;&lt;item&gt;180&lt;/item&gt;&lt;item&gt;181&lt;/item&gt;&lt;item&gt;183&lt;/item&gt;&lt;item&gt;184&lt;/item&gt;&lt;item&gt;185&lt;/item&gt;&lt;item&gt;186&lt;/item&gt;&lt;item&gt;187&lt;/item&gt;&lt;item&gt;188&lt;/item&gt;&lt;/record-ids&gt;&lt;/item&gt;&lt;/Libraries&gt;"/>
  </w:docVars>
  <w:rsids>
    <w:rsidRoot w:val="005758C5"/>
    <w:rsid w:val="00003FDC"/>
    <w:rsid w:val="00013C1C"/>
    <w:rsid w:val="00025201"/>
    <w:rsid w:val="00026DCC"/>
    <w:rsid w:val="00027462"/>
    <w:rsid w:val="0003020B"/>
    <w:rsid w:val="00043872"/>
    <w:rsid w:val="000476A9"/>
    <w:rsid w:val="00047D80"/>
    <w:rsid w:val="0005524D"/>
    <w:rsid w:val="00057352"/>
    <w:rsid w:val="00057E35"/>
    <w:rsid w:val="00063BF3"/>
    <w:rsid w:val="00073A31"/>
    <w:rsid w:val="0009238B"/>
    <w:rsid w:val="000A14A4"/>
    <w:rsid w:val="000A443C"/>
    <w:rsid w:val="000C0233"/>
    <w:rsid w:val="000C454F"/>
    <w:rsid w:val="000C7F03"/>
    <w:rsid w:val="000D1559"/>
    <w:rsid w:val="000D782A"/>
    <w:rsid w:val="000E2EBA"/>
    <w:rsid w:val="000E48BE"/>
    <w:rsid w:val="000F6384"/>
    <w:rsid w:val="0010024C"/>
    <w:rsid w:val="00100BEC"/>
    <w:rsid w:val="001021A5"/>
    <w:rsid w:val="001076E2"/>
    <w:rsid w:val="00115761"/>
    <w:rsid w:val="00123C00"/>
    <w:rsid w:val="001245CB"/>
    <w:rsid w:val="00127D27"/>
    <w:rsid w:val="001311BF"/>
    <w:rsid w:val="00133F21"/>
    <w:rsid w:val="00135AFB"/>
    <w:rsid w:val="001416D6"/>
    <w:rsid w:val="00144478"/>
    <w:rsid w:val="001527CC"/>
    <w:rsid w:val="0015393A"/>
    <w:rsid w:val="001564DC"/>
    <w:rsid w:val="00162728"/>
    <w:rsid w:val="001712DF"/>
    <w:rsid w:val="00192510"/>
    <w:rsid w:val="001A29DC"/>
    <w:rsid w:val="001A4AC0"/>
    <w:rsid w:val="001A6765"/>
    <w:rsid w:val="001A67BF"/>
    <w:rsid w:val="001C3581"/>
    <w:rsid w:val="001C3F82"/>
    <w:rsid w:val="001C7FD8"/>
    <w:rsid w:val="001E2BD0"/>
    <w:rsid w:val="001E624C"/>
    <w:rsid w:val="001E7553"/>
    <w:rsid w:val="00201C58"/>
    <w:rsid w:val="00203174"/>
    <w:rsid w:val="00203239"/>
    <w:rsid w:val="00204DBC"/>
    <w:rsid w:val="00205FC5"/>
    <w:rsid w:val="002142CC"/>
    <w:rsid w:val="00214A7D"/>
    <w:rsid w:val="00220653"/>
    <w:rsid w:val="002255FD"/>
    <w:rsid w:val="002259A6"/>
    <w:rsid w:val="00232EE0"/>
    <w:rsid w:val="002340EB"/>
    <w:rsid w:val="00240917"/>
    <w:rsid w:val="0025207A"/>
    <w:rsid w:val="00254B76"/>
    <w:rsid w:val="00257C82"/>
    <w:rsid w:val="002621E2"/>
    <w:rsid w:val="0027353F"/>
    <w:rsid w:val="0027664C"/>
    <w:rsid w:val="00276CA0"/>
    <w:rsid w:val="002771BD"/>
    <w:rsid w:val="00281DF4"/>
    <w:rsid w:val="002820D8"/>
    <w:rsid w:val="002A5033"/>
    <w:rsid w:val="002A55F4"/>
    <w:rsid w:val="002B4709"/>
    <w:rsid w:val="002C6219"/>
    <w:rsid w:val="002C65EB"/>
    <w:rsid w:val="002E2067"/>
    <w:rsid w:val="00300ACF"/>
    <w:rsid w:val="00302E65"/>
    <w:rsid w:val="003068FC"/>
    <w:rsid w:val="00306E1D"/>
    <w:rsid w:val="003217B0"/>
    <w:rsid w:val="00326ACB"/>
    <w:rsid w:val="003312EB"/>
    <w:rsid w:val="00333C14"/>
    <w:rsid w:val="003373BD"/>
    <w:rsid w:val="00353846"/>
    <w:rsid w:val="00353ADA"/>
    <w:rsid w:val="003641B0"/>
    <w:rsid w:val="00364A4F"/>
    <w:rsid w:val="00373F9F"/>
    <w:rsid w:val="0037789A"/>
    <w:rsid w:val="003838EA"/>
    <w:rsid w:val="00383AD3"/>
    <w:rsid w:val="00393E0E"/>
    <w:rsid w:val="003A697A"/>
    <w:rsid w:val="003B09BF"/>
    <w:rsid w:val="003B2645"/>
    <w:rsid w:val="003B3EE8"/>
    <w:rsid w:val="003B7139"/>
    <w:rsid w:val="003C13C8"/>
    <w:rsid w:val="003C1C57"/>
    <w:rsid w:val="003C2C2C"/>
    <w:rsid w:val="003E1CF5"/>
    <w:rsid w:val="003E1E0D"/>
    <w:rsid w:val="0040259A"/>
    <w:rsid w:val="00403972"/>
    <w:rsid w:val="004126BA"/>
    <w:rsid w:val="00414A8E"/>
    <w:rsid w:val="00414E54"/>
    <w:rsid w:val="0042604F"/>
    <w:rsid w:val="004315EB"/>
    <w:rsid w:val="004329A7"/>
    <w:rsid w:val="00433676"/>
    <w:rsid w:val="00434F8C"/>
    <w:rsid w:val="00435AFB"/>
    <w:rsid w:val="00436B10"/>
    <w:rsid w:val="0043770E"/>
    <w:rsid w:val="00457076"/>
    <w:rsid w:val="00457578"/>
    <w:rsid w:val="00460D59"/>
    <w:rsid w:val="00463774"/>
    <w:rsid w:val="00464ADD"/>
    <w:rsid w:val="004666D1"/>
    <w:rsid w:val="00471EFC"/>
    <w:rsid w:val="004737BD"/>
    <w:rsid w:val="00475431"/>
    <w:rsid w:val="004822A6"/>
    <w:rsid w:val="0048245D"/>
    <w:rsid w:val="00482C06"/>
    <w:rsid w:val="004A25C7"/>
    <w:rsid w:val="004A2899"/>
    <w:rsid w:val="004A4FDA"/>
    <w:rsid w:val="004B0C2E"/>
    <w:rsid w:val="004B7433"/>
    <w:rsid w:val="004C1ABB"/>
    <w:rsid w:val="004C2A00"/>
    <w:rsid w:val="004C5980"/>
    <w:rsid w:val="004D07F6"/>
    <w:rsid w:val="004E3EA7"/>
    <w:rsid w:val="004E47C1"/>
    <w:rsid w:val="004F0AAA"/>
    <w:rsid w:val="004F0DF2"/>
    <w:rsid w:val="004F73BE"/>
    <w:rsid w:val="00501FA9"/>
    <w:rsid w:val="00506787"/>
    <w:rsid w:val="005071B6"/>
    <w:rsid w:val="00512C41"/>
    <w:rsid w:val="0051443C"/>
    <w:rsid w:val="0052013F"/>
    <w:rsid w:val="00522255"/>
    <w:rsid w:val="00523162"/>
    <w:rsid w:val="00527028"/>
    <w:rsid w:val="00531A7E"/>
    <w:rsid w:val="005359B9"/>
    <w:rsid w:val="00536804"/>
    <w:rsid w:val="0054454B"/>
    <w:rsid w:val="00552549"/>
    <w:rsid w:val="005536F0"/>
    <w:rsid w:val="0055483D"/>
    <w:rsid w:val="00556CCC"/>
    <w:rsid w:val="00557E7F"/>
    <w:rsid w:val="00557F90"/>
    <w:rsid w:val="00565BBA"/>
    <w:rsid w:val="00573401"/>
    <w:rsid w:val="005758C5"/>
    <w:rsid w:val="00576724"/>
    <w:rsid w:val="00576E68"/>
    <w:rsid w:val="00577D25"/>
    <w:rsid w:val="00580D3E"/>
    <w:rsid w:val="005869B7"/>
    <w:rsid w:val="00592712"/>
    <w:rsid w:val="005957E6"/>
    <w:rsid w:val="00596418"/>
    <w:rsid w:val="005A61A6"/>
    <w:rsid w:val="005B1526"/>
    <w:rsid w:val="005C18DF"/>
    <w:rsid w:val="005E04E8"/>
    <w:rsid w:val="005E0A04"/>
    <w:rsid w:val="005E5863"/>
    <w:rsid w:val="005F2323"/>
    <w:rsid w:val="005F2427"/>
    <w:rsid w:val="005F4AF6"/>
    <w:rsid w:val="005F66C0"/>
    <w:rsid w:val="005F728D"/>
    <w:rsid w:val="006124E9"/>
    <w:rsid w:val="00615C89"/>
    <w:rsid w:val="0061663B"/>
    <w:rsid w:val="00617A5A"/>
    <w:rsid w:val="00621EE8"/>
    <w:rsid w:val="00630143"/>
    <w:rsid w:val="00630835"/>
    <w:rsid w:val="00633AEC"/>
    <w:rsid w:val="00633DA1"/>
    <w:rsid w:val="00637BFB"/>
    <w:rsid w:val="00647E18"/>
    <w:rsid w:val="006515D5"/>
    <w:rsid w:val="00656D83"/>
    <w:rsid w:val="00661689"/>
    <w:rsid w:val="00661CD6"/>
    <w:rsid w:val="006625FF"/>
    <w:rsid w:val="00663F05"/>
    <w:rsid w:val="006665B5"/>
    <w:rsid w:val="00676CB7"/>
    <w:rsid w:val="00683476"/>
    <w:rsid w:val="00685203"/>
    <w:rsid w:val="00685779"/>
    <w:rsid w:val="006948FD"/>
    <w:rsid w:val="00695DFA"/>
    <w:rsid w:val="0069616F"/>
    <w:rsid w:val="00696F84"/>
    <w:rsid w:val="00697AF5"/>
    <w:rsid w:val="006A2640"/>
    <w:rsid w:val="006A68E1"/>
    <w:rsid w:val="006B05E9"/>
    <w:rsid w:val="006B3314"/>
    <w:rsid w:val="006B3999"/>
    <w:rsid w:val="006B4AD1"/>
    <w:rsid w:val="006B4DE5"/>
    <w:rsid w:val="006B51D8"/>
    <w:rsid w:val="006C02B4"/>
    <w:rsid w:val="006C39A6"/>
    <w:rsid w:val="006C73E4"/>
    <w:rsid w:val="006D08FE"/>
    <w:rsid w:val="006D3BC0"/>
    <w:rsid w:val="006E1CCC"/>
    <w:rsid w:val="006E4A03"/>
    <w:rsid w:val="006E4A24"/>
    <w:rsid w:val="006E4B21"/>
    <w:rsid w:val="006F2B07"/>
    <w:rsid w:val="00707A3C"/>
    <w:rsid w:val="00711B60"/>
    <w:rsid w:val="00714A64"/>
    <w:rsid w:val="00720744"/>
    <w:rsid w:val="00721F0A"/>
    <w:rsid w:val="007231CF"/>
    <w:rsid w:val="00723760"/>
    <w:rsid w:val="007359B6"/>
    <w:rsid w:val="007437D1"/>
    <w:rsid w:val="00751E7D"/>
    <w:rsid w:val="00757B3B"/>
    <w:rsid w:val="007673CF"/>
    <w:rsid w:val="00772913"/>
    <w:rsid w:val="0077297D"/>
    <w:rsid w:val="007729A1"/>
    <w:rsid w:val="007738A5"/>
    <w:rsid w:val="00794817"/>
    <w:rsid w:val="007A0138"/>
    <w:rsid w:val="007A6E6B"/>
    <w:rsid w:val="007A7E24"/>
    <w:rsid w:val="007B0454"/>
    <w:rsid w:val="007B3274"/>
    <w:rsid w:val="007D355C"/>
    <w:rsid w:val="007D7197"/>
    <w:rsid w:val="007E01B4"/>
    <w:rsid w:val="007E0909"/>
    <w:rsid w:val="007E1FF6"/>
    <w:rsid w:val="007E72E9"/>
    <w:rsid w:val="007E798B"/>
    <w:rsid w:val="007F1324"/>
    <w:rsid w:val="007F4854"/>
    <w:rsid w:val="0081110E"/>
    <w:rsid w:val="008136DD"/>
    <w:rsid w:val="00825452"/>
    <w:rsid w:val="00826B1F"/>
    <w:rsid w:val="00831BAD"/>
    <w:rsid w:val="0083238C"/>
    <w:rsid w:val="00833374"/>
    <w:rsid w:val="00834865"/>
    <w:rsid w:val="0084172A"/>
    <w:rsid w:val="008444C8"/>
    <w:rsid w:val="00854B5B"/>
    <w:rsid w:val="00856DE1"/>
    <w:rsid w:val="00857CB6"/>
    <w:rsid w:val="00860EA9"/>
    <w:rsid w:val="00865C33"/>
    <w:rsid w:val="00871C8B"/>
    <w:rsid w:val="0087672D"/>
    <w:rsid w:val="008801D3"/>
    <w:rsid w:val="00880224"/>
    <w:rsid w:val="00885F1E"/>
    <w:rsid w:val="008925A8"/>
    <w:rsid w:val="00894EA0"/>
    <w:rsid w:val="008A45A7"/>
    <w:rsid w:val="008B0F7E"/>
    <w:rsid w:val="008B74C9"/>
    <w:rsid w:val="008B7CD2"/>
    <w:rsid w:val="008C2732"/>
    <w:rsid w:val="008C7744"/>
    <w:rsid w:val="008D1051"/>
    <w:rsid w:val="008D35E9"/>
    <w:rsid w:val="008D39E0"/>
    <w:rsid w:val="008D3B01"/>
    <w:rsid w:val="008D6E91"/>
    <w:rsid w:val="008E67FC"/>
    <w:rsid w:val="00911E06"/>
    <w:rsid w:val="00916CB7"/>
    <w:rsid w:val="00917193"/>
    <w:rsid w:val="0091725F"/>
    <w:rsid w:val="00920FE0"/>
    <w:rsid w:val="00925D79"/>
    <w:rsid w:val="00931BFA"/>
    <w:rsid w:val="0093353E"/>
    <w:rsid w:val="00937D47"/>
    <w:rsid w:val="00942F81"/>
    <w:rsid w:val="0094359D"/>
    <w:rsid w:val="0095183C"/>
    <w:rsid w:val="00954074"/>
    <w:rsid w:val="00956AF5"/>
    <w:rsid w:val="00957986"/>
    <w:rsid w:val="00960F7E"/>
    <w:rsid w:val="00961A06"/>
    <w:rsid w:val="00962693"/>
    <w:rsid w:val="00964D70"/>
    <w:rsid w:val="009703A2"/>
    <w:rsid w:val="009714A6"/>
    <w:rsid w:val="00972786"/>
    <w:rsid w:val="009763E8"/>
    <w:rsid w:val="009834A7"/>
    <w:rsid w:val="00994E18"/>
    <w:rsid w:val="009B1DD4"/>
    <w:rsid w:val="009B747D"/>
    <w:rsid w:val="009C2AAA"/>
    <w:rsid w:val="009C352D"/>
    <w:rsid w:val="009C551D"/>
    <w:rsid w:val="009D4215"/>
    <w:rsid w:val="009E30A5"/>
    <w:rsid w:val="009E4034"/>
    <w:rsid w:val="009F1FFC"/>
    <w:rsid w:val="009F28AE"/>
    <w:rsid w:val="009F603A"/>
    <w:rsid w:val="009F7D72"/>
    <w:rsid w:val="00A0016C"/>
    <w:rsid w:val="00A06B75"/>
    <w:rsid w:val="00A1016B"/>
    <w:rsid w:val="00A10C83"/>
    <w:rsid w:val="00A11AFC"/>
    <w:rsid w:val="00A14677"/>
    <w:rsid w:val="00A229EA"/>
    <w:rsid w:val="00A27F39"/>
    <w:rsid w:val="00A314A2"/>
    <w:rsid w:val="00A37DEC"/>
    <w:rsid w:val="00A51C3F"/>
    <w:rsid w:val="00A53396"/>
    <w:rsid w:val="00A57438"/>
    <w:rsid w:val="00A62826"/>
    <w:rsid w:val="00A652B0"/>
    <w:rsid w:val="00A66EC9"/>
    <w:rsid w:val="00A72F2A"/>
    <w:rsid w:val="00A73358"/>
    <w:rsid w:val="00A76452"/>
    <w:rsid w:val="00A8084F"/>
    <w:rsid w:val="00A8328D"/>
    <w:rsid w:val="00AB0C6B"/>
    <w:rsid w:val="00AB0EE2"/>
    <w:rsid w:val="00AB32FC"/>
    <w:rsid w:val="00AB3A56"/>
    <w:rsid w:val="00AC22EA"/>
    <w:rsid w:val="00AD0BF0"/>
    <w:rsid w:val="00AD4F37"/>
    <w:rsid w:val="00AD62BA"/>
    <w:rsid w:val="00AF562B"/>
    <w:rsid w:val="00AF7792"/>
    <w:rsid w:val="00B032D1"/>
    <w:rsid w:val="00B0456D"/>
    <w:rsid w:val="00B05FC2"/>
    <w:rsid w:val="00B0693B"/>
    <w:rsid w:val="00B104F8"/>
    <w:rsid w:val="00B1196D"/>
    <w:rsid w:val="00B13835"/>
    <w:rsid w:val="00B22614"/>
    <w:rsid w:val="00B231D6"/>
    <w:rsid w:val="00B23F38"/>
    <w:rsid w:val="00B3493E"/>
    <w:rsid w:val="00B36A87"/>
    <w:rsid w:val="00B40DFD"/>
    <w:rsid w:val="00B4337A"/>
    <w:rsid w:val="00B4556B"/>
    <w:rsid w:val="00B467FC"/>
    <w:rsid w:val="00B47F26"/>
    <w:rsid w:val="00B51540"/>
    <w:rsid w:val="00B53CD0"/>
    <w:rsid w:val="00B555A8"/>
    <w:rsid w:val="00B55BA7"/>
    <w:rsid w:val="00B55DA9"/>
    <w:rsid w:val="00B62D79"/>
    <w:rsid w:val="00B640E0"/>
    <w:rsid w:val="00B65AFE"/>
    <w:rsid w:val="00B70CC7"/>
    <w:rsid w:val="00B75A12"/>
    <w:rsid w:val="00B834CA"/>
    <w:rsid w:val="00B90B6D"/>
    <w:rsid w:val="00B94FD3"/>
    <w:rsid w:val="00B95158"/>
    <w:rsid w:val="00B95921"/>
    <w:rsid w:val="00BA6E82"/>
    <w:rsid w:val="00BA7BE8"/>
    <w:rsid w:val="00BC7337"/>
    <w:rsid w:val="00BD1BE4"/>
    <w:rsid w:val="00BD2AA8"/>
    <w:rsid w:val="00BD62F1"/>
    <w:rsid w:val="00BE67A0"/>
    <w:rsid w:val="00BE6C96"/>
    <w:rsid w:val="00BE7775"/>
    <w:rsid w:val="00BF0C0D"/>
    <w:rsid w:val="00BF5712"/>
    <w:rsid w:val="00C02147"/>
    <w:rsid w:val="00C037B7"/>
    <w:rsid w:val="00C11085"/>
    <w:rsid w:val="00C12F85"/>
    <w:rsid w:val="00C140DE"/>
    <w:rsid w:val="00C2303F"/>
    <w:rsid w:val="00C40926"/>
    <w:rsid w:val="00C41D8D"/>
    <w:rsid w:val="00C41ECF"/>
    <w:rsid w:val="00C56A4E"/>
    <w:rsid w:val="00C654C6"/>
    <w:rsid w:val="00C670EA"/>
    <w:rsid w:val="00C67206"/>
    <w:rsid w:val="00C6786A"/>
    <w:rsid w:val="00C67AC8"/>
    <w:rsid w:val="00C821E0"/>
    <w:rsid w:val="00C82305"/>
    <w:rsid w:val="00C83615"/>
    <w:rsid w:val="00C83CCD"/>
    <w:rsid w:val="00C87137"/>
    <w:rsid w:val="00C94368"/>
    <w:rsid w:val="00C94AEA"/>
    <w:rsid w:val="00C979A5"/>
    <w:rsid w:val="00CA227C"/>
    <w:rsid w:val="00CA26E0"/>
    <w:rsid w:val="00CA2D74"/>
    <w:rsid w:val="00CA385F"/>
    <w:rsid w:val="00CB1D5A"/>
    <w:rsid w:val="00CC21CE"/>
    <w:rsid w:val="00CE67C8"/>
    <w:rsid w:val="00CF4BB1"/>
    <w:rsid w:val="00CF6829"/>
    <w:rsid w:val="00D11A30"/>
    <w:rsid w:val="00D12A10"/>
    <w:rsid w:val="00D15C5E"/>
    <w:rsid w:val="00D16501"/>
    <w:rsid w:val="00D21084"/>
    <w:rsid w:val="00D25456"/>
    <w:rsid w:val="00D2642F"/>
    <w:rsid w:val="00D26510"/>
    <w:rsid w:val="00D2692C"/>
    <w:rsid w:val="00D30D82"/>
    <w:rsid w:val="00D459A0"/>
    <w:rsid w:val="00D531C5"/>
    <w:rsid w:val="00D533B7"/>
    <w:rsid w:val="00D53A94"/>
    <w:rsid w:val="00D53EB0"/>
    <w:rsid w:val="00D60E13"/>
    <w:rsid w:val="00D80A23"/>
    <w:rsid w:val="00D87930"/>
    <w:rsid w:val="00D91D14"/>
    <w:rsid w:val="00D91E8B"/>
    <w:rsid w:val="00DA05A7"/>
    <w:rsid w:val="00DA2CB0"/>
    <w:rsid w:val="00DB04DC"/>
    <w:rsid w:val="00DC648E"/>
    <w:rsid w:val="00DD59CF"/>
    <w:rsid w:val="00DE1268"/>
    <w:rsid w:val="00DE3429"/>
    <w:rsid w:val="00DE37D2"/>
    <w:rsid w:val="00E017A5"/>
    <w:rsid w:val="00E01D1B"/>
    <w:rsid w:val="00E10D0E"/>
    <w:rsid w:val="00E151B6"/>
    <w:rsid w:val="00E30763"/>
    <w:rsid w:val="00E322AB"/>
    <w:rsid w:val="00E3518F"/>
    <w:rsid w:val="00E43597"/>
    <w:rsid w:val="00E4446E"/>
    <w:rsid w:val="00E44BEF"/>
    <w:rsid w:val="00E54BD3"/>
    <w:rsid w:val="00E642A3"/>
    <w:rsid w:val="00E672B1"/>
    <w:rsid w:val="00E7482B"/>
    <w:rsid w:val="00E76C82"/>
    <w:rsid w:val="00E825D4"/>
    <w:rsid w:val="00E835CB"/>
    <w:rsid w:val="00E83C53"/>
    <w:rsid w:val="00E93338"/>
    <w:rsid w:val="00E93C42"/>
    <w:rsid w:val="00E95A8C"/>
    <w:rsid w:val="00EB3B62"/>
    <w:rsid w:val="00EC35E9"/>
    <w:rsid w:val="00EC3C8F"/>
    <w:rsid w:val="00ED07C5"/>
    <w:rsid w:val="00ED148F"/>
    <w:rsid w:val="00EE4535"/>
    <w:rsid w:val="00EE6912"/>
    <w:rsid w:val="00EE7745"/>
    <w:rsid w:val="00EF5076"/>
    <w:rsid w:val="00EF75CC"/>
    <w:rsid w:val="00F00B51"/>
    <w:rsid w:val="00F10C30"/>
    <w:rsid w:val="00F15FE2"/>
    <w:rsid w:val="00F2085D"/>
    <w:rsid w:val="00F24EB5"/>
    <w:rsid w:val="00F2730C"/>
    <w:rsid w:val="00F323A1"/>
    <w:rsid w:val="00F43A53"/>
    <w:rsid w:val="00F47DCE"/>
    <w:rsid w:val="00F50683"/>
    <w:rsid w:val="00F56226"/>
    <w:rsid w:val="00F56ADE"/>
    <w:rsid w:val="00F60BE9"/>
    <w:rsid w:val="00F60EC8"/>
    <w:rsid w:val="00F61AAD"/>
    <w:rsid w:val="00F61AF6"/>
    <w:rsid w:val="00F6331D"/>
    <w:rsid w:val="00F723A9"/>
    <w:rsid w:val="00F7573C"/>
    <w:rsid w:val="00F8114B"/>
    <w:rsid w:val="00F86510"/>
    <w:rsid w:val="00F9246A"/>
    <w:rsid w:val="00F925E7"/>
    <w:rsid w:val="00FA43FE"/>
    <w:rsid w:val="00FA48E6"/>
    <w:rsid w:val="00FA73AC"/>
    <w:rsid w:val="00FB2804"/>
    <w:rsid w:val="00FB2BCE"/>
    <w:rsid w:val="00FB787B"/>
    <w:rsid w:val="00FC1E41"/>
    <w:rsid w:val="00FE088F"/>
    <w:rsid w:val="00FE0CEF"/>
    <w:rsid w:val="00FE20BB"/>
    <w:rsid w:val="00FE43FF"/>
    <w:rsid w:val="00FE6FDF"/>
    <w:rsid w:val="00FF0898"/>
    <w:rsid w:val="00FF0D33"/>
    <w:rsid w:val="00FF2B4A"/>
    <w:rsid w:val="00FF4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FF2EC"/>
  <w15:docId w15:val="{3AD894E0-91A6-7F4F-9C96-3EEA2271F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4"/>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8C5"/>
    <w:pPr>
      <w:spacing w:after="200" w:line="276" w:lineRule="auto"/>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58C5"/>
    <w:rPr>
      <w:color w:val="0563C1" w:themeColor="hyperlink"/>
      <w:u w:val="single"/>
    </w:rPr>
  </w:style>
  <w:style w:type="paragraph" w:styleId="Header">
    <w:name w:val="header"/>
    <w:basedOn w:val="Normal"/>
    <w:link w:val="HeaderChar"/>
    <w:uiPriority w:val="99"/>
    <w:unhideWhenUsed/>
    <w:rsid w:val="002340EB"/>
    <w:pPr>
      <w:tabs>
        <w:tab w:val="center" w:pos="4320"/>
        <w:tab w:val="right" w:pos="8640"/>
      </w:tabs>
      <w:spacing w:after="0" w:line="240" w:lineRule="auto"/>
    </w:pPr>
  </w:style>
  <w:style w:type="character" w:customStyle="1" w:styleId="HeaderChar">
    <w:name w:val="Header Char"/>
    <w:basedOn w:val="DefaultParagraphFont"/>
    <w:link w:val="Header"/>
    <w:uiPriority w:val="99"/>
    <w:rsid w:val="002340EB"/>
    <w:rPr>
      <w:szCs w:val="24"/>
    </w:rPr>
  </w:style>
  <w:style w:type="paragraph" w:styleId="Footer">
    <w:name w:val="footer"/>
    <w:basedOn w:val="Normal"/>
    <w:link w:val="FooterChar"/>
    <w:uiPriority w:val="99"/>
    <w:unhideWhenUsed/>
    <w:rsid w:val="002340EB"/>
    <w:pPr>
      <w:tabs>
        <w:tab w:val="center" w:pos="4320"/>
        <w:tab w:val="right" w:pos="8640"/>
      </w:tabs>
      <w:spacing w:after="0" w:line="240" w:lineRule="auto"/>
    </w:pPr>
  </w:style>
  <w:style w:type="character" w:customStyle="1" w:styleId="FooterChar">
    <w:name w:val="Footer Char"/>
    <w:basedOn w:val="DefaultParagraphFont"/>
    <w:link w:val="Footer"/>
    <w:uiPriority w:val="99"/>
    <w:rsid w:val="002340EB"/>
    <w:rPr>
      <w:szCs w:val="24"/>
    </w:rPr>
  </w:style>
  <w:style w:type="character" w:customStyle="1" w:styleId="UnresolvedMention1">
    <w:name w:val="Unresolved Mention1"/>
    <w:basedOn w:val="DefaultParagraphFont"/>
    <w:uiPriority w:val="99"/>
    <w:semiHidden/>
    <w:unhideWhenUsed/>
    <w:rsid w:val="00B51540"/>
    <w:rPr>
      <w:color w:val="605E5C"/>
      <w:shd w:val="clear" w:color="auto" w:fill="E1DFDD"/>
    </w:rPr>
  </w:style>
  <w:style w:type="paragraph" w:styleId="BalloonText">
    <w:name w:val="Balloon Text"/>
    <w:basedOn w:val="Normal"/>
    <w:link w:val="BalloonTextChar"/>
    <w:uiPriority w:val="99"/>
    <w:semiHidden/>
    <w:unhideWhenUsed/>
    <w:rsid w:val="00576E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E68"/>
    <w:rPr>
      <w:rFonts w:ascii="Segoe UI" w:hAnsi="Segoe UI" w:cs="Segoe UI"/>
      <w:sz w:val="18"/>
      <w:szCs w:val="18"/>
    </w:rPr>
  </w:style>
  <w:style w:type="paragraph" w:styleId="ListParagraph">
    <w:name w:val="List Paragraph"/>
    <w:basedOn w:val="Normal"/>
    <w:uiPriority w:val="34"/>
    <w:qFormat/>
    <w:rsid w:val="00DE37D2"/>
    <w:pPr>
      <w:ind w:left="720"/>
      <w:contextualSpacing/>
    </w:pPr>
  </w:style>
  <w:style w:type="paragraph" w:styleId="Title">
    <w:name w:val="Title"/>
    <w:basedOn w:val="Normal"/>
    <w:next w:val="Normal"/>
    <w:link w:val="TitleChar"/>
    <w:uiPriority w:val="10"/>
    <w:qFormat/>
    <w:rsid w:val="00281DF4"/>
    <w:pPr>
      <w:spacing w:after="0" w:line="240" w:lineRule="auto"/>
      <w:contextualSpacing/>
    </w:pPr>
    <w:rPr>
      <w:rFonts w:eastAsiaTheme="majorEastAsia" w:cstheme="majorBidi"/>
      <w:b/>
      <w:spacing w:val="-10"/>
      <w:kern w:val="28"/>
      <w:sz w:val="22"/>
      <w:szCs w:val="56"/>
    </w:rPr>
  </w:style>
  <w:style w:type="character" w:customStyle="1" w:styleId="TitleChar">
    <w:name w:val="Title Char"/>
    <w:basedOn w:val="DefaultParagraphFont"/>
    <w:link w:val="Title"/>
    <w:uiPriority w:val="10"/>
    <w:rsid w:val="00281DF4"/>
    <w:rPr>
      <w:rFonts w:eastAsiaTheme="majorEastAsia" w:cstheme="majorBidi"/>
      <w:b/>
      <w:spacing w:val="-10"/>
      <w:kern w:val="28"/>
      <w:sz w:val="22"/>
      <w:szCs w:val="56"/>
    </w:rPr>
  </w:style>
  <w:style w:type="character" w:styleId="CommentReference">
    <w:name w:val="annotation reference"/>
    <w:basedOn w:val="DefaultParagraphFont"/>
    <w:uiPriority w:val="99"/>
    <w:semiHidden/>
    <w:unhideWhenUsed/>
    <w:rsid w:val="009E30A5"/>
    <w:rPr>
      <w:sz w:val="16"/>
      <w:szCs w:val="16"/>
    </w:rPr>
  </w:style>
  <w:style w:type="paragraph" w:styleId="CommentText">
    <w:name w:val="annotation text"/>
    <w:basedOn w:val="Normal"/>
    <w:link w:val="CommentTextChar"/>
    <w:uiPriority w:val="99"/>
    <w:unhideWhenUsed/>
    <w:rsid w:val="009E30A5"/>
    <w:pPr>
      <w:spacing w:line="240" w:lineRule="auto"/>
    </w:pPr>
    <w:rPr>
      <w:sz w:val="20"/>
      <w:szCs w:val="20"/>
    </w:rPr>
  </w:style>
  <w:style w:type="character" w:customStyle="1" w:styleId="CommentTextChar">
    <w:name w:val="Comment Text Char"/>
    <w:basedOn w:val="DefaultParagraphFont"/>
    <w:link w:val="CommentText"/>
    <w:uiPriority w:val="99"/>
    <w:rsid w:val="009E30A5"/>
    <w:rPr>
      <w:sz w:val="20"/>
      <w:szCs w:val="20"/>
    </w:rPr>
  </w:style>
  <w:style w:type="paragraph" w:styleId="CommentSubject">
    <w:name w:val="annotation subject"/>
    <w:basedOn w:val="CommentText"/>
    <w:next w:val="CommentText"/>
    <w:link w:val="CommentSubjectChar"/>
    <w:uiPriority w:val="99"/>
    <w:semiHidden/>
    <w:unhideWhenUsed/>
    <w:rsid w:val="009E30A5"/>
    <w:rPr>
      <w:b/>
      <w:bCs/>
    </w:rPr>
  </w:style>
  <w:style w:type="character" w:customStyle="1" w:styleId="CommentSubjectChar">
    <w:name w:val="Comment Subject Char"/>
    <w:basedOn w:val="CommentTextChar"/>
    <w:link w:val="CommentSubject"/>
    <w:uiPriority w:val="99"/>
    <w:semiHidden/>
    <w:rsid w:val="009E30A5"/>
    <w:rPr>
      <w:b/>
      <w:bCs/>
      <w:sz w:val="20"/>
      <w:szCs w:val="20"/>
    </w:rPr>
  </w:style>
  <w:style w:type="paragraph" w:styleId="NormalWeb">
    <w:name w:val="Normal (Web)"/>
    <w:basedOn w:val="Normal"/>
    <w:link w:val="NormalWebChar"/>
    <w:uiPriority w:val="99"/>
    <w:unhideWhenUsed/>
    <w:rsid w:val="00DB04DC"/>
    <w:pPr>
      <w:spacing w:before="100" w:beforeAutospacing="1" w:after="100" w:afterAutospacing="1" w:line="240" w:lineRule="auto"/>
    </w:pPr>
    <w:rPr>
      <w:rFonts w:eastAsia="Times New Roman"/>
    </w:rPr>
  </w:style>
  <w:style w:type="character" w:customStyle="1" w:styleId="NormalWebChar">
    <w:name w:val="Normal (Web) Char"/>
    <w:basedOn w:val="DefaultParagraphFont"/>
    <w:link w:val="NormalWeb"/>
    <w:uiPriority w:val="99"/>
    <w:rsid w:val="00DB04DC"/>
    <w:rPr>
      <w:rFonts w:eastAsia="Times New Roman"/>
      <w:szCs w:val="24"/>
    </w:rPr>
  </w:style>
  <w:style w:type="paragraph" w:customStyle="1" w:styleId="EndNoteBibliography">
    <w:name w:val="EndNote Bibliography"/>
    <w:basedOn w:val="Normal"/>
    <w:link w:val="EndNoteBibliographyChar"/>
    <w:rsid w:val="00DB04DC"/>
    <w:pPr>
      <w:spacing w:after="160" w:line="240" w:lineRule="auto"/>
    </w:pPr>
    <w:rPr>
      <w:rFonts w:eastAsia="Times New Roman"/>
      <w:noProof/>
    </w:rPr>
  </w:style>
  <w:style w:type="character" w:customStyle="1" w:styleId="EndNoteBibliographyChar">
    <w:name w:val="EndNote Bibliography Char"/>
    <w:basedOn w:val="NormalWebChar"/>
    <w:link w:val="EndNoteBibliography"/>
    <w:rsid w:val="00DB04DC"/>
    <w:rPr>
      <w:rFonts w:eastAsia="Times New Roman"/>
      <w:noProof/>
      <w:szCs w:val="24"/>
    </w:rPr>
  </w:style>
  <w:style w:type="character" w:styleId="UnresolvedMention">
    <w:name w:val="Unresolved Mention"/>
    <w:basedOn w:val="DefaultParagraphFont"/>
    <w:uiPriority w:val="99"/>
    <w:semiHidden/>
    <w:unhideWhenUsed/>
    <w:rsid w:val="00B1196D"/>
    <w:rPr>
      <w:color w:val="605E5C"/>
      <w:shd w:val="clear" w:color="auto" w:fill="E1DFDD"/>
    </w:rPr>
  </w:style>
  <w:style w:type="paragraph" w:styleId="Revision">
    <w:name w:val="Revision"/>
    <w:hidden/>
    <w:uiPriority w:val="99"/>
    <w:semiHidden/>
    <w:rsid w:val="00501FA9"/>
    <w:pPr>
      <w:spacing w:after="0" w:line="240" w:lineRule="auto"/>
    </w:pPr>
    <w:rPr>
      <w:szCs w:val="24"/>
    </w:rPr>
  </w:style>
  <w:style w:type="paragraph" w:customStyle="1" w:styleId="EndNoteBibliographyTitle">
    <w:name w:val="EndNote Bibliography Title"/>
    <w:basedOn w:val="Normal"/>
    <w:link w:val="EndNoteBibliographyTitleChar"/>
    <w:rsid w:val="00501FA9"/>
    <w:pPr>
      <w:widowControl w:val="0"/>
      <w:spacing w:after="0" w:line="240" w:lineRule="auto"/>
      <w:jc w:val="center"/>
    </w:pPr>
    <w:rPr>
      <w:rFonts w:eastAsia="DengXian"/>
      <w:noProof/>
      <w:kern w:val="2"/>
      <w:szCs w:val="22"/>
      <w14:ligatures w14:val="standardContextual"/>
    </w:rPr>
  </w:style>
  <w:style w:type="character" w:customStyle="1" w:styleId="EndNoteBibliographyTitleChar">
    <w:name w:val="EndNote Bibliography Title Char"/>
    <w:basedOn w:val="DefaultParagraphFont"/>
    <w:link w:val="EndNoteBibliographyTitle"/>
    <w:rsid w:val="00501FA9"/>
    <w:rPr>
      <w:rFonts w:eastAsia="DengXian"/>
      <w:noProof/>
      <w:kern w:val="2"/>
      <w14:ligatures w14:val="standardContextual"/>
    </w:rPr>
  </w:style>
  <w:style w:type="table" w:styleId="TableGrid">
    <w:name w:val="Table Grid"/>
    <w:basedOn w:val="TableNormal"/>
    <w:uiPriority w:val="39"/>
    <w:rsid w:val="00135A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90B6D"/>
    <w:pPr>
      <w:widowControl w:val="0"/>
      <w:spacing w:after="0" w:line="240" w:lineRule="auto"/>
      <w:jc w:val="both"/>
    </w:pPr>
    <w:rPr>
      <w:rFonts w:asciiTheme="majorHAnsi" w:eastAsia="SimHei" w:hAnsiTheme="majorHAnsi" w:cstheme="majorBidi"/>
      <w:kern w:val="2"/>
      <w:sz w:val="20"/>
      <w:szCs w:val="20"/>
    </w:rPr>
  </w:style>
  <w:style w:type="character" w:customStyle="1" w:styleId="cf01">
    <w:name w:val="cf01"/>
    <w:basedOn w:val="DefaultParagraphFont"/>
    <w:rsid w:val="003312EB"/>
    <w:rPr>
      <w:rFonts w:ascii="Segoe UI" w:hAnsi="Segoe UI" w:cs="Segoe UI" w:hint="default"/>
      <w:sz w:val="18"/>
      <w:szCs w:val="18"/>
    </w:rPr>
  </w:style>
  <w:style w:type="character" w:styleId="FollowedHyperlink">
    <w:name w:val="FollowedHyperlink"/>
    <w:basedOn w:val="DefaultParagraphFont"/>
    <w:uiPriority w:val="99"/>
    <w:semiHidden/>
    <w:unhideWhenUsed/>
    <w:rsid w:val="00E01D1B"/>
    <w:rPr>
      <w:color w:val="954F72" w:themeColor="followedHyperlink"/>
      <w:u w:val="single"/>
    </w:rPr>
  </w:style>
  <w:style w:type="character" w:styleId="PlaceholderText">
    <w:name w:val="Placeholder Text"/>
    <w:basedOn w:val="DefaultParagraphFont"/>
    <w:uiPriority w:val="99"/>
    <w:semiHidden/>
    <w:rsid w:val="00EE453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31544">
      <w:bodyDiv w:val="1"/>
      <w:marLeft w:val="0"/>
      <w:marRight w:val="0"/>
      <w:marTop w:val="0"/>
      <w:marBottom w:val="0"/>
      <w:divBdr>
        <w:top w:val="none" w:sz="0" w:space="0" w:color="auto"/>
        <w:left w:val="none" w:sz="0" w:space="0" w:color="auto"/>
        <w:bottom w:val="none" w:sz="0" w:space="0" w:color="auto"/>
        <w:right w:val="none" w:sz="0" w:space="0" w:color="auto"/>
      </w:divBdr>
    </w:div>
    <w:div w:id="201332405">
      <w:bodyDiv w:val="1"/>
      <w:marLeft w:val="0"/>
      <w:marRight w:val="0"/>
      <w:marTop w:val="0"/>
      <w:marBottom w:val="0"/>
      <w:divBdr>
        <w:top w:val="none" w:sz="0" w:space="0" w:color="auto"/>
        <w:left w:val="none" w:sz="0" w:space="0" w:color="auto"/>
        <w:bottom w:val="none" w:sz="0" w:space="0" w:color="auto"/>
        <w:right w:val="none" w:sz="0" w:space="0" w:color="auto"/>
      </w:divBdr>
    </w:div>
    <w:div w:id="238831577">
      <w:bodyDiv w:val="1"/>
      <w:marLeft w:val="0"/>
      <w:marRight w:val="0"/>
      <w:marTop w:val="0"/>
      <w:marBottom w:val="0"/>
      <w:divBdr>
        <w:top w:val="none" w:sz="0" w:space="0" w:color="auto"/>
        <w:left w:val="none" w:sz="0" w:space="0" w:color="auto"/>
        <w:bottom w:val="none" w:sz="0" w:space="0" w:color="auto"/>
        <w:right w:val="none" w:sz="0" w:space="0" w:color="auto"/>
      </w:divBdr>
    </w:div>
    <w:div w:id="261492915">
      <w:bodyDiv w:val="1"/>
      <w:marLeft w:val="0"/>
      <w:marRight w:val="0"/>
      <w:marTop w:val="0"/>
      <w:marBottom w:val="0"/>
      <w:divBdr>
        <w:top w:val="none" w:sz="0" w:space="0" w:color="auto"/>
        <w:left w:val="none" w:sz="0" w:space="0" w:color="auto"/>
        <w:bottom w:val="none" w:sz="0" w:space="0" w:color="auto"/>
        <w:right w:val="none" w:sz="0" w:space="0" w:color="auto"/>
      </w:divBdr>
    </w:div>
    <w:div w:id="399257736">
      <w:bodyDiv w:val="1"/>
      <w:marLeft w:val="0"/>
      <w:marRight w:val="0"/>
      <w:marTop w:val="0"/>
      <w:marBottom w:val="0"/>
      <w:divBdr>
        <w:top w:val="none" w:sz="0" w:space="0" w:color="auto"/>
        <w:left w:val="none" w:sz="0" w:space="0" w:color="auto"/>
        <w:bottom w:val="none" w:sz="0" w:space="0" w:color="auto"/>
        <w:right w:val="none" w:sz="0" w:space="0" w:color="auto"/>
      </w:divBdr>
    </w:div>
    <w:div w:id="439034708">
      <w:bodyDiv w:val="1"/>
      <w:marLeft w:val="0"/>
      <w:marRight w:val="0"/>
      <w:marTop w:val="0"/>
      <w:marBottom w:val="0"/>
      <w:divBdr>
        <w:top w:val="none" w:sz="0" w:space="0" w:color="auto"/>
        <w:left w:val="none" w:sz="0" w:space="0" w:color="auto"/>
        <w:bottom w:val="none" w:sz="0" w:space="0" w:color="auto"/>
        <w:right w:val="none" w:sz="0" w:space="0" w:color="auto"/>
      </w:divBdr>
    </w:div>
    <w:div w:id="473719013">
      <w:bodyDiv w:val="1"/>
      <w:marLeft w:val="0"/>
      <w:marRight w:val="0"/>
      <w:marTop w:val="0"/>
      <w:marBottom w:val="0"/>
      <w:divBdr>
        <w:top w:val="none" w:sz="0" w:space="0" w:color="auto"/>
        <w:left w:val="none" w:sz="0" w:space="0" w:color="auto"/>
        <w:bottom w:val="none" w:sz="0" w:space="0" w:color="auto"/>
        <w:right w:val="none" w:sz="0" w:space="0" w:color="auto"/>
      </w:divBdr>
    </w:div>
    <w:div w:id="580138871">
      <w:bodyDiv w:val="1"/>
      <w:marLeft w:val="0"/>
      <w:marRight w:val="0"/>
      <w:marTop w:val="0"/>
      <w:marBottom w:val="0"/>
      <w:divBdr>
        <w:top w:val="none" w:sz="0" w:space="0" w:color="auto"/>
        <w:left w:val="none" w:sz="0" w:space="0" w:color="auto"/>
        <w:bottom w:val="none" w:sz="0" w:space="0" w:color="auto"/>
        <w:right w:val="none" w:sz="0" w:space="0" w:color="auto"/>
      </w:divBdr>
    </w:div>
    <w:div w:id="659775810">
      <w:bodyDiv w:val="1"/>
      <w:marLeft w:val="0"/>
      <w:marRight w:val="0"/>
      <w:marTop w:val="0"/>
      <w:marBottom w:val="0"/>
      <w:divBdr>
        <w:top w:val="none" w:sz="0" w:space="0" w:color="auto"/>
        <w:left w:val="none" w:sz="0" w:space="0" w:color="auto"/>
        <w:bottom w:val="none" w:sz="0" w:space="0" w:color="auto"/>
        <w:right w:val="none" w:sz="0" w:space="0" w:color="auto"/>
      </w:divBdr>
    </w:div>
    <w:div w:id="678312610">
      <w:bodyDiv w:val="1"/>
      <w:marLeft w:val="0"/>
      <w:marRight w:val="0"/>
      <w:marTop w:val="0"/>
      <w:marBottom w:val="0"/>
      <w:divBdr>
        <w:top w:val="none" w:sz="0" w:space="0" w:color="auto"/>
        <w:left w:val="none" w:sz="0" w:space="0" w:color="auto"/>
        <w:bottom w:val="none" w:sz="0" w:space="0" w:color="auto"/>
        <w:right w:val="none" w:sz="0" w:space="0" w:color="auto"/>
      </w:divBdr>
    </w:div>
    <w:div w:id="761607599">
      <w:bodyDiv w:val="1"/>
      <w:marLeft w:val="0"/>
      <w:marRight w:val="0"/>
      <w:marTop w:val="0"/>
      <w:marBottom w:val="0"/>
      <w:divBdr>
        <w:top w:val="none" w:sz="0" w:space="0" w:color="auto"/>
        <w:left w:val="none" w:sz="0" w:space="0" w:color="auto"/>
        <w:bottom w:val="none" w:sz="0" w:space="0" w:color="auto"/>
        <w:right w:val="none" w:sz="0" w:space="0" w:color="auto"/>
      </w:divBdr>
    </w:div>
    <w:div w:id="938676613">
      <w:bodyDiv w:val="1"/>
      <w:marLeft w:val="0"/>
      <w:marRight w:val="0"/>
      <w:marTop w:val="0"/>
      <w:marBottom w:val="0"/>
      <w:divBdr>
        <w:top w:val="none" w:sz="0" w:space="0" w:color="auto"/>
        <w:left w:val="none" w:sz="0" w:space="0" w:color="auto"/>
        <w:bottom w:val="none" w:sz="0" w:space="0" w:color="auto"/>
        <w:right w:val="none" w:sz="0" w:space="0" w:color="auto"/>
      </w:divBdr>
    </w:div>
    <w:div w:id="1091313994">
      <w:bodyDiv w:val="1"/>
      <w:marLeft w:val="0"/>
      <w:marRight w:val="0"/>
      <w:marTop w:val="0"/>
      <w:marBottom w:val="0"/>
      <w:divBdr>
        <w:top w:val="none" w:sz="0" w:space="0" w:color="auto"/>
        <w:left w:val="none" w:sz="0" w:space="0" w:color="auto"/>
        <w:bottom w:val="none" w:sz="0" w:space="0" w:color="auto"/>
        <w:right w:val="none" w:sz="0" w:space="0" w:color="auto"/>
      </w:divBdr>
    </w:div>
    <w:div w:id="1135873766">
      <w:bodyDiv w:val="1"/>
      <w:marLeft w:val="0"/>
      <w:marRight w:val="0"/>
      <w:marTop w:val="0"/>
      <w:marBottom w:val="0"/>
      <w:divBdr>
        <w:top w:val="none" w:sz="0" w:space="0" w:color="auto"/>
        <w:left w:val="none" w:sz="0" w:space="0" w:color="auto"/>
        <w:bottom w:val="none" w:sz="0" w:space="0" w:color="auto"/>
        <w:right w:val="none" w:sz="0" w:space="0" w:color="auto"/>
      </w:divBdr>
    </w:div>
    <w:div w:id="1156992134">
      <w:bodyDiv w:val="1"/>
      <w:marLeft w:val="0"/>
      <w:marRight w:val="0"/>
      <w:marTop w:val="0"/>
      <w:marBottom w:val="0"/>
      <w:divBdr>
        <w:top w:val="none" w:sz="0" w:space="0" w:color="auto"/>
        <w:left w:val="none" w:sz="0" w:space="0" w:color="auto"/>
        <w:bottom w:val="none" w:sz="0" w:space="0" w:color="auto"/>
        <w:right w:val="none" w:sz="0" w:space="0" w:color="auto"/>
      </w:divBdr>
    </w:div>
    <w:div w:id="1203859347">
      <w:bodyDiv w:val="1"/>
      <w:marLeft w:val="0"/>
      <w:marRight w:val="0"/>
      <w:marTop w:val="0"/>
      <w:marBottom w:val="0"/>
      <w:divBdr>
        <w:top w:val="none" w:sz="0" w:space="0" w:color="auto"/>
        <w:left w:val="none" w:sz="0" w:space="0" w:color="auto"/>
        <w:bottom w:val="none" w:sz="0" w:space="0" w:color="auto"/>
        <w:right w:val="none" w:sz="0" w:space="0" w:color="auto"/>
      </w:divBdr>
    </w:div>
    <w:div w:id="1211648870">
      <w:bodyDiv w:val="1"/>
      <w:marLeft w:val="0"/>
      <w:marRight w:val="0"/>
      <w:marTop w:val="0"/>
      <w:marBottom w:val="0"/>
      <w:divBdr>
        <w:top w:val="none" w:sz="0" w:space="0" w:color="auto"/>
        <w:left w:val="none" w:sz="0" w:space="0" w:color="auto"/>
        <w:bottom w:val="none" w:sz="0" w:space="0" w:color="auto"/>
        <w:right w:val="none" w:sz="0" w:space="0" w:color="auto"/>
      </w:divBdr>
    </w:div>
    <w:div w:id="1218005590">
      <w:bodyDiv w:val="1"/>
      <w:marLeft w:val="0"/>
      <w:marRight w:val="0"/>
      <w:marTop w:val="0"/>
      <w:marBottom w:val="0"/>
      <w:divBdr>
        <w:top w:val="none" w:sz="0" w:space="0" w:color="auto"/>
        <w:left w:val="none" w:sz="0" w:space="0" w:color="auto"/>
        <w:bottom w:val="none" w:sz="0" w:space="0" w:color="auto"/>
        <w:right w:val="none" w:sz="0" w:space="0" w:color="auto"/>
      </w:divBdr>
    </w:div>
    <w:div w:id="1280256938">
      <w:bodyDiv w:val="1"/>
      <w:marLeft w:val="0"/>
      <w:marRight w:val="0"/>
      <w:marTop w:val="0"/>
      <w:marBottom w:val="0"/>
      <w:divBdr>
        <w:top w:val="none" w:sz="0" w:space="0" w:color="auto"/>
        <w:left w:val="none" w:sz="0" w:space="0" w:color="auto"/>
        <w:bottom w:val="none" w:sz="0" w:space="0" w:color="auto"/>
        <w:right w:val="none" w:sz="0" w:space="0" w:color="auto"/>
      </w:divBdr>
    </w:div>
    <w:div w:id="1446464347">
      <w:bodyDiv w:val="1"/>
      <w:marLeft w:val="0"/>
      <w:marRight w:val="0"/>
      <w:marTop w:val="0"/>
      <w:marBottom w:val="0"/>
      <w:divBdr>
        <w:top w:val="none" w:sz="0" w:space="0" w:color="auto"/>
        <w:left w:val="none" w:sz="0" w:space="0" w:color="auto"/>
        <w:bottom w:val="none" w:sz="0" w:space="0" w:color="auto"/>
        <w:right w:val="none" w:sz="0" w:space="0" w:color="auto"/>
      </w:divBdr>
    </w:div>
    <w:div w:id="1499808507">
      <w:bodyDiv w:val="1"/>
      <w:marLeft w:val="0"/>
      <w:marRight w:val="0"/>
      <w:marTop w:val="0"/>
      <w:marBottom w:val="0"/>
      <w:divBdr>
        <w:top w:val="none" w:sz="0" w:space="0" w:color="auto"/>
        <w:left w:val="none" w:sz="0" w:space="0" w:color="auto"/>
        <w:bottom w:val="none" w:sz="0" w:space="0" w:color="auto"/>
        <w:right w:val="none" w:sz="0" w:space="0" w:color="auto"/>
      </w:divBdr>
    </w:div>
    <w:div w:id="1512838227">
      <w:bodyDiv w:val="1"/>
      <w:marLeft w:val="0"/>
      <w:marRight w:val="0"/>
      <w:marTop w:val="0"/>
      <w:marBottom w:val="0"/>
      <w:divBdr>
        <w:top w:val="none" w:sz="0" w:space="0" w:color="auto"/>
        <w:left w:val="none" w:sz="0" w:space="0" w:color="auto"/>
        <w:bottom w:val="none" w:sz="0" w:space="0" w:color="auto"/>
        <w:right w:val="none" w:sz="0" w:space="0" w:color="auto"/>
      </w:divBdr>
    </w:div>
    <w:div w:id="1547791485">
      <w:bodyDiv w:val="1"/>
      <w:marLeft w:val="0"/>
      <w:marRight w:val="0"/>
      <w:marTop w:val="0"/>
      <w:marBottom w:val="0"/>
      <w:divBdr>
        <w:top w:val="none" w:sz="0" w:space="0" w:color="auto"/>
        <w:left w:val="none" w:sz="0" w:space="0" w:color="auto"/>
        <w:bottom w:val="none" w:sz="0" w:space="0" w:color="auto"/>
        <w:right w:val="none" w:sz="0" w:space="0" w:color="auto"/>
      </w:divBdr>
    </w:div>
    <w:div w:id="1655335243">
      <w:bodyDiv w:val="1"/>
      <w:marLeft w:val="0"/>
      <w:marRight w:val="0"/>
      <w:marTop w:val="0"/>
      <w:marBottom w:val="0"/>
      <w:divBdr>
        <w:top w:val="none" w:sz="0" w:space="0" w:color="auto"/>
        <w:left w:val="none" w:sz="0" w:space="0" w:color="auto"/>
        <w:bottom w:val="none" w:sz="0" w:space="0" w:color="auto"/>
        <w:right w:val="none" w:sz="0" w:space="0" w:color="auto"/>
      </w:divBdr>
    </w:div>
    <w:div w:id="1695181739">
      <w:bodyDiv w:val="1"/>
      <w:marLeft w:val="0"/>
      <w:marRight w:val="0"/>
      <w:marTop w:val="0"/>
      <w:marBottom w:val="0"/>
      <w:divBdr>
        <w:top w:val="none" w:sz="0" w:space="0" w:color="auto"/>
        <w:left w:val="none" w:sz="0" w:space="0" w:color="auto"/>
        <w:bottom w:val="none" w:sz="0" w:space="0" w:color="auto"/>
        <w:right w:val="none" w:sz="0" w:space="0" w:color="auto"/>
      </w:divBdr>
    </w:div>
    <w:div w:id="1918202662">
      <w:bodyDiv w:val="1"/>
      <w:marLeft w:val="0"/>
      <w:marRight w:val="0"/>
      <w:marTop w:val="0"/>
      <w:marBottom w:val="0"/>
      <w:divBdr>
        <w:top w:val="none" w:sz="0" w:space="0" w:color="auto"/>
        <w:left w:val="none" w:sz="0" w:space="0" w:color="auto"/>
        <w:bottom w:val="none" w:sz="0" w:space="0" w:color="auto"/>
        <w:right w:val="none" w:sz="0" w:space="0" w:color="auto"/>
      </w:divBdr>
      <w:divsChild>
        <w:div w:id="357314130">
          <w:marLeft w:val="0"/>
          <w:marRight w:val="0"/>
          <w:marTop w:val="0"/>
          <w:marBottom w:val="0"/>
          <w:divBdr>
            <w:top w:val="none" w:sz="0" w:space="0" w:color="auto"/>
            <w:left w:val="none" w:sz="0" w:space="0" w:color="auto"/>
            <w:bottom w:val="none" w:sz="0" w:space="0" w:color="auto"/>
            <w:right w:val="none" w:sz="0" w:space="0" w:color="auto"/>
          </w:divBdr>
          <w:divsChild>
            <w:div w:id="1790659460">
              <w:marLeft w:val="0"/>
              <w:marRight w:val="0"/>
              <w:marTop w:val="0"/>
              <w:marBottom w:val="0"/>
              <w:divBdr>
                <w:top w:val="none" w:sz="0" w:space="0" w:color="auto"/>
                <w:left w:val="none" w:sz="0" w:space="0" w:color="auto"/>
                <w:bottom w:val="none" w:sz="0" w:space="0" w:color="auto"/>
                <w:right w:val="none" w:sz="0" w:space="0" w:color="auto"/>
              </w:divBdr>
              <w:divsChild>
                <w:div w:id="1996568849">
                  <w:marLeft w:val="0"/>
                  <w:marRight w:val="0"/>
                  <w:marTop w:val="0"/>
                  <w:marBottom w:val="0"/>
                  <w:divBdr>
                    <w:top w:val="none" w:sz="0" w:space="0" w:color="auto"/>
                    <w:left w:val="none" w:sz="0" w:space="0" w:color="auto"/>
                    <w:bottom w:val="none" w:sz="0" w:space="0" w:color="auto"/>
                    <w:right w:val="none" w:sz="0" w:space="0" w:color="auto"/>
                  </w:divBdr>
                  <w:divsChild>
                    <w:div w:id="121886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257093">
          <w:marLeft w:val="0"/>
          <w:marRight w:val="0"/>
          <w:marTop w:val="0"/>
          <w:marBottom w:val="0"/>
          <w:divBdr>
            <w:top w:val="none" w:sz="0" w:space="0" w:color="auto"/>
            <w:left w:val="none" w:sz="0" w:space="0" w:color="auto"/>
            <w:bottom w:val="none" w:sz="0" w:space="0" w:color="auto"/>
            <w:right w:val="none" w:sz="0" w:space="0" w:color="auto"/>
          </w:divBdr>
          <w:divsChild>
            <w:div w:id="2020505153">
              <w:marLeft w:val="0"/>
              <w:marRight w:val="0"/>
              <w:marTop w:val="0"/>
              <w:marBottom w:val="0"/>
              <w:divBdr>
                <w:top w:val="none" w:sz="0" w:space="0" w:color="auto"/>
                <w:left w:val="none" w:sz="0" w:space="0" w:color="auto"/>
                <w:bottom w:val="none" w:sz="0" w:space="0" w:color="auto"/>
                <w:right w:val="none" w:sz="0" w:space="0" w:color="auto"/>
              </w:divBdr>
              <w:divsChild>
                <w:div w:id="2105374515">
                  <w:marLeft w:val="0"/>
                  <w:marRight w:val="0"/>
                  <w:marTop w:val="0"/>
                  <w:marBottom w:val="0"/>
                  <w:divBdr>
                    <w:top w:val="none" w:sz="0" w:space="0" w:color="auto"/>
                    <w:left w:val="none" w:sz="0" w:space="0" w:color="auto"/>
                    <w:bottom w:val="none" w:sz="0" w:space="0" w:color="auto"/>
                    <w:right w:val="none" w:sz="0" w:space="0" w:color="auto"/>
                  </w:divBdr>
                  <w:divsChild>
                    <w:div w:id="36406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80632">
      <w:bodyDiv w:val="1"/>
      <w:marLeft w:val="0"/>
      <w:marRight w:val="0"/>
      <w:marTop w:val="0"/>
      <w:marBottom w:val="0"/>
      <w:divBdr>
        <w:top w:val="none" w:sz="0" w:space="0" w:color="auto"/>
        <w:left w:val="none" w:sz="0" w:space="0" w:color="auto"/>
        <w:bottom w:val="none" w:sz="0" w:space="0" w:color="auto"/>
        <w:right w:val="none" w:sz="0" w:space="0" w:color="auto"/>
      </w:divBdr>
    </w:div>
    <w:div w:id="1975746264">
      <w:bodyDiv w:val="1"/>
      <w:marLeft w:val="0"/>
      <w:marRight w:val="0"/>
      <w:marTop w:val="0"/>
      <w:marBottom w:val="0"/>
      <w:divBdr>
        <w:top w:val="none" w:sz="0" w:space="0" w:color="auto"/>
        <w:left w:val="none" w:sz="0" w:space="0" w:color="auto"/>
        <w:bottom w:val="none" w:sz="0" w:space="0" w:color="auto"/>
        <w:right w:val="none" w:sz="0" w:space="0" w:color="auto"/>
      </w:divBdr>
    </w:div>
    <w:div w:id="2060518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2726E-01E9-4773-B47A-9BF5937C3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30</Pages>
  <Words>22223</Words>
  <Characters>128677</Characters>
  <Application>Microsoft Office Word</Application>
  <DocSecurity>0</DocSecurity>
  <Lines>4949</Lines>
  <Paragraphs>3017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Tianyou Hu</dc:creator>
  <cp:keywords/>
  <dc:description/>
  <cp:lastModifiedBy>Tianyou Hu</cp:lastModifiedBy>
  <cp:revision>24</cp:revision>
  <cp:lastPrinted>2016-03-29T08:31:00Z</cp:lastPrinted>
  <dcterms:created xsi:type="dcterms:W3CDTF">2024-06-23T03:01:00Z</dcterms:created>
  <dcterms:modified xsi:type="dcterms:W3CDTF">2024-06-25T03:33:00Z</dcterms:modified>
</cp:coreProperties>
</file>