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9A118" w14:textId="2B35F33B" w:rsidR="00186F6E" w:rsidRPr="00576A43" w:rsidRDefault="00947171" w:rsidP="00186F6E">
      <w:pPr>
        <w:spacing w:line="360" w:lineRule="auto"/>
        <w:jc w:val="center"/>
        <w:rPr>
          <w:rFonts w:cstheme="minorHAnsi"/>
          <w:b/>
          <w:bCs/>
          <w:sz w:val="24"/>
          <w:szCs w:val="24"/>
        </w:rPr>
      </w:pPr>
      <w:r w:rsidRPr="00576A43">
        <w:rPr>
          <w:rFonts w:cstheme="minorHAnsi"/>
          <w:b/>
          <w:bCs/>
          <w:sz w:val="24"/>
          <w:szCs w:val="24"/>
        </w:rPr>
        <w:t>Managing the Wellbeing of Healthcare Professionals:</w:t>
      </w:r>
    </w:p>
    <w:p w14:paraId="639409CB" w14:textId="0F9E8636" w:rsidR="00CD2A61" w:rsidRDefault="00947171" w:rsidP="00CD2A61">
      <w:pPr>
        <w:spacing w:line="360" w:lineRule="auto"/>
        <w:jc w:val="center"/>
        <w:rPr>
          <w:rFonts w:cstheme="minorHAnsi"/>
          <w:b/>
          <w:bCs/>
          <w:sz w:val="24"/>
          <w:szCs w:val="24"/>
        </w:rPr>
      </w:pPr>
      <w:r w:rsidRPr="00576A43">
        <w:rPr>
          <w:rFonts w:cstheme="minorHAnsi"/>
          <w:b/>
          <w:bCs/>
          <w:sz w:val="24"/>
          <w:szCs w:val="24"/>
        </w:rPr>
        <w:t xml:space="preserve">Understanding HRM Best Practices </w:t>
      </w:r>
      <w:r w:rsidR="00186F6E" w:rsidRPr="00576A43">
        <w:rPr>
          <w:rFonts w:cstheme="minorHAnsi"/>
          <w:b/>
          <w:bCs/>
          <w:sz w:val="24"/>
          <w:szCs w:val="24"/>
        </w:rPr>
        <w:t>through Career Turning Points</w:t>
      </w:r>
    </w:p>
    <w:p w14:paraId="4FAF2DAC" w14:textId="77777777" w:rsidR="00CD2A61" w:rsidRDefault="00CD2A61" w:rsidP="00CD2A61">
      <w:pPr>
        <w:spacing w:line="360" w:lineRule="auto"/>
        <w:jc w:val="center"/>
        <w:rPr>
          <w:rFonts w:cstheme="minorHAnsi"/>
          <w:b/>
          <w:bCs/>
          <w:sz w:val="24"/>
          <w:szCs w:val="24"/>
        </w:rPr>
      </w:pPr>
    </w:p>
    <w:p w14:paraId="73F21722" w14:textId="77777777" w:rsidR="00CD2A61" w:rsidRPr="00A659A7" w:rsidRDefault="00CD2A61" w:rsidP="00CD2A61">
      <w:pPr>
        <w:pStyle w:val="NormalWeb"/>
        <w:shd w:val="clear" w:color="auto" w:fill="FFFFFF" w:themeFill="background1"/>
        <w:spacing w:before="120" w:beforeAutospacing="0" w:after="0" w:afterAutospacing="0" w:line="276" w:lineRule="auto"/>
        <w:jc w:val="center"/>
        <w:rPr>
          <w:rFonts w:ascii="Arial" w:hAnsi="Arial" w:cs="Arial"/>
        </w:rPr>
      </w:pPr>
      <w:r w:rsidRPr="00A659A7">
        <w:rPr>
          <w:rFonts w:ascii="Arial" w:hAnsi="Arial" w:cs="Arial"/>
        </w:rPr>
        <w:t>Christina L Butler</w:t>
      </w:r>
    </w:p>
    <w:p w14:paraId="296E622C" w14:textId="77777777" w:rsidR="00CD2A61" w:rsidRPr="00A659A7" w:rsidRDefault="00CD2A61" w:rsidP="00CD2A61">
      <w:pPr>
        <w:pStyle w:val="NormalWeb"/>
        <w:shd w:val="clear" w:color="auto" w:fill="FFFFFF" w:themeFill="background1"/>
        <w:spacing w:before="120" w:beforeAutospacing="0" w:after="0" w:afterAutospacing="0" w:line="276" w:lineRule="auto"/>
        <w:jc w:val="center"/>
        <w:rPr>
          <w:rFonts w:ascii="Arial" w:hAnsi="Arial" w:cs="Arial"/>
        </w:rPr>
      </w:pPr>
      <w:r w:rsidRPr="00A659A7">
        <w:rPr>
          <w:rFonts w:ascii="Arial" w:hAnsi="Arial" w:cs="Arial"/>
        </w:rPr>
        <w:t>Kingston University</w:t>
      </w:r>
    </w:p>
    <w:p w14:paraId="0AB8FE57" w14:textId="77777777" w:rsidR="00CD2A61" w:rsidRPr="00A659A7" w:rsidRDefault="00CD2A61" w:rsidP="00CD2A61">
      <w:pPr>
        <w:pStyle w:val="NormalWeb"/>
        <w:shd w:val="clear" w:color="auto" w:fill="FFFFFF" w:themeFill="background1"/>
        <w:spacing w:before="120" w:beforeAutospacing="0" w:after="0" w:afterAutospacing="0" w:line="276" w:lineRule="auto"/>
        <w:jc w:val="center"/>
        <w:rPr>
          <w:rFonts w:ascii="Arial" w:hAnsi="Arial" w:cs="Arial"/>
        </w:rPr>
      </w:pPr>
      <w:r w:rsidRPr="00A659A7">
        <w:rPr>
          <w:rFonts w:ascii="Arial" w:hAnsi="Arial" w:cs="Arial"/>
        </w:rPr>
        <w:t xml:space="preserve">christina.butler@kingston.ac.uk </w:t>
      </w:r>
    </w:p>
    <w:p w14:paraId="7602069A" w14:textId="77777777" w:rsidR="00CD2A61" w:rsidRPr="00A659A7" w:rsidRDefault="00CD2A61" w:rsidP="00CD2A61">
      <w:pPr>
        <w:pStyle w:val="NormalWeb"/>
        <w:shd w:val="clear" w:color="auto" w:fill="FFFFFF" w:themeFill="background1"/>
        <w:spacing w:before="120" w:beforeAutospacing="0" w:after="0" w:afterAutospacing="0" w:line="276" w:lineRule="auto"/>
        <w:jc w:val="center"/>
        <w:rPr>
          <w:rFonts w:ascii="Arial" w:hAnsi="Arial" w:cs="Arial"/>
        </w:rPr>
      </w:pPr>
      <w:r w:rsidRPr="00A659A7">
        <w:rPr>
          <w:rFonts w:ascii="Arial" w:hAnsi="Arial" w:cs="Arial"/>
        </w:rPr>
        <w:t xml:space="preserve">&amp; </w:t>
      </w:r>
    </w:p>
    <w:p w14:paraId="46C42839" w14:textId="77777777" w:rsidR="00CD2A61" w:rsidRPr="00A659A7" w:rsidRDefault="00CD2A61" w:rsidP="00CD2A61">
      <w:pPr>
        <w:pStyle w:val="NormalWeb"/>
        <w:shd w:val="clear" w:color="auto" w:fill="FFFFFF" w:themeFill="background1"/>
        <w:spacing w:before="120" w:beforeAutospacing="0" w:after="0" w:afterAutospacing="0" w:line="276" w:lineRule="auto"/>
        <w:jc w:val="center"/>
        <w:rPr>
          <w:rFonts w:ascii="Arial" w:hAnsi="Arial" w:cs="Arial"/>
        </w:rPr>
      </w:pPr>
      <w:r w:rsidRPr="00A659A7">
        <w:rPr>
          <w:rFonts w:ascii="Arial" w:hAnsi="Arial" w:cs="Arial"/>
        </w:rPr>
        <w:t>Sarah M Spence</w:t>
      </w:r>
    </w:p>
    <w:p w14:paraId="6E47EA4C" w14:textId="77777777" w:rsidR="00CD2A61" w:rsidRPr="00A659A7" w:rsidRDefault="00CD2A61" w:rsidP="00CD2A61">
      <w:pPr>
        <w:pStyle w:val="NormalWeb"/>
        <w:shd w:val="clear" w:color="auto" w:fill="FFFFFF" w:themeFill="background1"/>
        <w:spacing w:before="120" w:beforeAutospacing="0" w:after="0" w:afterAutospacing="0" w:line="276" w:lineRule="auto"/>
        <w:jc w:val="center"/>
        <w:rPr>
          <w:rFonts w:ascii="Arial" w:hAnsi="Arial" w:cs="Arial"/>
        </w:rPr>
      </w:pPr>
      <w:r w:rsidRPr="00A659A7">
        <w:rPr>
          <w:rFonts w:ascii="Arial" w:hAnsi="Arial" w:cs="Arial"/>
        </w:rPr>
        <w:t>Kingston University</w:t>
      </w:r>
    </w:p>
    <w:p w14:paraId="57F44C69" w14:textId="77777777" w:rsidR="00CD2A61" w:rsidRPr="00A659A7" w:rsidRDefault="00CD2A61" w:rsidP="00CD2A61">
      <w:pPr>
        <w:pStyle w:val="NormalWeb"/>
        <w:shd w:val="clear" w:color="auto" w:fill="FFFFFF" w:themeFill="background1"/>
        <w:spacing w:before="120" w:beforeAutospacing="0" w:after="0" w:afterAutospacing="0" w:line="276" w:lineRule="auto"/>
        <w:jc w:val="center"/>
        <w:rPr>
          <w:rFonts w:ascii="Arial" w:hAnsi="Arial" w:cs="Arial"/>
        </w:rPr>
      </w:pPr>
      <w:r w:rsidRPr="00A659A7">
        <w:rPr>
          <w:rFonts w:ascii="Arial" w:hAnsi="Arial" w:cs="Arial"/>
        </w:rPr>
        <w:t>s.spence@kingston.ac.uk</w:t>
      </w:r>
    </w:p>
    <w:p w14:paraId="17F382EA" w14:textId="77777777" w:rsidR="00CD2A61" w:rsidRPr="00576A43" w:rsidRDefault="00CD2A61" w:rsidP="00A16CF8">
      <w:pPr>
        <w:spacing w:line="360" w:lineRule="auto"/>
        <w:jc w:val="center"/>
        <w:rPr>
          <w:rFonts w:cstheme="minorHAnsi"/>
          <w:b/>
          <w:bCs/>
          <w:sz w:val="24"/>
          <w:szCs w:val="24"/>
        </w:rPr>
      </w:pPr>
    </w:p>
    <w:p w14:paraId="6F4DC533" w14:textId="4C46FF50" w:rsidR="00A16CF8" w:rsidRPr="00576A43" w:rsidRDefault="00A16CF8" w:rsidP="00A16CF8">
      <w:pPr>
        <w:spacing w:line="360" w:lineRule="auto"/>
        <w:rPr>
          <w:rFonts w:cstheme="minorHAnsi"/>
          <w:b/>
          <w:bCs/>
          <w:sz w:val="24"/>
          <w:szCs w:val="24"/>
        </w:rPr>
      </w:pPr>
      <w:r w:rsidRPr="00576A43">
        <w:rPr>
          <w:rFonts w:cstheme="minorHAnsi"/>
          <w:b/>
          <w:bCs/>
          <w:sz w:val="24"/>
          <w:szCs w:val="24"/>
        </w:rPr>
        <w:t>Abstract</w:t>
      </w:r>
    </w:p>
    <w:p w14:paraId="59510F7C" w14:textId="41E23554" w:rsidR="00A16CF8" w:rsidRPr="00576A43" w:rsidRDefault="00A16CF8" w:rsidP="00A16CF8">
      <w:pPr>
        <w:spacing w:line="360" w:lineRule="auto"/>
        <w:rPr>
          <w:rFonts w:cstheme="minorHAnsi"/>
          <w:sz w:val="24"/>
          <w:szCs w:val="24"/>
        </w:rPr>
      </w:pPr>
      <w:r w:rsidRPr="00576A43">
        <w:rPr>
          <w:rFonts w:cstheme="minorHAnsi"/>
          <w:sz w:val="24"/>
          <w:szCs w:val="24"/>
        </w:rPr>
        <w:t xml:space="preserve">The UK healthcare workforce is in crisis with declining real wages and deteriorating working conditions. In 2023/24, various professional groups, including nurses, doctors, and radiographers, have engaged in strikes and protests. While media attention often centres on pay issues, underlying concerns about working conditions significantly impact staff wellbeing resulting in the sector’s recruitment and retention difficulties. Drawing on the sociology of turning points, we explore in-depth the turning points which ‘trigger’ healthcare professionals working in this context to prioritise their wellbeing to identify HRM best practices in this key sector. We ask </w:t>
      </w:r>
      <w:r w:rsidR="008605F8" w:rsidRPr="00576A43">
        <w:rPr>
          <w:rFonts w:cstheme="minorHAnsi"/>
          <w:sz w:val="24"/>
          <w:szCs w:val="24"/>
        </w:rPr>
        <w:t>four</w:t>
      </w:r>
      <w:r w:rsidRPr="00576A43">
        <w:rPr>
          <w:rFonts w:cstheme="minorHAnsi"/>
          <w:sz w:val="24"/>
          <w:szCs w:val="24"/>
        </w:rPr>
        <w:t xml:space="preserve"> inter-related research questions: </w:t>
      </w:r>
      <w:r w:rsidR="00F41588" w:rsidRPr="00576A43">
        <w:rPr>
          <w:rFonts w:cstheme="minorHAnsi"/>
          <w:sz w:val="24"/>
          <w:szCs w:val="24"/>
        </w:rPr>
        <w:t xml:space="preserve">1) </w:t>
      </w:r>
      <w:r w:rsidR="00F41588" w:rsidRPr="00576A43">
        <w:rPr>
          <w:rFonts w:cstheme="minorHAnsi"/>
          <w:i/>
          <w:iCs/>
          <w:sz w:val="24"/>
          <w:szCs w:val="24"/>
        </w:rPr>
        <w:t xml:space="preserve">What are the career turning points of individuals working under conditions of high job demands? </w:t>
      </w:r>
      <w:r w:rsidR="00F41588" w:rsidRPr="00576A43">
        <w:rPr>
          <w:rFonts w:cstheme="minorHAnsi"/>
          <w:sz w:val="24"/>
          <w:szCs w:val="24"/>
        </w:rPr>
        <w:t xml:space="preserve">2) </w:t>
      </w:r>
      <w:r w:rsidR="00F41588" w:rsidRPr="00576A43">
        <w:rPr>
          <w:rFonts w:cstheme="minorHAnsi"/>
          <w:i/>
          <w:iCs/>
          <w:sz w:val="24"/>
          <w:szCs w:val="24"/>
        </w:rPr>
        <w:t xml:space="preserve">To what extent are these career turning points positive or negative, and why? </w:t>
      </w:r>
      <w:r w:rsidR="00F41588" w:rsidRPr="00576A43">
        <w:rPr>
          <w:rFonts w:cstheme="minorHAnsi"/>
          <w:sz w:val="24"/>
          <w:szCs w:val="24"/>
        </w:rPr>
        <w:t xml:space="preserve">3) To what extent </w:t>
      </w:r>
      <w:r w:rsidR="00F41588" w:rsidRPr="00576A43">
        <w:rPr>
          <w:rFonts w:cstheme="minorHAnsi"/>
          <w:i/>
          <w:iCs/>
          <w:sz w:val="24"/>
          <w:szCs w:val="24"/>
        </w:rPr>
        <w:t>are these career turning points internal or external in origin?</w:t>
      </w:r>
      <w:r w:rsidR="00F41588" w:rsidRPr="00576A43">
        <w:rPr>
          <w:rFonts w:cstheme="minorHAnsi"/>
          <w:sz w:val="24"/>
          <w:szCs w:val="24"/>
        </w:rPr>
        <w:t xml:space="preserve"> And </w:t>
      </w:r>
      <w:r w:rsidR="008605F8" w:rsidRPr="00576A43">
        <w:rPr>
          <w:rFonts w:cstheme="minorHAnsi"/>
          <w:sz w:val="24"/>
          <w:szCs w:val="24"/>
        </w:rPr>
        <w:t>4</w:t>
      </w:r>
      <w:r w:rsidR="00F41588" w:rsidRPr="00576A43">
        <w:rPr>
          <w:rFonts w:cstheme="minorHAnsi"/>
          <w:sz w:val="24"/>
          <w:szCs w:val="24"/>
        </w:rPr>
        <w:t xml:space="preserve">) </w:t>
      </w:r>
      <w:r w:rsidR="00F41588" w:rsidRPr="00576A43">
        <w:rPr>
          <w:rFonts w:cstheme="minorHAnsi"/>
          <w:i/>
          <w:iCs/>
          <w:sz w:val="24"/>
          <w:szCs w:val="24"/>
        </w:rPr>
        <w:t>To what extent do these career turning points occur randomly among healthcare professionals?</w:t>
      </w:r>
      <w:r w:rsidR="00F41588" w:rsidRPr="00576A43">
        <w:rPr>
          <w:rFonts w:cstheme="minorHAnsi"/>
          <w:sz w:val="24"/>
          <w:szCs w:val="24"/>
        </w:rPr>
        <w:t xml:space="preserve"> </w:t>
      </w:r>
      <w:r w:rsidRPr="00576A43">
        <w:rPr>
          <w:rFonts w:cstheme="minorHAnsi"/>
          <w:sz w:val="24"/>
          <w:szCs w:val="24"/>
        </w:rPr>
        <w:t>Building on Job Demands-Resources theory, we study 2</w:t>
      </w:r>
      <w:r w:rsidR="00847C2E" w:rsidRPr="00576A43">
        <w:rPr>
          <w:rFonts w:cstheme="minorHAnsi"/>
          <w:sz w:val="24"/>
          <w:szCs w:val="24"/>
        </w:rPr>
        <w:t>6</w:t>
      </w:r>
      <w:r w:rsidRPr="00576A43">
        <w:rPr>
          <w:rFonts w:cstheme="minorHAnsi"/>
          <w:sz w:val="24"/>
          <w:szCs w:val="24"/>
        </w:rPr>
        <w:t xml:space="preserve"> hospital healthcare professionals who regularly face long hours, time pressure, physicality, and emotional burden on the job. We focus on those who have experienced ‘a turning point’ in their careers to identify the antecedents of the change. At an early stage of analysis, we </w:t>
      </w:r>
      <w:r w:rsidR="00F9376C" w:rsidRPr="00576A43">
        <w:rPr>
          <w:rFonts w:cstheme="minorHAnsi"/>
          <w:sz w:val="24"/>
          <w:szCs w:val="24"/>
        </w:rPr>
        <w:t xml:space="preserve">begin to </w:t>
      </w:r>
      <w:r w:rsidRPr="00576A43">
        <w:rPr>
          <w:rFonts w:cstheme="minorHAnsi"/>
          <w:sz w:val="24"/>
          <w:szCs w:val="24"/>
        </w:rPr>
        <w:t xml:space="preserve">contribute to theory with the identification of </w:t>
      </w:r>
      <w:r w:rsidR="00F9376C" w:rsidRPr="00576A43">
        <w:rPr>
          <w:rFonts w:cstheme="minorHAnsi"/>
          <w:sz w:val="24"/>
          <w:szCs w:val="24"/>
        </w:rPr>
        <w:t>four themes</w:t>
      </w:r>
      <w:r w:rsidR="007E6DF9" w:rsidRPr="00576A43">
        <w:rPr>
          <w:rFonts w:cstheme="minorHAnsi"/>
          <w:sz w:val="24"/>
          <w:szCs w:val="24"/>
        </w:rPr>
        <w:t xml:space="preserve"> around high </w:t>
      </w:r>
      <w:r w:rsidR="001C4F55" w:rsidRPr="00576A43">
        <w:rPr>
          <w:rFonts w:cstheme="minorHAnsi"/>
          <w:sz w:val="24"/>
          <w:szCs w:val="24"/>
        </w:rPr>
        <w:t xml:space="preserve">uncertain </w:t>
      </w:r>
      <w:r w:rsidR="007E6DF9" w:rsidRPr="00576A43">
        <w:rPr>
          <w:rFonts w:cstheme="minorHAnsi"/>
          <w:sz w:val="24"/>
          <w:szCs w:val="24"/>
        </w:rPr>
        <w:t xml:space="preserve">demands, lack of support, </w:t>
      </w:r>
      <w:r w:rsidR="001C4F55" w:rsidRPr="00576A43">
        <w:rPr>
          <w:rFonts w:cstheme="minorHAnsi"/>
          <w:sz w:val="24"/>
          <w:szCs w:val="24"/>
        </w:rPr>
        <w:t xml:space="preserve">lack of progression and growth opportunities, and </w:t>
      </w:r>
      <w:r w:rsidR="007E6DF9" w:rsidRPr="00576A43">
        <w:rPr>
          <w:rFonts w:cstheme="minorHAnsi"/>
          <w:sz w:val="24"/>
          <w:szCs w:val="24"/>
        </w:rPr>
        <w:t>work-life spill over</w:t>
      </w:r>
      <w:r w:rsidR="001C4F55" w:rsidRPr="00576A43">
        <w:rPr>
          <w:rFonts w:cstheme="minorHAnsi"/>
          <w:sz w:val="24"/>
          <w:szCs w:val="24"/>
        </w:rPr>
        <w:t xml:space="preserve">. </w:t>
      </w:r>
      <w:r w:rsidRPr="00576A43">
        <w:rPr>
          <w:rFonts w:cstheme="minorHAnsi"/>
          <w:sz w:val="24"/>
          <w:szCs w:val="24"/>
        </w:rPr>
        <w:t xml:space="preserve">In-depth data analysis is </w:t>
      </w:r>
      <w:r w:rsidRPr="00576A43">
        <w:rPr>
          <w:rFonts w:cstheme="minorHAnsi"/>
          <w:sz w:val="24"/>
          <w:szCs w:val="24"/>
        </w:rPr>
        <w:lastRenderedPageBreak/>
        <w:t>underway to understand th</w:t>
      </w:r>
      <w:r w:rsidR="001C4F55" w:rsidRPr="00576A43">
        <w:rPr>
          <w:rFonts w:cstheme="minorHAnsi"/>
          <w:sz w:val="24"/>
          <w:szCs w:val="24"/>
        </w:rPr>
        <w:t>ese</w:t>
      </w:r>
      <w:r w:rsidRPr="00576A43">
        <w:rPr>
          <w:rFonts w:cstheme="minorHAnsi"/>
          <w:sz w:val="24"/>
          <w:szCs w:val="24"/>
        </w:rPr>
        <w:t xml:space="preserve"> theme</w:t>
      </w:r>
      <w:r w:rsidR="001C4F55" w:rsidRPr="00576A43">
        <w:rPr>
          <w:rFonts w:cstheme="minorHAnsi"/>
          <w:sz w:val="24"/>
          <w:szCs w:val="24"/>
        </w:rPr>
        <w:t>s</w:t>
      </w:r>
      <w:r w:rsidRPr="00576A43">
        <w:rPr>
          <w:rFonts w:cstheme="minorHAnsi"/>
          <w:sz w:val="24"/>
          <w:szCs w:val="24"/>
        </w:rPr>
        <w:t xml:space="preserve"> more thoroughly and to identify other themes to enhance our theoretical contribution. To contribute to practice, following the completion of data analysis, we will offer a set of best practice recommendations for HRM practitioners in this key sector to support healthcare professionals to retain/enhance both: a) their roles; and b) their wellbeing.</w:t>
      </w:r>
      <w:r w:rsidRPr="00576A43">
        <w:rPr>
          <w:rFonts w:cstheme="minorHAnsi"/>
          <w:i/>
          <w:iCs/>
          <w:sz w:val="24"/>
          <w:szCs w:val="24"/>
        </w:rPr>
        <w:t xml:space="preserve"> </w:t>
      </w:r>
    </w:p>
    <w:p w14:paraId="33D56F36" w14:textId="108126E6" w:rsidR="00A16CF8" w:rsidRDefault="00A16CF8" w:rsidP="009A5A6E">
      <w:pPr>
        <w:spacing w:line="360" w:lineRule="auto"/>
        <w:rPr>
          <w:rFonts w:cstheme="minorHAnsi"/>
          <w:b/>
          <w:bCs/>
          <w:sz w:val="24"/>
          <w:szCs w:val="24"/>
        </w:rPr>
      </w:pPr>
      <w:r w:rsidRPr="00576A43">
        <w:rPr>
          <w:rFonts w:cstheme="minorHAnsi"/>
          <w:b/>
          <w:bCs/>
          <w:sz w:val="24"/>
          <w:szCs w:val="24"/>
        </w:rPr>
        <w:t xml:space="preserve">Key Words: </w:t>
      </w:r>
      <w:r w:rsidR="00685149">
        <w:rPr>
          <w:rFonts w:cstheme="minorHAnsi"/>
          <w:sz w:val="24"/>
          <w:szCs w:val="24"/>
        </w:rPr>
        <w:t>w</w:t>
      </w:r>
      <w:r w:rsidRPr="00576A43">
        <w:rPr>
          <w:rFonts w:cstheme="minorHAnsi"/>
          <w:sz w:val="24"/>
          <w:szCs w:val="24"/>
        </w:rPr>
        <w:t xml:space="preserve">ellbeing; </w:t>
      </w:r>
      <w:r w:rsidR="00685149">
        <w:rPr>
          <w:rFonts w:cstheme="minorHAnsi"/>
          <w:sz w:val="24"/>
          <w:szCs w:val="24"/>
        </w:rPr>
        <w:t xml:space="preserve">workload; </w:t>
      </w:r>
      <w:r w:rsidRPr="00576A43">
        <w:rPr>
          <w:rFonts w:cstheme="minorHAnsi"/>
          <w:sz w:val="24"/>
          <w:szCs w:val="24"/>
        </w:rPr>
        <w:t>Job Demands-Resources theory</w:t>
      </w:r>
      <w:r w:rsidR="00685149">
        <w:rPr>
          <w:rFonts w:cstheme="minorHAnsi"/>
          <w:sz w:val="24"/>
          <w:szCs w:val="24"/>
        </w:rPr>
        <w:t>;</w:t>
      </w:r>
      <w:r w:rsidRPr="00576A43">
        <w:rPr>
          <w:rFonts w:cstheme="minorHAnsi"/>
          <w:sz w:val="24"/>
          <w:szCs w:val="24"/>
        </w:rPr>
        <w:t xml:space="preserve"> career sustainability</w:t>
      </w:r>
      <w:r w:rsidR="00685149">
        <w:rPr>
          <w:rFonts w:cstheme="minorHAnsi"/>
          <w:sz w:val="24"/>
          <w:szCs w:val="24"/>
        </w:rPr>
        <w:t>;</w:t>
      </w:r>
      <w:r w:rsidRPr="00576A43">
        <w:rPr>
          <w:rFonts w:cstheme="minorHAnsi"/>
          <w:sz w:val="24"/>
          <w:szCs w:val="24"/>
        </w:rPr>
        <w:t xml:space="preserve"> turning points</w:t>
      </w:r>
      <w:r w:rsidR="00685149">
        <w:rPr>
          <w:rFonts w:cstheme="minorHAnsi"/>
          <w:sz w:val="24"/>
          <w:szCs w:val="24"/>
        </w:rPr>
        <w:t>;</w:t>
      </w:r>
      <w:r w:rsidRPr="00576A43">
        <w:rPr>
          <w:rFonts w:cstheme="minorHAnsi"/>
          <w:sz w:val="24"/>
          <w:szCs w:val="24"/>
        </w:rPr>
        <w:t xml:space="preserve"> healthcare</w:t>
      </w:r>
    </w:p>
    <w:p w14:paraId="256EC96A" w14:textId="77777777" w:rsidR="00CD2A61" w:rsidRPr="00576A43" w:rsidRDefault="00CD2A61" w:rsidP="009A5A6E">
      <w:pPr>
        <w:spacing w:line="360" w:lineRule="auto"/>
        <w:rPr>
          <w:rFonts w:cstheme="minorHAnsi"/>
          <w:b/>
          <w:bCs/>
          <w:sz w:val="24"/>
          <w:szCs w:val="24"/>
        </w:rPr>
      </w:pPr>
    </w:p>
    <w:p w14:paraId="501F1C9B" w14:textId="1E184342" w:rsidR="00E47D05" w:rsidRPr="00576A43" w:rsidRDefault="00E47D05" w:rsidP="009A5A6E">
      <w:pPr>
        <w:spacing w:line="360" w:lineRule="auto"/>
        <w:rPr>
          <w:rFonts w:cstheme="minorHAnsi"/>
          <w:b/>
          <w:bCs/>
          <w:sz w:val="24"/>
          <w:szCs w:val="24"/>
        </w:rPr>
      </w:pPr>
      <w:r w:rsidRPr="00576A43">
        <w:rPr>
          <w:rFonts w:cstheme="minorHAnsi"/>
          <w:b/>
          <w:bCs/>
          <w:sz w:val="24"/>
          <w:szCs w:val="24"/>
        </w:rPr>
        <w:t xml:space="preserve">Introduction </w:t>
      </w:r>
    </w:p>
    <w:p w14:paraId="0BD1DE45" w14:textId="56ABC1FA" w:rsidR="00B65398" w:rsidRPr="00576A43" w:rsidRDefault="009A5A6E" w:rsidP="00EF3E25">
      <w:pPr>
        <w:spacing w:line="360" w:lineRule="auto"/>
        <w:rPr>
          <w:rFonts w:cstheme="minorHAnsi"/>
          <w:sz w:val="24"/>
          <w:szCs w:val="24"/>
        </w:rPr>
      </w:pPr>
      <w:r w:rsidRPr="00576A43">
        <w:rPr>
          <w:rFonts w:cstheme="minorHAnsi"/>
          <w:sz w:val="24"/>
          <w:szCs w:val="24"/>
        </w:rPr>
        <w:t>The UK healthcare workforce is in crisis with declining real wages and deteriorating working conditions. In 2023/24, various professional groups, including nurses, doctors, and radiographers, have engaged in strikes and protests. While media attention often centres on pay issues, underlying concerns about working conditions significantly impact staff wellbeing (Daniels, et al., 2022</w:t>
      </w:r>
      <w:r w:rsidRPr="00576A43">
        <w:rPr>
          <w:rFonts w:cstheme="minorHAnsi"/>
          <w:sz w:val="24"/>
          <w:szCs w:val="24"/>
          <w:shd w:val="clear" w:color="auto" w:fill="FFFFFF"/>
        </w:rPr>
        <w:t>)</w:t>
      </w:r>
      <w:r w:rsidRPr="00576A43">
        <w:rPr>
          <w:rFonts w:cstheme="minorHAnsi"/>
          <w:sz w:val="24"/>
          <w:szCs w:val="24"/>
        </w:rPr>
        <w:t xml:space="preserve"> together with patient care (Hope, et al., 2022) resulting in the sector’s recruitment and retention difficulties (</w:t>
      </w:r>
      <w:bookmarkStart w:id="0" w:name="_Hlk158992903"/>
      <w:r w:rsidRPr="00576A43">
        <w:rPr>
          <w:rFonts w:cstheme="minorHAnsi"/>
          <w:sz w:val="24"/>
          <w:szCs w:val="24"/>
        </w:rPr>
        <w:t>Stringer, et al., 2023</w:t>
      </w:r>
      <w:bookmarkEnd w:id="0"/>
      <w:r w:rsidRPr="00576A43">
        <w:rPr>
          <w:rFonts w:cstheme="minorHAnsi"/>
          <w:sz w:val="24"/>
          <w:szCs w:val="24"/>
        </w:rPr>
        <w:t xml:space="preserve">). </w:t>
      </w:r>
      <w:r w:rsidR="00EF3E25" w:rsidRPr="00576A43">
        <w:rPr>
          <w:rFonts w:cstheme="minorHAnsi"/>
          <w:sz w:val="24"/>
          <w:szCs w:val="24"/>
        </w:rPr>
        <w:t>Drawing on the sociology of turning points (Sampson &amp; Laub, 1996), we explore in-depth the</w:t>
      </w:r>
      <w:r w:rsidR="00FB150D" w:rsidRPr="00576A43">
        <w:rPr>
          <w:rFonts w:cstheme="minorHAnsi"/>
          <w:sz w:val="24"/>
          <w:szCs w:val="24"/>
        </w:rPr>
        <w:t xml:space="preserve"> </w:t>
      </w:r>
      <w:r w:rsidR="00EF3E25" w:rsidRPr="00576A43">
        <w:rPr>
          <w:rFonts w:cstheme="minorHAnsi"/>
          <w:sz w:val="24"/>
          <w:szCs w:val="24"/>
        </w:rPr>
        <w:t>turning point</w:t>
      </w:r>
      <w:r w:rsidR="00FB150D" w:rsidRPr="00576A43">
        <w:rPr>
          <w:rFonts w:cstheme="minorHAnsi"/>
          <w:sz w:val="24"/>
          <w:szCs w:val="24"/>
        </w:rPr>
        <w:t>s</w:t>
      </w:r>
      <w:r w:rsidR="00EF3E25" w:rsidRPr="00576A43">
        <w:rPr>
          <w:rFonts w:cstheme="minorHAnsi"/>
          <w:sz w:val="24"/>
          <w:szCs w:val="24"/>
        </w:rPr>
        <w:t xml:space="preserve"> </w:t>
      </w:r>
      <w:r w:rsidR="00FB150D" w:rsidRPr="00576A43">
        <w:rPr>
          <w:rFonts w:cstheme="minorHAnsi"/>
          <w:sz w:val="24"/>
          <w:szCs w:val="24"/>
        </w:rPr>
        <w:t xml:space="preserve">which ‘trigger’ </w:t>
      </w:r>
      <w:r w:rsidR="00EF3E25" w:rsidRPr="00576A43">
        <w:rPr>
          <w:rFonts w:cstheme="minorHAnsi"/>
          <w:sz w:val="24"/>
          <w:szCs w:val="24"/>
        </w:rPr>
        <w:t>healthcare professionals</w:t>
      </w:r>
      <w:r w:rsidR="00FB150D" w:rsidRPr="00576A43">
        <w:rPr>
          <w:rFonts w:cstheme="minorHAnsi"/>
          <w:sz w:val="24"/>
          <w:szCs w:val="24"/>
        </w:rPr>
        <w:t xml:space="preserve"> to prioritise their</w:t>
      </w:r>
      <w:r w:rsidR="00EF3E25" w:rsidRPr="00576A43">
        <w:rPr>
          <w:rFonts w:cstheme="minorHAnsi"/>
          <w:sz w:val="24"/>
          <w:szCs w:val="24"/>
        </w:rPr>
        <w:t xml:space="preserve"> wellbeing to identify HRM best practices in this </w:t>
      </w:r>
      <w:r w:rsidR="00FB150D" w:rsidRPr="00576A43">
        <w:rPr>
          <w:rFonts w:cstheme="minorHAnsi"/>
          <w:sz w:val="24"/>
          <w:szCs w:val="24"/>
        </w:rPr>
        <w:t xml:space="preserve">key </w:t>
      </w:r>
      <w:r w:rsidR="00EF3E25" w:rsidRPr="00576A43">
        <w:rPr>
          <w:rFonts w:cstheme="minorHAnsi"/>
          <w:sz w:val="24"/>
          <w:szCs w:val="24"/>
        </w:rPr>
        <w:t>sector (</w:t>
      </w:r>
      <w:proofErr w:type="spellStart"/>
      <w:r w:rsidR="00EF3E25" w:rsidRPr="00576A43">
        <w:rPr>
          <w:rFonts w:cstheme="minorHAnsi"/>
          <w:sz w:val="24"/>
          <w:szCs w:val="24"/>
        </w:rPr>
        <w:t>Latze</w:t>
      </w:r>
      <w:proofErr w:type="spellEnd"/>
      <w:r w:rsidR="00EF3E25" w:rsidRPr="00576A43">
        <w:rPr>
          <w:rFonts w:cstheme="minorHAnsi"/>
          <w:sz w:val="24"/>
          <w:szCs w:val="24"/>
        </w:rPr>
        <w:t xml:space="preserve">, et al., 2022; Seibert, et al., 2024). </w:t>
      </w:r>
    </w:p>
    <w:p w14:paraId="3C0BFECD" w14:textId="4A83AE31" w:rsidR="00B65398" w:rsidRPr="00576A43" w:rsidRDefault="00EF3E25" w:rsidP="00EF3E25">
      <w:pPr>
        <w:spacing w:line="360" w:lineRule="auto"/>
        <w:rPr>
          <w:rFonts w:cstheme="minorHAnsi"/>
          <w:sz w:val="24"/>
          <w:szCs w:val="24"/>
        </w:rPr>
      </w:pPr>
      <w:r w:rsidRPr="00576A43">
        <w:rPr>
          <w:rFonts w:cstheme="minorHAnsi"/>
          <w:sz w:val="24"/>
          <w:szCs w:val="24"/>
        </w:rPr>
        <w:t>Building on Job Demands-Resources theory (</w:t>
      </w:r>
      <w:r w:rsidR="00655BCC" w:rsidRPr="00576A43">
        <w:rPr>
          <w:rFonts w:cstheme="minorHAnsi"/>
          <w:sz w:val="24"/>
          <w:szCs w:val="24"/>
        </w:rPr>
        <w:t xml:space="preserve">Bakker, et al., 2023; </w:t>
      </w:r>
      <w:r w:rsidRPr="00576A43">
        <w:rPr>
          <w:rFonts w:cstheme="minorHAnsi"/>
          <w:sz w:val="24"/>
          <w:szCs w:val="24"/>
        </w:rPr>
        <w:t xml:space="preserve">Demerouti, et al., 2001), we study </w:t>
      </w:r>
      <w:r w:rsidR="00B65398" w:rsidRPr="00576A43">
        <w:rPr>
          <w:rFonts w:cstheme="minorHAnsi"/>
          <w:sz w:val="24"/>
          <w:szCs w:val="24"/>
        </w:rPr>
        <w:t>healthcare professionals</w:t>
      </w:r>
      <w:r w:rsidR="00181EB3" w:rsidRPr="00576A43">
        <w:rPr>
          <w:rFonts w:cstheme="minorHAnsi"/>
          <w:sz w:val="24"/>
          <w:szCs w:val="24"/>
        </w:rPr>
        <w:t xml:space="preserve"> </w:t>
      </w:r>
      <w:r w:rsidR="00707478" w:rsidRPr="00576A43">
        <w:rPr>
          <w:rFonts w:cstheme="minorHAnsi"/>
          <w:sz w:val="24"/>
          <w:szCs w:val="24"/>
        </w:rPr>
        <w:t>who regularly face</w:t>
      </w:r>
      <w:r w:rsidR="00181EB3" w:rsidRPr="00576A43">
        <w:rPr>
          <w:rFonts w:cstheme="minorHAnsi"/>
          <w:sz w:val="24"/>
          <w:szCs w:val="24"/>
        </w:rPr>
        <w:t xml:space="preserve"> long hours, time pressure, physicality, and emotional burden</w:t>
      </w:r>
      <w:r w:rsidR="00707478" w:rsidRPr="00576A43">
        <w:rPr>
          <w:rFonts w:cstheme="minorHAnsi"/>
          <w:sz w:val="24"/>
          <w:szCs w:val="24"/>
        </w:rPr>
        <w:t xml:space="preserve"> on the job. We focus on those</w:t>
      </w:r>
      <w:r w:rsidRPr="00576A43">
        <w:rPr>
          <w:rFonts w:cstheme="minorHAnsi"/>
          <w:sz w:val="24"/>
          <w:szCs w:val="24"/>
        </w:rPr>
        <w:t xml:space="preserve"> who have experienced </w:t>
      </w:r>
      <w:r w:rsidR="00FB150D" w:rsidRPr="00576A43">
        <w:rPr>
          <w:rFonts w:cstheme="minorHAnsi"/>
          <w:sz w:val="24"/>
          <w:szCs w:val="24"/>
        </w:rPr>
        <w:t>‘</w:t>
      </w:r>
      <w:r w:rsidRPr="00576A43">
        <w:rPr>
          <w:rFonts w:cstheme="minorHAnsi"/>
          <w:sz w:val="24"/>
          <w:szCs w:val="24"/>
        </w:rPr>
        <w:t>a turning point</w:t>
      </w:r>
      <w:r w:rsidR="00FB150D" w:rsidRPr="00576A43">
        <w:rPr>
          <w:rFonts w:cstheme="minorHAnsi"/>
          <w:sz w:val="24"/>
          <w:szCs w:val="24"/>
        </w:rPr>
        <w:t>’</w:t>
      </w:r>
      <w:r w:rsidRPr="00576A43">
        <w:rPr>
          <w:rFonts w:cstheme="minorHAnsi"/>
          <w:sz w:val="24"/>
          <w:szCs w:val="24"/>
        </w:rPr>
        <w:t xml:space="preserve"> in their careers </w:t>
      </w:r>
      <w:r w:rsidR="00707478" w:rsidRPr="00576A43">
        <w:rPr>
          <w:rFonts w:cstheme="minorHAnsi"/>
          <w:sz w:val="24"/>
          <w:szCs w:val="24"/>
        </w:rPr>
        <w:t>to</w:t>
      </w:r>
      <w:r w:rsidRPr="00576A43">
        <w:rPr>
          <w:rFonts w:cstheme="minorHAnsi"/>
          <w:sz w:val="24"/>
          <w:szCs w:val="24"/>
        </w:rPr>
        <w:t xml:space="preserve"> identify the antecedents of the change. Additionally, we aim to determine whether these turning points are internally (psychologically) or externally (environmentally) driven. Following from the first two aims, we also hope to generate insights into the extent to which turning points are randomly generated. </w:t>
      </w:r>
    </w:p>
    <w:p w14:paraId="70458EDB" w14:textId="7EE8EC69" w:rsidR="00D23EAB" w:rsidRPr="00576A43" w:rsidRDefault="00A57ED4" w:rsidP="00EF3E25">
      <w:pPr>
        <w:spacing w:line="360" w:lineRule="auto"/>
        <w:rPr>
          <w:rFonts w:cstheme="minorHAnsi"/>
          <w:sz w:val="24"/>
          <w:szCs w:val="24"/>
        </w:rPr>
      </w:pPr>
      <w:r w:rsidRPr="00576A43">
        <w:rPr>
          <w:rFonts w:cstheme="minorHAnsi"/>
          <w:sz w:val="24"/>
          <w:szCs w:val="24"/>
        </w:rPr>
        <w:t>W</w:t>
      </w:r>
      <w:r w:rsidR="0077512E" w:rsidRPr="00576A43">
        <w:rPr>
          <w:rFonts w:cstheme="minorHAnsi"/>
          <w:sz w:val="24"/>
          <w:szCs w:val="24"/>
        </w:rPr>
        <w:t xml:space="preserve">e </w:t>
      </w:r>
      <w:r w:rsidR="00260AC8" w:rsidRPr="00576A43">
        <w:rPr>
          <w:rFonts w:cstheme="minorHAnsi"/>
          <w:sz w:val="24"/>
          <w:szCs w:val="24"/>
        </w:rPr>
        <w:t xml:space="preserve">therefore </w:t>
      </w:r>
      <w:r w:rsidR="0077512E" w:rsidRPr="00576A43">
        <w:rPr>
          <w:rFonts w:cstheme="minorHAnsi"/>
          <w:sz w:val="24"/>
          <w:szCs w:val="24"/>
        </w:rPr>
        <w:t>ask the following</w:t>
      </w:r>
      <w:r w:rsidR="00EF3E25" w:rsidRPr="00576A43">
        <w:rPr>
          <w:rFonts w:cstheme="minorHAnsi"/>
          <w:sz w:val="24"/>
          <w:szCs w:val="24"/>
        </w:rPr>
        <w:t xml:space="preserve"> </w:t>
      </w:r>
      <w:r w:rsidR="00894B9A" w:rsidRPr="00576A43">
        <w:rPr>
          <w:rFonts w:cstheme="minorHAnsi"/>
          <w:sz w:val="24"/>
          <w:szCs w:val="24"/>
        </w:rPr>
        <w:t>four</w:t>
      </w:r>
      <w:r w:rsidR="0077512E" w:rsidRPr="00576A43">
        <w:rPr>
          <w:rFonts w:cstheme="minorHAnsi"/>
          <w:sz w:val="24"/>
          <w:szCs w:val="24"/>
        </w:rPr>
        <w:t xml:space="preserve"> </w:t>
      </w:r>
      <w:r w:rsidR="00EF3E25" w:rsidRPr="00576A43">
        <w:rPr>
          <w:rFonts w:cstheme="minorHAnsi"/>
          <w:sz w:val="24"/>
          <w:szCs w:val="24"/>
        </w:rPr>
        <w:t xml:space="preserve">inter-related research questions: </w:t>
      </w:r>
      <w:r w:rsidR="00894B9A" w:rsidRPr="00576A43">
        <w:rPr>
          <w:rFonts w:cstheme="minorHAnsi"/>
          <w:sz w:val="24"/>
          <w:szCs w:val="24"/>
        </w:rPr>
        <w:t xml:space="preserve">1) </w:t>
      </w:r>
      <w:r w:rsidR="00894B9A" w:rsidRPr="00576A43">
        <w:rPr>
          <w:rFonts w:cstheme="minorHAnsi"/>
          <w:i/>
          <w:iCs/>
          <w:sz w:val="24"/>
          <w:szCs w:val="24"/>
        </w:rPr>
        <w:t xml:space="preserve">What are the career turning points of individuals working under conditions of high job demands? </w:t>
      </w:r>
      <w:r w:rsidR="00894B9A" w:rsidRPr="00576A43">
        <w:rPr>
          <w:rFonts w:cstheme="minorHAnsi"/>
          <w:sz w:val="24"/>
          <w:szCs w:val="24"/>
        </w:rPr>
        <w:t xml:space="preserve">2) </w:t>
      </w:r>
      <w:r w:rsidR="00894B9A" w:rsidRPr="00576A43">
        <w:rPr>
          <w:rFonts w:cstheme="minorHAnsi"/>
          <w:i/>
          <w:iCs/>
          <w:sz w:val="24"/>
          <w:szCs w:val="24"/>
        </w:rPr>
        <w:t xml:space="preserve">To what extent are these career turning points positive or negative, and why? </w:t>
      </w:r>
      <w:r w:rsidR="00894B9A" w:rsidRPr="00576A43">
        <w:rPr>
          <w:rFonts w:cstheme="minorHAnsi"/>
          <w:sz w:val="24"/>
          <w:szCs w:val="24"/>
        </w:rPr>
        <w:t xml:space="preserve">3) To what extent </w:t>
      </w:r>
      <w:r w:rsidR="00894B9A" w:rsidRPr="00576A43">
        <w:rPr>
          <w:rFonts w:cstheme="minorHAnsi"/>
          <w:i/>
          <w:iCs/>
          <w:sz w:val="24"/>
          <w:szCs w:val="24"/>
        </w:rPr>
        <w:t>are these career turning points internal or external in origin?</w:t>
      </w:r>
      <w:r w:rsidR="00894B9A" w:rsidRPr="00576A43">
        <w:rPr>
          <w:rFonts w:cstheme="minorHAnsi"/>
          <w:sz w:val="24"/>
          <w:szCs w:val="24"/>
        </w:rPr>
        <w:t xml:space="preserve"> And </w:t>
      </w:r>
      <w:r w:rsidR="00FC32B6" w:rsidRPr="00576A43">
        <w:rPr>
          <w:rFonts w:cstheme="minorHAnsi"/>
          <w:sz w:val="24"/>
          <w:szCs w:val="24"/>
        </w:rPr>
        <w:t>4</w:t>
      </w:r>
      <w:r w:rsidR="00894B9A" w:rsidRPr="00576A43">
        <w:rPr>
          <w:rFonts w:cstheme="minorHAnsi"/>
          <w:sz w:val="24"/>
          <w:szCs w:val="24"/>
        </w:rPr>
        <w:t xml:space="preserve">) </w:t>
      </w:r>
      <w:r w:rsidR="00894B9A" w:rsidRPr="00576A43">
        <w:rPr>
          <w:rFonts w:cstheme="minorHAnsi"/>
          <w:i/>
          <w:iCs/>
          <w:sz w:val="24"/>
          <w:szCs w:val="24"/>
        </w:rPr>
        <w:t xml:space="preserve">To what extent do these </w:t>
      </w:r>
      <w:r w:rsidR="00894B9A" w:rsidRPr="00576A43">
        <w:rPr>
          <w:rFonts w:cstheme="minorHAnsi"/>
          <w:i/>
          <w:iCs/>
          <w:sz w:val="24"/>
          <w:szCs w:val="24"/>
        </w:rPr>
        <w:lastRenderedPageBreak/>
        <w:t>career turning points occur randomly among healthcare professionals?</w:t>
      </w:r>
      <w:r w:rsidR="00894B9A" w:rsidRPr="00576A43">
        <w:rPr>
          <w:rFonts w:cstheme="minorHAnsi"/>
          <w:sz w:val="24"/>
          <w:szCs w:val="24"/>
        </w:rPr>
        <w:t xml:space="preserve"> </w:t>
      </w:r>
      <w:r w:rsidRPr="00576A43">
        <w:rPr>
          <w:rFonts w:cstheme="minorHAnsi"/>
          <w:sz w:val="24"/>
          <w:szCs w:val="24"/>
        </w:rPr>
        <w:t>By exploring these questions</w:t>
      </w:r>
      <w:r w:rsidR="00B57051" w:rsidRPr="00576A43">
        <w:rPr>
          <w:rFonts w:cstheme="minorHAnsi"/>
          <w:sz w:val="24"/>
          <w:szCs w:val="24"/>
        </w:rPr>
        <w:t xml:space="preserve"> in</w:t>
      </w:r>
      <w:r w:rsidR="00B818F2" w:rsidRPr="00576A43">
        <w:rPr>
          <w:rFonts w:cstheme="minorHAnsi"/>
          <w:sz w:val="24"/>
          <w:szCs w:val="24"/>
        </w:rPr>
        <w:t>-depth</w:t>
      </w:r>
      <w:r w:rsidRPr="00576A43">
        <w:rPr>
          <w:rFonts w:cstheme="minorHAnsi"/>
          <w:sz w:val="24"/>
          <w:szCs w:val="24"/>
        </w:rPr>
        <w:t>, we contribute</w:t>
      </w:r>
      <w:r w:rsidR="00B57051" w:rsidRPr="00576A43">
        <w:rPr>
          <w:rFonts w:cstheme="minorHAnsi"/>
          <w:sz w:val="24"/>
          <w:szCs w:val="24"/>
        </w:rPr>
        <w:t xml:space="preserve"> theoretically</w:t>
      </w:r>
      <w:r w:rsidR="002F246A">
        <w:rPr>
          <w:rFonts w:cstheme="minorHAnsi"/>
          <w:sz w:val="24"/>
          <w:szCs w:val="24"/>
        </w:rPr>
        <w:t xml:space="preserve"> </w:t>
      </w:r>
      <w:proofErr w:type="gramStart"/>
      <w:r w:rsidR="002F246A">
        <w:rPr>
          <w:rFonts w:cstheme="minorHAnsi"/>
          <w:sz w:val="24"/>
          <w:szCs w:val="24"/>
        </w:rPr>
        <w:t>to</w:t>
      </w:r>
      <w:r w:rsidR="00B57051" w:rsidRPr="00576A43">
        <w:rPr>
          <w:rFonts w:cstheme="minorHAnsi"/>
          <w:sz w:val="24"/>
          <w:szCs w:val="24"/>
        </w:rPr>
        <w:t>:</w:t>
      </w:r>
      <w:proofErr w:type="gramEnd"/>
      <w:r w:rsidR="00B57051" w:rsidRPr="00576A43">
        <w:rPr>
          <w:rFonts w:cstheme="minorHAnsi"/>
          <w:sz w:val="24"/>
          <w:szCs w:val="24"/>
        </w:rPr>
        <w:t xml:space="preserve"> 1)</w:t>
      </w:r>
      <w:r w:rsidRPr="00576A43">
        <w:rPr>
          <w:rFonts w:cstheme="minorHAnsi"/>
          <w:sz w:val="24"/>
          <w:szCs w:val="24"/>
        </w:rPr>
        <w:t xml:space="preserve"> the sociology of turning points </w:t>
      </w:r>
      <w:r w:rsidR="00B57051" w:rsidRPr="00576A43">
        <w:rPr>
          <w:rFonts w:cstheme="minorHAnsi"/>
          <w:sz w:val="24"/>
          <w:szCs w:val="24"/>
        </w:rPr>
        <w:t xml:space="preserve">in a new context; 2) the extension of the </w:t>
      </w:r>
      <w:r w:rsidR="002114F1" w:rsidRPr="00576A43">
        <w:rPr>
          <w:rFonts w:cstheme="minorHAnsi"/>
          <w:sz w:val="24"/>
          <w:szCs w:val="24"/>
        </w:rPr>
        <w:t>w</w:t>
      </w:r>
      <w:r w:rsidR="00B57051" w:rsidRPr="00576A43">
        <w:rPr>
          <w:rFonts w:cstheme="minorHAnsi"/>
          <w:sz w:val="24"/>
          <w:szCs w:val="24"/>
        </w:rPr>
        <w:t xml:space="preserve">ell-established Job-Demand Resources theory; and 3) the development of the newer area </w:t>
      </w:r>
      <w:r w:rsidR="002114F1" w:rsidRPr="00576A43">
        <w:rPr>
          <w:rFonts w:cstheme="minorHAnsi"/>
          <w:sz w:val="24"/>
          <w:szCs w:val="24"/>
        </w:rPr>
        <w:t>o</w:t>
      </w:r>
      <w:r w:rsidR="00636AD6" w:rsidRPr="00576A43">
        <w:rPr>
          <w:rFonts w:cstheme="minorHAnsi"/>
          <w:sz w:val="24"/>
          <w:szCs w:val="24"/>
        </w:rPr>
        <w:t xml:space="preserve">f </w:t>
      </w:r>
      <w:r w:rsidR="00B57051" w:rsidRPr="00576A43">
        <w:rPr>
          <w:rFonts w:cstheme="minorHAnsi"/>
          <w:sz w:val="24"/>
          <w:szCs w:val="24"/>
        </w:rPr>
        <w:t>career sustainability.</w:t>
      </w:r>
    </w:p>
    <w:p w14:paraId="7D7D655D" w14:textId="0E680168" w:rsidR="00260AC8" w:rsidRPr="00576A43" w:rsidRDefault="00D23EAB" w:rsidP="009A5A6E">
      <w:pPr>
        <w:spacing w:line="360" w:lineRule="auto"/>
        <w:rPr>
          <w:rFonts w:cstheme="minorHAnsi"/>
          <w:i/>
          <w:iCs/>
          <w:sz w:val="24"/>
          <w:szCs w:val="24"/>
        </w:rPr>
      </w:pPr>
      <w:r w:rsidRPr="00576A43">
        <w:rPr>
          <w:rFonts w:cstheme="minorHAnsi"/>
          <w:sz w:val="24"/>
          <w:szCs w:val="24"/>
        </w:rPr>
        <w:t xml:space="preserve">We </w:t>
      </w:r>
      <w:r w:rsidR="00260AC8" w:rsidRPr="00576A43">
        <w:rPr>
          <w:rFonts w:cstheme="minorHAnsi"/>
          <w:sz w:val="24"/>
          <w:szCs w:val="24"/>
        </w:rPr>
        <w:t xml:space="preserve">also </w:t>
      </w:r>
      <w:r w:rsidRPr="00576A43">
        <w:rPr>
          <w:rFonts w:cstheme="minorHAnsi"/>
          <w:sz w:val="24"/>
          <w:szCs w:val="24"/>
        </w:rPr>
        <w:t>aim to</w:t>
      </w:r>
      <w:r w:rsidR="00260AC8" w:rsidRPr="00576A43">
        <w:rPr>
          <w:rFonts w:cstheme="minorHAnsi"/>
          <w:sz w:val="24"/>
          <w:szCs w:val="24"/>
        </w:rPr>
        <w:t xml:space="preserve"> contribute to the practice of </w:t>
      </w:r>
      <w:r w:rsidRPr="00576A43">
        <w:rPr>
          <w:rFonts w:cstheme="minorHAnsi"/>
          <w:sz w:val="24"/>
          <w:szCs w:val="24"/>
        </w:rPr>
        <w:t xml:space="preserve">HRM by developing a set of best practice recommendations for HRM practitioners in this </w:t>
      </w:r>
      <w:r w:rsidR="00260AC8" w:rsidRPr="00576A43">
        <w:rPr>
          <w:rFonts w:cstheme="minorHAnsi"/>
          <w:sz w:val="24"/>
          <w:szCs w:val="24"/>
        </w:rPr>
        <w:t xml:space="preserve">key </w:t>
      </w:r>
      <w:r w:rsidRPr="00576A43">
        <w:rPr>
          <w:rFonts w:cstheme="minorHAnsi"/>
          <w:sz w:val="24"/>
          <w:szCs w:val="24"/>
        </w:rPr>
        <w:t>sector</w:t>
      </w:r>
      <w:r w:rsidR="00260AC8" w:rsidRPr="00576A43">
        <w:rPr>
          <w:rFonts w:cstheme="minorHAnsi"/>
          <w:sz w:val="24"/>
          <w:szCs w:val="24"/>
        </w:rPr>
        <w:t xml:space="preserve"> to support healthcare professionals to retain</w:t>
      </w:r>
      <w:r w:rsidR="009D4251" w:rsidRPr="00576A43">
        <w:rPr>
          <w:rFonts w:cstheme="minorHAnsi"/>
          <w:sz w:val="24"/>
          <w:szCs w:val="24"/>
        </w:rPr>
        <w:t>/enhance</w:t>
      </w:r>
      <w:r w:rsidR="00260AC8" w:rsidRPr="00576A43">
        <w:rPr>
          <w:rFonts w:cstheme="minorHAnsi"/>
          <w:sz w:val="24"/>
          <w:szCs w:val="24"/>
        </w:rPr>
        <w:t xml:space="preserve"> both: a) their roles; and b) their wellbeing.</w:t>
      </w:r>
      <w:r w:rsidR="00260AC8" w:rsidRPr="00576A43">
        <w:rPr>
          <w:rFonts w:cstheme="minorHAnsi"/>
          <w:i/>
          <w:iCs/>
          <w:sz w:val="24"/>
          <w:szCs w:val="24"/>
        </w:rPr>
        <w:t xml:space="preserve"> </w:t>
      </w:r>
    </w:p>
    <w:p w14:paraId="7347CC41" w14:textId="07267E69" w:rsidR="00E47D05" w:rsidRPr="00576A43" w:rsidRDefault="00E47D05" w:rsidP="00CD2A61">
      <w:pPr>
        <w:rPr>
          <w:rFonts w:cstheme="minorHAnsi"/>
          <w:b/>
          <w:bCs/>
          <w:sz w:val="24"/>
          <w:szCs w:val="24"/>
        </w:rPr>
      </w:pPr>
      <w:r w:rsidRPr="00576A43">
        <w:rPr>
          <w:rFonts w:cstheme="minorHAnsi"/>
          <w:b/>
          <w:bCs/>
          <w:sz w:val="24"/>
          <w:szCs w:val="24"/>
        </w:rPr>
        <w:t>Literature and Conceptual Development</w:t>
      </w:r>
    </w:p>
    <w:p w14:paraId="66F2EFC8" w14:textId="470AB624" w:rsidR="006F3209" w:rsidRPr="00576A43" w:rsidRDefault="006F3209" w:rsidP="006F3209">
      <w:pPr>
        <w:spacing w:line="360" w:lineRule="auto"/>
        <w:rPr>
          <w:rFonts w:cstheme="minorHAnsi"/>
          <w:b/>
          <w:bCs/>
          <w:sz w:val="24"/>
          <w:szCs w:val="24"/>
        </w:rPr>
      </w:pPr>
      <w:r w:rsidRPr="00576A43">
        <w:rPr>
          <w:rFonts w:cstheme="minorHAnsi"/>
          <w:sz w:val="24"/>
          <w:szCs w:val="24"/>
        </w:rPr>
        <w:t>Contemporary theorizing around wellbeing at work often draws on the well-established Job Demand-Resources (JDR) model (Demerouti, et al., 2001) and its underpinning principles (</w:t>
      </w:r>
      <w:r w:rsidR="00CB7730" w:rsidRPr="00576A43">
        <w:rPr>
          <w:rFonts w:cstheme="minorHAnsi"/>
          <w:sz w:val="24"/>
          <w:szCs w:val="24"/>
        </w:rPr>
        <w:t>Bakker, et al., 2023; S</w:t>
      </w:r>
      <w:r w:rsidRPr="00576A43">
        <w:rPr>
          <w:rFonts w:cstheme="minorHAnsi"/>
          <w:sz w:val="24"/>
          <w:szCs w:val="24"/>
        </w:rPr>
        <w:t xml:space="preserve">onnentag, et al., 2023).  Specifically, JDR theory seeks to understand two largely independent processes (Demerouti, et al., 2010). One process concerns the positive relationship of health impairment hypothesized between job demands and exhaustion. Job demands are any aspects of the job that require some physical, social, or psychological effort to achieve work goals and so have associated strain costs in terms of individual functioning processes. Exhaustion is an outcome which </w:t>
      </w:r>
      <w:r w:rsidRPr="00576A43">
        <w:rPr>
          <w:rFonts w:cstheme="minorHAnsi"/>
          <w:sz w:val="24"/>
          <w:szCs w:val="24"/>
          <w:shd w:val="clear" w:color="auto" w:fill="FFFFFF"/>
        </w:rPr>
        <w:t xml:space="preserve">entails feelings of being depleted, fatigued, and overextended by one's work in physical, affective, and cognitive terms </w:t>
      </w:r>
      <w:r w:rsidRPr="00576A43">
        <w:rPr>
          <w:rFonts w:cstheme="minorHAnsi"/>
          <w:sz w:val="24"/>
          <w:szCs w:val="24"/>
        </w:rPr>
        <w:t xml:space="preserve">(Demerouti, et al., 2001). Crawford, et al.’s (2010) research highlighted an important distinction between two types of demands in terms of personal growth and development.  Those demands that are perceived by the employee as challenging provide the stimulation for personal growth and development, whereas others perceived as hindering constrain an individual from growth and development. Nevertheless, a specific job demand seems to provide a challenge only when other demands remain low (Kemery, 2006; Wincent &amp; </w:t>
      </w:r>
      <w:proofErr w:type="spellStart"/>
      <w:r w:rsidRPr="00576A43">
        <w:rPr>
          <w:rFonts w:cstheme="minorHAnsi"/>
          <w:sz w:val="24"/>
          <w:szCs w:val="24"/>
        </w:rPr>
        <w:t>Örtqvist</w:t>
      </w:r>
      <w:proofErr w:type="spellEnd"/>
      <w:r w:rsidRPr="00576A43">
        <w:rPr>
          <w:rFonts w:cstheme="minorHAnsi"/>
          <w:sz w:val="24"/>
          <w:szCs w:val="24"/>
        </w:rPr>
        <w:t xml:space="preserve">, 2011). </w:t>
      </w:r>
    </w:p>
    <w:p w14:paraId="10E5B3CF" w14:textId="312E8CB2" w:rsidR="006F3209" w:rsidRPr="00576A43" w:rsidRDefault="006F3209" w:rsidP="006F3209">
      <w:pPr>
        <w:spacing w:line="360" w:lineRule="auto"/>
        <w:rPr>
          <w:rFonts w:cstheme="minorHAnsi"/>
          <w:b/>
          <w:bCs/>
          <w:sz w:val="24"/>
          <w:szCs w:val="24"/>
        </w:rPr>
      </w:pPr>
      <w:r w:rsidRPr="00576A43">
        <w:rPr>
          <w:rFonts w:cstheme="minorHAnsi"/>
          <w:sz w:val="24"/>
          <w:szCs w:val="24"/>
        </w:rPr>
        <w:t xml:space="preserve">The second process concerns the negatively hypothesized relationship between job resources and disengagement. Job resources are any aspect of the job that may give rise to work engagement, defined as a positive motivational state of </w:t>
      </w:r>
      <w:r w:rsidRPr="00576A43">
        <w:rPr>
          <w:rFonts w:cstheme="minorHAnsi"/>
          <w:sz w:val="24"/>
          <w:szCs w:val="24"/>
          <w:shd w:val="clear" w:color="auto" w:fill="FFFFFF"/>
        </w:rPr>
        <w:t>vigour, dedication, and</w:t>
      </w:r>
      <w:r w:rsidRPr="00576A43">
        <w:rPr>
          <w:rFonts w:cstheme="minorHAnsi"/>
          <w:sz w:val="24"/>
          <w:szCs w:val="24"/>
        </w:rPr>
        <w:t xml:space="preserve"> </w:t>
      </w:r>
      <w:r w:rsidRPr="00576A43">
        <w:rPr>
          <w:rFonts w:cstheme="minorHAnsi"/>
          <w:sz w:val="24"/>
          <w:szCs w:val="24"/>
          <w:shd w:val="clear" w:color="auto" w:fill="FFFFFF"/>
        </w:rPr>
        <w:t>absorption (</w:t>
      </w:r>
      <w:r w:rsidRPr="00576A43">
        <w:rPr>
          <w:rFonts w:cstheme="minorHAnsi"/>
          <w:sz w:val="24"/>
          <w:szCs w:val="24"/>
        </w:rPr>
        <w:t xml:space="preserve">Schaufeli &amp; Bakker, 2004). In contrast, the outcome of disengagement is defined as </w:t>
      </w:r>
      <w:r w:rsidRPr="00576A43">
        <w:rPr>
          <w:rFonts w:cstheme="minorHAnsi"/>
          <w:sz w:val="24"/>
          <w:szCs w:val="24"/>
          <w:shd w:val="clear" w:color="auto" w:fill="FFFFFF"/>
        </w:rPr>
        <w:t xml:space="preserve">a sense of depersonalization, cynicism, or distancing from work (Demerouti, et al, 2001) and results from a </w:t>
      </w:r>
      <w:r w:rsidRPr="00576A43">
        <w:rPr>
          <w:rFonts w:cstheme="minorHAnsi"/>
          <w:sz w:val="24"/>
          <w:szCs w:val="24"/>
          <w:u w:val="single"/>
          <w:shd w:val="clear" w:color="auto" w:fill="FFFFFF"/>
        </w:rPr>
        <w:t>lack</w:t>
      </w:r>
      <w:r w:rsidRPr="00576A43">
        <w:rPr>
          <w:rFonts w:cstheme="minorHAnsi"/>
          <w:sz w:val="24"/>
          <w:szCs w:val="24"/>
          <w:shd w:val="clear" w:color="auto" w:fill="FFFFFF"/>
        </w:rPr>
        <w:t xml:space="preserve"> of job resources. </w:t>
      </w:r>
      <w:r w:rsidRPr="00576A43">
        <w:rPr>
          <w:rFonts w:cstheme="minorHAnsi"/>
          <w:sz w:val="24"/>
          <w:szCs w:val="24"/>
        </w:rPr>
        <w:t xml:space="preserve">Job resources are thus expected to be positively </w:t>
      </w:r>
      <w:r w:rsidRPr="00576A43">
        <w:rPr>
          <w:rFonts w:cstheme="minorHAnsi"/>
          <w:sz w:val="24"/>
          <w:szCs w:val="24"/>
        </w:rPr>
        <w:lastRenderedPageBreak/>
        <w:t xml:space="preserve">associated with work engagement (Bakker &amp; Demerouti, 2007) and negatively with disengagement. </w:t>
      </w:r>
      <w:r w:rsidRPr="00576A43">
        <w:rPr>
          <w:rFonts w:cstheme="minorHAnsi"/>
          <w:sz w:val="24"/>
          <w:szCs w:val="24"/>
          <w:shd w:val="clear" w:color="auto" w:fill="FFFFFF"/>
        </w:rPr>
        <w:t>Research has shown the two constructs of engagement and disengagement to be highly correlated, but not antipodes (</w:t>
      </w:r>
      <w:r w:rsidRPr="00576A43">
        <w:rPr>
          <w:rFonts w:cstheme="minorHAnsi"/>
          <w:sz w:val="24"/>
          <w:szCs w:val="24"/>
        </w:rPr>
        <w:t>Demerouti et al., 2010).</w:t>
      </w:r>
      <w:r w:rsidRPr="00576A43">
        <w:rPr>
          <w:rFonts w:cstheme="minorHAnsi"/>
          <w:sz w:val="24"/>
          <w:szCs w:val="24"/>
          <w:shd w:val="clear" w:color="auto" w:fill="FFFFFF"/>
        </w:rPr>
        <w:t xml:space="preserve"> Moreover, the buffering hypothesis has shown </w:t>
      </w:r>
      <w:r w:rsidRPr="00576A43">
        <w:rPr>
          <w:rFonts w:cstheme="minorHAnsi"/>
          <w:sz w:val="24"/>
          <w:szCs w:val="24"/>
        </w:rPr>
        <w:t>job resources to diminish the impact of job demands (Bakker et al., 2005). Challenge or ‘good’ job demands (e.g., new responsibilities following promotion) and high levels of job resources (e.g., autonomy) have been shown to lay the best foundation for engagement (Crawford, et al., 2010)</w:t>
      </w:r>
      <w:r w:rsidR="00FC32B6" w:rsidRPr="00576A43">
        <w:rPr>
          <w:rFonts w:cstheme="minorHAnsi"/>
          <w:sz w:val="24"/>
          <w:szCs w:val="24"/>
        </w:rPr>
        <w:t>.</w:t>
      </w:r>
      <w:r w:rsidRPr="00576A43">
        <w:rPr>
          <w:rFonts w:cstheme="minorHAnsi"/>
          <w:sz w:val="24"/>
          <w:szCs w:val="24"/>
        </w:rPr>
        <w:t xml:space="preserve"> </w:t>
      </w:r>
    </w:p>
    <w:p w14:paraId="572FD21B" w14:textId="00FA683C" w:rsidR="006F3209" w:rsidRPr="00576A43" w:rsidRDefault="006F3209" w:rsidP="006F3209">
      <w:pPr>
        <w:spacing w:line="360" w:lineRule="auto"/>
        <w:rPr>
          <w:rFonts w:cstheme="minorHAnsi"/>
          <w:b/>
          <w:bCs/>
          <w:sz w:val="24"/>
          <w:szCs w:val="24"/>
        </w:rPr>
      </w:pPr>
      <w:r w:rsidRPr="00576A43">
        <w:rPr>
          <w:rFonts w:cstheme="minorHAnsi"/>
          <w:sz w:val="24"/>
          <w:szCs w:val="24"/>
        </w:rPr>
        <w:t xml:space="preserve">Burnout as an outcome is routinely conceptualised as comprised of the two dimensions of disengagement and exhaustion (Demerouti et al., 2001, 2010). Maslach &amp; Leiter (1997) define burnout as a state of chronic exhaustion characterised by cynicism and doubt about one’s work value and organizational contribution. It seems to be the lack of specific job resources which results in disengagement (Demerouti, et al., 2001) whereas exhaustion arises from general job demands such as overwork and role problems (for a meta-review, see Lee &amp; Ashforth, 1996). Nevertheless, some demands have a stronger relationship with negative outcomes under certain conditions. For example, Van </w:t>
      </w:r>
      <w:proofErr w:type="spellStart"/>
      <w:r w:rsidRPr="00576A43">
        <w:rPr>
          <w:rFonts w:cstheme="minorHAnsi"/>
          <w:sz w:val="24"/>
          <w:szCs w:val="24"/>
        </w:rPr>
        <w:t>Woerkom</w:t>
      </w:r>
      <w:proofErr w:type="spellEnd"/>
      <w:r w:rsidRPr="00576A43">
        <w:rPr>
          <w:rFonts w:cstheme="minorHAnsi"/>
          <w:sz w:val="24"/>
          <w:szCs w:val="24"/>
        </w:rPr>
        <w:t xml:space="preserve">, et al. (2016) found emotional demands to be more deleterious leading to higher absenteeism where workloads were high.  Demerouti et al. (2011) found that demands were related to burnout, as exhibited through exhaustion, and resources to burnout, as evidenced by disengagement. Burnout is most prevalent in organizations where high job demands are combined with low job resources (Bakker &amp; Demerouti, 2017; Leiter et al., 2014) and has been shown to correlate with turnover intentions/intention to quit (Depierro, et al., 2024; Kristensen, et al, 2005). </w:t>
      </w:r>
    </w:p>
    <w:p w14:paraId="609C41B4" w14:textId="6ADB48BC" w:rsidR="006F3209" w:rsidRPr="00576A43" w:rsidRDefault="006F3209" w:rsidP="006F3209">
      <w:pPr>
        <w:spacing w:line="360" w:lineRule="auto"/>
        <w:rPr>
          <w:rFonts w:cstheme="minorHAnsi"/>
          <w:sz w:val="24"/>
          <w:szCs w:val="24"/>
        </w:rPr>
      </w:pPr>
      <w:r w:rsidRPr="00576A43">
        <w:rPr>
          <w:rFonts w:cstheme="minorHAnsi"/>
          <w:sz w:val="24"/>
          <w:szCs w:val="24"/>
        </w:rPr>
        <w:t>The original JDR model (Demerouti, et al., 2001) has developed in two main directions over the nearly two decades since its inception into what is now referred to as JDR theory</w:t>
      </w:r>
      <w:r w:rsidR="00FC6D2B">
        <w:rPr>
          <w:rFonts w:cstheme="minorHAnsi"/>
          <w:sz w:val="24"/>
          <w:szCs w:val="24"/>
        </w:rPr>
        <w:t xml:space="preserve"> (Bakker, et al., 2023)</w:t>
      </w:r>
      <w:r w:rsidRPr="00576A43">
        <w:rPr>
          <w:rFonts w:cstheme="minorHAnsi"/>
          <w:sz w:val="24"/>
          <w:szCs w:val="24"/>
        </w:rPr>
        <w:t xml:space="preserve">. The first is the examination of positive and negative workforce responses to the demands and resources experienced (Bakker &amp; Demerouti, 2017). A positive gain spiral may be experienced when employees are motivated to engage with their work </w:t>
      </w:r>
      <w:r w:rsidR="00FC6D2B">
        <w:rPr>
          <w:rFonts w:cstheme="minorHAnsi"/>
          <w:sz w:val="24"/>
          <w:szCs w:val="24"/>
        </w:rPr>
        <w:t>(</w:t>
      </w:r>
      <w:r w:rsidRPr="00576A43">
        <w:rPr>
          <w:rFonts w:cstheme="minorHAnsi"/>
          <w:sz w:val="24"/>
          <w:szCs w:val="24"/>
        </w:rPr>
        <w:t>Schaufeli</w:t>
      </w:r>
      <w:r w:rsidR="00691D61" w:rsidRPr="00576A43">
        <w:rPr>
          <w:rFonts w:cstheme="minorHAnsi"/>
          <w:sz w:val="24"/>
          <w:szCs w:val="24"/>
        </w:rPr>
        <w:t xml:space="preserve"> </w:t>
      </w:r>
      <w:r w:rsidR="00FC6D2B">
        <w:rPr>
          <w:rFonts w:cstheme="minorHAnsi"/>
          <w:sz w:val="24"/>
          <w:szCs w:val="24"/>
        </w:rPr>
        <w:t xml:space="preserve">&amp; </w:t>
      </w:r>
      <w:r w:rsidR="00691D61" w:rsidRPr="00576A43">
        <w:rPr>
          <w:rFonts w:cstheme="minorHAnsi"/>
          <w:sz w:val="24"/>
          <w:szCs w:val="24"/>
        </w:rPr>
        <w:t>Bakker</w:t>
      </w:r>
      <w:r w:rsidR="00FC6D2B">
        <w:rPr>
          <w:rFonts w:cstheme="minorHAnsi"/>
          <w:sz w:val="24"/>
          <w:szCs w:val="24"/>
        </w:rPr>
        <w:t xml:space="preserve">, </w:t>
      </w:r>
      <w:r w:rsidRPr="00576A43">
        <w:rPr>
          <w:rFonts w:cstheme="minorHAnsi"/>
          <w:sz w:val="24"/>
          <w:szCs w:val="24"/>
        </w:rPr>
        <w:t>2003; 2004; 2010) and stay engaged with that work through job crafting to create new resources over time (Tims &amp; Bakker, 2010). A negative loss spiral of increased demands and exhaustion may be experienced when employees engage in self-</w:t>
      </w:r>
      <w:r w:rsidRPr="00576A43">
        <w:rPr>
          <w:rFonts w:cstheme="minorHAnsi"/>
          <w:sz w:val="24"/>
          <w:szCs w:val="24"/>
        </w:rPr>
        <w:lastRenderedPageBreak/>
        <w:t xml:space="preserve">undermining behaviour (Bakker </w:t>
      </w:r>
      <w:r w:rsidR="00FC6D2B">
        <w:rPr>
          <w:rFonts w:cstheme="minorHAnsi"/>
          <w:sz w:val="24"/>
          <w:szCs w:val="24"/>
        </w:rPr>
        <w:t>&amp;</w:t>
      </w:r>
      <w:r w:rsidRPr="00576A43">
        <w:rPr>
          <w:rFonts w:cstheme="minorHAnsi"/>
          <w:sz w:val="24"/>
          <w:szCs w:val="24"/>
        </w:rPr>
        <w:t xml:space="preserve"> Costa, 2014) such as the creation of stress, confusion, and conflict (Bakker </w:t>
      </w:r>
      <w:r w:rsidR="00FC6D2B">
        <w:rPr>
          <w:rFonts w:cstheme="minorHAnsi"/>
          <w:sz w:val="24"/>
          <w:szCs w:val="24"/>
        </w:rPr>
        <w:t xml:space="preserve">&amp; </w:t>
      </w:r>
      <w:r w:rsidRPr="00576A43">
        <w:rPr>
          <w:rFonts w:cstheme="minorHAnsi"/>
          <w:sz w:val="24"/>
          <w:szCs w:val="24"/>
        </w:rPr>
        <w:t xml:space="preserve">Wang, 2020). </w:t>
      </w:r>
    </w:p>
    <w:p w14:paraId="659185CF" w14:textId="3E358091" w:rsidR="006F3209" w:rsidRPr="00576A43" w:rsidRDefault="006F3209" w:rsidP="006F3209">
      <w:pPr>
        <w:spacing w:line="360" w:lineRule="auto"/>
        <w:rPr>
          <w:rFonts w:cstheme="minorHAnsi"/>
          <w:b/>
          <w:bCs/>
          <w:sz w:val="24"/>
          <w:szCs w:val="24"/>
        </w:rPr>
      </w:pPr>
      <w:r w:rsidRPr="00576A43">
        <w:rPr>
          <w:rFonts w:cstheme="minorHAnsi"/>
          <w:sz w:val="24"/>
          <w:szCs w:val="24"/>
        </w:rPr>
        <w:t xml:space="preserve">The second avenue of study has been to expand job demands and resources to include personal demands and resources. Personal demands, defined as self-set work performance goals and behaviours which come with physical and psychological costs (Barbier, et al., 2013), can enhance motivation or lead to health impairment. For example, Guglielmi et al. (2012) showed that workaholism increased job demands and greater burnout. Personal resources, defined as beliefs that people hold over how much control they have over their environment (Bakker &amp; Demerouti, 2017), alongside job resources. Studies of personal resources (e.g., self-efficacy; optimism) have produced inconsistent results (Xanthopoulou, et al., 2013). </w:t>
      </w:r>
    </w:p>
    <w:p w14:paraId="1AC733DD" w14:textId="489BEB17" w:rsidR="006F3209" w:rsidRPr="00576A43" w:rsidRDefault="006F3209" w:rsidP="006F3209">
      <w:pPr>
        <w:spacing w:line="360" w:lineRule="auto"/>
        <w:rPr>
          <w:rFonts w:cstheme="minorHAnsi"/>
          <w:sz w:val="24"/>
          <w:szCs w:val="24"/>
        </w:rPr>
      </w:pPr>
      <w:r w:rsidRPr="00576A43">
        <w:rPr>
          <w:rFonts w:cstheme="minorHAnsi"/>
          <w:sz w:val="24"/>
          <w:szCs w:val="24"/>
        </w:rPr>
        <w:t xml:space="preserve">A large body of evidence now clearly supports JDR theory main effects relationships </w:t>
      </w:r>
      <w:r w:rsidRPr="00576A43">
        <w:rPr>
          <w:rFonts w:cstheme="minorHAnsi"/>
          <w:i/>
          <w:iCs/>
          <w:sz w:val="24"/>
          <w:szCs w:val="24"/>
        </w:rPr>
        <w:t>on average</w:t>
      </w:r>
      <w:r w:rsidRPr="00576A43">
        <w:rPr>
          <w:rFonts w:cstheme="minorHAnsi"/>
          <w:sz w:val="24"/>
          <w:szCs w:val="24"/>
        </w:rPr>
        <w:t xml:space="preserve"> across a wide range of demands and resources (Bakker &amp; Demerouti, 2007; Crawford, et al., 2010; Van </w:t>
      </w:r>
      <w:proofErr w:type="spellStart"/>
      <w:r w:rsidRPr="00576A43">
        <w:rPr>
          <w:rFonts w:cstheme="minorHAnsi"/>
          <w:sz w:val="24"/>
          <w:szCs w:val="24"/>
        </w:rPr>
        <w:t>Yperen</w:t>
      </w:r>
      <w:proofErr w:type="spellEnd"/>
      <w:r w:rsidRPr="00576A43">
        <w:rPr>
          <w:rFonts w:cstheme="minorHAnsi"/>
          <w:sz w:val="24"/>
          <w:szCs w:val="24"/>
        </w:rPr>
        <w:t xml:space="preserve"> &amp; Janssen, 2002). Since Karasek’s (1979) foundational work, social support, and autonomy (or </w:t>
      </w:r>
      <w:r w:rsidR="00FC6D2B">
        <w:rPr>
          <w:rFonts w:cstheme="minorHAnsi"/>
          <w:sz w:val="24"/>
          <w:szCs w:val="24"/>
        </w:rPr>
        <w:t xml:space="preserve">job </w:t>
      </w:r>
      <w:r w:rsidRPr="00576A43">
        <w:rPr>
          <w:rFonts w:cstheme="minorHAnsi"/>
          <w:sz w:val="24"/>
          <w:szCs w:val="24"/>
        </w:rPr>
        <w:t xml:space="preserve">control) have been the key resources of interest; </w:t>
      </w:r>
      <w:r w:rsidR="00FC6D2B">
        <w:rPr>
          <w:rFonts w:cstheme="minorHAnsi"/>
          <w:sz w:val="24"/>
          <w:szCs w:val="24"/>
        </w:rPr>
        <w:t>T</w:t>
      </w:r>
      <w:r w:rsidRPr="00576A43">
        <w:rPr>
          <w:rFonts w:cstheme="minorHAnsi"/>
          <w:sz w:val="24"/>
          <w:szCs w:val="24"/>
        </w:rPr>
        <w:t xml:space="preserve">hese resources have been shown to attenuate the impact of demands in some studies (Bakker, et al, 2005; Fox, et al. 1993; </w:t>
      </w:r>
      <w:proofErr w:type="spellStart"/>
      <w:r w:rsidRPr="00576A43">
        <w:rPr>
          <w:rFonts w:cstheme="minorHAnsi"/>
          <w:sz w:val="24"/>
          <w:szCs w:val="24"/>
        </w:rPr>
        <w:t>Kirkmeyer</w:t>
      </w:r>
      <w:proofErr w:type="spellEnd"/>
      <w:r w:rsidRPr="00576A43">
        <w:rPr>
          <w:rFonts w:cstheme="minorHAnsi"/>
          <w:sz w:val="24"/>
          <w:szCs w:val="24"/>
        </w:rPr>
        <w:t xml:space="preserve"> &amp; Dougherty, 1988). At the same time, results for the buffering hypothesis are inconsistent as demonstrated by Ganster et al. (1986), studying social support, and Parker and Sprigg (1999), investigating control.  Further, recent meta-analyses have shown little to no effect (Gonzalez-Mule, et al, 2020; Hausser, et al., 2010). Among the unresolved JDR theory issues</w:t>
      </w:r>
      <w:r w:rsidR="00FC6D2B">
        <w:rPr>
          <w:rFonts w:cstheme="minorHAnsi"/>
          <w:sz w:val="24"/>
          <w:szCs w:val="24"/>
        </w:rPr>
        <w:t xml:space="preserve"> is the fact that </w:t>
      </w:r>
      <w:r w:rsidRPr="00576A43">
        <w:rPr>
          <w:rFonts w:cstheme="minorHAnsi"/>
          <w:sz w:val="24"/>
          <w:szCs w:val="24"/>
        </w:rPr>
        <w:t>we do not yet know with any certainty which resource may buffer which demand</w:t>
      </w:r>
      <w:r w:rsidR="00FC6D2B">
        <w:rPr>
          <w:rFonts w:cstheme="minorHAnsi"/>
          <w:sz w:val="24"/>
          <w:szCs w:val="24"/>
        </w:rPr>
        <w:t xml:space="preserve"> </w:t>
      </w:r>
      <w:r w:rsidRPr="00576A43">
        <w:rPr>
          <w:rFonts w:cstheme="minorHAnsi"/>
          <w:sz w:val="24"/>
          <w:szCs w:val="24"/>
        </w:rPr>
        <w:t xml:space="preserve">or indeed how effects may combine multiplicatively across demands owing to their less extensive/non-existent study (Ong &amp; Johnson, 2023). </w:t>
      </w:r>
    </w:p>
    <w:p w14:paraId="28F83B56" w14:textId="4C22592D" w:rsidR="00BD208C" w:rsidRPr="00576A43" w:rsidRDefault="00BD208C" w:rsidP="00A756EE">
      <w:pPr>
        <w:pStyle w:val="NormalWeb"/>
        <w:shd w:val="clear" w:color="auto" w:fill="FFFFFF"/>
        <w:spacing w:before="300" w:beforeAutospacing="0" w:after="300" w:afterAutospacing="0" w:line="360" w:lineRule="auto"/>
        <w:contextualSpacing/>
        <w:rPr>
          <w:rFonts w:asciiTheme="minorHAnsi" w:hAnsiTheme="minorHAnsi" w:cstheme="minorHAnsi"/>
          <w:b/>
          <w:bCs/>
        </w:rPr>
      </w:pPr>
      <w:r w:rsidRPr="00576A43">
        <w:rPr>
          <w:rFonts w:asciiTheme="minorHAnsi" w:hAnsiTheme="minorHAnsi" w:cstheme="minorHAnsi"/>
          <w:b/>
          <w:bCs/>
        </w:rPr>
        <w:t>Research Methodology</w:t>
      </w:r>
    </w:p>
    <w:p w14:paraId="334707A4" w14:textId="0E7E78B1" w:rsidR="00B22B7F" w:rsidRPr="00576A43" w:rsidRDefault="009F702C" w:rsidP="00B22B7F">
      <w:pPr>
        <w:pStyle w:val="NormalWeb"/>
        <w:shd w:val="clear" w:color="auto" w:fill="FFFFFF"/>
        <w:spacing w:before="0" w:beforeAutospacing="0" w:after="160" w:afterAutospacing="0" w:line="360" w:lineRule="auto"/>
        <w:rPr>
          <w:rFonts w:asciiTheme="minorHAnsi" w:hAnsiTheme="minorHAnsi" w:cstheme="minorHAnsi"/>
        </w:rPr>
      </w:pPr>
      <w:r w:rsidRPr="00576A43">
        <w:rPr>
          <w:rFonts w:asciiTheme="minorHAnsi" w:hAnsiTheme="minorHAnsi" w:cstheme="minorHAnsi"/>
        </w:rPr>
        <w:t>Our</w:t>
      </w:r>
      <w:r w:rsidR="00BD208C" w:rsidRPr="00576A43">
        <w:rPr>
          <w:rFonts w:asciiTheme="minorHAnsi" w:hAnsiTheme="minorHAnsi" w:cstheme="minorHAnsi"/>
        </w:rPr>
        <w:t xml:space="preserve"> study employs in-depth interviews to understand the career turning points of </w:t>
      </w:r>
      <w:r w:rsidR="00B818F2" w:rsidRPr="00576A43">
        <w:rPr>
          <w:rFonts w:asciiTheme="minorHAnsi" w:hAnsiTheme="minorHAnsi" w:cstheme="minorHAnsi"/>
        </w:rPr>
        <w:t xml:space="preserve">hospital </w:t>
      </w:r>
      <w:r w:rsidR="00BD208C" w:rsidRPr="00576A43">
        <w:rPr>
          <w:rFonts w:asciiTheme="minorHAnsi" w:hAnsiTheme="minorHAnsi" w:cstheme="minorHAnsi"/>
        </w:rPr>
        <w:t>healthcare professionals coping with high job demands. Unlike traditional quantitative approaches</w:t>
      </w:r>
      <w:r w:rsidR="00FC6D2B">
        <w:rPr>
          <w:rFonts w:asciiTheme="minorHAnsi" w:hAnsiTheme="minorHAnsi" w:cstheme="minorHAnsi"/>
        </w:rPr>
        <w:t xml:space="preserve"> that </w:t>
      </w:r>
      <w:r w:rsidR="00BD208C" w:rsidRPr="00576A43">
        <w:rPr>
          <w:rFonts w:asciiTheme="minorHAnsi" w:hAnsiTheme="minorHAnsi" w:cstheme="minorHAnsi"/>
        </w:rPr>
        <w:t xml:space="preserve">focus on large-scale surveys, this study probes the experiences of a small number of individuals to uncover the nuances of career turning points. </w:t>
      </w:r>
    </w:p>
    <w:p w14:paraId="44DD24A4" w14:textId="24E8D2FA" w:rsidR="00E32D47" w:rsidRPr="00576A43" w:rsidRDefault="00BD208C" w:rsidP="00B22B7F">
      <w:pPr>
        <w:pStyle w:val="NormalWeb"/>
        <w:shd w:val="clear" w:color="auto" w:fill="FFFFFF"/>
        <w:spacing w:before="0" w:beforeAutospacing="0" w:after="160" w:afterAutospacing="0" w:line="360" w:lineRule="auto"/>
        <w:contextualSpacing/>
        <w:rPr>
          <w:rFonts w:asciiTheme="minorHAnsi" w:hAnsiTheme="minorHAnsi" w:cstheme="minorHAnsi"/>
        </w:rPr>
      </w:pPr>
      <w:r w:rsidRPr="00576A43">
        <w:rPr>
          <w:rFonts w:asciiTheme="minorHAnsi" w:hAnsiTheme="minorHAnsi" w:cstheme="minorHAnsi"/>
        </w:rPr>
        <w:lastRenderedPageBreak/>
        <w:t xml:space="preserve">The </w:t>
      </w:r>
      <w:r w:rsidRPr="00576A43">
        <w:rPr>
          <w:rFonts w:asciiTheme="minorHAnsi" w:hAnsiTheme="minorHAnsi" w:cstheme="minorHAnsi"/>
          <w:b/>
          <w:bCs/>
        </w:rPr>
        <w:t>participant sample</w:t>
      </w:r>
      <w:r w:rsidRPr="00576A43">
        <w:rPr>
          <w:rFonts w:asciiTheme="minorHAnsi" w:hAnsiTheme="minorHAnsi" w:cstheme="minorHAnsi"/>
        </w:rPr>
        <w:t xml:space="preserve"> comprises </w:t>
      </w:r>
      <w:r w:rsidR="009F702C" w:rsidRPr="00576A43">
        <w:rPr>
          <w:rFonts w:asciiTheme="minorHAnsi" w:hAnsiTheme="minorHAnsi" w:cstheme="minorHAnsi"/>
        </w:rPr>
        <w:t>2</w:t>
      </w:r>
      <w:r w:rsidR="00847C2E" w:rsidRPr="00576A43">
        <w:rPr>
          <w:rFonts w:asciiTheme="minorHAnsi" w:hAnsiTheme="minorHAnsi" w:cstheme="minorHAnsi"/>
        </w:rPr>
        <w:t>6</w:t>
      </w:r>
      <w:r w:rsidR="009F702C" w:rsidRPr="00576A43">
        <w:rPr>
          <w:rFonts w:asciiTheme="minorHAnsi" w:hAnsiTheme="minorHAnsi" w:cstheme="minorHAnsi"/>
        </w:rPr>
        <w:t xml:space="preserve"> </w:t>
      </w:r>
      <w:r w:rsidRPr="00576A43">
        <w:rPr>
          <w:rFonts w:asciiTheme="minorHAnsi" w:hAnsiTheme="minorHAnsi" w:cstheme="minorHAnsi"/>
        </w:rPr>
        <w:t xml:space="preserve">NHS registered nurses, midwives, and </w:t>
      </w:r>
      <w:r w:rsidR="009F702C" w:rsidRPr="00576A43">
        <w:rPr>
          <w:rFonts w:asciiTheme="minorHAnsi" w:hAnsiTheme="minorHAnsi" w:cstheme="minorHAnsi"/>
        </w:rPr>
        <w:t xml:space="preserve">allied health professionals </w:t>
      </w:r>
      <w:r w:rsidRPr="00576A43">
        <w:rPr>
          <w:rFonts w:asciiTheme="minorHAnsi" w:hAnsiTheme="minorHAnsi" w:cstheme="minorHAnsi"/>
        </w:rPr>
        <w:t xml:space="preserve">with data anonymized to ensure confidentiality and GDPR compliance. </w:t>
      </w:r>
      <w:r w:rsidR="001B1903" w:rsidRPr="00576A43">
        <w:rPr>
          <w:rFonts w:asciiTheme="minorHAnsi" w:hAnsiTheme="minorHAnsi" w:cstheme="minorHAnsi"/>
        </w:rPr>
        <w:t xml:space="preserve">In total 26 participants who self-identified as having experienced a career turning point in the past 12 months were recruited. In our sample, 13 were nurses, 7 were midwives, and 6 were allied health professionals. </w:t>
      </w:r>
      <w:r w:rsidR="001B1903" w:rsidRPr="00576A43">
        <w:rPr>
          <w:rFonts w:asciiTheme="minorHAnsi" w:hAnsiTheme="minorHAnsi" w:cstheme="minorHAnsi"/>
          <w:b/>
          <w:bCs/>
        </w:rPr>
        <w:t>Participants were recruited</w:t>
      </w:r>
      <w:r w:rsidR="001B1903" w:rsidRPr="00576A43">
        <w:rPr>
          <w:rFonts w:asciiTheme="minorHAnsi" w:hAnsiTheme="minorHAnsi" w:cstheme="minorHAnsi"/>
        </w:rPr>
        <w:t xml:space="preserve"> via social media (LinkedIn and Facebook) and via courses in advanced healthcare practice. </w:t>
      </w:r>
      <w:r w:rsidRPr="00576A43">
        <w:rPr>
          <w:rFonts w:asciiTheme="minorHAnsi" w:hAnsiTheme="minorHAnsi" w:cstheme="minorHAnsi"/>
          <w:b/>
          <w:bCs/>
        </w:rPr>
        <w:t>Data collection</w:t>
      </w:r>
      <w:r w:rsidRPr="00576A43">
        <w:rPr>
          <w:rFonts w:asciiTheme="minorHAnsi" w:hAnsiTheme="minorHAnsi" w:cstheme="minorHAnsi"/>
        </w:rPr>
        <w:t xml:space="preserve"> involve</w:t>
      </w:r>
      <w:r w:rsidR="009F702C" w:rsidRPr="00576A43">
        <w:rPr>
          <w:rFonts w:asciiTheme="minorHAnsi" w:hAnsiTheme="minorHAnsi" w:cstheme="minorHAnsi"/>
        </w:rPr>
        <w:t>d</w:t>
      </w:r>
      <w:r w:rsidRPr="00576A43">
        <w:rPr>
          <w:rFonts w:asciiTheme="minorHAnsi" w:hAnsiTheme="minorHAnsi" w:cstheme="minorHAnsi"/>
        </w:rPr>
        <w:t xml:space="preserve"> interviews focusing on participants' career and experiences over the previous 12 months. </w:t>
      </w:r>
      <w:r w:rsidR="00A756EE" w:rsidRPr="00576A43">
        <w:rPr>
          <w:rFonts w:asciiTheme="minorHAnsi" w:hAnsiTheme="minorHAnsi" w:cstheme="minorHAnsi"/>
        </w:rPr>
        <w:t xml:space="preserve"> </w:t>
      </w:r>
      <w:r w:rsidR="00E32D47" w:rsidRPr="00576A43">
        <w:rPr>
          <w:rFonts w:asciiTheme="minorHAnsi" w:hAnsiTheme="minorHAnsi" w:cstheme="minorHAnsi"/>
        </w:rPr>
        <w:t>Interviews of 6</w:t>
      </w:r>
      <w:r w:rsidR="001B1903" w:rsidRPr="00576A43">
        <w:rPr>
          <w:rFonts w:asciiTheme="minorHAnsi" w:hAnsiTheme="minorHAnsi" w:cstheme="minorHAnsi"/>
        </w:rPr>
        <w:t xml:space="preserve">0-120 minutes per participant </w:t>
      </w:r>
      <w:r w:rsidR="00E32D47" w:rsidRPr="00576A43">
        <w:rPr>
          <w:rFonts w:asciiTheme="minorHAnsi" w:hAnsiTheme="minorHAnsi" w:cstheme="minorHAnsi"/>
        </w:rPr>
        <w:t xml:space="preserve">were conducted using the MS Teams platform (n=25) and face-to-face (n=1) over several months during late 2023 and early 2024. </w:t>
      </w:r>
      <w:r w:rsidR="003E529D" w:rsidRPr="00576A43">
        <w:rPr>
          <w:rFonts w:asciiTheme="minorHAnsi" w:hAnsiTheme="minorHAnsi" w:cstheme="minorHAnsi"/>
        </w:rPr>
        <w:t xml:space="preserve"> </w:t>
      </w:r>
      <w:r w:rsidR="001B1903" w:rsidRPr="00576A43">
        <w:rPr>
          <w:rFonts w:asciiTheme="minorHAnsi" w:hAnsiTheme="minorHAnsi" w:cstheme="minorHAnsi"/>
        </w:rPr>
        <w:t>Each interviewee received a £20 Amazon voucher to thank them for their time</w:t>
      </w:r>
      <w:r w:rsidR="00FC6D2B">
        <w:rPr>
          <w:rFonts w:asciiTheme="minorHAnsi" w:hAnsiTheme="minorHAnsi" w:cstheme="minorHAnsi"/>
        </w:rPr>
        <w:t>.</w:t>
      </w:r>
    </w:p>
    <w:p w14:paraId="420A024C" w14:textId="086D8083" w:rsidR="00E32D47" w:rsidRPr="00576A43" w:rsidRDefault="00E32D47" w:rsidP="00BB2FC3">
      <w:pPr>
        <w:spacing w:before="300" w:after="300" w:line="360" w:lineRule="auto"/>
        <w:rPr>
          <w:rFonts w:cstheme="minorHAnsi"/>
          <w:sz w:val="24"/>
          <w:szCs w:val="24"/>
        </w:rPr>
      </w:pPr>
      <w:r w:rsidRPr="00576A43">
        <w:rPr>
          <w:rFonts w:cstheme="minorHAnsi"/>
          <w:sz w:val="24"/>
          <w:szCs w:val="24"/>
        </w:rPr>
        <w:t xml:space="preserve">A </w:t>
      </w:r>
      <w:r w:rsidRPr="00576A43">
        <w:rPr>
          <w:rFonts w:cstheme="minorHAnsi"/>
          <w:b/>
          <w:bCs/>
          <w:sz w:val="24"/>
          <w:szCs w:val="24"/>
        </w:rPr>
        <w:t>systematic thematic analy</w:t>
      </w:r>
      <w:r w:rsidR="00FC6D2B">
        <w:rPr>
          <w:rFonts w:cstheme="minorHAnsi"/>
          <w:b/>
          <w:bCs/>
          <w:sz w:val="24"/>
          <w:szCs w:val="24"/>
        </w:rPr>
        <w:t>tic</w:t>
      </w:r>
      <w:r w:rsidRPr="00576A43">
        <w:rPr>
          <w:rFonts w:cstheme="minorHAnsi"/>
          <w:b/>
          <w:bCs/>
          <w:sz w:val="24"/>
          <w:szCs w:val="24"/>
        </w:rPr>
        <w:t xml:space="preserve"> approach</w:t>
      </w:r>
      <w:r w:rsidRPr="00576A43">
        <w:rPr>
          <w:rFonts w:cstheme="minorHAnsi"/>
          <w:sz w:val="24"/>
          <w:szCs w:val="24"/>
        </w:rPr>
        <w:t xml:space="preserve"> (Braun &amp; Clarke, 2006; 2021; Gioia, 2021; Gioia, et al., 2012) was adopted to identify demands, resources, and state of wellbeing over the career history. After transcription, we uploaded the interview data onto NVivo 12 to allow for coding of the full breadth of the data to take place. Analysis is underway. To date, first level coding (Gioia, et al, 2012) has produced 31 codes - both latent and semantic - with four significant second-level codes tentatively identified through initial abductive analysis (</w:t>
      </w:r>
      <w:r w:rsidRPr="00576A43">
        <w:rPr>
          <w:rFonts w:cstheme="minorHAnsi"/>
          <w:sz w:val="24"/>
          <w:szCs w:val="24"/>
          <w:shd w:val="clear" w:color="auto" w:fill="FFFFFF"/>
        </w:rPr>
        <w:t xml:space="preserve">Timmermans &amp; </w:t>
      </w:r>
      <w:proofErr w:type="spellStart"/>
      <w:r w:rsidRPr="00576A43">
        <w:rPr>
          <w:rFonts w:cstheme="minorHAnsi"/>
          <w:sz w:val="24"/>
          <w:szCs w:val="24"/>
          <w:shd w:val="clear" w:color="auto" w:fill="FFFFFF"/>
        </w:rPr>
        <w:t>Tavory</w:t>
      </w:r>
      <w:proofErr w:type="spellEnd"/>
      <w:r w:rsidRPr="00576A43">
        <w:rPr>
          <w:rFonts w:cstheme="minorHAnsi"/>
          <w:sz w:val="24"/>
          <w:szCs w:val="24"/>
          <w:shd w:val="clear" w:color="auto" w:fill="FFFFFF"/>
        </w:rPr>
        <w:t>, 2022)</w:t>
      </w:r>
      <w:r w:rsidRPr="00576A43">
        <w:rPr>
          <w:rFonts w:cstheme="minorHAnsi"/>
          <w:sz w:val="24"/>
          <w:szCs w:val="24"/>
        </w:rPr>
        <w:t xml:space="preserve">. The definition of what is considered interesting, at this point, remains quite broad, and relates to factors such as </w:t>
      </w:r>
      <w:r w:rsidR="00FC6D2B">
        <w:rPr>
          <w:rFonts w:cstheme="minorHAnsi"/>
          <w:sz w:val="24"/>
          <w:szCs w:val="24"/>
        </w:rPr>
        <w:t xml:space="preserve">high uncertain </w:t>
      </w:r>
      <w:r w:rsidRPr="00576A43">
        <w:rPr>
          <w:rFonts w:cstheme="minorHAnsi"/>
          <w:sz w:val="24"/>
          <w:szCs w:val="24"/>
        </w:rPr>
        <w:t>workload, feeling unsupported, professional ambition, and how work influences home life. This first level of coding illustrates what was described within the interviews and does not refer specifically to how occurrences or feelings transpired.</w:t>
      </w:r>
    </w:p>
    <w:p w14:paraId="61788A94" w14:textId="796B9F1B" w:rsidR="00AF6545" w:rsidRPr="00576A43" w:rsidRDefault="00BB2FC3" w:rsidP="00BB2FC3">
      <w:pPr>
        <w:pStyle w:val="NormalWeb"/>
        <w:shd w:val="clear" w:color="auto" w:fill="FFFFFF"/>
        <w:spacing w:before="300" w:beforeAutospacing="0" w:after="300" w:afterAutospacing="0" w:line="360" w:lineRule="auto"/>
        <w:contextualSpacing/>
        <w:rPr>
          <w:rFonts w:asciiTheme="minorHAnsi" w:hAnsiTheme="minorHAnsi" w:cstheme="minorHAnsi"/>
          <w:b/>
          <w:bCs/>
        </w:rPr>
      </w:pPr>
      <w:r w:rsidRPr="00576A43">
        <w:rPr>
          <w:rFonts w:asciiTheme="minorHAnsi" w:hAnsiTheme="minorHAnsi" w:cstheme="minorHAnsi"/>
          <w:b/>
          <w:bCs/>
        </w:rPr>
        <w:t xml:space="preserve">Findings and </w:t>
      </w:r>
      <w:r w:rsidR="00A756EE" w:rsidRPr="00576A43">
        <w:rPr>
          <w:rFonts w:asciiTheme="minorHAnsi" w:hAnsiTheme="minorHAnsi" w:cstheme="minorHAnsi"/>
          <w:b/>
          <w:bCs/>
        </w:rPr>
        <w:t>Discussion</w:t>
      </w:r>
    </w:p>
    <w:p w14:paraId="5E75CF76" w14:textId="52F41C83" w:rsidR="00AF6545" w:rsidRPr="00576A43" w:rsidRDefault="00AF6545" w:rsidP="00BB2FC3">
      <w:pPr>
        <w:pStyle w:val="NormalWeb"/>
        <w:shd w:val="clear" w:color="auto" w:fill="FFFFFF"/>
        <w:spacing w:before="300" w:beforeAutospacing="0" w:after="300" w:afterAutospacing="0" w:line="360" w:lineRule="auto"/>
        <w:contextualSpacing/>
        <w:rPr>
          <w:rFonts w:asciiTheme="minorHAnsi" w:hAnsiTheme="minorHAnsi" w:cstheme="minorHAnsi"/>
        </w:rPr>
      </w:pPr>
      <w:r w:rsidRPr="00576A43">
        <w:rPr>
          <w:rFonts w:asciiTheme="minorHAnsi" w:hAnsiTheme="minorHAnsi" w:cstheme="minorHAnsi"/>
        </w:rPr>
        <w:t xml:space="preserve">We set out to understand the career turning points of healthcare professionals working in high demand roles in NHS hospital settings. We aimed to identify the sets of demands and resources together with their outcomes of burnout/engagement which led to career turning points. In addition, we expected to establish when these turning points were positive versus negative, whether they were psychological or environmental in nature, and if they seemed to occur randomly or systematically within this population. At this juncture, our analysis is not yet complete. Nevertheless, we have preliminary </w:t>
      </w:r>
      <w:r w:rsidR="00FC6D2B">
        <w:rPr>
          <w:rFonts w:asciiTheme="minorHAnsi" w:hAnsiTheme="minorHAnsi" w:cstheme="minorHAnsi"/>
        </w:rPr>
        <w:t xml:space="preserve">some </w:t>
      </w:r>
      <w:r w:rsidRPr="00576A43">
        <w:rPr>
          <w:rFonts w:asciiTheme="minorHAnsi" w:hAnsiTheme="minorHAnsi" w:cstheme="minorHAnsi"/>
        </w:rPr>
        <w:t>answers to the questions we posed.</w:t>
      </w:r>
    </w:p>
    <w:p w14:paraId="1F873BF3" w14:textId="40DE6569" w:rsidR="00566B81" w:rsidRPr="00576A43" w:rsidRDefault="00D422CA" w:rsidP="00BB2FC3">
      <w:pPr>
        <w:spacing w:before="300" w:after="300" w:line="360" w:lineRule="auto"/>
        <w:rPr>
          <w:rFonts w:cstheme="minorHAnsi"/>
          <w:sz w:val="24"/>
          <w:szCs w:val="24"/>
        </w:rPr>
      </w:pPr>
      <w:r w:rsidRPr="00576A43">
        <w:rPr>
          <w:rFonts w:cstheme="minorHAnsi"/>
          <w:sz w:val="24"/>
          <w:szCs w:val="24"/>
        </w:rPr>
        <w:lastRenderedPageBreak/>
        <w:t>First, a high</w:t>
      </w:r>
      <w:r w:rsidR="00583506">
        <w:rPr>
          <w:rFonts w:cstheme="minorHAnsi"/>
          <w:sz w:val="24"/>
          <w:szCs w:val="24"/>
        </w:rPr>
        <w:t>-</w:t>
      </w:r>
      <w:r w:rsidRPr="00576A43">
        <w:rPr>
          <w:rFonts w:cstheme="minorHAnsi"/>
          <w:sz w:val="24"/>
          <w:szCs w:val="24"/>
        </w:rPr>
        <w:t>demands low</w:t>
      </w:r>
      <w:r w:rsidR="00583506">
        <w:rPr>
          <w:rFonts w:cstheme="minorHAnsi"/>
          <w:sz w:val="24"/>
          <w:szCs w:val="24"/>
        </w:rPr>
        <w:t>-</w:t>
      </w:r>
      <w:r w:rsidRPr="00576A43">
        <w:rPr>
          <w:rFonts w:cstheme="minorHAnsi"/>
          <w:sz w:val="24"/>
          <w:szCs w:val="24"/>
        </w:rPr>
        <w:t>resources environment seemed to characterise the hospital workplaces which employed our participants.</w:t>
      </w:r>
      <w:r w:rsidR="00620A3C" w:rsidRPr="00576A43">
        <w:rPr>
          <w:rFonts w:cstheme="minorHAnsi"/>
          <w:sz w:val="24"/>
          <w:szCs w:val="24"/>
        </w:rPr>
        <w:t xml:space="preserve"> Across our sample, </w:t>
      </w:r>
      <w:r w:rsidR="00FC6D2B">
        <w:rPr>
          <w:rFonts w:cstheme="minorHAnsi"/>
          <w:sz w:val="24"/>
          <w:szCs w:val="24"/>
        </w:rPr>
        <w:t xml:space="preserve">the </w:t>
      </w:r>
      <w:r w:rsidR="00620A3C" w:rsidRPr="00576A43">
        <w:rPr>
          <w:rFonts w:cstheme="minorHAnsi"/>
          <w:sz w:val="24"/>
          <w:szCs w:val="24"/>
        </w:rPr>
        <w:t xml:space="preserve">practice of pooling within nursing and midwifery seemed to cause significant distress. </w:t>
      </w:r>
      <w:r w:rsidR="00BB2FC3" w:rsidRPr="00576A43">
        <w:rPr>
          <w:rFonts w:cstheme="minorHAnsi"/>
          <w:sz w:val="24"/>
          <w:szCs w:val="24"/>
        </w:rPr>
        <w:t>Available r</w:t>
      </w:r>
      <w:r w:rsidR="00DE47A9" w:rsidRPr="00576A43">
        <w:rPr>
          <w:rFonts w:cstheme="minorHAnsi"/>
          <w:sz w:val="24"/>
          <w:szCs w:val="24"/>
        </w:rPr>
        <w:t xml:space="preserve">esources </w:t>
      </w:r>
      <w:r w:rsidR="00687FCE" w:rsidRPr="00576A43">
        <w:rPr>
          <w:rFonts w:cstheme="minorHAnsi"/>
          <w:sz w:val="24"/>
          <w:szCs w:val="24"/>
        </w:rPr>
        <w:t xml:space="preserve">were low-to-non-existent and </w:t>
      </w:r>
      <w:r w:rsidR="00BB2FC3" w:rsidRPr="00576A43">
        <w:rPr>
          <w:rFonts w:cstheme="minorHAnsi"/>
          <w:sz w:val="24"/>
          <w:szCs w:val="24"/>
        </w:rPr>
        <w:t>did</w:t>
      </w:r>
      <w:r w:rsidR="00687FCE" w:rsidRPr="00576A43">
        <w:rPr>
          <w:rFonts w:cstheme="minorHAnsi"/>
          <w:sz w:val="24"/>
          <w:szCs w:val="24"/>
        </w:rPr>
        <w:t xml:space="preserve"> not mitigate</w:t>
      </w:r>
      <w:r w:rsidR="00FC6D2B">
        <w:rPr>
          <w:rFonts w:cstheme="minorHAnsi"/>
          <w:sz w:val="24"/>
          <w:szCs w:val="24"/>
        </w:rPr>
        <w:t xml:space="preserve"> demands</w:t>
      </w:r>
      <w:r w:rsidR="00B22B7F" w:rsidRPr="00576A43">
        <w:rPr>
          <w:rFonts w:cstheme="minorHAnsi"/>
          <w:sz w:val="24"/>
          <w:szCs w:val="24"/>
        </w:rPr>
        <w:t xml:space="preserve">. </w:t>
      </w:r>
      <w:r w:rsidR="00DE47A9" w:rsidRPr="00576A43">
        <w:rPr>
          <w:rFonts w:cstheme="minorHAnsi"/>
          <w:sz w:val="24"/>
          <w:szCs w:val="24"/>
        </w:rPr>
        <w:t xml:space="preserve">Not only are roles inherently lacking in control, but the other major resource – support - is also low to non-existent across levels. A lack of peer support, managerial recognition and on-the-job training seem to exacerbate the high </w:t>
      </w:r>
      <w:r w:rsidR="00FF4C71">
        <w:rPr>
          <w:rFonts w:cstheme="minorHAnsi"/>
          <w:sz w:val="24"/>
          <w:szCs w:val="24"/>
        </w:rPr>
        <w:t xml:space="preserve">workload </w:t>
      </w:r>
      <w:r w:rsidR="00DE47A9" w:rsidRPr="00576A43">
        <w:rPr>
          <w:rFonts w:cstheme="minorHAnsi"/>
          <w:sz w:val="24"/>
          <w:szCs w:val="24"/>
        </w:rPr>
        <w:t>demands</w:t>
      </w:r>
      <w:r w:rsidR="00B25B3E" w:rsidRPr="00576A43">
        <w:rPr>
          <w:rFonts w:cstheme="minorHAnsi"/>
          <w:sz w:val="24"/>
          <w:szCs w:val="24"/>
        </w:rPr>
        <w:t xml:space="preserve">. </w:t>
      </w:r>
      <w:r w:rsidR="006401C1" w:rsidRPr="00576A43">
        <w:rPr>
          <w:rFonts w:cstheme="minorHAnsi"/>
          <w:sz w:val="24"/>
          <w:szCs w:val="24"/>
        </w:rPr>
        <w:t xml:space="preserve">Our healthcare professionals, all experienced, stated their frustrations at not being able to progress if they did not aspire to a managerial role and/or if they worked part-time. </w:t>
      </w:r>
      <w:r w:rsidR="004037FF" w:rsidRPr="00576A43">
        <w:rPr>
          <w:rFonts w:cstheme="minorHAnsi"/>
          <w:sz w:val="24"/>
          <w:szCs w:val="24"/>
        </w:rPr>
        <w:t xml:space="preserve">Lastly, the extreme physical and/or emotional fatigue experienced by many of our participants at home suggests they </w:t>
      </w:r>
      <w:r w:rsidR="00FC6D2B">
        <w:rPr>
          <w:rFonts w:cstheme="minorHAnsi"/>
          <w:sz w:val="24"/>
          <w:szCs w:val="24"/>
        </w:rPr>
        <w:t>were</w:t>
      </w:r>
      <w:r w:rsidR="004037FF" w:rsidRPr="00576A43">
        <w:rPr>
          <w:rFonts w:cstheme="minorHAnsi"/>
          <w:sz w:val="24"/>
          <w:szCs w:val="24"/>
        </w:rPr>
        <w:t xml:space="preserve"> indeed experiencing burnout</w:t>
      </w:r>
      <w:r w:rsidR="00566B81" w:rsidRPr="00576A43">
        <w:rPr>
          <w:rFonts w:cstheme="minorHAnsi"/>
          <w:sz w:val="24"/>
          <w:szCs w:val="24"/>
        </w:rPr>
        <w:t>.</w:t>
      </w:r>
    </w:p>
    <w:p w14:paraId="39B48C44" w14:textId="3C2A9268" w:rsidR="00AF6545" w:rsidRPr="00576A43" w:rsidRDefault="00BB2FC3" w:rsidP="00BB2FC3">
      <w:pPr>
        <w:spacing w:before="300" w:after="300" w:line="360" w:lineRule="auto"/>
        <w:rPr>
          <w:rFonts w:cstheme="minorHAnsi"/>
          <w:sz w:val="24"/>
          <w:szCs w:val="24"/>
        </w:rPr>
      </w:pPr>
      <w:r w:rsidRPr="00576A43">
        <w:rPr>
          <w:rFonts w:cstheme="minorHAnsi"/>
          <w:sz w:val="24"/>
          <w:szCs w:val="24"/>
        </w:rPr>
        <w:t xml:space="preserve">In sum, widespread high demands together with widespread low resources have resulted in experienced clinical staff reaching career turning points for negative (when already on the path to burnout), largely externally driven (environmental), and non-random (systematic) </w:t>
      </w:r>
      <w:r w:rsidR="00FC6D2B">
        <w:rPr>
          <w:rFonts w:cstheme="minorHAnsi"/>
          <w:sz w:val="24"/>
          <w:szCs w:val="24"/>
        </w:rPr>
        <w:t xml:space="preserve">organisational </w:t>
      </w:r>
      <w:r w:rsidRPr="00576A43">
        <w:rPr>
          <w:rFonts w:cstheme="minorHAnsi"/>
          <w:sz w:val="24"/>
          <w:szCs w:val="24"/>
        </w:rPr>
        <w:t>reasons.</w:t>
      </w:r>
    </w:p>
    <w:p w14:paraId="66ECAB1A" w14:textId="2EE3ECF5" w:rsidR="005E28FC" w:rsidRPr="00576A43" w:rsidRDefault="00BB2FC3" w:rsidP="00BB2FC3">
      <w:pPr>
        <w:pStyle w:val="NormalWeb"/>
        <w:shd w:val="clear" w:color="auto" w:fill="FFFFFF"/>
        <w:spacing w:before="300" w:beforeAutospacing="0" w:after="300" w:afterAutospacing="0" w:line="360" w:lineRule="auto"/>
        <w:contextualSpacing/>
        <w:rPr>
          <w:rFonts w:asciiTheme="minorHAnsi" w:hAnsiTheme="minorHAnsi" w:cstheme="minorHAnsi"/>
          <w:b/>
          <w:bCs/>
        </w:rPr>
      </w:pPr>
      <w:r w:rsidRPr="00576A43">
        <w:rPr>
          <w:rFonts w:asciiTheme="minorHAnsi" w:hAnsiTheme="minorHAnsi" w:cstheme="minorHAnsi"/>
          <w:b/>
          <w:bCs/>
        </w:rPr>
        <w:t>Conclusions</w:t>
      </w:r>
      <w:r w:rsidR="00B22B7F" w:rsidRPr="00576A43">
        <w:rPr>
          <w:rFonts w:asciiTheme="minorHAnsi" w:hAnsiTheme="minorHAnsi" w:cstheme="minorHAnsi"/>
          <w:b/>
          <w:bCs/>
        </w:rPr>
        <w:t xml:space="preserve"> and Recommendations</w:t>
      </w:r>
    </w:p>
    <w:p w14:paraId="1DC8CEB7" w14:textId="124B03C9" w:rsidR="00A756EE" w:rsidRPr="00576A43" w:rsidRDefault="0071442C" w:rsidP="00BB2FC3">
      <w:pPr>
        <w:pStyle w:val="NormalWeb"/>
        <w:shd w:val="clear" w:color="auto" w:fill="FFFFFF"/>
        <w:spacing w:before="300" w:beforeAutospacing="0" w:after="300" w:afterAutospacing="0" w:line="360" w:lineRule="auto"/>
        <w:contextualSpacing/>
        <w:rPr>
          <w:rFonts w:asciiTheme="minorHAnsi" w:hAnsiTheme="minorHAnsi" w:cstheme="minorHAnsi"/>
        </w:rPr>
      </w:pPr>
      <w:r w:rsidRPr="00576A43">
        <w:rPr>
          <w:rFonts w:asciiTheme="minorHAnsi" w:hAnsiTheme="minorHAnsi" w:cstheme="minorHAnsi"/>
        </w:rPr>
        <w:t xml:space="preserve">By comparing the career strategies of individuals whose wellbeing has been transformed through turning points with existing approaches to wellbeing at work, this study contributes to the sociological turning point hypothesis, Job Demand-Resources theory, and career sustainability. </w:t>
      </w:r>
      <w:r w:rsidR="007B068E" w:rsidRPr="00576A43">
        <w:rPr>
          <w:rFonts w:asciiTheme="minorHAnsi" w:hAnsiTheme="minorHAnsi" w:cstheme="minorHAnsi"/>
        </w:rPr>
        <w:t>Recommendations for clinical managers include</w:t>
      </w:r>
      <w:r w:rsidR="00F425B8" w:rsidRPr="00576A43">
        <w:rPr>
          <w:rFonts w:asciiTheme="minorHAnsi" w:hAnsiTheme="minorHAnsi" w:cstheme="minorHAnsi"/>
        </w:rPr>
        <w:t xml:space="preserve"> </w:t>
      </w:r>
      <w:r w:rsidR="00652CFB" w:rsidRPr="00576A43">
        <w:rPr>
          <w:rFonts w:asciiTheme="minorHAnsi" w:hAnsiTheme="minorHAnsi" w:cstheme="minorHAnsi"/>
        </w:rPr>
        <w:t>learn</w:t>
      </w:r>
      <w:r w:rsidR="000C3B45" w:rsidRPr="00576A43">
        <w:rPr>
          <w:rFonts w:asciiTheme="minorHAnsi" w:hAnsiTheme="minorHAnsi" w:cstheme="minorHAnsi"/>
        </w:rPr>
        <w:t>ing</w:t>
      </w:r>
      <w:r w:rsidR="00652CFB" w:rsidRPr="00576A43">
        <w:rPr>
          <w:rFonts w:asciiTheme="minorHAnsi" w:hAnsiTheme="minorHAnsi" w:cstheme="minorHAnsi"/>
        </w:rPr>
        <w:t xml:space="preserve"> </w:t>
      </w:r>
      <w:r w:rsidR="006F3923" w:rsidRPr="00576A43">
        <w:rPr>
          <w:rFonts w:asciiTheme="minorHAnsi" w:hAnsiTheme="minorHAnsi" w:cstheme="minorHAnsi"/>
        </w:rPr>
        <w:t>and practic</w:t>
      </w:r>
      <w:r w:rsidR="000C3B45" w:rsidRPr="00576A43">
        <w:rPr>
          <w:rFonts w:asciiTheme="minorHAnsi" w:hAnsiTheme="minorHAnsi" w:cstheme="minorHAnsi"/>
        </w:rPr>
        <w:t>ing</w:t>
      </w:r>
      <w:r w:rsidR="006F3923" w:rsidRPr="00576A43">
        <w:rPr>
          <w:rFonts w:asciiTheme="minorHAnsi" w:hAnsiTheme="minorHAnsi" w:cstheme="minorHAnsi"/>
        </w:rPr>
        <w:t xml:space="preserve"> </w:t>
      </w:r>
      <w:r w:rsidR="00652CFB" w:rsidRPr="00576A43">
        <w:rPr>
          <w:rFonts w:asciiTheme="minorHAnsi" w:hAnsiTheme="minorHAnsi" w:cstheme="minorHAnsi"/>
        </w:rPr>
        <w:t>positive feedback</w:t>
      </w:r>
      <w:r w:rsidR="006F3923" w:rsidRPr="00576A43">
        <w:rPr>
          <w:rFonts w:asciiTheme="minorHAnsi" w:hAnsiTheme="minorHAnsi" w:cstheme="minorHAnsi"/>
        </w:rPr>
        <w:t xml:space="preserve">. Our </w:t>
      </w:r>
      <w:r w:rsidR="00FC6D2B">
        <w:rPr>
          <w:rFonts w:asciiTheme="minorHAnsi" w:hAnsiTheme="minorHAnsi" w:cstheme="minorHAnsi"/>
        </w:rPr>
        <w:t>findings</w:t>
      </w:r>
      <w:r w:rsidRPr="00576A43">
        <w:rPr>
          <w:rFonts w:asciiTheme="minorHAnsi" w:hAnsiTheme="minorHAnsi" w:cstheme="minorHAnsi"/>
        </w:rPr>
        <w:t xml:space="preserve"> </w:t>
      </w:r>
      <w:r w:rsidR="00A404F5" w:rsidRPr="00576A43">
        <w:rPr>
          <w:rFonts w:asciiTheme="minorHAnsi" w:hAnsiTheme="minorHAnsi" w:cstheme="minorHAnsi"/>
        </w:rPr>
        <w:t xml:space="preserve">also </w:t>
      </w:r>
      <w:r w:rsidRPr="00576A43">
        <w:rPr>
          <w:rFonts w:asciiTheme="minorHAnsi" w:hAnsiTheme="minorHAnsi" w:cstheme="minorHAnsi"/>
        </w:rPr>
        <w:t>inform healthcare policy discussions by provid</w:t>
      </w:r>
      <w:r w:rsidR="00A57ED4" w:rsidRPr="00576A43">
        <w:rPr>
          <w:rFonts w:asciiTheme="minorHAnsi" w:hAnsiTheme="minorHAnsi" w:cstheme="minorHAnsi"/>
        </w:rPr>
        <w:t>ing</w:t>
      </w:r>
      <w:r w:rsidRPr="00576A43">
        <w:rPr>
          <w:rFonts w:asciiTheme="minorHAnsi" w:hAnsiTheme="minorHAnsi" w:cstheme="minorHAnsi"/>
        </w:rPr>
        <w:t xml:space="preserve"> recommendations</w:t>
      </w:r>
      <w:r w:rsidR="00A57ED4" w:rsidRPr="00576A43">
        <w:rPr>
          <w:rFonts w:asciiTheme="minorHAnsi" w:hAnsiTheme="minorHAnsi" w:cstheme="minorHAnsi"/>
        </w:rPr>
        <w:t xml:space="preserve"> for HRM practitioners </w:t>
      </w:r>
      <w:r w:rsidRPr="00576A43">
        <w:rPr>
          <w:rFonts w:asciiTheme="minorHAnsi" w:hAnsiTheme="minorHAnsi" w:cstheme="minorHAnsi"/>
        </w:rPr>
        <w:t>within hospital settings</w:t>
      </w:r>
      <w:r w:rsidR="00F425B8" w:rsidRPr="00576A43">
        <w:rPr>
          <w:rFonts w:asciiTheme="minorHAnsi" w:hAnsiTheme="minorHAnsi" w:cstheme="minorHAnsi"/>
        </w:rPr>
        <w:t xml:space="preserve"> includ</w:t>
      </w:r>
      <w:r w:rsidR="00846FA7" w:rsidRPr="00576A43">
        <w:rPr>
          <w:rFonts w:asciiTheme="minorHAnsi" w:hAnsiTheme="minorHAnsi" w:cstheme="minorHAnsi"/>
        </w:rPr>
        <w:t>ing</w:t>
      </w:r>
      <w:r w:rsidR="00F425B8" w:rsidRPr="00576A43">
        <w:rPr>
          <w:rFonts w:asciiTheme="minorHAnsi" w:hAnsiTheme="minorHAnsi" w:cstheme="minorHAnsi"/>
        </w:rPr>
        <w:t xml:space="preserve"> </w:t>
      </w:r>
      <w:r w:rsidR="00E77601" w:rsidRPr="00576A43">
        <w:rPr>
          <w:rFonts w:asciiTheme="minorHAnsi" w:hAnsiTheme="minorHAnsi" w:cstheme="minorHAnsi"/>
        </w:rPr>
        <w:t>manag</w:t>
      </w:r>
      <w:r w:rsidR="00846FA7" w:rsidRPr="00576A43">
        <w:rPr>
          <w:rFonts w:asciiTheme="minorHAnsi" w:hAnsiTheme="minorHAnsi" w:cstheme="minorHAnsi"/>
        </w:rPr>
        <w:t>ing</w:t>
      </w:r>
      <w:r w:rsidR="00E77601" w:rsidRPr="00576A43">
        <w:rPr>
          <w:rFonts w:asciiTheme="minorHAnsi" w:hAnsiTheme="minorHAnsi" w:cstheme="minorHAnsi"/>
        </w:rPr>
        <w:t xml:space="preserve"> pooling arrangements</w:t>
      </w:r>
      <w:r w:rsidR="00F425B8" w:rsidRPr="00576A43">
        <w:rPr>
          <w:rFonts w:asciiTheme="minorHAnsi" w:hAnsiTheme="minorHAnsi" w:cstheme="minorHAnsi"/>
        </w:rPr>
        <w:t xml:space="preserve"> and</w:t>
      </w:r>
      <w:r w:rsidR="00E77601" w:rsidRPr="00576A43">
        <w:rPr>
          <w:rFonts w:asciiTheme="minorHAnsi" w:hAnsiTheme="minorHAnsi" w:cstheme="minorHAnsi"/>
        </w:rPr>
        <w:t xml:space="preserve"> arranging for on-the-job pooling training</w:t>
      </w:r>
      <w:r w:rsidR="00F425B8" w:rsidRPr="00576A43">
        <w:rPr>
          <w:rFonts w:asciiTheme="minorHAnsi" w:hAnsiTheme="minorHAnsi" w:cstheme="minorHAnsi"/>
        </w:rPr>
        <w:t>.</w:t>
      </w:r>
      <w:r w:rsidR="00E77601" w:rsidRPr="00576A43">
        <w:rPr>
          <w:rFonts w:asciiTheme="minorHAnsi" w:hAnsiTheme="minorHAnsi" w:cstheme="minorHAnsi"/>
        </w:rPr>
        <w:t xml:space="preserve"> </w:t>
      </w:r>
      <w:r w:rsidR="00A404F5" w:rsidRPr="00576A43">
        <w:rPr>
          <w:rFonts w:asciiTheme="minorHAnsi" w:hAnsiTheme="minorHAnsi" w:cstheme="minorHAnsi"/>
        </w:rPr>
        <w:t xml:space="preserve"> Lastly </w:t>
      </w:r>
      <w:r w:rsidR="00FC6D2B">
        <w:rPr>
          <w:rFonts w:asciiTheme="minorHAnsi" w:hAnsiTheme="minorHAnsi" w:cstheme="minorHAnsi"/>
        </w:rPr>
        <w:t>our research</w:t>
      </w:r>
      <w:r w:rsidR="00A404F5" w:rsidRPr="00576A43">
        <w:rPr>
          <w:rFonts w:asciiTheme="minorHAnsi" w:hAnsiTheme="minorHAnsi" w:cstheme="minorHAnsi"/>
        </w:rPr>
        <w:t xml:space="preserve"> contributes more widely to our understanding of how to manage people in the post-pandemic era</w:t>
      </w:r>
      <w:r w:rsidR="00960A96" w:rsidRPr="00576A43">
        <w:rPr>
          <w:rFonts w:asciiTheme="minorHAnsi" w:hAnsiTheme="minorHAnsi" w:cstheme="minorHAnsi"/>
        </w:rPr>
        <w:t xml:space="preserve"> especially the requirement to focus on </w:t>
      </w:r>
      <w:r w:rsidR="00CF0CEE" w:rsidRPr="00576A43">
        <w:rPr>
          <w:rFonts w:asciiTheme="minorHAnsi" w:hAnsiTheme="minorHAnsi" w:cstheme="minorHAnsi"/>
        </w:rPr>
        <w:t xml:space="preserve">growth, development, and progression opportunities in the face of increasing work demands. </w:t>
      </w:r>
      <w:r w:rsidR="00A404F5" w:rsidRPr="00576A43">
        <w:rPr>
          <w:rFonts w:asciiTheme="minorHAnsi" w:hAnsiTheme="minorHAnsi" w:cstheme="minorHAnsi"/>
        </w:rPr>
        <w:t xml:space="preserve"> </w:t>
      </w:r>
    </w:p>
    <w:p w14:paraId="65C33A7C" w14:textId="77777777" w:rsidR="00566B81" w:rsidRPr="00576A43" w:rsidRDefault="00566B81">
      <w:pPr>
        <w:rPr>
          <w:rFonts w:eastAsia="Times New Roman" w:cstheme="minorHAnsi"/>
          <w:b/>
          <w:bCs/>
          <w:sz w:val="24"/>
          <w:szCs w:val="24"/>
          <w:lang w:eastAsia="en-GB"/>
        </w:rPr>
      </w:pPr>
      <w:r w:rsidRPr="00576A43">
        <w:rPr>
          <w:rFonts w:cstheme="minorHAnsi"/>
          <w:b/>
          <w:bCs/>
          <w:sz w:val="24"/>
          <w:szCs w:val="24"/>
        </w:rPr>
        <w:br w:type="page"/>
      </w:r>
    </w:p>
    <w:p w14:paraId="5444E127" w14:textId="22139EE3" w:rsidR="00A756EE" w:rsidRPr="00576A43" w:rsidRDefault="00A756EE" w:rsidP="00CD2A61">
      <w:pPr>
        <w:pStyle w:val="NormalWeb"/>
        <w:shd w:val="clear" w:color="auto" w:fill="FFFFFF"/>
        <w:spacing w:before="300" w:beforeAutospacing="0" w:after="300" w:afterAutospacing="0"/>
        <w:rPr>
          <w:rFonts w:asciiTheme="minorHAnsi" w:hAnsiTheme="minorHAnsi" w:cstheme="minorHAnsi"/>
          <w:b/>
          <w:bCs/>
        </w:rPr>
      </w:pPr>
      <w:r w:rsidRPr="00576A43">
        <w:rPr>
          <w:rFonts w:asciiTheme="minorHAnsi" w:hAnsiTheme="minorHAnsi" w:cstheme="minorHAnsi"/>
          <w:b/>
          <w:bCs/>
        </w:rPr>
        <w:lastRenderedPageBreak/>
        <w:t>REFERENCES</w:t>
      </w:r>
    </w:p>
    <w:p w14:paraId="19045A0B" w14:textId="56FF1450" w:rsidR="00D24ABD" w:rsidRPr="00576A43" w:rsidRDefault="00D24ABD" w:rsidP="00FF43B3">
      <w:pPr>
        <w:spacing w:line="240" w:lineRule="auto"/>
        <w:ind w:hanging="720"/>
        <w:rPr>
          <w:rFonts w:cstheme="minorHAnsi"/>
          <w:sz w:val="24"/>
          <w:szCs w:val="24"/>
        </w:rPr>
      </w:pPr>
      <w:r w:rsidRPr="00576A43">
        <w:rPr>
          <w:rFonts w:cstheme="minorHAnsi"/>
          <w:sz w:val="24"/>
          <w:szCs w:val="24"/>
        </w:rPr>
        <w:t xml:space="preserve">Bakker, A. B., &amp; Costa, P. (2014). Chronic job burnout and daily functioning: A theoretical analysis. </w:t>
      </w:r>
      <w:r w:rsidRPr="00576A43">
        <w:rPr>
          <w:rFonts w:cstheme="minorHAnsi"/>
          <w:i/>
          <w:iCs/>
          <w:sz w:val="24"/>
          <w:szCs w:val="24"/>
        </w:rPr>
        <w:t>Burnout Research</w:t>
      </w:r>
      <w:r w:rsidRPr="00576A43">
        <w:rPr>
          <w:rFonts w:cstheme="minorHAnsi"/>
          <w:sz w:val="24"/>
          <w:szCs w:val="24"/>
        </w:rPr>
        <w:t>, 1, 112–119</w:t>
      </w:r>
    </w:p>
    <w:p w14:paraId="192C27B9" w14:textId="1B8D5BB8" w:rsidR="005E28FC" w:rsidRPr="00576A43" w:rsidRDefault="005E28FC" w:rsidP="00FF43B3">
      <w:pPr>
        <w:spacing w:line="240" w:lineRule="auto"/>
        <w:ind w:hanging="720"/>
        <w:rPr>
          <w:rFonts w:cstheme="minorHAnsi"/>
          <w:sz w:val="24"/>
          <w:szCs w:val="24"/>
        </w:rPr>
      </w:pPr>
      <w:r w:rsidRPr="00576A43">
        <w:rPr>
          <w:rFonts w:cstheme="minorHAnsi"/>
          <w:sz w:val="24"/>
          <w:szCs w:val="24"/>
        </w:rPr>
        <w:t>Bakker, A.B., &amp; Demerouti, E. (2007). The job demands-resources model: State of the art. </w:t>
      </w:r>
      <w:r w:rsidRPr="00576A43">
        <w:rPr>
          <w:rFonts w:cstheme="minorHAnsi"/>
          <w:i/>
          <w:iCs/>
          <w:sz w:val="24"/>
          <w:szCs w:val="24"/>
        </w:rPr>
        <w:t>Journal of Managerial Psychology.</w:t>
      </w:r>
      <w:r w:rsidRPr="00576A43">
        <w:rPr>
          <w:rFonts w:cstheme="minorHAnsi"/>
          <w:sz w:val="24"/>
          <w:szCs w:val="24"/>
        </w:rPr>
        <w:t xml:space="preserve"> 22, 309–328. </w:t>
      </w:r>
    </w:p>
    <w:p w14:paraId="3EED5589" w14:textId="77777777" w:rsidR="00A7523F" w:rsidRPr="00576A43" w:rsidRDefault="005E28FC" w:rsidP="00A7523F">
      <w:pPr>
        <w:spacing w:line="240" w:lineRule="auto"/>
        <w:ind w:hanging="720"/>
        <w:rPr>
          <w:rFonts w:cstheme="minorHAnsi"/>
          <w:sz w:val="24"/>
          <w:szCs w:val="24"/>
        </w:rPr>
      </w:pPr>
      <w:r w:rsidRPr="00576A43">
        <w:rPr>
          <w:rFonts w:cstheme="minorHAnsi"/>
          <w:sz w:val="24"/>
          <w:szCs w:val="24"/>
        </w:rPr>
        <w:t>Bakker, A.B., &amp; Demerouti, E. (2017). Job demands–resources theory: taking stock and looking forward. </w:t>
      </w:r>
      <w:r w:rsidRPr="00576A43">
        <w:rPr>
          <w:rFonts w:cstheme="minorHAnsi"/>
          <w:i/>
          <w:iCs/>
          <w:sz w:val="24"/>
          <w:szCs w:val="24"/>
        </w:rPr>
        <w:t>Journal of Occupational Health Psychology,</w:t>
      </w:r>
      <w:r w:rsidRPr="00576A43">
        <w:rPr>
          <w:rFonts w:cstheme="minorHAnsi"/>
          <w:sz w:val="24"/>
          <w:szCs w:val="24"/>
        </w:rPr>
        <w:t xml:space="preserve"> 22, 273–285. </w:t>
      </w:r>
    </w:p>
    <w:p w14:paraId="44DF293C" w14:textId="77777777" w:rsidR="008E72D0" w:rsidRPr="00576A43" w:rsidRDefault="00A7523F" w:rsidP="008E72D0">
      <w:pPr>
        <w:spacing w:line="240" w:lineRule="auto"/>
        <w:ind w:hanging="720"/>
        <w:rPr>
          <w:rFonts w:cstheme="minorHAnsi"/>
          <w:sz w:val="24"/>
          <w:szCs w:val="24"/>
          <w:shd w:val="clear" w:color="auto" w:fill="FFFFFF"/>
        </w:rPr>
      </w:pPr>
      <w:r w:rsidRPr="00576A43">
        <w:rPr>
          <w:rFonts w:cstheme="minorHAnsi"/>
          <w:sz w:val="24"/>
          <w:szCs w:val="24"/>
          <w:shd w:val="clear" w:color="auto" w:fill="FFFFFF"/>
        </w:rPr>
        <w:t xml:space="preserve">Bakker, A. B., Demerouti, E., &amp; </w:t>
      </w:r>
      <w:proofErr w:type="spellStart"/>
      <w:r w:rsidRPr="00576A43">
        <w:rPr>
          <w:rFonts w:cstheme="minorHAnsi"/>
          <w:sz w:val="24"/>
          <w:szCs w:val="24"/>
          <w:shd w:val="clear" w:color="auto" w:fill="FFFFFF"/>
        </w:rPr>
        <w:t>Euwema</w:t>
      </w:r>
      <w:proofErr w:type="spellEnd"/>
      <w:r w:rsidRPr="00576A43">
        <w:rPr>
          <w:rFonts w:cstheme="minorHAnsi"/>
          <w:sz w:val="24"/>
          <w:szCs w:val="24"/>
          <w:shd w:val="clear" w:color="auto" w:fill="FFFFFF"/>
        </w:rPr>
        <w:t>, M. C. (2005). Job Resources Buffer the Impact of Job Demands on Burnout. </w:t>
      </w:r>
      <w:r w:rsidRPr="00576A43">
        <w:rPr>
          <w:rStyle w:val="Emphasis"/>
          <w:rFonts w:cstheme="minorHAnsi"/>
          <w:sz w:val="24"/>
          <w:szCs w:val="24"/>
          <w:shd w:val="clear" w:color="auto" w:fill="FFFFFF"/>
        </w:rPr>
        <w:t>Journal of Occupational Health Psychology, 10</w:t>
      </w:r>
      <w:r w:rsidRPr="00576A43">
        <w:rPr>
          <w:rFonts w:cstheme="minorHAnsi"/>
          <w:sz w:val="24"/>
          <w:szCs w:val="24"/>
          <w:shd w:val="clear" w:color="auto" w:fill="FFFFFF"/>
        </w:rPr>
        <w:t>(2), 170–180. </w:t>
      </w:r>
    </w:p>
    <w:p w14:paraId="09EC0850" w14:textId="3CC07700" w:rsidR="008E72D0" w:rsidRPr="00576A43" w:rsidRDefault="008E72D0" w:rsidP="008E72D0">
      <w:pPr>
        <w:spacing w:line="240" w:lineRule="auto"/>
        <w:ind w:hanging="720"/>
        <w:rPr>
          <w:rFonts w:cstheme="minorHAnsi"/>
          <w:sz w:val="24"/>
          <w:szCs w:val="24"/>
          <w:shd w:val="clear" w:color="auto" w:fill="FFFFFF"/>
        </w:rPr>
      </w:pPr>
      <w:r w:rsidRPr="00576A43">
        <w:rPr>
          <w:rFonts w:cstheme="minorHAnsi"/>
          <w:sz w:val="24"/>
          <w:szCs w:val="24"/>
          <w:shd w:val="clear" w:color="auto" w:fill="FFFFFF"/>
        </w:rPr>
        <w:t>Bakker, A. B., Demerouti, E., &amp; Sanz-Vergel, A. (2023</w:t>
      </w:r>
      <w:r w:rsidR="00D2561B" w:rsidRPr="00576A43">
        <w:rPr>
          <w:rFonts w:cstheme="minorHAnsi"/>
          <w:sz w:val="24"/>
          <w:szCs w:val="24"/>
          <w:shd w:val="clear" w:color="auto" w:fill="FFFFFF"/>
        </w:rPr>
        <w:t>).</w:t>
      </w:r>
      <w:r w:rsidRPr="00576A43">
        <w:rPr>
          <w:rFonts w:cstheme="minorHAnsi"/>
          <w:sz w:val="24"/>
          <w:szCs w:val="24"/>
          <w:shd w:val="clear" w:color="auto" w:fill="FFFFFF"/>
        </w:rPr>
        <w:t xml:space="preserve"> Job demands–resources theory: Ten years later. </w:t>
      </w:r>
      <w:r w:rsidRPr="00576A43">
        <w:rPr>
          <w:rFonts w:cstheme="minorHAnsi"/>
          <w:i/>
          <w:iCs/>
          <w:sz w:val="24"/>
          <w:szCs w:val="24"/>
          <w:shd w:val="clear" w:color="auto" w:fill="FFFFFF"/>
        </w:rPr>
        <w:t xml:space="preserve">Annual Review of Organizational Psychology and Organizational </w:t>
      </w:r>
      <w:proofErr w:type="spellStart"/>
      <w:r w:rsidRPr="00576A43">
        <w:rPr>
          <w:rFonts w:cstheme="minorHAnsi"/>
          <w:i/>
          <w:iCs/>
          <w:sz w:val="24"/>
          <w:szCs w:val="24"/>
          <w:shd w:val="clear" w:color="auto" w:fill="FFFFFF"/>
        </w:rPr>
        <w:t>Behavior</w:t>
      </w:r>
      <w:proofErr w:type="spellEnd"/>
      <w:r w:rsidRPr="00576A43">
        <w:rPr>
          <w:rFonts w:cstheme="minorHAnsi"/>
          <w:sz w:val="24"/>
          <w:szCs w:val="24"/>
          <w:shd w:val="clear" w:color="auto" w:fill="FFFFFF"/>
        </w:rPr>
        <w:t>, </w:t>
      </w:r>
      <w:r w:rsidRPr="00576A43">
        <w:rPr>
          <w:rFonts w:cstheme="minorHAnsi"/>
          <w:i/>
          <w:iCs/>
          <w:sz w:val="24"/>
          <w:szCs w:val="24"/>
          <w:shd w:val="clear" w:color="auto" w:fill="FFFFFF"/>
        </w:rPr>
        <w:t>10</w:t>
      </w:r>
      <w:r w:rsidRPr="00576A43">
        <w:rPr>
          <w:rFonts w:cstheme="minorHAnsi"/>
          <w:sz w:val="24"/>
          <w:szCs w:val="24"/>
          <w:shd w:val="clear" w:color="auto" w:fill="FFFFFF"/>
        </w:rPr>
        <w:t>, 25-53.</w:t>
      </w:r>
      <w:r w:rsidRPr="00576A43">
        <w:rPr>
          <w:rFonts w:cstheme="minorHAnsi"/>
          <w:sz w:val="24"/>
          <w:szCs w:val="24"/>
        </w:rPr>
        <w:t xml:space="preserve"> </w:t>
      </w:r>
    </w:p>
    <w:p w14:paraId="33A7365F" w14:textId="77777777" w:rsidR="00AD168C" w:rsidRPr="00576A43" w:rsidRDefault="004B5F12" w:rsidP="00AD168C">
      <w:pPr>
        <w:spacing w:line="240" w:lineRule="auto"/>
        <w:ind w:hanging="720"/>
        <w:rPr>
          <w:rFonts w:cstheme="minorHAnsi"/>
          <w:sz w:val="24"/>
          <w:szCs w:val="24"/>
          <w:shd w:val="clear" w:color="auto" w:fill="FFFFFF"/>
        </w:rPr>
      </w:pPr>
      <w:r w:rsidRPr="00576A43">
        <w:rPr>
          <w:rFonts w:cstheme="minorHAnsi"/>
          <w:sz w:val="24"/>
          <w:szCs w:val="24"/>
          <w:shd w:val="clear" w:color="auto" w:fill="FFFFFF"/>
        </w:rPr>
        <w:t xml:space="preserve">Bakker, A. B., &amp; Wang, Y. (2020). Self-undermining </w:t>
      </w:r>
      <w:proofErr w:type="spellStart"/>
      <w:r w:rsidRPr="00576A43">
        <w:rPr>
          <w:rFonts w:cstheme="minorHAnsi"/>
          <w:sz w:val="24"/>
          <w:szCs w:val="24"/>
          <w:shd w:val="clear" w:color="auto" w:fill="FFFFFF"/>
        </w:rPr>
        <w:t>behavior</w:t>
      </w:r>
      <w:proofErr w:type="spellEnd"/>
      <w:r w:rsidRPr="00576A43">
        <w:rPr>
          <w:rFonts w:cstheme="minorHAnsi"/>
          <w:sz w:val="24"/>
          <w:szCs w:val="24"/>
          <w:shd w:val="clear" w:color="auto" w:fill="FFFFFF"/>
        </w:rPr>
        <w:t xml:space="preserve"> at work: Evidence of construct and predictive validity. </w:t>
      </w:r>
      <w:r w:rsidRPr="00576A43">
        <w:rPr>
          <w:rFonts w:cstheme="minorHAnsi"/>
          <w:i/>
          <w:iCs/>
          <w:sz w:val="24"/>
          <w:szCs w:val="24"/>
          <w:shd w:val="clear" w:color="auto" w:fill="FFFFFF"/>
        </w:rPr>
        <w:t>International Journal of Stress Management</w:t>
      </w:r>
      <w:r w:rsidRPr="00576A43">
        <w:rPr>
          <w:rFonts w:cstheme="minorHAnsi"/>
          <w:sz w:val="24"/>
          <w:szCs w:val="24"/>
          <w:shd w:val="clear" w:color="auto" w:fill="FFFFFF"/>
        </w:rPr>
        <w:t>, 27(3), 241-251.</w:t>
      </w:r>
    </w:p>
    <w:p w14:paraId="1E0C775A" w14:textId="4D245170" w:rsidR="004B5F12" w:rsidRPr="00576A43" w:rsidRDefault="00AD168C" w:rsidP="00AD168C">
      <w:pPr>
        <w:spacing w:line="240" w:lineRule="auto"/>
        <w:ind w:hanging="720"/>
        <w:rPr>
          <w:rFonts w:cstheme="minorHAnsi"/>
          <w:sz w:val="24"/>
          <w:szCs w:val="24"/>
          <w:shd w:val="clear" w:color="auto" w:fill="FFFFFF"/>
        </w:rPr>
      </w:pPr>
      <w:r w:rsidRPr="00576A43">
        <w:rPr>
          <w:rFonts w:cstheme="minorHAnsi"/>
          <w:sz w:val="24"/>
          <w:szCs w:val="24"/>
        </w:rPr>
        <w:t xml:space="preserve">Barbier, M., </w:t>
      </w:r>
      <w:proofErr w:type="spellStart"/>
      <w:r w:rsidRPr="00576A43">
        <w:rPr>
          <w:rFonts w:cstheme="minorHAnsi"/>
          <w:sz w:val="24"/>
          <w:szCs w:val="24"/>
        </w:rPr>
        <w:t>Hansez</w:t>
      </w:r>
      <w:proofErr w:type="spellEnd"/>
      <w:r w:rsidRPr="00576A43">
        <w:rPr>
          <w:rFonts w:cstheme="minorHAnsi"/>
          <w:sz w:val="24"/>
          <w:szCs w:val="24"/>
        </w:rPr>
        <w:t xml:space="preserve">, I., Chmiel, N., &amp; Demerouti, E. (2013). Performance expectations, personal resources, and job resources: How do they predict work engagement? </w:t>
      </w:r>
      <w:r w:rsidRPr="00576A43">
        <w:rPr>
          <w:rFonts w:cstheme="minorHAnsi"/>
          <w:i/>
          <w:iCs/>
          <w:sz w:val="24"/>
          <w:szCs w:val="24"/>
        </w:rPr>
        <w:t>European Journal of Work and Organizational Psychology</w:t>
      </w:r>
      <w:r w:rsidRPr="00576A43">
        <w:rPr>
          <w:rFonts w:cstheme="minorHAnsi"/>
          <w:sz w:val="24"/>
          <w:szCs w:val="24"/>
        </w:rPr>
        <w:t xml:space="preserve">, 22, 750 –762. </w:t>
      </w:r>
    </w:p>
    <w:p w14:paraId="2EDFF672" w14:textId="77777777" w:rsidR="005E28FC" w:rsidRPr="00576A43" w:rsidRDefault="005E28FC" w:rsidP="00FF43B3">
      <w:pPr>
        <w:spacing w:line="240" w:lineRule="auto"/>
        <w:ind w:hanging="720"/>
        <w:rPr>
          <w:rFonts w:cstheme="minorHAnsi"/>
          <w:sz w:val="24"/>
          <w:szCs w:val="24"/>
        </w:rPr>
      </w:pPr>
      <w:r w:rsidRPr="00576A43">
        <w:rPr>
          <w:rFonts w:cstheme="minorHAnsi"/>
          <w:sz w:val="24"/>
          <w:szCs w:val="24"/>
        </w:rPr>
        <w:t xml:space="preserve">Braun, V., &amp; Clarke, V. (2006), Using thematic analysis in psychology. </w:t>
      </w:r>
      <w:r w:rsidRPr="00576A43">
        <w:rPr>
          <w:rFonts w:cstheme="minorHAnsi"/>
          <w:i/>
          <w:iCs/>
          <w:sz w:val="24"/>
          <w:szCs w:val="24"/>
        </w:rPr>
        <w:t>Qualitative Research in Psychology</w:t>
      </w:r>
      <w:r w:rsidRPr="00576A43">
        <w:rPr>
          <w:rFonts w:cstheme="minorHAnsi"/>
          <w:sz w:val="24"/>
          <w:szCs w:val="24"/>
        </w:rPr>
        <w:t>, 3(2), 77-101.</w:t>
      </w:r>
    </w:p>
    <w:p w14:paraId="6E7E1283" w14:textId="77777777" w:rsidR="00F01388" w:rsidRPr="00576A43" w:rsidRDefault="005E28FC" w:rsidP="00F01388">
      <w:pPr>
        <w:spacing w:line="240" w:lineRule="auto"/>
        <w:ind w:hanging="720"/>
        <w:rPr>
          <w:rFonts w:cstheme="minorHAnsi"/>
          <w:sz w:val="24"/>
          <w:szCs w:val="24"/>
          <w:shd w:val="clear" w:color="auto" w:fill="FFFFFF"/>
        </w:rPr>
      </w:pPr>
      <w:r w:rsidRPr="00576A43">
        <w:rPr>
          <w:rStyle w:val="authorname"/>
          <w:rFonts w:cstheme="minorHAnsi"/>
          <w:sz w:val="24"/>
          <w:szCs w:val="24"/>
          <w:shd w:val="clear" w:color="auto" w:fill="FFFFFF"/>
        </w:rPr>
        <w:t>Braun, V.</w:t>
      </w:r>
      <w:r w:rsidRPr="00576A43">
        <w:rPr>
          <w:rStyle w:val="separator"/>
          <w:rFonts w:cstheme="minorHAnsi"/>
          <w:sz w:val="24"/>
          <w:szCs w:val="24"/>
          <w:shd w:val="clear" w:color="auto" w:fill="FFFFFF"/>
        </w:rPr>
        <w:t>, &amp; </w:t>
      </w:r>
      <w:r w:rsidRPr="00576A43">
        <w:rPr>
          <w:rStyle w:val="authorname"/>
          <w:rFonts w:cstheme="minorHAnsi"/>
          <w:sz w:val="24"/>
          <w:szCs w:val="24"/>
          <w:shd w:val="clear" w:color="auto" w:fill="FFFFFF"/>
        </w:rPr>
        <w:t>Clarke, V.</w:t>
      </w:r>
      <w:r w:rsidRPr="00576A43">
        <w:rPr>
          <w:rFonts w:cstheme="minorHAnsi"/>
          <w:sz w:val="24"/>
          <w:szCs w:val="24"/>
          <w:shd w:val="clear" w:color="auto" w:fill="FFFFFF"/>
        </w:rPr>
        <w:t> </w:t>
      </w:r>
      <w:r w:rsidRPr="00576A43">
        <w:rPr>
          <w:rStyle w:val="Date3"/>
          <w:rFonts w:cstheme="minorHAnsi"/>
          <w:sz w:val="24"/>
          <w:szCs w:val="24"/>
          <w:shd w:val="clear" w:color="auto" w:fill="FFFFFF"/>
        </w:rPr>
        <w:t>(2021)</w:t>
      </w:r>
      <w:r w:rsidRPr="00576A43">
        <w:rPr>
          <w:rFonts w:cstheme="minorHAnsi"/>
          <w:sz w:val="24"/>
          <w:szCs w:val="24"/>
          <w:shd w:val="clear" w:color="auto" w:fill="FFFFFF"/>
        </w:rPr>
        <w:t xml:space="preserve">. </w:t>
      </w:r>
      <w:r w:rsidRPr="00576A43">
        <w:rPr>
          <w:rStyle w:val="arttitle"/>
          <w:rFonts w:cstheme="minorHAnsi"/>
          <w:sz w:val="24"/>
          <w:szCs w:val="24"/>
          <w:shd w:val="clear" w:color="auto" w:fill="FFFFFF"/>
        </w:rPr>
        <w:t xml:space="preserve">One size </w:t>
      </w:r>
      <w:proofErr w:type="gramStart"/>
      <w:r w:rsidRPr="00576A43">
        <w:rPr>
          <w:rStyle w:val="arttitle"/>
          <w:rFonts w:cstheme="minorHAnsi"/>
          <w:sz w:val="24"/>
          <w:szCs w:val="24"/>
          <w:shd w:val="clear" w:color="auto" w:fill="FFFFFF"/>
        </w:rPr>
        <w:t>fits</w:t>
      </w:r>
      <w:proofErr w:type="gramEnd"/>
      <w:r w:rsidRPr="00576A43">
        <w:rPr>
          <w:rStyle w:val="arttitle"/>
          <w:rFonts w:cstheme="minorHAnsi"/>
          <w:sz w:val="24"/>
          <w:szCs w:val="24"/>
          <w:shd w:val="clear" w:color="auto" w:fill="FFFFFF"/>
        </w:rPr>
        <w:t xml:space="preserve"> all? What counts as quality practice in (reflexive) thematic analysis?</w:t>
      </w:r>
      <w:r w:rsidRPr="00576A43">
        <w:rPr>
          <w:rFonts w:cstheme="minorHAnsi"/>
          <w:sz w:val="24"/>
          <w:szCs w:val="24"/>
          <w:shd w:val="clear" w:color="auto" w:fill="FFFFFF"/>
        </w:rPr>
        <w:t> </w:t>
      </w:r>
      <w:r w:rsidRPr="00576A43">
        <w:rPr>
          <w:rStyle w:val="serialtitle"/>
          <w:rFonts w:cstheme="minorHAnsi"/>
          <w:i/>
          <w:iCs/>
          <w:sz w:val="24"/>
          <w:szCs w:val="24"/>
          <w:shd w:val="clear" w:color="auto" w:fill="FFFFFF"/>
        </w:rPr>
        <w:t>Qualitative Research in Psychology</w:t>
      </w:r>
      <w:r w:rsidRPr="00576A43">
        <w:rPr>
          <w:rStyle w:val="serialtitle"/>
          <w:rFonts w:cstheme="minorHAnsi"/>
          <w:sz w:val="24"/>
          <w:szCs w:val="24"/>
          <w:shd w:val="clear" w:color="auto" w:fill="FFFFFF"/>
        </w:rPr>
        <w:t>,</w:t>
      </w:r>
      <w:r w:rsidRPr="00576A43">
        <w:rPr>
          <w:rFonts w:cstheme="minorHAnsi"/>
          <w:sz w:val="24"/>
          <w:szCs w:val="24"/>
          <w:shd w:val="clear" w:color="auto" w:fill="FFFFFF"/>
        </w:rPr>
        <w:t> </w:t>
      </w:r>
      <w:r w:rsidRPr="00576A43">
        <w:rPr>
          <w:rStyle w:val="volumeissue"/>
          <w:rFonts w:cstheme="minorHAnsi"/>
          <w:sz w:val="24"/>
          <w:szCs w:val="24"/>
          <w:shd w:val="clear" w:color="auto" w:fill="FFFFFF"/>
        </w:rPr>
        <w:t>18(3),</w:t>
      </w:r>
      <w:r w:rsidRPr="00576A43">
        <w:rPr>
          <w:rFonts w:cstheme="minorHAnsi"/>
          <w:sz w:val="24"/>
          <w:szCs w:val="24"/>
          <w:shd w:val="clear" w:color="auto" w:fill="FFFFFF"/>
        </w:rPr>
        <w:t> </w:t>
      </w:r>
      <w:r w:rsidRPr="00576A43">
        <w:rPr>
          <w:rStyle w:val="pagerange"/>
          <w:rFonts w:cstheme="minorHAnsi"/>
          <w:sz w:val="24"/>
          <w:szCs w:val="24"/>
          <w:shd w:val="clear" w:color="auto" w:fill="FFFFFF"/>
        </w:rPr>
        <w:t>328-352.</w:t>
      </w:r>
    </w:p>
    <w:p w14:paraId="110415F8" w14:textId="78A36CD3" w:rsidR="000D3FAC" w:rsidRPr="00576A43" w:rsidRDefault="00F01388" w:rsidP="00F9144C">
      <w:pPr>
        <w:spacing w:line="240" w:lineRule="auto"/>
        <w:ind w:hanging="720"/>
        <w:rPr>
          <w:rFonts w:cstheme="minorHAnsi"/>
          <w:sz w:val="24"/>
          <w:szCs w:val="24"/>
          <w:shd w:val="clear" w:color="auto" w:fill="FFFFFF"/>
        </w:rPr>
      </w:pPr>
      <w:r w:rsidRPr="00576A43">
        <w:rPr>
          <w:rFonts w:cstheme="minorHAnsi"/>
          <w:sz w:val="24"/>
          <w:szCs w:val="24"/>
        </w:rPr>
        <w:t xml:space="preserve">Crawford, E. R., LePine, J. A., &amp; Rich, B. L. 2010. Linking job demands and resources to employee engagement and burnout: A theoretical extension and meta-analytic test. </w:t>
      </w:r>
      <w:r w:rsidRPr="00576A43">
        <w:rPr>
          <w:rFonts w:cstheme="minorHAnsi"/>
          <w:i/>
          <w:iCs/>
          <w:sz w:val="24"/>
          <w:szCs w:val="24"/>
        </w:rPr>
        <w:t>Journal of Applied Psychology</w:t>
      </w:r>
      <w:r w:rsidRPr="00576A43">
        <w:rPr>
          <w:rFonts w:cstheme="minorHAnsi"/>
          <w:sz w:val="24"/>
          <w:szCs w:val="24"/>
        </w:rPr>
        <w:t>, 95: 834–848.</w:t>
      </w:r>
    </w:p>
    <w:p w14:paraId="00FD2650" w14:textId="46252FDB" w:rsidR="00F9144C" w:rsidRPr="00576A43" w:rsidRDefault="005E28FC" w:rsidP="00F9144C">
      <w:pPr>
        <w:spacing w:line="240" w:lineRule="auto"/>
        <w:ind w:hanging="720"/>
        <w:rPr>
          <w:rFonts w:cstheme="minorHAnsi"/>
          <w:sz w:val="24"/>
          <w:szCs w:val="24"/>
        </w:rPr>
      </w:pPr>
      <w:r w:rsidRPr="00576A43">
        <w:rPr>
          <w:rFonts w:cstheme="minorHAnsi"/>
          <w:sz w:val="24"/>
          <w:szCs w:val="24"/>
        </w:rPr>
        <w:t>Demerouti, E., Bakker, A.B., Nachreiner, F., &amp; Schaufeli, W.B. (2001). The job demands-resources model of burnout. </w:t>
      </w:r>
      <w:r w:rsidRPr="00576A43">
        <w:rPr>
          <w:rFonts w:cstheme="minorHAnsi"/>
          <w:i/>
          <w:iCs/>
          <w:sz w:val="24"/>
          <w:szCs w:val="24"/>
        </w:rPr>
        <w:t>Journal of Applied Psychology,</w:t>
      </w:r>
      <w:r w:rsidRPr="00576A43">
        <w:rPr>
          <w:rFonts w:cstheme="minorHAnsi"/>
          <w:sz w:val="24"/>
          <w:szCs w:val="24"/>
        </w:rPr>
        <w:t xml:space="preserve"> 86, 499–512. </w:t>
      </w:r>
    </w:p>
    <w:p w14:paraId="1D56D5F0" w14:textId="77777777" w:rsidR="00F9144C" w:rsidRPr="00576A43" w:rsidRDefault="005E28FC" w:rsidP="00F9144C">
      <w:pPr>
        <w:pStyle w:val="Heading3"/>
        <w:shd w:val="clear" w:color="auto" w:fill="FFFFFF"/>
        <w:spacing w:before="0" w:after="160"/>
        <w:ind w:hanging="720"/>
        <w:rPr>
          <w:rFonts w:asciiTheme="minorHAnsi" w:hAnsiTheme="minorHAnsi" w:cstheme="minorHAnsi"/>
          <w:color w:val="auto"/>
          <w:shd w:val="clear" w:color="auto" w:fill="FFFFFF"/>
        </w:rPr>
      </w:pPr>
      <w:r w:rsidRPr="00576A43">
        <w:rPr>
          <w:rFonts w:asciiTheme="minorHAnsi" w:hAnsiTheme="minorHAnsi" w:cstheme="minorHAnsi"/>
          <w:color w:val="auto"/>
        </w:rPr>
        <w:t>Demerouti</w:t>
      </w:r>
      <w:hyperlink r:id="rId6" w:history="1">
        <w:r w:rsidRPr="00576A43">
          <w:rPr>
            <w:rStyle w:val="Hyperlink"/>
            <w:rFonts w:asciiTheme="minorHAnsi" w:hAnsiTheme="minorHAnsi" w:cstheme="minorHAnsi"/>
            <w:color w:val="auto"/>
            <w:u w:val="none"/>
            <w:shd w:val="clear" w:color="auto" w:fill="FFFFFF"/>
          </w:rPr>
          <w:t>, E.</w:t>
        </w:r>
      </w:hyperlink>
      <w:r w:rsidRPr="00576A43">
        <w:rPr>
          <w:rFonts w:asciiTheme="minorHAnsi" w:hAnsiTheme="minorHAnsi" w:cstheme="minorHAnsi"/>
          <w:color w:val="auto"/>
          <w:shd w:val="clear" w:color="auto" w:fill="FFFFFF"/>
        </w:rPr>
        <w:t>, </w:t>
      </w:r>
      <w:proofErr w:type="spellStart"/>
      <w:r w:rsidRPr="00576A43">
        <w:rPr>
          <w:rFonts w:asciiTheme="minorHAnsi" w:hAnsiTheme="minorHAnsi" w:cstheme="minorHAnsi"/>
          <w:color w:val="auto"/>
          <w:shd w:val="clear" w:color="auto" w:fill="FFFFFF"/>
        </w:rPr>
        <w:t>Eeuwijk</w:t>
      </w:r>
      <w:proofErr w:type="spellEnd"/>
      <w:r w:rsidRPr="00576A43">
        <w:rPr>
          <w:rFonts w:asciiTheme="minorHAnsi" w:hAnsiTheme="minorHAnsi" w:cstheme="minorHAnsi"/>
          <w:color w:val="auto"/>
          <w:shd w:val="clear" w:color="auto" w:fill="FFFFFF"/>
        </w:rPr>
        <w:t>, van, E., </w:t>
      </w:r>
      <w:proofErr w:type="spellStart"/>
      <w:r w:rsidRPr="00576A43">
        <w:rPr>
          <w:rFonts w:asciiTheme="minorHAnsi" w:hAnsiTheme="minorHAnsi" w:cstheme="minorHAnsi"/>
          <w:color w:val="auto"/>
          <w:shd w:val="clear" w:color="auto" w:fill="FFFFFF"/>
        </w:rPr>
        <w:t>Snelder</w:t>
      </w:r>
      <w:proofErr w:type="spellEnd"/>
      <w:r w:rsidRPr="00576A43">
        <w:rPr>
          <w:rFonts w:asciiTheme="minorHAnsi" w:hAnsiTheme="minorHAnsi" w:cstheme="minorHAnsi"/>
          <w:color w:val="auto"/>
          <w:shd w:val="clear" w:color="auto" w:fill="FFFFFF"/>
        </w:rPr>
        <w:t>, M. &amp; Wild, U. (</w:t>
      </w:r>
      <w:r w:rsidRPr="00576A43">
        <w:rPr>
          <w:rStyle w:val="Date2"/>
          <w:rFonts w:asciiTheme="minorHAnsi" w:hAnsiTheme="minorHAnsi" w:cstheme="minorHAnsi"/>
          <w:color w:val="auto"/>
          <w:shd w:val="clear" w:color="auto" w:fill="FFFFFF"/>
        </w:rPr>
        <w:t>2011</w:t>
      </w:r>
      <w:r w:rsidRPr="00576A43">
        <w:rPr>
          <w:rFonts w:asciiTheme="minorHAnsi" w:hAnsiTheme="minorHAnsi" w:cstheme="minorHAnsi"/>
          <w:color w:val="auto"/>
          <w:shd w:val="clear" w:color="auto" w:fill="FFFFFF"/>
        </w:rPr>
        <w:t>). </w:t>
      </w:r>
      <w:hyperlink r:id="rId7" w:history="1">
        <w:r w:rsidRPr="00576A43">
          <w:rPr>
            <w:rStyle w:val="Hyperlink"/>
            <w:rFonts w:asciiTheme="minorHAnsi" w:hAnsiTheme="minorHAnsi" w:cstheme="minorHAnsi"/>
            <w:color w:val="auto"/>
            <w:u w:val="none"/>
          </w:rPr>
          <w:t>Assessing the effects of a "personal effectiveness" training on psychological capital, assertiveness and self-awareness using self-other agreement</w:t>
        </w:r>
      </w:hyperlink>
      <w:r w:rsidRPr="00576A43">
        <w:rPr>
          <w:rFonts w:asciiTheme="minorHAnsi" w:hAnsiTheme="minorHAnsi" w:cstheme="minorHAnsi"/>
          <w:color w:val="auto"/>
        </w:rPr>
        <w:t xml:space="preserve">. </w:t>
      </w:r>
      <w:hyperlink r:id="rId8" w:history="1">
        <w:r w:rsidRPr="00576A43">
          <w:rPr>
            <w:rStyle w:val="Hyperlink"/>
            <w:rFonts w:asciiTheme="minorHAnsi" w:hAnsiTheme="minorHAnsi" w:cstheme="minorHAnsi"/>
            <w:i/>
            <w:iCs/>
            <w:color w:val="auto"/>
            <w:u w:val="none"/>
          </w:rPr>
          <w:t>Career Development International</w:t>
        </w:r>
        <w:r w:rsidRPr="00576A43">
          <w:rPr>
            <w:rStyle w:val="Hyperlink"/>
            <w:rFonts w:asciiTheme="minorHAnsi" w:hAnsiTheme="minorHAnsi" w:cstheme="minorHAnsi"/>
            <w:color w:val="auto"/>
            <w:u w:val="none"/>
          </w:rPr>
          <w:t xml:space="preserve">, </w:t>
        </w:r>
      </w:hyperlink>
      <w:r w:rsidRPr="00576A43">
        <w:rPr>
          <w:rStyle w:val="volume"/>
          <w:rFonts w:asciiTheme="minorHAnsi" w:hAnsiTheme="minorHAnsi" w:cstheme="minorHAnsi"/>
          <w:color w:val="auto"/>
          <w:shd w:val="clear" w:color="auto" w:fill="FFFFFF"/>
        </w:rPr>
        <w:t>16</w:t>
      </w:r>
      <w:r w:rsidRPr="00576A43">
        <w:rPr>
          <w:rFonts w:asciiTheme="minorHAnsi" w:hAnsiTheme="minorHAnsi" w:cstheme="minorHAnsi"/>
          <w:color w:val="auto"/>
          <w:shd w:val="clear" w:color="auto" w:fill="FFFFFF"/>
        </w:rPr>
        <w:t>, </w:t>
      </w:r>
      <w:r w:rsidRPr="00576A43">
        <w:rPr>
          <w:rStyle w:val="journalnumber"/>
          <w:rFonts w:asciiTheme="minorHAnsi" w:hAnsiTheme="minorHAnsi" w:cstheme="minorHAnsi"/>
          <w:color w:val="auto"/>
          <w:shd w:val="clear" w:color="auto" w:fill="FFFFFF"/>
        </w:rPr>
        <w:t>1</w:t>
      </w:r>
      <w:r w:rsidRPr="00576A43">
        <w:rPr>
          <w:rFonts w:asciiTheme="minorHAnsi" w:hAnsiTheme="minorHAnsi" w:cstheme="minorHAnsi"/>
          <w:color w:val="auto"/>
          <w:shd w:val="clear" w:color="auto" w:fill="FFFFFF"/>
        </w:rPr>
        <w:t>, </w:t>
      </w:r>
      <w:r w:rsidRPr="00576A43">
        <w:rPr>
          <w:rStyle w:val="pages"/>
          <w:rFonts w:asciiTheme="minorHAnsi" w:hAnsiTheme="minorHAnsi" w:cstheme="minorHAnsi"/>
          <w:color w:val="auto"/>
          <w:shd w:val="clear" w:color="auto" w:fill="FFFFFF"/>
        </w:rPr>
        <w:t>60-81</w:t>
      </w:r>
      <w:r w:rsidRPr="00576A43">
        <w:rPr>
          <w:rFonts w:asciiTheme="minorHAnsi" w:hAnsiTheme="minorHAnsi" w:cstheme="minorHAnsi"/>
          <w:color w:val="auto"/>
          <w:shd w:val="clear" w:color="auto" w:fill="FFFFFF"/>
        </w:rPr>
        <w:t>.</w:t>
      </w:r>
    </w:p>
    <w:p w14:paraId="3306B23A" w14:textId="73A0236D" w:rsidR="00F9144C" w:rsidRPr="00576A43" w:rsidRDefault="00F9144C" w:rsidP="00F9144C">
      <w:pPr>
        <w:pStyle w:val="Heading3"/>
        <w:shd w:val="clear" w:color="auto" w:fill="FFFFFF"/>
        <w:spacing w:before="0" w:after="160"/>
        <w:ind w:hanging="720"/>
        <w:rPr>
          <w:rFonts w:asciiTheme="minorHAnsi" w:hAnsiTheme="minorHAnsi" w:cstheme="minorHAnsi"/>
          <w:color w:val="auto"/>
          <w:shd w:val="clear" w:color="auto" w:fill="FFFFFF"/>
        </w:rPr>
      </w:pPr>
      <w:r w:rsidRPr="00576A43">
        <w:rPr>
          <w:rFonts w:asciiTheme="minorHAnsi" w:hAnsiTheme="minorHAnsi" w:cstheme="minorHAnsi"/>
          <w:color w:val="auto"/>
        </w:rPr>
        <w:t xml:space="preserve">Demerouti, E., Mostert, K., &amp; Bakker, A. B. (2010). Burnout and work engagement: A thorough investigation of the independency of both constructs. </w:t>
      </w:r>
      <w:r w:rsidRPr="00576A43">
        <w:rPr>
          <w:rFonts w:asciiTheme="minorHAnsi" w:hAnsiTheme="minorHAnsi" w:cstheme="minorHAnsi"/>
          <w:i/>
          <w:iCs/>
          <w:color w:val="auto"/>
        </w:rPr>
        <w:t>Journal of Occupational Health Psychology</w:t>
      </w:r>
      <w:r w:rsidRPr="00576A43">
        <w:rPr>
          <w:rFonts w:asciiTheme="minorHAnsi" w:hAnsiTheme="minorHAnsi" w:cstheme="minorHAnsi"/>
          <w:color w:val="auto"/>
        </w:rPr>
        <w:t>, 15, 209–222.</w:t>
      </w:r>
    </w:p>
    <w:p w14:paraId="3A64E7E4" w14:textId="77777777" w:rsidR="00F31BA5" w:rsidRPr="00576A43" w:rsidRDefault="004654DF" w:rsidP="00F31BA5">
      <w:pPr>
        <w:spacing w:line="240" w:lineRule="auto"/>
        <w:ind w:hanging="720"/>
        <w:rPr>
          <w:rFonts w:cstheme="minorHAnsi"/>
          <w:sz w:val="24"/>
          <w:szCs w:val="24"/>
        </w:rPr>
      </w:pPr>
      <w:r w:rsidRPr="00576A43">
        <w:rPr>
          <w:rFonts w:cstheme="minorHAnsi"/>
          <w:sz w:val="24"/>
          <w:szCs w:val="24"/>
        </w:rPr>
        <w:t xml:space="preserve">Daniels, K., Connolly, S., Woodard, R., van Stolk C., Patey, J., Fong, K., France, R., Vigurs, C., &amp; Herd, M. (2022). </w:t>
      </w:r>
      <w:r w:rsidRPr="00576A43">
        <w:rPr>
          <w:rFonts w:cstheme="minorHAnsi"/>
          <w:i/>
          <w:iCs/>
          <w:sz w:val="24"/>
          <w:szCs w:val="24"/>
        </w:rPr>
        <w:t>NHS staff wellbeing: Why investing in organisational and management practices makes business sense - A rapid evidence review and economic analysis</w:t>
      </w:r>
      <w:r w:rsidRPr="00576A43">
        <w:rPr>
          <w:rFonts w:cstheme="minorHAnsi"/>
          <w:sz w:val="24"/>
          <w:szCs w:val="24"/>
        </w:rPr>
        <w:t>. London: EPPI Centre, UCL Social Research Institute, University College London.</w:t>
      </w:r>
    </w:p>
    <w:p w14:paraId="5B545DD1" w14:textId="77777777" w:rsidR="00E06454" w:rsidRPr="00576A43" w:rsidRDefault="00F31BA5" w:rsidP="00E06454">
      <w:pPr>
        <w:spacing w:line="240" w:lineRule="auto"/>
        <w:ind w:hanging="720"/>
        <w:rPr>
          <w:rFonts w:cstheme="minorHAnsi"/>
          <w:sz w:val="24"/>
          <w:szCs w:val="24"/>
          <w:shd w:val="clear" w:color="auto" w:fill="FFFFFF"/>
        </w:rPr>
      </w:pPr>
      <w:r w:rsidRPr="00576A43">
        <w:rPr>
          <w:rFonts w:cstheme="minorHAnsi"/>
          <w:sz w:val="24"/>
          <w:szCs w:val="24"/>
          <w:shd w:val="clear" w:color="auto" w:fill="FFFFFF"/>
        </w:rPr>
        <w:t xml:space="preserve">DePierro, J. M., Chan, C. C., Mohamed, N., Starkweather, S., Ripp, J., </w:t>
      </w:r>
      <w:proofErr w:type="spellStart"/>
      <w:r w:rsidRPr="00576A43">
        <w:rPr>
          <w:rFonts w:cstheme="minorHAnsi"/>
          <w:sz w:val="24"/>
          <w:szCs w:val="24"/>
          <w:shd w:val="clear" w:color="auto" w:fill="FFFFFF"/>
        </w:rPr>
        <w:t>Peccoralo</w:t>
      </w:r>
      <w:proofErr w:type="spellEnd"/>
      <w:r w:rsidRPr="00576A43">
        <w:rPr>
          <w:rFonts w:cstheme="minorHAnsi"/>
          <w:sz w:val="24"/>
          <w:szCs w:val="24"/>
          <w:shd w:val="clear" w:color="auto" w:fill="FFFFFF"/>
        </w:rPr>
        <w:t xml:space="preserve">, L. A. (2024). Determinants of Staff Intent to Leave Health Care During the COVID-19 Pandemic. </w:t>
      </w:r>
      <w:r w:rsidRPr="00576A43">
        <w:rPr>
          <w:rFonts w:cstheme="minorHAnsi"/>
          <w:i/>
          <w:iCs/>
          <w:sz w:val="24"/>
          <w:szCs w:val="24"/>
          <w:shd w:val="clear" w:color="auto" w:fill="FFFFFF"/>
        </w:rPr>
        <w:t>American Journal of Public Health</w:t>
      </w:r>
      <w:r w:rsidRPr="00576A43">
        <w:rPr>
          <w:rFonts w:cstheme="minorHAnsi"/>
          <w:sz w:val="24"/>
          <w:szCs w:val="24"/>
          <w:shd w:val="clear" w:color="auto" w:fill="FFFFFF"/>
        </w:rPr>
        <w:t xml:space="preserve">. 2024 Feb;114(S2): 200-203. </w:t>
      </w:r>
    </w:p>
    <w:p w14:paraId="55933BBB" w14:textId="41649F9A" w:rsidR="00A36239" w:rsidRPr="00576A43" w:rsidRDefault="00E06454" w:rsidP="00D342F3">
      <w:pPr>
        <w:spacing w:line="240" w:lineRule="auto"/>
        <w:ind w:hanging="720"/>
        <w:rPr>
          <w:rFonts w:cstheme="minorHAnsi"/>
          <w:sz w:val="24"/>
          <w:szCs w:val="24"/>
          <w:shd w:val="clear" w:color="auto" w:fill="FFFFFF"/>
        </w:rPr>
      </w:pPr>
      <w:r w:rsidRPr="00576A43">
        <w:rPr>
          <w:rFonts w:cstheme="minorHAnsi"/>
          <w:sz w:val="24"/>
          <w:szCs w:val="24"/>
        </w:rPr>
        <w:lastRenderedPageBreak/>
        <w:t xml:space="preserve">Fox, M. L., Dwyer, D. J., &amp; Ganster, D. C. (1993). Effects of stressful job demands and control on physiological and attitudinal outcomes in a hospital setting. </w:t>
      </w:r>
      <w:r w:rsidRPr="00576A43">
        <w:rPr>
          <w:rFonts w:cstheme="minorHAnsi"/>
          <w:i/>
          <w:iCs/>
          <w:sz w:val="24"/>
          <w:szCs w:val="24"/>
        </w:rPr>
        <w:t>Academy of Management Journal</w:t>
      </w:r>
      <w:r w:rsidRPr="00576A43">
        <w:rPr>
          <w:rFonts w:cstheme="minorHAnsi"/>
          <w:sz w:val="24"/>
          <w:szCs w:val="24"/>
        </w:rPr>
        <w:t>, 36, 289–318.</w:t>
      </w:r>
    </w:p>
    <w:p w14:paraId="7D77A6C6" w14:textId="77777777" w:rsidR="00495CD8" w:rsidRPr="00576A43" w:rsidRDefault="00AF7292" w:rsidP="00495CD8">
      <w:pPr>
        <w:spacing w:line="240" w:lineRule="auto"/>
        <w:ind w:hanging="720"/>
        <w:rPr>
          <w:rFonts w:cstheme="minorHAnsi"/>
          <w:sz w:val="24"/>
          <w:szCs w:val="24"/>
          <w:shd w:val="clear" w:color="auto" w:fill="FFFFFF"/>
        </w:rPr>
      </w:pPr>
      <w:r w:rsidRPr="00576A43">
        <w:rPr>
          <w:rFonts w:cstheme="minorHAnsi"/>
          <w:sz w:val="24"/>
          <w:szCs w:val="24"/>
          <w:shd w:val="clear" w:color="auto" w:fill="FFFFFF"/>
        </w:rPr>
        <w:t xml:space="preserve">Gioia, D. (2021). A systematic methodology for doing qualitative research. </w:t>
      </w:r>
      <w:r w:rsidRPr="00576A43">
        <w:rPr>
          <w:rFonts w:cstheme="minorHAnsi"/>
          <w:i/>
          <w:iCs/>
          <w:sz w:val="24"/>
          <w:szCs w:val="24"/>
          <w:shd w:val="clear" w:color="auto" w:fill="FFFFFF"/>
        </w:rPr>
        <w:t>Journal of</w:t>
      </w:r>
      <w:r w:rsidRPr="00576A43">
        <w:rPr>
          <w:rFonts w:cstheme="minorHAnsi"/>
          <w:sz w:val="24"/>
          <w:szCs w:val="24"/>
          <w:shd w:val="clear" w:color="auto" w:fill="FFFFFF"/>
        </w:rPr>
        <w:t xml:space="preserve"> </w:t>
      </w:r>
      <w:r w:rsidRPr="00576A43">
        <w:rPr>
          <w:rFonts w:cstheme="minorHAnsi"/>
          <w:i/>
          <w:iCs/>
          <w:sz w:val="24"/>
          <w:szCs w:val="24"/>
          <w:shd w:val="clear" w:color="auto" w:fill="FFFFFF"/>
        </w:rPr>
        <w:t xml:space="preserve">Applied </w:t>
      </w:r>
      <w:proofErr w:type="spellStart"/>
      <w:r w:rsidRPr="00576A43">
        <w:rPr>
          <w:rFonts w:cstheme="minorHAnsi"/>
          <w:i/>
          <w:iCs/>
          <w:sz w:val="24"/>
          <w:szCs w:val="24"/>
          <w:shd w:val="clear" w:color="auto" w:fill="FFFFFF"/>
        </w:rPr>
        <w:t>Behavioral</w:t>
      </w:r>
      <w:proofErr w:type="spellEnd"/>
      <w:r w:rsidRPr="00576A43">
        <w:rPr>
          <w:rFonts w:cstheme="minorHAnsi"/>
          <w:i/>
          <w:iCs/>
          <w:sz w:val="24"/>
          <w:szCs w:val="24"/>
          <w:shd w:val="clear" w:color="auto" w:fill="FFFFFF"/>
        </w:rPr>
        <w:t xml:space="preserve"> Science</w:t>
      </w:r>
      <w:r w:rsidRPr="00576A43">
        <w:rPr>
          <w:rFonts w:cstheme="minorHAnsi"/>
          <w:sz w:val="24"/>
          <w:szCs w:val="24"/>
          <w:shd w:val="clear" w:color="auto" w:fill="FFFFFF"/>
        </w:rPr>
        <w:t>, 57(1), 20-29.</w:t>
      </w:r>
    </w:p>
    <w:p w14:paraId="1DAD5D82" w14:textId="77777777" w:rsidR="00495CD8" w:rsidRPr="00576A43" w:rsidRDefault="00AF7292" w:rsidP="00495CD8">
      <w:pPr>
        <w:spacing w:line="240" w:lineRule="auto"/>
        <w:ind w:hanging="720"/>
        <w:rPr>
          <w:rFonts w:cstheme="minorHAnsi"/>
          <w:sz w:val="24"/>
          <w:szCs w:val="24"/>
          <w:shd w:val="clear" w:color="auto" w:fill="FFFFFF"/>
        </w:rPr>
      </w:pPr>
      <w:r w:rsidRPr="00576A43">
        <w:rPr>
          <w:rFonts w:cstheme="minorHAnsi"/>
          <w:sz w:val="24"/>
          <w:szCs w:val="24"/>
          <w:shd w:val="clear" w:color="auto" w:fill="FFFFFF"/>
        </w:rPr>
        <w:t xml:space="preserve">Gioia, D. A., Corley, K. G., &amp; Hamilton, A. L. (2012). Seeking qualitative rigor in inductive research: Notes on the Gioia methodology. </w:t>
      </w:r>
      <w:r w:rsidRPr="00576A43">
        <w:rPr>
          <w:rFonts w:cstheme="minorHAnsi"/>
          <w:i/>
          <w:iCs/>
          <w:sz w:val="24"/>
          <w:szCs w:val="24"/>
          <w:shd w:val="clear" w:color="auto" w:fill="FFFFFF"/>
        </w:rPr>
        <w:t>Organisational Research Methods</w:t>
      </w:r>
      <w:r w:rsidRPr="00576A43">
        <w:rPr>
          <w:rFonts w:cstheme="minorHAnsi"/>
          <w:sz w:val="24"/>
          <w:szCs w:val="24"/>
          <w:shd w:val="clear" w:color="auto" w:fill="FFFFFF"/>
        </w:rPr>
        <w:t xml:space="preserve">, 16(1). 15-31. </w:t>
      </w:r>
    </w:p>
    <w:p w14:paraId="738D708C" w14:textId="77777777" w:rsidR="00495CD8" w:rsidRPr="00576A43" w:rsidRDefault="00AF7292" w:rsidP="00495CD8">
      <w:pPr>
        <w:spacing w:line="240" w:lineRule="auto"/>
        <w:ind w:hanging="720"/>
        <w:rPr>
          <w:rFonts w:cstheme="minorHAnsi"/>
          <w:sz w:val="24"/>
          <w:szCs w:val="24"/>
          <w:shd w:val="clear" w:color="auto" w:fill="FFFFFF"/>
        </w:rPr>
      </w:pPr>
      <w:r w:rsidRPr="00576A43">
        <w:rPr>
          <w:rFonts w:cstheme="minorHAnsi"/>
          <w:sz w:val="24"/>
          <w:szCs w:val="24"/>
        </w:rPr>
        <w:t xml:space="preserve">Gonzalez-Mule, E., Kim, M., &amp; Ryu, J. W. 2020. A meta-analytic test of multiplicative and additive models of job demands, resources, and stress. </w:t>
      </w:r>
      <w:r w:rsidRPr="00576A43">
        <w:rPr>
          <w:rFonts w:cstheme="minorHAnsi"/>
          <w:i/>
          <w:iCs/>
          <w:sz w:val="24"/>
          <w:szCs w:val="24"/>
        </w:rPr>
        <w:t>Journal of Applied Psychology</w:t>
      </w:r>
      <w:r w:rsidRPr="00576A43">
        <w:rPr>
          <w:rFonts w:cstheme="minorHAnsi"/>
          <w:sz w:val="24"/>
          <w:szCs w:val="24"/>
        </w:rPr>
        <w:t>, 106: 1391–1411.</w:t>
      </w:r>
    </w:p>
    <w:p w14:paraId="6B6A7B5D" w14:textId="77777777" w:rsidR="00E54CB4" w:rsidRPr="00576A43" w:rsidRDefault="00AF7292" w:rsidP="00E54CB4">
      <w:pPr>
        <w:spacing w:line="240" w:lineRule="auto"/>
        <w:ind w:hanging="720"/>
        <w:rPr>
          <w:rFonts w:cstheme="minorHAnsi"/>
          <w:sz w:val="24"/>
          <w:szCs w:val="24"/>
        </w:rPr>
      </w:pPr>
      <w:r w:rsidRPr="00576A43">
        <w:rPr>
          <w:rFonts w:cstheme="minorHAnsi"/>
          <w:sz w:val="24"/>
          <w:szCs w:val="24"/>
        </w:rPr>
        <w:t xml:space="preserve">Guglielmi, D., </w:t>
      </w:r>
      <w:proofErr w:type="spellStart"/>
      <w:r w:rsidRPr="00576A43">
        <w:rPr>
          <w:rFonts w:cstheme="minorHAnsi"/>
          <w:sz w:val="24"/>
          <w:szCs w:val="24"/>
        </w:rPr>
        <w:t>Simbula</w:t>
      </w:r>
      <w:proofErr w:type="spellEnd"/>
      <w:r w:rsidRPr="00576A43">
        <w:rPr>
          <w:rFonts w:cstheme="minorHAnsi"/>
          <w:sz w:val="24"/>
          <w:szCs w:val="24"/>
        </w:rPr>
        <w:t xml:space="preserve">, S., Schaufeli, W. B., &amp; Depolo, M. (2012). Self-efficacy and workaholism as initiators of the job demands-resources model. </w:t>
      </w:r>
      <w:r w:rsidRPr="00576A43">
        <w:rPr>
          <w:rFonts w:cstheme="minorHAnsi"/>
          <w:i/>
          <w:iCs/>
          <w:sz w:val="24"/>
          <w:szCs w:val="24"/>
        </w:rPr>
        <w:t>Career Development International</w:t>
      </w:r>
      <w:r w:rsidRPr="00576A43">
        <w:rPr>
          <w:rFonts w:cstheme="minorHAnsi"/>
          <w:sz w:val="24"/>
          <w:szCs w:val="24"/>
        </w:rPr>
        <w:t xml:space="preserve">, 17, 375–389. </w:t>
      </w:r>
    </w:p>
    <w:p w14:paraId="74CF1248" w14:textId="6EF881DB" w:rsidR="00E54CB4" w:rsidRPr="00576A43" w:rsidRDefault="00E54CB4" w:rsidP="00E54CB4">
      <w:pPr>
        <w:spacing w:line="240" w:lineRule="auto"/>
        <w:ind w:hanging="720"/>
        <w:rPr>
          <w:rFonts w:cstheme="minorHAnsi"/>
          <w:sz w:val="24"/>
          <w:szCs w:val="24"/>
        </w:rPr>
      </w:pPr>
      <w:r w:rsidRPr="00576A43">
        <w:rPr>
          <w:rFonts w:cstheme="minorHAnsi"/>
          <w:sz w:val="24"/>
          <w:szCs w:val="24"/>
        </w:rPr>
        <w:t xml:space="preserve">Hausser, J. A., </w:t>
      </w:r>
      <w:proofErr w:type="spellStart"/>
      <w:r w:rsidRPr="00576A43">
        <w:rPr>
          <w:rFonts w:cstheme="minorHAnsi"/>
          <w:sz w:val="24"/>
          <w:szCs w:val="24"/>
        </w:rPr>
        <w:t>Mojzisch</w:t>
      </w:r>
      <w:proofErr w:type="spellEnd"/>
      <w:r w:rsidRPr="00576A43">
        <w:rPr>
          <w:rFonts w:cstheme="minorHAnsi"/>
          <w:sz w:val="24"/>
          <w:szCs w:val="24"/>
        </w:rPr>
        <w:t xml:space="preserve">, A., Niesel, M., &amp; Schulz-Hardt, S. 2010. Ten years on: A review of recent research on the Job Demand–Control (-Support) model and psychological well-being. </w:t>
      </w:r>
      <w:r w:rsidRPr="00576A43">
        <w:rPr>
          <w:rFonts w:cstheme="minorHAnsi"/>
          <w:i/>
          <w:iCs/>
          <w:sz w:val="24"/>
          <w:szCs w:val="24"/>
        </w:rPr>
        <w:t>Work and Stress</w:t>
      </w:r>
      <w:r w:rsidRPr="00576A43">
        <w:rPr>
          <w:rFonts w:cstheme="minorHAnsi"/>
          <w:sz w:val="24"/>
          <w:szCs w:val="24"/>
        </w:rPr>
        <w:t>, 24: 1–35.</w:t>
      </w:r>
    </w:p>
    <w:p w14:paraId="1EF47570" w14:textId="77672B94" w:rsidR="005E28FC" w:rsidRPr="00576A43" w:rsidRDefault="005E28FC" w:rsidP="00FF43B3">
      <w:pPr>
        <w:spacing w:line="240" w:lineRule="auto"/>
        <w:ind w:hanging="720"/>
        <w:rPr>
          <w:rFonts w:eastAsia="Times New Roman" w:cstheme="minorHAnsi"/>
          <w:sz w:val="24"/>
          <w:szCs w:val="24"/>
          <w:lang w:eastAsia="en-GB"/>
        </w:rPr>
      </w:pPr>
      <w:r w:rsidRPr="00576A43">
        <w:rPr>
          <w:rFonts w:eastAsia="Times New Roman" w:cstheme="minorHAnsi"/>
          <w:sz w:val="24"/>
          <w:szCs w:val="24"/>
          <w:lang w:eastAsia="en-GB"/>
        </w:rPr>
        <w:t xml:space="preserve">Hope, J., Schoonhoven, L., Griffiths, P., Gould, L., &amp; Bridges, J. (2022): ‘I'll put up with things for a long time before I need to call anybody’: Face work, the Total </w:t>
      </w:r>
      <w:proofErr w:type="gramStart"/>
      <w:r w:rsidRPr="00576A43">
        <w:rPr>
          <w:rFonts w:eastAsia="Times New Roman" w:cstheme="minorHAnsi"/>
          <w:sz w:val="24"/>
          <w:szCs w:val="24"/>
          <w:lang w:eastAsia="en-GB"/>
        </w:rPr>
        <w:t>Institution</w:t>
      </w:r>
      <w:proofErr w:type="gramEnd"/>
      <w:r w:rsidRPr="00576A43">
        <w:rPr>
          <w:rFonts w:eastAsia="Times New Roman" w:cstheme="minorHAnsi"/>
          <w:sz w:val="24"/>
          <w:szCs w:val="24"/>
          <w:lang w:eastAsia="en-GB"/>
        </w:rPr>
        <w:t xml:space="preserve"> and the perpetuation of care inequalities. </w:t>
      </w:r>
      <w:r w:rsidRPr="00576A43">
        <w:rPr>
          <w:rFonts w:eastAsia="Times New Roman" w:cstheme="minorHAnsi"/>
          <w:i/>
          <w:iCs/>
          <w:sz w:val="24"/>
          <w:szCs w:val="24"/>
          <w:lang w:eastAsia="en-GB"/>
        </w:rPr>
        <w:t>Sociology of Health &amp; Illness</w:t>
      </w:r>
      <w:r w:rsidRPr="00576A43">
        <w:rPr>
          <w:rFonts w:eastAsia="Times New Roman" w:cstheme="minorHAnsi"/>
          <w:sz w:val="24"/>
          <w:szCs w:val="24"/>
          <w:lang w:eastAsia="en-GB"/>
        </w:rPr>
        <w:t>, 44(2), 469–487.</w:t>
      </w:r>
    </w:p>
    <w:p w14:paraId="7A9B3D65" w14:textId="77777777" w:rsidR="00C70675" w:rsidRPr="00576A43" w:rsidRDefault="005E28FC" w:rsidP="00C70675">
      <w:pPr>
        <w:spacing w:line="240" w:lineRule="auto"/>
        <w:ind w:hanging="720"/>
        <w:rPr>
          <w:rFonts w:cstheme="minorHAnsi"/>
          <w:sz w:val="24"/>
          <w:szCs w:val="24"/>
          <w:shd w:val="clear" w:color="auto" w:fill="FFFFFF"/>
        </w:rPr>
      </w:pPr>
      <w:r w:rsidRPr="00576A43">
        <w:rPr>
          <w:rFonts w:cstheme="minorHAnsi"/>
          <w:sz w:val="24"/>
          <w:szCs w:val="24"/>
        </w:rPr>
        <w:t>Latzke, M</w:t>
      </w:r>
      <w:r w:rsidRPr="00576A43">
        <w:rPr>
          <w:rFonts w:cstheme="minorHAnsi"/>
          <w:b/>
          <w:bCs/>
          <w:sz w:val="24"/>
          <w:szCs w:val="24"/>
        </w:rPr>
        <w:t xml:space="preserve">., </w:t>
      </w:r>
      <w:r w:rsidRPr="00576A43">
        <w:rPr>
          <w:rStyle w:val="Strong"/>
          <w:rFonts w:cstheme="minorHAnsi"/>
          <w:b w:val="0"/>
          <w:bCs w:val="0"/>
          <w:sz w:val="24"/>
          <w:szCs w:val="24"/>
          <w:bdr w:val="none" w:sz="0" w:space="0" w:color="auto" w:frame="1"/>
        </w:rPr>
        <w:t>Van</w:t>
      </w:r>
      <w:r w:rsidRPr="00576A43">
        <w:rPr>
          <w:rFonts w:cstheme="minorHAnsi"/>
          <w:b/>
          <w:bCs/>
          <w:sz w:val="24"/>
          <w:szCs w:val="24"/>
        </w:rPr>
        <w:t> </w:t>
      </w:r>
      <w:r w:rsidRPr="00576A43">
        <w:rPr>
          <w:rStyle w:val="Strong"/>
          <w:rFonts w:cstheme="minorHAnsi"/>
          <w:b w:val="0"/>
          <w:bCs w:val="0"/>
          <w:sz w:val="24"/>
          <w:szCs w:val="24"/>
          <w:bdr w:val="none" w:sz="0" w:space="0" w:color="auto" w:frame="1"/>
        </w:rPr>
        <w:t>Der</w:t>
      </w:r>
      <w:r w:rsidRPr="00576A43">
        <w:rPr>
          <w:rFonts w:cstheme="minorHAnsi"/>
          <w:b/>
          <w:bCs/>
          <w:sz w:val="24"/>
          <w:szCs w:val="24"/>
        </w:rPr>
        <w:t> </w:t>
      </w:r>
      <w:r w:rsidRPr="00576A43">
        <w:rPr>
          <w:rStyle w:val="Strong"/>
          <w:rFonts w:cstheme="minorHAnsi"/>
          <w:b w:val="0"/>
          <w:bCs w:val="0"/>
          <w:sz w:val="24"/>
          <w:szCs w:val="24"/>
          <w:bdr w:val="none" w:sz="0" w:space="0" w:color="auto" w:frame="1"/>
        </w:rPr>
        <w:t>Heijden</w:t>
      </w:r>
      <w:r w:rsidRPr="00576A43">
        <w:rPr>
          <w:rFonts w:cstheme="minorHAnsi"/>
          <w:b/>
          <w:bCs/>
          <w:sz w:val="24"/>
          <w:szCs w:val="24"/>
        </w:rPr>
        <w:t xml:space="preserve">, </w:t>
      </w:r>
      <w:r w:rsidRPr="00576A43">
        <w:rPr>
          <w:rFonts w:cstheme="minorHAnsi"/>
          <w:sz w:val="24"/>
          <w:szCs w:val="24"/>
        </w:rPr>
        <w:t xml:space="preserve">B. Akkermans, J., et al. (2022). Sustainable Careers in Nursing: Focusing on health, </w:t>
      </w:r>
      <w:proofErr w:type="gramStart"/>
      <w:r w:rsidRPr="00576A43">
        <w:rPr>
          <w:rFonts w:cstheme="minorHAnsi"/>
          <w:sz w:val="24"/>
          <w:szCs w:val="24"/>
        </w:rPr>
        <w:t>happiness</w:t>
      </w:r>
      <w:proofErr w:type="gramEnd"/>
      <w:r w:rsidRPr="00576A43">
        <w:rPr>
          <w:rFonts w:cstheme="minorHAnsi"/>
          <w:sz w:val="24"/>
          <w:szCs w:val="24"/>
        </w:rPr>
        <w:t xml:space="preserve"> and productivity. </w:t>
      </w:r>
      <w:r w:rsidRPr="00576A43">
        <w:rPr>
          <w:rFonts w:cstheme="minorHAnsi"/>
          <w:i/>
          <w:iCs/>
          <w:sz w:val="24"/>
          <w:szCs w:val="24"/>
        </w:rPr>
        <w:t>Academy of Management Annual Meeting Proceedings</w:t>
      </w:r>
      <w:r w:rsidRPr="00576A43">
        <w:rPr>
          <w:rFonts w:cstheme="minorHAnsi"/>
          <w:sz w:val="24"/>
          <w:szCs w:val="24"/>
        </w:rPr>
        <w:t>. 2022(1), 1930.</w:t>
      </w:r>
      <w:r w:rsidRPr="00576A43">
        <w:rPr>
          <w:rFonts w:cstheme="minorHAnsi"/>
          <w:sz w:val="24"/>
          <w:szCs w:val="24"/>
          <w:shd w:val="clear" w:color="auto" w:fill="FFFFFF"/>
        </w:rPr>
        <w:t xml:space="preserve"> </w:t>
      </w:r>
    </w:p>
    <w:p w14:paraId="0F35283A" w14:textId="674C7116" w:rsidR="00C70675" w:rsidRPr="00576A43" w:rsidRDefault="00C70675" w:rsidP="00C70675">
      <w:pPr>
        <w:spacing w:line="240" w:lineRule="auto"/>
        <w:ind w:hanging="720"/>
        <w:rPr>
          <w:rFonts w:cstheme="minorHAnsi"/>
          <w:sz w:val="24"/>
          <w:szCs w:val="24"/>
          <w:shd w:val="clear" w:color="auto" w:fill="FFFFFF"/>
        </w:rPr>
      </w:pPr>
      <w:r w:rsidRPr="00576A43">
        <w:rPr>
          <w:rFonts w:cstheme="minorHAnsi"/>
          <w:sz w:val="24"/>
          <w:szCs w:val="24"/>
        </w:rPr>
        <w:t xml:space="preserve">Karasek, R. A. (1979). Job demands, job decision latitude, and mental strain: Implications for job redesign. </w:t>
      </w:r>
      <w:r w:rsidRPr="00576A43">
        <w:rPr>
          <w:rFonts w:cstheme="minorHAnsi"/>
          <w:i/>
          <w:iCs/>
          <w:sz w:val="24"/>
          <w:szCs w:val="24"/>
        </w:rPr>
        <w:t>Administrative Science Quarterly</w:t>
      </w:r>
      <w:r w:rsidRPr="00576A43">
        <w:rPr>
          <w:rFonts w:cstheme="minorHAnsi"/>
          <w:sz w:val="24"/>
          <w:szCs w:val="24"/>
        </w:rPr>
        <w:t>, 24, 285–308.</w:t>
      </w:r>
    </w:p>
    <w:p w14:paraId="053859DA" w14:textId="77777777" w:rsidR="004C24F4" w:rsidRPr="00576A43" w:rsidRDefault="004C24F4" w:rsidP="004C24F4">
      <w:pPr>
        <w:spacing w:line="240" w:lineRule="auto"/>
        <w:ind w:hanging="720"/>
        <w:rPr>
          <w:rFonts w:cstheme="minorHAnsi"/>
          <w:sz w:val="24"/>
          <w:szCs w:val="24"/>
          <w:shd w:val="clear" w:color="auto" w:fill="FFFFFF"/>
        </w:rPr>
      </w:pPr>
      <w:r w:rsidRPr="00576A43">
        <w:rPr>
          <w:rFonts w:cstheme="minorHAnsi"/>
          <w:sz w:val="24"/>
          <w:szCs w:val="24"/>
        </w:rPr>
        <w:t xml:space="preserve">Kemery, E. R. (2006). Clergy role stress and satisfaction: Role ambiguity </w:t>
      </w:r>
      <w:proofErr w:type="gramStart"/>
      <w:r w:rsidRPr="00576A43">
        <w:rPr>
          <w:rFonts w:cstheme="minorHAnsi"/>
          <w:sz w:val="24"/>
          <w:szCs w:val="24"/>
        </w:rPr>
        <w:t>isn’t</w:t>
      </w:r>
      <w:proofErr w:type="gramEnd"/>
      <w:r w:rsidRPr="00576A43">
        <w:rPr>
          <w:rFonts w:cstheme="minorHAnsi"/>
          <w:sz w:val="24"/>
          <w:szCs w:val="24"/>
        </w:rPr>
        <w:t xml:space="preserve"> always bad. </w:t>
      </w:r>
      <w:r w:rsidRPr="00576A43">
        <w:rPr>
          <w:rFonts w:cstheme="minorHAnsi"/>
          <w:i/>
          <w:iCs/>
          <w:sz w:val="24"/>
          <w:szCs w:val="24"/>
        </w:rPr>
        <w:t>Pastoral Psychology</w:t>
      </w:r>
      <w:r w:rsidRPr="00576A43">
        <w:rPr>
          <w:rFonts w:cstheme="minorHAnsi"/>
          <w:sz w:val="24"/>
          <w:szCs w:val="24"/>
        </w:rPr>
        <w:t>, 54, 561–570.</w:t>
      </w:r>
    </w:p>
    <w:p w14:paraId="6C84CBAD" w14:textId="77777777" w:rsidR="004C24F4" w:rsidRPr="00576A43" w:rsidRDefault="004C24F4" w:rsidP="004C24F4">
      <w:pPr>
        <w:spacing w:line="240" w:lineRule="auto"/>
        <w:ind w:hanging="720"/>
        <w:rPr>
          <w:rFonts w:cstheme="minorHAnsi"/>
          <w:sz w:val="24"/>
          <w:szCs w:val="24"/>
          <w:shd w:val="clear" w:color="auto" w:fill="FFFFFF"/>
        </w:rPr>
      </w:pPr>
      <w:proofErr w:type="spellStart"/>
      <w:r w:rsidRPr="00576A43">
        <w:rPr>
          <w:rFonts w:cstheme="minorHAnsi"/>
          <w:sz w:val="24"/>
          <w:szCs w:val="24"/>
        </w:rPr>
        <w:t>Kirmeyer</w:t>
      </w:r>
      <w:proofErr w:type="spellEnd"/>
      <w:r w:rsidRPr="00576A43">
        <w:rPr>
          <w:rFonts w:cstheme="minorHAnsi"/>
          <w:sz w:val="24"/>
          <w:szCs w:val="24"/>
        </w:rPr>
        <w:t xml:space="preserve">, S. L., &amp; Dougherty, T. W. (1988). Workload, tension, and coping: Moderating effects of supervisor support. </w:t>
      </w:r>
      <w:r w:rsidRPr="00576A43">
        <w:rPr>
          <w:rFonts w:cstheme="minorHAnsi"/>
          <w:i/>
          <w:iCs/>
          <w:sz w:val="24"/>
          <w:szCs w:val="24"/>
        </w:rPr>
        <w:t>Personnel Psychology</w:t>
      </w:r>
      <w:r w:rsidRPr="00576A43">
        <w:rPr>
          <w:rFonts w:cstheme="minorHAnsi"/>
          <w:sz w:val="24"/>
          <w:szCs w:val="24"/>
        </w:rPr>
        <w:t>, 41,125–139.</w:t>
      </w:r>
    </w:p>
    <w:p w14:paraId="5D369096" w14:textId="500EBD47" w:rsidR="004C24F4" w:rsidRPr="00576A43" w:rsidRDefault="004C24F4" w:rsidP="004C24F4">
      <w:pPr>
        <w:spacing w:line="240" w:lineRule="auto"/>
        <w:ind w:hanging="720"/>
        <w:rPr>
          <w:rFonts w:cstheme="minorHAnsi"/>
          <w:sz w:val="24"/>
          <w:szCs w:val="24"/>
          <w:shd w:val="clear" w:color="auto" w:fill="FFFFFF"/>
        </w:rPr>
      </w:pPr>
      <w:r w:rsidRPr="00576A43">
        <w:rPr>
          <w:rFonts w:cstheme="minorHAnsi"/>
          <w:sz w:val="24"/>
          <w:szCs w:val="24"/>
        </w:rPr>
        <w:t xml:space="preserve">Kristensen, T., Borritz, M., Villadsen, E., &amp; Christensen, K. (2005). The Copenhagen Burnout Inventory: A new tool for the assessment of burnout. </w:t>
      </w:r>
      <w:r w:rsidRPr="00576A43">
        <w:rPr>
          <w:rFonts w:cstheme="minorHAnsi"/>
          <w:i/>
          <w:iCs/>
          <w:sz w:val="24"/>
          <w:szCs w:val="24"/>
        </w:rPr>
        <w:t>Work &amp; Stress</w:t>
      </w:r>
      <w:r w:rsidRPr="00576A43">
        <w:rPr>
          <w:rFonts w:cstheme="minorHAnsi"/>
          <w:sz w:val="24"/>
          <w:szCs w:val="24"/>
        </w:rPr>
        <w:t xml:space="preserve">, 19(3), 192-207. </w:t>
      </w:r>
    </w:p>
    <w:p w14:paraId="6BF75E18" w14:textId="66922FFF" w:rsidR="005E28FC" w:rsidRPr="00576A43" w:rsidRDefault="005E28FC" w:rsidP="00FF43B3">
      <w:pPr>
        <w:spacing w:line="240" w:lineRule="auto"/>
        <w:ind w:hanging="720"/>
        <w:rPr>
          <w:rFonts w:eastAsia="Times New Roman" w:cstheme="minorHAnsi"/>
          <w:sz w:val="24"/>
          <w:szCs w:val="24"/>
          <w:lang w:eastAsia="en-GB"/>
        </w:rPr>
      </w:pPr>
      <w:r w:rsidRPr="00576A43">
        <w:rPr>
          <w:rFonts w:eastAsia="Times New Roman" w:cstheme="minorHAnsi"/>
          <w:sz w:val="24"/>
          <w:szCs w:val="24"/>
          <w:lang w:eastAsia="en-GB"/>
        </w:rPr>
        <w:t xml:space="preserve">Laub, J.H., Nagin, D.S., &amp; Sampson, R.J. (1998). Trajectories of Change in Criminal Offending: Good Marriages and the Desistance Process. </w:t>
      </w:r>
      <w:r w:rsidRPr="00576A43">
        <w:rPr>
          <w:rFonts w:eastAsia="Times New Roman" w:cstheme="minorHAnsi"/>
          <w:i/>
          <w:iCs/>
          <w:sz w:val="24"/>
          <w:szCs w:val="24"/>
          <w:lang w:eastAsia="en-GB"/>
        </w:rPr>
        <w:t>American Sociological Review</w:t>
      </w:r>
      <w:r w:rsidRPr="00576A43">
        <w:rPr>
          <w:rFonts w:eastAsia="Times New Roman" w:cstheme="minorHAnsi"/>
          <w:sz w:val="24"/>
          <w:szCs w:val="24"/>
          <w:lang w:eastAsia="en-GB"/>
        </w:rPr>
        <w:t>, 63, 225–249.</w:t>
      </w:r>
    </w:p>
    <w:p w14:paraId="1CFE3CBC" w14:textId="153911F3" w:rsidR="00E26C48" w:rsidRPr="00576A43" w:rsidRDefault="00D2257F" w:rsidP="00FF43B3">
      <w:pPr>
        <w:spacing w:line="240" w:lineRule="auto"/>
        <w:ind w:hanging="720"/>
        <w:rPr>
          <w:rFonts w:cstheme="minorHAnsi"/>
          <w:sz w:val="24"/>
          <w:szCs w:val="24"/>
        </w:rPr>
      </w:pPr>
      <w:r w:rsidRPr="00576A43">
        <w:rPr>
          <w:rFonts w:cstheme="minorHAnsi"/>
          <w:sz w:val="24"/>
          <w:szCs w:val="24"/>
        </w:rPr>
        <w:t xml:space="preserve">Lee, R.T., &amp; Ashforth, B.E. (1996). A meta-analytic examination of the correlates of the three dimensions of job burnout. </w:t>
      </w:r>
      <w:r w:rsidRPr="00576A43">
        <w:rPr>
          <w:rFonts w:cstheme="minorHAnsi"/>
          <w:i/>
          <w:iCs/>
          <w:sz w:val="24"/>
          <w:szCs w:val="24"/>
        </w:rPr>
        <w:t>Journal of Applied Psychology</w:t>
      </w:r>
      <w:r w:rsidRPr="00576A43">
        <w:rPr>
          <w:rFonts w:cstheme="minorHAnsi"/>
          <w:sz w:val="24"/>
          <w:szCs w:val="24"/>
        </w:rPr>
        <w:t>, 81(2), 123-133.</w:t>
      </w:r>
    </w:p>
    <w:p w14:paraId="66892727" w14:textId="36B002EC" w:rsidR="00D4584D" w:rsidRPr="00576A43" w:rsidRDefault="00D4584D" w:rsidP="00FF43B3">
      <w:pPr>
        <w:spacing w:line="240" w:lineRule="auto"/>
        <w:ind w:hanging="720"/>
        <w:rPr>
          <w:rFonts w:eastAsia="Times New Roman" w:cstheme="minorHAnsi"/>
          <w:sz w:val="24"/>
          <w:szCs w:val="24"/>
          <w:lang w:eastAsia="en-GB"/>
        </w:rPr>
      </w:pPr>
      <w:r w:rsidRPr="00576A43">
        <w:rPr>
          <w:rFonts w:cstheme="minorHAnsi"/>
          <w:sz w:val="24"/>
          <w:szCs w:val="24"/>
        </w:rPr>
        <w:t xml:space="preserve">Maslach, C., &amp; Leiter, M. P. (1997). </w:t>
      </w:r>
      <w:r w:rsidRPr="00576A43">
        <w:rPr>
          <w:rFonts w:cstheme="minorHAnsi"/>
          <w:i/>
          <w:iCs/>
          <w:sz w:val="24"/>
          <w:szCs w:val="24"/>
        </w:rPr>
        <w:t>The Truth about Burnout</w:t>
      </w:r>
      <w:r w:rsidRPr="00576A43">
        <w:rPr>
          <w:rFonts w:cstheme="minorHAnsi"/>
          <w:sz w:val="24"/>
          <w:szCs w:val="24"/>
        </w:rPr>
        <w:t>. Jossey-Bass</w:t>
      </w:r>
    </w:p>
    <w:p w14:paraId="0190E9A2" w14:textId="77777777" w:rsidR="005B072C" w:rsidRPr="00576A43" w:rsidRDefault="005E28FC" w:rsidP="005B072C">
      <w:pPr>
        <w:spacing w:line="240" w:lineRule="auto"/>
        <w:ind w:hanging="720"/>
        <w:rPr>
          <w:rFonts w:cstheme="minorHAnsi"/>
          <w:sz w:val="24"/>
          <w:szCs w:val="24"/>
        </w:rPr>
      </w:pPr>
      <w:r w:rsidRPr="00576A43">
        <w:rPr>
          <w:rFonts w:cstheme="minorHAnsi"/>
          <w:sz w:val="24"/>
          <w:szCs w:val="24"/>
        </w:rPr>
        <w:t xml:space="preserve">Meduri, Y., &amp; Jindal, P. (2021). Manager’s Role in Employee Turnover Intentions: A Special Study During Covid-19. </w:t>
      </w:r>
      <w:r w:rsidRPr="00576A43">
        <w:rPr>
          <w:rFonts w:cstheme="minorHAnsi"/>
          <w:i/>
          <w:iCs/>
          <w:sz w:val="24"/>
          <w:szCs w:val="24"/>
        </w:rPr>
        <w:t xml:space="preserve">IUP Journal of Organizational </w:t>
      </w:r>
      <w:proofErr w:type="spellStart"/>
      <w:r w:rsidRPr="00576A43">
        <w:rPr>
          <w:rFonts w:cstheme="minorHAnsi"/>
          <w:i/>
          <w:iCs/>
          <w:sz w:val="24"/>
          <w:szCs w:val="24"/>
        </w:rPr>
        <w:t>Behavior</w:t>
      </w:r>
      <w:proofErr w:type="spellEnd"/>
      <w:r w:rsidRPr="00576A43">
        <w:rPr>
          <w:rFonts w:cstheme="minorHAnsi"/>
          <w:sz w:val="24"/>
          <w:szCs w:val="24"/>
        </w:rPr>
        <w:t>, 20(4), 98-122.</w:t>
      </w:r>
    </w:p>
    <w:p w14:paraId="79BDA8C9" w14:textId="77777777" w:rsidR="005B072C" w:rsidRPr="00576A43" w:rsidRDefault="005B072C" w:rsidP="005B072C">
      <w:pPr>
        <w:spacing w:line="240" w:lineRule="auto"/>
        <w:ind w:hanging="720"/>
        <w:rPr>
          <w:rFonts w:cstheme="minorHAnsi"/>
          <w:sz w:val="24"/>
          <w:szCs w:val="24"/>
        </w:rPr>
      </w:pPr>
      <w:r w:rsidRPr="00576A43">
        <w:rPr>
          <w:rFonts w:cstheme="minorHAnsi"/>
          <w:sz w:val="24"/>
          <w:szCs w:val="24"/>
          <w:shd w:val="clear" w:color="auto" w:fill="FFFFFF"/>
        </w:rPr>
        <w:lastRenderedPageBreak/>
        <w:t>Ong, W. J., &amp; Johnson, M. D. (2023). Toward a configural theory of job demands and resources. </w:t>
      </w:r>
      <w:r w:rsidRPr="00576A43">
        <w:rPr>
          <w:rFonts w:cstheme="minorHAnsi"/>
          <w:i/>
          <w:iCs/>
          <w:sz w:val="24"/>
          <w:szCs w:val="24"/>
          <w:shd w:val="clear" w:color="auto" w:fill="FFFFFF"/>
        </w:rPr>
        <w:t>Academy of Management Journal</w:t>
      </w:r>
      <w:r w:rsidRPr="00576A43">
        <w:rPr>
          <w:rFonts w:cstheme="minorHAnsi"/>
          <w:sz w:val="24"/>
          <w:szCs w:val="24"/>
          <w:shd w:val="clear" w:color="auto" w:fill="FFFFFF"/>
        </w:rPr>
        <w:t>, 66(1), 195-221.</w:t>
      </w:r>
    </w:p>
    <w:p w14:paraId="52D4611F" w14:textId="7964DB1E" w:rsidR="005E28FC" w:rsidRPr="00576A43" w:rsidRDefault="005B072C" w:rsidP="005B072C">
      <w:pPr>
        <w:spacing w:line="240" w:lineRule="auto"/>
        <w:ind w:hanging="720"/>
        <w:rPr>
          <w:rFonts w:cstheme="minorHAnsi"/>
          <w:sz w:val="24"/>
          <w:szCs w:val="24"/>
        </w:rPr>
      </w:pPr>
      <w:r w:rsidRPr="00576A43">
        <w:rPr>
          <w:rFonts w:cstheme="minorHAnsi"/>
          <w:sz w:val="24"/>
          <w:szCs w:val="24"/>
        </w:rPr>
        <w:t xml:space="preserve">Parker, S. K., &amp; Sprigg, C. A. 1999. Minimizing strain and maximizing learning: The role of job demands, job control, and proactive personality. </w:t>
      </w:r>
      <w:r w:rsidRPr="00576A43">
        <w:rPr>
          <w:rFonts w:cstheme="minorHAnsi"/>
          <w:i/>
          <w:iCs/>
          <w:sz w:val="24"/>
          <w:szCs w:val="24"/>
        </w:rPr>
        <w:t>Journal of Applied Psychology</w:t>
      </w:r>
      <w:r w:rsidRPr="00576A43">
        <w:rPr>
          <w:rFonts w:cstheme="minorHAnsi"/>
          <w:sz w:val="24"/>
          <w:szCs w:val="24"/>
        </w:rPr>
        <w:t>, 84, 925–939</w:t>
      </w:r>
      <w:r w:rsidR="005E28FC" w:rsidRPr="00576A43">
        <w:rPr>
          <w:rFonts w:eastAsia="Times New Roman" w:cstheme="minorHAnsi"/>
          <w:sz w:val="24"/>
          <w:szCs w:val="24"/>
          <w:lang w:eastAsia="en-GB"/>
        </w:rPr>
        <w:t>.</w:t>
      </w:r>
    </w:p>
    <w:p w14:paraId="6DFCEDF1" w14:textId="71F76B2F" w:rsidR="00002771" w:rsidRPr="00576A43" w:rsidRDefault="00974B01" w:rsidP="00FF43B3">
      <w:pPr>
        <w:spacing w:line="240" w:lineRule="auto"/>
        <w:ind w:hanging="720"/>
        <w:rPr>
          <w:rFonts w:eastAsia="Times New Roman" w:cstheme="minorHAnsi"/>
          <w:sz w:val="24"/>
          <w:szCs w:val="24"/>
          <w:lang w:eastAsia="en-GB"/>
        </w:rPr>
      </w:pPr>
      <w:r w:rsidRPr="00576A43">
        <w:rPr>
          <w:rFonts w:cstheme="minorHAnsi"/>
          <w:sz w:val="24"/>
          <w:szCs w:val="24"/>
          <w:shd w:val="clear" w:color="auto" w:fill="FFFFFF"/>
        </w:rPr>
        <w:t xml:space="preserve">Sampson, R.J., &amp; </w:t>
      </w:r>
      <w:r w:rsidR="00975FD6" w:rsidRPr="00576A43">
        <w:rPr>
          <w:rFonts w:cstheme="minorHAnsi"/>
          <w:sz w:val="24"/>
          <w:szCs w:val="24"/>
          <w:shd w:val="clear" w:color="auto" w:fill="FFFFFF"/>
        </w:rPr>
        <w:t xml:space="preserve">Laub, </w:t>
      </w:r>
      <w:r w:rsidRPr="00576A43">
        <w:rPr>
          <w:rFonts w:cstheme="minorHAnsi"/>
          <w:sz w:val="24"/>
          <w:szCs w:val="24"/>
          <w:shd w:val="clear" w:color="auto" w:fill="FFFFFF"/>
        </w:rPr>
        <w:t>J.H. (1996). Socioeconomic achievement in the life course of disadvantaged men: Military service as a turning point, circa 1940-1965. </w:t>
      </w:r>
      <w:r w:rsidRPr="00576A43">
        <w:rPr>
          <w:rFonts w:cstheme="minorHAnsi"/>
          <w:i/>
          <w:iCs/>
          <w:sz w:val="24"/>
          <w:szCs w:val="24"/>
          <w:shd w:val="clear" w:color="auto" w:fill="FFFFFF"/>
        </w:rPr>
        <w:t>American Sociological Review</w:t>
      </w:r>
      <w:r w:rsidRPr="00576A43">
        <w:rPr>
          <w:rFonts w:cstheme="minorHAnsi"/>
          <w:sz w:val="24"/>
          <w:szCs w:val="24"/>
          <w:shd w:val="clear" w:color="auto" w:fill="FFFFFF"/>
        </w:rPr>
        <w:t>, 347-367.</w:t>
      </w:r>
    </w:p>
    <w:p w14:paraId="7EAC9AAF" w14:textId="3EB732D2" w:rsidR="00FF43B3" w:rsidRPr="00576A43" w:rsidRDefault="005E28FC" w:rsidP="00FF43B3">
      <w:pPr>
        <w:spacing w:line="240" w:lineRule="auto"/>
        <w:ind w:hanging="720"/>
        <w:contextualSpacing/>
        <w:rPr>
          <w:rFonts w:cstheme="minorHAnsi"/>
          <w:sz w:val="24"/>
          <w:szCs w:val="24"/>
          <w:shd w:val="clear" w:color="auto" w:fill="FFFFFF"/>
        </w:rPr>
      </w:pPr>
      <w:r w:rsidRPr="00576A43">
        <w:rPr>
          <w:rFonts w:cstheme="minorHAnsi"/>
          <w:sz w:val="24"/>
          <w:szCs w:val="24"/>
          <w:shd w:val="clear" w:color="auto" w:fill="FFFFFF"/>
        </w:rPr>
        <w:t xml:space="preserve">Sampson, R.J., Laub, J.H., &amp; Wimer, C. (2006), Does marriage reduce crime? A counterfactual approach to within-individual causal effects. </w:t>
      </w:r>
      <w:r w:rsidRPr="00576A43">
        <w:rPr>
          <w:rFonts w:cstheme="minorHAnsi"/>
          <w:i/>
          <w:iCs/>
          <w:sz w:val="24"/>
          <w:szCs w:val="24"/>
          <w:shd w:val="clear" w:color="auto" w:fill="FFFFFF"/>
        </w:rPr>
        <w:t>Criminology</w:t>
      </w:r>
      <w:r w:rsidRPr="00576A43">
        <w:rPr>
          <w:rFonts w:cstheme="minorHAnsi"/>
          <w:sz w:val="24"/>
          <w:szCs w:val="24"/>
          <w:shd w:val="clear" w:color="auto" w:fill="FFFFFF"/>
        </w:rPr>
        <w:t>, 44, 465-508.</w:t>
      </w:r>
    </w:p>
    <w:p w14:paraId="152576E3" w14:textId="77777777" w:rsidR="00FF43B3" w:rsidRPr="00576A43" w:rsidRDefault="00FF43B3" w:rsidP="00FF43B3">
      <w:pPr>
        <w:spacing w:line="240" w:lineRule="auto"/>
        <w:ind w:hanging="720"/>
        <w:contextualSpacing/>
        <w:rPr>
          <w:rFonts w:cstheme="minorHAnsi"/>
          <w:sz w:val="24"/>
          <w:szCs w:val="24"/>
          <w:shd w:val="clear" w:color="auto" w:fill="FFFFFF"/>
        </w:rPr>
      </w:pPr>
    </w:p>
    <w:p w14:paraId="3EF3287A" w14:textId="1DE53EF2" w:rsidR="005E28FC" w:rsidRPr="00576A43" w:rsidRDefault="005E28FC" w:rsidP="00FF43B3">
      <w:pPr>
        <w:spacing w:line="240" w:lineRule="auto"/>
        <w:ind w:hanging="720"/>
        <w:contextualSpacing/>
        <w:rPr>
          <w:rFonts w:cstheme="minorHAnsi"/>
          <w:sz w:val="24"/>
          <w:szCs w:val="24"/>
          <w:shd w:val="clear" w:color="auto" w:fill="FFFFFF"/>
        </w:rPr>
      </w:pPr>
      <w:r w:rsidRPr="00576A43">
        <w:rPr>
          <w:rFonts w:cstheme="minorHAnsi"/>
          <w:sz w:val="24"/>
          <w:szCs w:val="24"/>
          <w:shd w:val="clear" w:color="auto" w:fill="FFFFFF"/>
        </w:rPr>
        <w:t>Schaufeli, W.B., &amp; </w:t>
      </w:r>
      <w:hyperlink r:id="rId9" w:history="1">
        <w:r w:rsidRPr="00576A43">
          <w:rPr>
            <w:rStyle w:val="Hyperlink"/>
            <w:rFonts w:cstheme="minorHAnsi"/>
            <w:color w:val="auto"/>
            <w:sz w:val="24"/>
            <w:szCs w:val="24"/>
            <w:u w:val="none"/>
            <w:shd w:val="clear" w:color="auto" w:fill="FFFFFF"/>
          </w:rPr>
          <w:t>Bakker, A.</w:t>
        </w:r>
      </w:hyperlink>
      <w:r w:rsidRPr="00576A43">
        <w:rPr>
          <w:rFonts w:cstheme="minorHAnsi"/>
          <w:sz w:val="24"/>
          <w:szCs w:val="24"/>
        </w:rPr>
        <w:t>B.</w:t>
      </w:r>
      <w:r w:rsidRPr="00576A43">
        <w:rPr>
          <w:rFonts w:cstheme="minorHAnsi"/>
          <w:sz w:val="24"/>
          <w:szCs w:val="24"/>
          <w:shd w:val="clear" w:color="auto" w:fill="FFFFFF"/>
        </w:rPr>
        <w:t> (</w:t>
      </w:r>
      <w:r w:rsidRPr="00576A43">
        <w:rPr>
          <w:rStyle w:val="Date2"/>
          <w:rFonts w:cstheme="minorHAnsi"/>
          <w:sz w:val="24"/>
          <w:szCs w:val="24"/>
          <w:shd w:val="clear" w:color="auto" w:fill="FFFFFF"/>
        </w:rPr>
        <w:t>2003</w:t>
      </w:r>
      <w:r w:rsidRPr="00576A43">
        <w:rPr>
          <w:rFonts w:cstheme="minorHAnsi"/>
          <w:sz w:val="24"/>
          <w:szCs w:val="24"/>
          <w:shd w:val="clear" w:color="auto" w:fill="FFFFFF"/>
        </w:rPr>
        <w:t xml:space="preserve">). </w:t>
      </w:r>
      <w:hyperlink r:id="rId10" w:history="1">
        <w:r w:rsidRPr="00576A43">
          <w:rPr>
            <w:rStyle w:val="Hyperlink"/>
            <w:rFonts w:cstheme="minorHAnsi"/>
            <w:i/>
            <w:iCs/>
            <w:color w:val="auto"/>
            <w:sz w:val="24"/>
            <w:szCs w:val="24"/>
            <w:u w:val="none"/>
          </w:rPr>
          <w:t>The Utrecht Work Engagement Scale (UWES)</w:t>
        </w:r>
        <w:r w:rsidRPr="00576A43">
          <w:rPr>
            <w:rStyle w:val="Hyperlink"/>
            <w:rFonts w:cstheme="minorHAnsi"/>
            <w:color w:val="auto"/>
            <w:sz w:val="24"/>
            <w:szCs w:val="24"/>
            <w:u w:val="none"/>
          </w:rPr>
          <w:t>. Test manual</w:t>
        </w:r>
      </w:hyperlink>
      <w:r w:rsidRPr="00576A43">
        <w:rPr>
          <w:rFonts w:cstheme="minorHAnsi"/>
          <w:sz w:val="24"/>
          <w:szCs w:val="24"/>
        </w:rPr>
        <w:t xml:space="preserve">, </w:t>
      </w:r>
      <w:r w:rsidRPr="00576A43">
        <w:rPr>
          <w:rFonts w:cstheme="minorHAnsi"/>
          <w:sz w:val="24"/>
          <w:szCs w:val="24"/>
          <w:shd w:val="clear" w:color="auto" w:fill="FFFFFF"/>
        </w:rPr>
        <w:t>Utrecht.</w:t>
      </w:r>
    </w:p>
    <w:p w14:paraId="3F93CBF4" w14:textId="4151319E" w:rsidR="00FF43B3" w:rsidRPr="00576A43" w:rsidRDefault="005E28FC" w:rsidP="00FF43B3">
      <w:pPr>
        <w:pStyle w:val="Heading3"/>
        <w:shd w:val="clear" w:color="auto" w:fill="FFFFFF"/>
        <w:spacing w:before="0" w:after="160"/>
        <w:ind w:hanging="720"/>
        <w:rPr>
          <w:rFonts w:asciiTheme="minorHAnsi" w:hAnsiTheme="minorHAnsi" w:cstheme="minorHAnsi"/>
          <w:color w:val="auto"/>
          <w:shd w:val="clear" w:color="auto" w:fill="FFFFFF"/>
        </w:rPr>
      </w:pPr>
      <w:r w:rsidRPr="00576A43">
        <w:rPr>
          <w:rFonts w:asciiTheme="minorHAnsi" w:hAnsiTheme="minorHAnsi" w:cstheme="minorHAnsi"/>
          <w:color w:val="auto"/>
          <w:shd w:val="clear" w:color="auto" w:fill="FFFFFF"/>
        </w:rPr>
        <w:t>Schaufeli, W.B., &amp; </w:t>
      </w:r>
      <w:hyperlink r:id="rId11" w:history="1">
        <w:r w:rsidRPr="00576A43">
          <w:rPr>
            <w:rStyle w:val="Hyperlink"/>
            <w:rFonts w:asciiTheme="minorHAnsi" w:hAnsiTheme="minorHAnsi" w:cstheme="minorHAnsi"/>
            <w:color w:val="auto"/>
            <w:u w:val="none"/>
            <w:shd w:val="clear" w:color="auto" w:fill="FFFFFF"/>
          </w:rPr>
          <w:t>Bakker, A. B.</w:t>
        </w:r>
      </w:hyperlink>
      <w:r w:rsidRPr="00576A43">
        <w:rPr>
          <w:rStyle w:val="Date2"/>
          <w:rFonts w:asciiTheme="minorHAnsi" w:hAnsiTheme="minorHAnsi" w:cstheme="minorHAnsi"/>
          <w:color w:val="auto"/>
          <w:shd w:val="clear" w:color="auto" w:fill="FFFFFF"/>
        </w:rPr>
        <w:t xml:space="preserve"> (2010</w:t>
      </w:r>
      <w:r w:rsidRPr="00576A43">
        <w:rPr>
          <w:rFonts w:asciiTheme="minorHAnsi" w:hAnsiTheme="minorHAnsi" w:cstheme="minorHAnsi"/>
          <w:color w:val="auto"/>
          <w:shd w:val="clear" w:color="auto" w:fill="FFFFFF"/>
        </w:rPr>
        <w:t xml:space="preserve">). </w:t>
      </w:r>
      <w:hyperlink r:id="rId12" w:history="1">
        <w:r w:rsidRPr="00576A43">
          <w:rPr>
            <w:rStyle w:val="Hyperlink"/>
            <w:rFonts w:asciiTheme="minorHAnsi" w:hAnsiTheme="minorHAnsi" w:cstheme="minorHAnsi"/>
            <w:color w:val="auto"/>
            <w:u w:val="none"/>
          </w:rPr>
          <w:t>Defining and measuring work engagement: Bringing clarity to the concept</w:t>
        </w:r>
      </w:hyperlink>
      <w:r w:rsidRPr="00576A43">
        <w:rPr>
          <w:rFonts w:asciiTheme="minorHAnsi" w:hAnsiTheme="minorHAnsi" w:cstheme="minorHAnsi"/>
          <w:color w:val="auto"/>
        </w:rPr>
        <w:t xml:space="preserve">. </w:t>
      </w:r>
      <w:r w:rsidRPr="00576A43">
        <w:rPr>
          <w:rStyle w:val="Emphasis"/>
          <w:rFonts w:asciiTheme="minorHAnsi" w:hAnsiTheme="minorHAnsi" w:cstheme="minorHAnsi"/>
          <w:color w:val="auto"/>
          <w:shd w:val="clear" w:color="auto" w:fill="FFFFFF"/>
        </w:rPr>
        <w:t>Work Engagement: A Handbook of Essential Theory and Research.</w:t>
      </w:r>
      <w:r w:rsidRPr="00576A43">
        <w:rPr>
          <w:rFonts w:asciiTheme="minorHAnsi" w:hAnsiTheme="minorHAnsi" w:cstheme="minorHAnsi"/>
          <w:color w:val="auto"/>
          <w:shd w:val="clear" w:color="auto" w:fill="FFFFFF"/>
        </w:rPr>
        <w:t> </w:t>
      </w:r>
      <w:hyperlink r:id="rId13" w:history="1">
        <w:r w:rsidRPr="00576A43">
          <w:rPr>
            <w:rStyle w:val="Hyperlink"/>
            <w:rFonts w:asciiTheme="minorHAnsi" w:hAnsiTheme="minorHAnsi" w:cstheme="minorHAnsi"/>
            <w:color w:val="auto"/>
            <w:u w:val="none"/>
            <w:shd w:val="clear" w:color="auto" w:fill="FFFFFF"/>
          </w:rPr>
          <w:t>Psychology Press (Taylor &amp; Francis Group)</w:t>
        </w:r>
      </w:hyperlink>
      <w:r w:rsidRPr="00576A43">
        <w:rPr>
          <w:rFonts w:asciiTheme="minorHAnsi" w:hAnsiTheme="minorHAnsi" w:cstheme="minorHAnsi"/>
          <w:color w:val="auto"/>
          <w:shd w:val="clear" w:color="auto" w:fill="FFFFFF"/>
        </w:rPr>
        <w:t>, </w:t>
      </w:r>
      <w:r w:rsidRPr="00576A43">
        <w:rPr>
          <w:rStyle w:val="pages"/>
          <w:rFonts w:asciiTheme="minorHAnsi" w:hAnsiTheme="minorHAnsi" w:cstheme="minorHAnsi"/>
          <w:color w:val="auto"/>
          <w:shd w:val="clear" w:color="auto" w:fill="FFFFFF"/>
        </w:rPr>
        <w:t>10-24.</w:t>
      </w:r>
      <w:r w:rsidRPr="00576A43">
        <w:rPr>
          <w:rFonts w:asciiTheme="minorHAnsi" w:hAnsiTheme="minorHAnsi" w:cstheme="minorHAnsi"/>
          <w:color w:val="auto"/>
          <w:shd w:val="clear" w:color="auto" w:fill="FFFFFF"/>
        </w:rPr>
        <w:t> </w:t>
      </w:r>
    </w:p>
    <w:p w14:paraId="5D098CAE" w14:textId="77777777" w:rsidR="00432815" w:rsidRPr="00576A43" w:rsidRDefault="00AB28C0" w:rsidP="00432815">
      <w:pPr>
        <w:pStyle w:val="Heading3"/>
        <w:shd w:val="clear" w:color="auto" w:fill="FFFFFF"/>
        <w:spacing w:before="0" w:after="160"/>
        <w:ind w:hanging="720"/>
        <w:rPr>
          <w:rFonts w:asciiTheme="minorHAnsi" w:hAnsiTheme="minorHAnsi" w:cstheme="minorHAnsi"/>
          <w:color w:val="auto"/>
        </w:rPr>
      </w:pPr>
      <w:r w:rsidRPr="00576A43">
        <w:rPr>
          <w:rFonts w:asciiTheme="minorHAnsi" w:hAnsiTheme="minorHAnsi" w:cstheme="minorHAnsi"/>
          <w:color w:val="auto"/>
        </w:rPr>
        <w:t xml:space="preserve">Seibert, S.E., Akkermans, J., &amp; Liu, C-H. (2024). Understanding contemporary career success: A critical review. Annual Review of Organizational Psychology and Organizational </w:t>
      </w:r>
      <w:proofErr w:type="spellStart"/>
      <w:r w:rsidRPr="00576A43">
        <w:rPr>
          <w:rFonts w:asciiTheme="minorHAnsi" w:hAnsiTheme="minorHAnsi" w:cstheme="minorHAnsi"/>
          <w:color w:val="auto"/>
        </w:rPr>
        <w:t>Behavior</w:t>
      </w:r>
      <w:proofErr w:type="spellEnd"/>
      <w:r w:rsidRPr="00576A43">
        <w:rPr>
          <w:rFonts w:asciiTheme="minorHAnsi" w:hAnsiTheme="minorHAnsi" w:cstheme="minorHAnsi"/>
          <w:color w:val="auto"/>
        </w:rPr>
        <w:t>, 11.</w:t>
      </w:r>
    </w:p>
    <w:p w14:paraId="7ADDBB67" w14:textId="2C7D4695" w:rsidR="00432815" w:rsidRPr="00576A43" w:rsidRDefault="00432815" w:rsidP="00432815">
      <w:pPr>
        <w:pStyle w:val="Heading3"/>
        <w:shd w:val="clear" w:color="auto" w:fill="FFFFFF"/>
        <w:spacing w:before="0" w:after="160"/>
        <w:ind w:hanging="720"/>
        <w:rPr>
          <w:rFonts w:asciiTheme="minorHAnsi" w:hAnsiTheme="minorHAnsi" w:cstheme="minorHAnsi"/>
          <w:color w:val="auto"/>
        </w:rPr>
      </w:pPr>
      <w:r w:rsidRPr="00576A43">
        <w:rPr>
          <w:rFonts w:asciiTheme="minorHAnsi" w:hAnsiTheme="minorHAnsi" w:cstheme="minorHAnsi"/>
          <w:color w:val="auto"/>
        </w:rPr>
        <w:t xml:space="preserve">Sonnentag, S., Tay, L., &amp; Nesher Shoshan, H. (2023). A review on health and well-being at work: more than stressors and strains. </w:t>
      </w:r>
      <w:r w:rsidRPr="00576A43">
        <w:rPr>
          <w:rFonts w:asciiTheme="minorHAnsi" w:hAnsiTheme="minorHAnsi" w:cstheme="minorHAnsi"/>
          <w:i/>
          <w:iCs/>
          <w:color w:val="auto"/>
        </w:rPr>
        <w:t>Personnel Psychology</w:t>
      </w:r>
      <w:r w:rsidRPr="00576A43">
        <w:rPr>
          <w:rFonts w:asciiTheme="minorHAnsi" w:hAnsiTheme="minorHAnsi" w:cstheme="minorHAnsi"/>
          <w:color w:val="auto"/>
        </w:rPr>
        <w:t>, 76, 473–510.</w:t>
      </w:r>
    </w:p>
    <w:p w14:paraId="370FD409" w14:textId="14175912" w:rsidR="00DF03AC" w:rsidRPr="00576A43" w:rsidRDefault="00DF03AC" w:rsidP="00DF03AC">
      <w:pPr>
        <w:spacing w:line="240" w:lineRule="auto"/>
        <w:ind w:hanging="720"/>
        <w:rPr>
          <w:rFonts w:cstheme="minorHAnsi"/>
          <w:sz w:val="24"/>
          <w:szCs w:val="24"/>
          <w:shd w:val="clear" w:color="auto" w:fill="FFFFFF"/>
        </w:rPr>
      </w:pPr>
      <w:r w:rsidRPr="00576A43">
        <w:rPr>
          <w:rFonts w:cstheme="minorHAnsi"/>
          <w:sz w:val="24"/>
          <w:szCs w:val="24"/>
        </w:rPr>
        <w:t xml:space="preserve">Schaufeli, W. B., &amp; Bakker, A. B. (2004). Job demands, job resources and their relationship with burnout and engagement: A multi-sample study. </w:t>
      </w:r>
      <w:r w:rsidRPr="00576A43">
        <w:rPr>
          <w:rFonts w:cstheme="minorHAnsi"/>
          <w:i/>
          <w:iCs/>
          <w:sz w:val="24"/>
          <w:szCs w:val="24"/>
        </w:rPr>
        <w:t xml:space="preserve">Journal of Organizational </w:t>
      </w:r>
      <w:proofErr w:type="spellStart"/>
      <w:r w:rsidRPr="00576A43">
        <w:rPr>
          <w:rFonts w:cstheme="minorHAnsi"/>
          <w:i/>
          <w:iCs/>
          <w:sz w:val="24"/>
          <w:szCs w:val="24"/>
        </w:rPr>
        <w:t>Behavior</w:t>
      </w:r>
      <w:proofErr w:type="spellEnd"/>
      <w:r w:rsidRPr="00576A43">
        <w:rPr>
          <w:rFonts w:cstheme="minorHAnsi"/>
          <w:sz w:val="24"/>
          <w:szCs w:val="24"/>
        </w:rPr>
        <w:t>, 25, 293–315.</w:t>
      </w:r>
    </w:p>
    <w:p w14:paraId="257FE186" w14:textId="18160C6B" w:rsidR="00002771" w:rsidRPr="00576A43" w:rsidRDefault="005E28FC" w:rsidP="00FF43B3">
      <w:pPr>
        <w:spacing w:line="240" w:lineRule="auto"/>
        <w:ind w:hanging="720"/>
        <w:rPr>
          <w:rFonts w:cstheme="minorHAnsi"/>
          <w:sz w:val="24"/>
          <w:szCs w:val="24"/>
          <w:shd w:val="clear" w:color="auto" w:fill="FFFFFF"/>
        </w:rPr>
      </w:pPr>
      <w:r w:rsidRPr="00576A43">
        <w:rPr>
          <w:rFonts w:cstheme="minorHAnsi"/>
          <w:sz w:val="24"/>
          <w:szCs w:val="24"/>
          <w:shd w:val="clear" w:color="auto" w:fill="FFFFFF"/>
        </w:rPr>
        <w:t>Stringer, G., Ferguson, J., Walshe, K. et al. (2023). The use of locum doctors in the NHS – results of a national survey of NHS Trusts in England. </w:t>
      </w:r>
      <w:r w:rsidRPr="00576A43">
        <w:rPr>
          <w:rFonts w:cstheme="minorHAnsi"/>
          <w:i/>
          <w:iCs/>
          <w:sz w:val="24"/>
          <w:szCs w:val="24"/>
          <w:shd w:val="clear" w:color="auto" w:fill="FFFFFF"/>
        </w:rPr>
        <w:t>BMC Health Services Research,</w:t>
      </w:r>
      <w:r w:rsidRPr="00576A43">
        <w:rPr>
          <w:rFonts w:cstheme="minorHAnsi"/>
          <w:sz w:val="24"/>
          <w:szCs w:val="24"/>
          <w:shd w:val="clear" w:color="auto" w:fill="FFFFFF"/>
        </w:rPr>
        <w:t xml:space="preserve"> 23, 889. </w:t>
      </w:r>
    </w:p>
    <w:p w14:paraId="0165E1F2" w14:textId="77777777" w:rsidR="00476DC2" w:rsidRPr="00576A43" w:rsidRDefault="005E28FC" w:rsidP="00476DC2">
      <w:pPr>
        <w:spacing w:line="240" w:lineRule="auto"/>
        <w:ind w:hanging="720"/>
        <w:rPr>
          <w:rFonts w:cstheme="minorHAnsi"/>
          <w:sz w:val="24"/>
          <w:szCs w:val="24"/>
        </w:rPr>
      </w:pPr>
      <w:r w:rsidRPr="00576A43">
        <w:rPr>
          <w:rFonts w:cstheme="minorHAnsi"/>
          <w:sz w:val="24"/>
          <w:szCs w:val="24"/>
        </w:rPr>
        <w:t xml:space="preserve">Tett, R.P., &amp; Meyer, J. P. (1993), Job Satisfaction, Organizational Commitment, Turnover Intention and Turnover: Path Analyses Based on Meta Analytic Findings, </w:t>
      </w:r>
      <w:r w:rsidRPr="00576A43">
        <w:rPr>
          <w:rFonts w:cstheme="minorHAnsi"/>
          <w:i/>
          <w:iCs/>
          <w:sz w:val="24"/>
          <w:szCs w:val="24"/>
        </w:rPr>
        <w:t>Personnel Psychology</w:t>
      </w:r>
      <w:r w:rsidRPr="00576A43">
        <w:rPr>
          <w:rFonts w:cstheme="minorHAnsi"/>
          <w:sz w:val="24"/>
          <w:szCs w:val="24"/>
        </w:rPr>
        <w:t>, 46(2), 259-29</w:t>
      </w:r>
      <w:r w:rsidR="002C025F" w:rsidRPr="00576A43">
        <w:rPr>
          <w:rFonts w:cstheme="minorHAnsi"/>
          <w:sz w:val="24"/>
          <w:szCs w:val="24"/>
        </w:rPr>
        <w:t>.</w:t>
      </w:r>
    </w:p>
    <w:p w14:paraId="28E0CC96" w14:textId="77777777" w:rsidR="00476DC2" w:rsidRPr="00576A43" w:rsidRDefault="00DE0A3F" w:rsidP="00476DC2">
      <w:pPr>
        <w:spacing w:line="240" w:lineRule="auto"/>
        <w:ind w:hanging="720"/>
        <w:rPr>
          <w:rFonts w:cstheme="minorHAnsi"/>
          <w:sz w:val="24"/>
          <w:szCs w:val="24"/>
        </w:rPr>
      </w:pPr>
      <w:r w:rsidRPr="00576A43">
        <w:rPr>
          <w:rFonts w:cstheme="minorHAnsi"/>
          <w:sz w:val="24"/>
          <w:szCs w:val="24"/>
        </w:rPr>
        <w:t xml:space="preserve">Tims, M., &amp; Bakker, A. B. (2010). Job Crafting: Towards a new model of individual job redesign. </w:t>
      </w:r>
      <w:r w:rsidRPr="00576A43">
        <w:rPr>
          <w:rFonts w:cstheme="minorHAnsi"/>
          <w:i/>
          <w:iCs/>
          <w:sz w:val="24"/>
          <w:szCs w:val="24"/>
        </w:rPr>
        <w:t>South African Journal of Industrial Psychology</w:t>
      </w:r>
      <w:r w:rsidRPr="00576A43">
        <w:rPr>
          <w:rFonts w:cstheme="minorHAnsi"/>
          <w:sz w:val="24"/>
          <w:szCs w:val="24"/>
        </w:rPr>
        <w:t>, 36(2), 12-20.</w:t>
      </w:r>
    </w:p>
    <w:p w14:paraId="2572C07B" w14:textId="77777777" w:rsidR="00476DC2" w:rsidRPr="00576A43" w:rsidRDefault="00DE0A3F" w:rsidP="00476DC2">
      <w:pPr>
        <w:spacing w:line="240" w:lineRule="auto"/>
        <w:ind w:hanging="720"/>
        <w:rPr>
          <w:rFonts w:cstheme="minorHAnsi"/>
          <w:sz w:val="24"/>
          <w:szCs w:val="24"/>
        </w:rPr>
      </w:pPr>
      <w:r w:rsidRPr="00576A43">
        <w:rPr>
          <w:rFonts w:cstheme="minorHAnsi"/>
          <w:sz w:val="24"/>
          <w:szCs w:val="24"/>
          <w:shd w:val="clear" w:color="auto" w:fill="FFFFFF"/>
        </w:rPr>
        <w:t xml:space="preserve">Timmermans, S., &amp; </w:t>
      </w:r>
      <w:proofErr w:type="spellStart"/>
      <w:r w:rsidRPr="00576A43">
        <w:rPr>
          <w:rFonts w:cstheme="minorHAnsi"/>
          <w:sz w:val="24"/>
          <w:szCs w:val="24"/>
          <w:shd w:val="clear" w:color="auto" w:fill="FFFFFF"/>
        </w:rPr>
        <w:t>Tavory</w:t>
      </w:r>
      <w:proofErr w:type="spellEnd"/>
      <w:r w:rsidRPr="00576A43">
        <w:rPr>
          <w:rFonts w:cstheme="minorHAnsi"/>
          <w:sz w:val="24"/>
          <w:szCs w:val="24"/>
          <w:shd w:val="clear" w:color="auto" w:fill="FFFFFF"/>
        </w:rPr>
        <w:t xml:space="preserve">, I. (2022). </w:t>
      </w:r>
      <w:r w:rsidRPr="00576A43">
        <w:rPr>
          <w:rFonts w:cstheme="minorHAnsi"/>
          <w:i/>
          <w:iCs/>
          <w:sz w:val="24"/>
          <w:szCs w:val="24"/>
          <w:shd w:val="clear" w:color="auto" w:fill="FFFFFF"/>
        </w:rPr>
        <w:t xml:space="preserve">Data Analysis in Qualitative Research Theorizing with Abductive Analysis. </w:t>
      </w:r>
      <w:r w:rsidRPr="00576A43">
        <w:rPr>
          <w:rFonts w:cstheme="minorHAnsi"/>
          <w:sz w:val="24"/>
          <w:szCs w:val="24"/>
          <w:shd w:val="clear" w:color="auto" w:fill="FFFFFF"/>
        </w:rPr>
        <w:t>Chicago, IL.: The University of Chicago Press.</w:t>
      </w:r>
    </w:p>
    <w:p w14:paraId="549C212C" w14:textId="77777777" w:rsidR="00476DC2" w:rsidRPr="00576A43" w:rsidRDefault="00DE0A3F" w:rsidP="00476DC2">
      <w:pPr>
        <w:spacing w:line="240" w:lineRule="auto"/>
        <w:ind w:hanging="720"/>
        <w:rPr>
          <w:rFonts w:cstheme="minorHAnsi"/>
          <w:sz w:val="24"/>
          <w:szCs w:val="24"/>
        </w:rPr>
      </w:pPr>
      <w:r w:rsidRPr="00576A43">
        <w:rPr>
          <w:rFonts w:cstheme="minorHAnsi"/>
          <w:sz w:val="24"/>
          <w:szCs w:val="24"/>
        </w:rPr>
        <w:t xml:space="preserve">Van </w:t>
      </w:r>
      <w:proofErr w:type="spellStart"/>
      <w:r w:rsidRPr="00576A43">
        <w:rPr>
          <w:rFonts w:cstheme="minorHAnsi"/>
          <w:sz w:val="24"/>
          <w:szCs w:val="24"/>
        </w:rPr>
        <w:t>Woerkom</w:t>
      </w:r>
      <w:proofErr w:type="spellEnd"/>
      <w:r w:rsidRPr="00576A43">
        <w:rPr>
          <w:rFonts w:cstheme="minorHAnsi"/>
          <w:sz w:val="24"/>
          <w:szCs w:val="24"/>
        </w:rPr>
        <w:t>, M., Oerlemans, W., &amp; Bakker, A. B. (2016). Strengths use and work engagement: A weekly diary study</w:t>
      </w:r>
      <w:r w:rsidRPr="00576A43">
        <w:rPr>
          <w:rFonts w:cstheme="minorHAnsi"/>
          <w:i/>
          <w:iCs/>
          <w:sz w:val="24"/>
          <w:szCs w:val="24"/>
        </w:rPr>
        <w:t>. European Journal of Work and Organizational Psychology</w:t>
      </w:r>
      <w:r w:rsidRPr="00576A43">
        <w:rPr>
          <w:rFonts w:cstheme="minorHAnsi"/>
          <w:sz w:val="24"/>
          <w:szCs w:val="24"/>
        </w:rPr>
        <w:t xml:space="preserve">, 25(3), 384–397. </w:t>
      </w:r>
    </w:p>
    <w:p w14:paraId="772FD84E" w14:textId="77777777" w:rsidR="00A73F46" w:rsidRPr="00576A43" w:rsidRDefault="00476DC2" w:rsidP="00A73F46">
      <w:pPr>
        <w:spacing w:line="240" w:lineRule="auto"/>
        <w:ind w:hanging="720"/>
        <w:rPr>
          <w:rFonts w:cstheme="minorHAnsi"/>
          <w:sz w:val="24"/>
          <w:szCs w:val="24"/>
        </w:rPr>
      </w:pPr>
      <w:r w:rsidRPr="00576A43">
        <w:rPr>
          <w:rFonts w:cstheme="minorHAnsi"/>
          <w:sz w:val="24"/>
          <w:szCs w:val="24"/>
        </w:rPr>
        <w:t xml:space="preserve">Van </w:t>
      </w:r>
      <w:proofErr w:type="spellStart"/>
      <w:r w:rsidRPr="00576A43">
        <w:rPr>
          <w:rFonts w:cstheme="minorHAnsi"/>
          <w:sz w:val="24"/>
          <w:szCs w:val="24"/>
        </w:rPr>
        <w:t>Yperen</w:t>
      </w:r>
      <w:proofErr w:type="spellEnd"/>
      <w:r w:rsidRPr="00576A43">
        <w:rPr>
          <w:rFonts w:cstheme="minorHAnsi"/>
          <w:sz w:val="24"/>
          <w:szCs w:val="24"/>
        </w:rPr>
        <w:t xml:space="preserve">, N. W., &amp; Janssen, O. (2002). Fatigued and dissatisfied or fatigued but satisfied? Goal orientations and responses to high job demands. </w:t>
      </w:r>
      <w:r w:rsidRPr="00576A43">
        <w:rPr>
          <w:rFonts w:cstheme="minorHAnsi"/>
          <w:i/>
          <w:iCs/>
          <w:sz w:val="24"/>
          <w:szCs w:val="24"/>
        </w:rPr>
        <w:t>Academy of Management Journal</w:t>
      </w:r>
      <w:r w:rsidRPr="00576A43">
        <w:rPr>
          <w:rFonts w:cstheme="minorHAnsi"/>
          <w:sz w:val="24"/>
          <w:szCs w:val="24"/>
        </w:rPr>
        <w:t>, 45, 1161–1171.</w:t>
      </w:r>
    </w:p>
    <w:p w14:paraId="79F780E0" w14:textId="77777777" w:rsidR="00A73F46" w:rsidRPr="00576A43" w:rsidRDefault="00345E20" w:rsidP="00A73F46">
      <w:pPr>
        <w:spacing w:line="240" w:lineRule="auto"/>
        <w:ind w:hanging="720"/>
        <w:rPr>
          <w:rFonts w:cstheme="minorHAnsi"/>
          <w:sz w:val="24"/>
          <w:szCs w:val="24"/>
        </w:rPr>
      </w:pPr>
      <w:r w:rsidRPr="00576A43">
        <w:rPr>
          <w:rFonts w:cstheme="minorHAnsi"/>
          <w:sz w:val="24"/>
          <w:szCs w:val="24"/>
        </w:rPr>
        <w:lastRenderedPageBreak/>
        <w:t xml:space="preserve">Wincent, J., &amp; </w:t>
      </w:r>
      <w:proofErr w:type="spellStart"/>
      <w:r w:rsidRPr="00576A43">
        <w:rPr>
          <w:rFonts w:cstheme="minorHAnsi"/>
          <w:sz w:val="24"/>
          <w:szCs w:val="24"/>
        </w:rPr>
        <w:t>Örtqvist</w:t>
      </w:r>
      <w:proofErr w:type="spellEnd"/>
      <w:r w:rsidRPr="00576A43">
        <w:rPr>
          <w:rFonts w:cstheme="minorHAnsi"/>
          <w:sz w:val="24"/>
          <w:szCs w:val="24"/>
        </w:rPr>
        <w:t xml:space="preserve">, D. (2011). Examining positive performance implications of role stressors by the indirect influence of positive affect: A study of new business managers. </w:t>
      </w:r>
      <w:r w:rsidRPr="00576A43">
        <w:rPr>
          <w:rFonts w:cstheme="minorHAnsi"/>
          <w:i/>
          <w:iCs/>
          <w:sz w:val="24"/>
          <w:szCs w:val="24"/>
        </w:rPr>
        <w:t>Journal of Applied Social Psychology</w:t>
      </w:r>
      <w:r w:rsidRPr="00576A43">
        <w:rPr>
          <w:rFonts w:cstheme="minorHAnsi"/>
          <w:sz w:val="24"/>
          <w:szCs w:val="24"/>
        </w:rPr>
        <w:t xml:space="preserve">, 41, 699 –727. </w:t>
      </w:r>
    </w:p>
    <w:p w14:paraId="46AB46F3" w14:textId="64E32B0D" w:rsidR="00345E20" w:rsidRPr="00576A43" w:rsidRDefault="00345E20" w:rsidP="00A73F46">
      <w:pPr>
        <w:spacing w:line="240" w:lineRule="auto"/>
        <w:ind w:hanging="720"/>
        <w:rPr>
          <w:rFonts w:cstheme="minorHAnsi"/>
          <w:sz w:val="24"/>
          <w:szCs w:val="24"/>
        </w:rPr>
      </w:pPr>
      <w:r w:rsidRPr="00576A43">
        <w:rPr>
          <w:rFonts w:cstheme="minorHAnsi"/>
          <w:sz w:val="24"/>
          <w:szCs w:val="24"/>
        </w:rPr>
        <w:t xml:space="preserve">Xanthopoulou, D., Bakker, A. B., &amp; Fischbach, A. (2013). Work engagement among employees facing emotional demands: The role of personal resources. </w:t>
      </w:r>
      <w:r w:rsidRPr="00576A43">
        <w:rPr>
          <w:rFonts w:cstheme="minorHAnsi"/>
          <w:i/>
          <w:iCs/>
          <w:sz w:val="24"/>
          <w:szCs w:val="24"/>
        </w:rPr>
        <w:t>Journal of</w:t>
      </w:r>
      <w:r w:rsidRPr="00576A43">
        <w:rPr>
          <w:rFonts w:cstheme="minorHAnsi"/>
          <w:sz w:val="24"/>
          <w:szCs w:val="24"/>
        </w:rPr>
        <w:t xml:space="preserve"> </w:t>
      </w:r>
      <w:r w:rsidRPr="00576A43">
        <w:rPr>
          <w:rFonts w:cstheme="minorHAnsi"/>
          <w:i/>
          <w:iCs/>
          <w:sz w:val="24"/>
          <w:szCs w:val="24"/>
        </w:rPr>
        <w:t>Personnel Psychology</w:t>
      </w:r>
      <w:r w:rsidRPr="00576A43">
        <w:rPr>
          <w:rFonts w:cstheme="minorHAnsi"/>
          <w:sz w:val="24"/>
          <w:szCs w:val="24"/>
        </w:rPr>
        <w:t xml:space="preserve">, 12, 74 – 84. </w:t>
      </w:r>
    </w:p>
    <w:p w14:paraId="0949A856" w14:textId="77777777" w:rsidR="00345E20" w:rsidRPr="00576A43" w:rsidRDefault="00345E20" w:rsidP="00DE0A3F">
      <w:pPr>
        <w:spacing w:line="276" w:lineRule="auto"/>
        <w:rPr>
          <w:rFonts w:cstheme="minorHAnsi"/>
          <w:sz w:val="24"/>
          <w:szCs w:val="24"/>
        </w:rPr>
      </w:pPr>
    </w:p>
    <w:p w14:paraId="70262126" w14:textId="77777777" w:rsidR="00DE0A3F" w:rsidRPr="00035439" w:rsidRDefault="00DE0A3F" w:rsidP="00FF43B3">
      <w:pPr>
        <w:spacing w:line="240" w:lineRule="auto"/>
        <w:ind w:hanging="720"/>
        <w:rPr>
          <w:rFonts w:cstheme="minorHAnsi"/>
          <w:sz w:val="24"/>
          <w:szCs w:val="24"/>
        </w:rPr>
      </w:pPr>
    </w:p>
    <w:sectPr w:rsidR="00DE0A3F" w:rsidRPr="00035439" w:rsidSect="00440F4A">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6776E" w14:textId="77777777" w:rsidR="00DB6274" w:rsidRDefault="00DB6274" w:rsidP="00FB2EFF">
      <w:pPr>
        <w:spacing w:after="0" w:line="240" w:lineRule="auto"/>
      </w:pPr>
      <w:r>
        <w:separator/>
      </w:r>
    </w:p>
  </w:endnote>
  <w:endnote w:type="continuationSeparator" w:id="0">
    <w:p w14:paraId="7283D3E1" w14:textId="77777777" w:rsidR="00DB6274" w:rsidRDefault="00DB6274" w:rsidP="00FB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717C7" w14:textId="77777777" w:rsidR="00440F4A" w:rsidRDefault="00440F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32434"/>
      <w:docPartObj>
        <w:docPartGallery w:val="Page Numbers (Bottom of Page)"/>
        <w:docPartUnique/>
      </w:docPartObj>
    </w:sdtPr>
    <w:sdtEndPr>
      <w:rPr>
        <w:noProof/>
      </w:rPr>
    </w:sdtEndPr>
    <w:sdtContent>
      <w:p w14:paraId="490AF781" w14:textId="77EE2CB2" w:rsidR="00440F4A" w:rsidRDefault="00440F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59F262" w14:textId="77777777" w:rsidR="00440F4A" w:rsidRDefault="00440F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633B9" w14:textId="77777777" w:rsidR="00440F4A" w:rsidRDefault="00440F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6DF93" w14:textId="77777777" w:rsidR="00DB6274" w:rsidRDefault="00DB6274" w:rsidP="00FB2EFF">
      <w:pPr>
        <w:spacing w:after="0" w:line="240" w:lineRule="auto"/>
      </w:pPr>
      <w:r>
        <w:separator/>
      </w:r>
    </w:p>
  </w:footnote>
  <w:footnote w:type="continuationSeparator" w:id="0">
    <w:p w14:paraId="2C8274CC" w14:textId="77777777" w:rsidR="00DB6274" w:rsidRDefault="00DB6274" w:rsidP="00FB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E8B2A" w14:textId="77777777" w:rsidR="00440F4A" w:rsidRDefault="00440F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6D1EE" w14:textId="77777777" w:rsidR="00440F4A" w:rsidRDefault="00440F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2D13D" w14:textId="77777777" w:rsidR="00440F4A" w:rsidRDefault="00440F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08C"/>
    <w:rsid w:val="00002771"/>
    <w:rsid w:val="00035439"/>
    <w:rsid w:val="00036240"/>
    <w:rsid w:val="00060A35"/>
    <w:rsid w:val="0008504A"/>
    <w:rsid w:val="000A2836"/>
    <w:rsid w:val="000C3B45"/>
    <w:rsid w:val="000D3FAC"/>
    <w:rsid w:val="00177253"/>
    <w:rsid w:val="00181EB3"/>
    <w:rsid w:val="00184244"/>
    <w:rsid w:val="001849A0"/>
    <w:rsid w:val="00186F6E"/>
    <w:rsid w:val="001B1903"/>
    <w:rsid w:val="001C4F55"/>
    <w:rsid w:val="00210A68"/>
    <w:rsid w:val="002114F1"/>
    <w:rsid w:val="00260AC8"/>
    <w:rsid w:val="002641D2"/>
    <w:rsid w:val="0029413B"/>
    <w:rsid w:val="002C025F"/>
    <w:rsid w:val="002F246A"/>
    <w:rsid w:val="0032500C"/>
    <w:rsid w:val="0033494E"/>
    <w:rsid w:val="00345E20"/>
    <w:rsid w:val="003E529D"/>
    <w:rsid w:val="004037FF"/>
    <w:rsid w:val="00432815"/>
    <w:rsid w:val="00440F4A"/>
    <w:rsid w:val="004654DF"/>
    <w:rsid w:val="00473D88"/>
    <w:rsid w:val="00476DC2"/>
    <w:rsid w:val="00495CD8"/>
    <w:rsid w:val="004A32B1"/>
    <w:rsid w:val="004B5F12"/>
    <w:rsid w:val="004C24F4"/>
    <w:rsid w:val="004F2A33"/>
    <w:rsid w:val="0051506C"/>
    <w:rsid w:val="00550F9E"/>
    <w:rsid w:val="00555F8B"/>
    <w:rsid w:val="00566B81"/>
    <w:rsid w:val="00576A43"/>
    <w:rsid w:val="00583506"/>
    <w:rsid w:val="005B072C"/>
    <w:rsid w:val="005B4597"/>
    <w:rsid w:val="005E28FC"/>
    <w:rsid w:val="00620A3C"/>
    <w:rsid w:val="00636AD6"/>
    <w:rsid w:val="006401C1"/>
    <w:rsid w:val="00652CFB"/>
    <w:rsid w:val="00655BCC"/>
    <w:rsid w:val="00685149"/>
    <w:rsid w:val="00687FCE"/>
    <w:rsid w:val="00691D61"/>
    <w:rsid w:val="006D6F50"/>
    <w:rsid w:val="006F3209"/>
    <w:rsid w:val="006F3923"/>
    <w:rsid w:val="00707478"/>
    <w:rsid w:val="0071442C"/>
    <w:rsid w:val="00732913"/>
    <w:rsid w:val="00733F3B"/>
    <w:rsid w:val="00742D10"/>
    <w:rsid w:val="00746783"/>
    <w:rsid w:val="00754653"/>
    <w:rsid w:val="00764BD1"/>
    <w:rsid w:val="00770637"/>
    <w:rsid w:val="0077512E"/>
    <w:rsid w:val="007A7933"/>
    <w:rsid w:val="007B068E"/>
    <w:rsid w:val="007B5F93"/>
    <w:rsid w:val="007E6DF9"/>
    <w:rsid w:val="00846FA7"/>
    <w:rsid w:val="00847C2E"/>
    <w:rsid w:val="008605F8"/>
    <w:rsid w:val="00893890"/>
    <w:rsid w:val="00894B9A"/>
    <w:rsid w:val="008D336B"/>
    <w:rsid w:val="008E72D0"/>
    <w:rsid w:val="00933CC1"/>
    <w:rsid w:val="00946EDD"/>
    <w:rsid w:val="00947171"/>
    <w:rsid w:val="00960A96"/>
    <w:rsid w:val="00974B01"/>
    <w:rsid w:val="00975FD6"/>
    <w:rsid w:val="009A5A6E"/>
    <w:rsid w:val="009D4251"/>
    <w:rsid w:val="009F702C"/>
    <w:rsid w:val="00A16CF8"/>
    <w:rsid w:val="00A36239"/>
    <w:rsid w:val="00A404F5"/>
    <w:rsid w:val="00A57ED4"/>
    <w:rsid w:val="00A7210C"/>
    <w:rsid w:val="00A73F46"/>
    <w:rsid w:val="00A7523F"/>
    <w:rsid w:val="00A756EE"/>
    <w:rsid w:val="00A75F99"/>
    <w:rsid w:val="00AB28C0"/>
    <w:rsid w:val="00AD168C"/>
    <w:rsid w:val="00AF6545"/>
    <w:rsid w:val="00AF7292"/>
    <w:rsid w:val="00B17439"/>
    <w:rsid w:val="00B22B7F"/>
    <w:rsid w:val="00B25B3E"/>
    <w:rsid w:val="00B43282"/>
    <w:rsid w:val="00B57051"/>
    <w:rsid w:val="00B65398"/>
    <w:rsid w:val="00B818F2"/>
    <w:rsid w:val="00BA59A9"/>
    <w:rsid w:val="00BB2FC3"/>
    <w:rsid w:val="00BB603B"/>
    <w:rsid w:val="00BD208C"/>
    <w:rsid w:val="00BD46F1"/>
    <w:rsid w:val="00BF5B80"/>
    <w:rsid w:val="00C1220B"/>
    <w:rsid w:val="00C34397"/>
    <w:rsid w:val="00C57A03"/>
    <w:rsid w:val="00C70675"/>
    <w:rsid w:val="00C75099"/>
    <w:rsid w:val="00CB216E"/>
    <w:rsid w:val="00CB5AD4"/>
    <w:rsid w:val="00CB7730"/>
    <w:rsid w:val="00CD2A61"/>
    <w:rsid w:val="00CD3262"/>
    <w:rsid w:val="00CF0CEE"/>
    <w:rsid w:val="00D2257F"/>
    <w:rsid w:val="00D23EAB"/>
    <w:rsid w:val="00D24ABD"/>
    <w:rsid w:val="00D2561B"/>
    <w:rsid w:val="00D342F3"/>
    <w:rsid w:val="00D422CA"/>
    <w:rsid w:val="00D4584D"/>
    <w:rsid w:val="00DB6274"/>
    <w:rsid w:val="00DE0781"/>
    <w:rsid w:val="00DE0A3F"/>
    <w:rsid w:val="00DE47A9"/>
    <w:rsid w:val="00DF03AC"/>
    <w:rsid w:val="00E00C3B"/>
    <w:rsid w:val="00E06454"/>
    <w:rsid w:val="00E26C48"/>
    <w:rsid w:val="00E32D47"/>
    <w:rsid w:val="00E47D05"/>
    <w:rsid w:val="00E54CB4"/>
    <w:rsid w:val="00E77601"/>
    <w:rsid w:val="00ED5802"/>
    <w:rsid w:val="00EF3E25"/>
    <w:rsid w:val="00F01388"/>
    <w:rsid w:val="00F31BA5"/>
    <w:rsid w:val="00F41588"/>
    <w:rsid w:val="00F425B8"/>
    <w:rsid w:val="00F560E7"/>
    <w:rsid w:val="00F9144C"/>
    <w:rsid w:val="00F9376C"/>
    <w:rsid w:val="00F96CC9"/>
    <w:rsid w:val="00FB150D"/>
    <w:rsid w:val="00FB2EFF"/>
    <w:rsid w:val="00FB4CD7"/>
    <w:rsid w:val="00FC32B6"/>
    <w:rsid w:val="00FC6D2B"/>
    <w:rsid w:val="00FF43B3"/>
    <w:rsid w:val="00FF4C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CA2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5E28FC"/>
    <w:pPr>
      <w:keepNext/>
      <w:keepLines/>
      <w:spacing w:before="40" w:after="0" w:line="240"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D208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5E28FC"/>
    <w:rPr>
      <w:rFonts w:asciiTheme="majorHAnsi" w:eastAsiaTheme="majorEastAsia" w:hAnsiTheme="majorHAnsi" w:cstheme="majorBidi"/>
      <w:color w:val="1F3763" w:themeColor="accent1" w:themeShade="7F"/>
      <w:sz w:val="24"/>
      <w:szCs w:val="24"/>
    </w:rPr>
  </w:style>
  <w:style w:type="character" w:customStyle="1" w:styleId="referenceperson-group">
    <w:name w:val="reference__person-group"/>
    <w:basedOn w:val="DefaultParagraphFont"/>
    <w:rsid w:val="005E28FC"/>
  </w:style>
  <w:style w:type="character" w:customStyle="1" w:styleId="referencestring-name">
    <w:name w:val="reference__string-name"/>
    <w:basedOn w:val="DefaultParagraphFont"/>
    <w:rsid w:val="005E28FC"/>
  </w:style>
  <w:style w:type="character" w:customStyle="1" w:styleId="referencesurname">
    <w:name w:val="reference__surname"/>
    <w:basedOn w:val="DefaultParagraphFont"/>
    <w:rsid w:val="005E28FC"/>
  </w:style>
  <w:style w:type="character" w:customStyle="1" w:styleId="referencegiven-names">
    <w:name w:val="reference__given-names"/>
    <w:basedOn w:val="DefaultParagraphFont"/>
    <w:rsid w:val="005E28FC"/>
  </w:style>
  <w:style w:type="character" w:customStyle="1" w:styleId="referenceyear">
    <w:name w:val="reference__year"/>
    <w:basedOn w:val="DefaultParagraphFont"/>
    <w:rsid w:val="005E28FC"/>
  </w:style>
  <w:style w:type="character" w:customStyle="1" w:styleId="referencearticle-title">
    <w:name w:val="reference__article-title"/>
    <w:basedOn w:val="DefaultParagraphFont"/>
    <w:rsid w:val="005E28FC"/>
  </w:style>
  <w:style w:type="character" w:customStyle="1" w:styleId="referencesource">
    <w:name w:val="reference__source"/>
    <w:basedOn w:val="DefaultParagraphFont"/>
    <w:rsid w:val="005E28FC"/>
  </w:style>
  <w:style w:type="character" w:customStyle="1" w:styleId="referencevolume">
    <w:name w:val="reference__volume"/>
    <w:basedOn w:val="DefaultParagraphFont"/>
    <w:rsid w:val="005E28FC"/>
  </w:style>
  <w:style w:type="character" w:customStyle="1" w:styleId="referenceissue">
    <w:name w:val="reference__issue"/>
    <w:basedOn w:val="DefaultParagraphFont"/>
    <w:rsid w:val="005E28FC"/>
  </w:style>
  <w:style w:type="character" w:customStyle="1" w:styleId="referencefpage">
    <w:name w:val="reference__fpage"/>
    <w:basedOn w:val="DefaultParagraphFont"/>
    <w:rsid w:val="005E28FC"/>
  </w:style>
  <w:style w:type="character" w:customStyle="1" w:styleId="referencelpage">
    <w:name w:val="reference__lpage"/>
    <w:basedOn w:val="DefaultParagraphFont"/>
    <w:rsid w:val="005E28FC"/>
  </w:style>
  <w:style w:type="character" w:styleId="Hyperlink">
    <w:name w:val="Hyperlink"/>
    <w:basedOn w:val="DefaultParagraphFont"/>
    <w:uiPriority w:val="99"/>
    <w:unhideWhenUsed/>
    <w:rsid w:val="005E28FC"/>
    <w:rPr>
      <w:color w:val="0000FF"/>
      <w:u w:val="single"/>
    </w:rPr>
  </w:style>
  <w:style w:type="character" w:styleId="Emphasis">
    <w:name w:val="Emphasis"/>
    <w:basedOn w:val="DefaultParagraphFont"/>
    <w:uiPriority w:val="20"/>
    <w:qFormat/>
    <w:rsid w:val="005E28FC"/>
    <w:rPr>
      <w:i/>
      <w:iCs/>
    </w:rPr>
  </w:style>
  <w:style w:type="character" w:customStyle="1" w:styleId="arttitle">
    <w:name w:val="art_title"/>
    <w:basedOn w:val="DefaultParagraphFont"/>
    <w:rsid w:val="005E28FC"/>
  </w:style>
  <w:style w:type="character" w:customStyle="1" w:styleId="serialtitle">
    <w:name w:val="serial_title"/>
    <w:basedOn w:val="DefaultParagraphFont"/>
    <w:rsid w:val="005E28FC"/>
  </w:style>
  <w:style w:type="character" w:customStyle="1" w:styleId="volumeissue">
    <w:name w:val="volume_issue"/>
    <w:basedOn w:val="DefaultParagraphFont"/>
    <w:rsid w:val="005E28FC"/>
  </w:style>
  <w:style w:type="character" w:customStyle="1" w:styleId="pagerange">
    <w:name w:val="page_range"/>
    <w:basedOn w:val="DefaultParagraphFont"/>
    <w:rsid w:val="005E28FC"/>
  </w:style>
  <w:style w:type="character" w:customStyle="1" w:styleId="Date2">
    <w:name w:val="Date2"/>
    <w:basedOn w:val="DefaultParagraphFont"/>
    <w:rsid w:val="005E28FC"/>
  </w:style>
  <w:style w:type="character" w:customStyle="1" w:styleId="volume">
    <w:name w:val="volume"/>
    <w:basedOn w:val="DefaultParagraphFont"/>
    <w:rsid w:val="005E28FC"/>
  </w:style>
  <w:style w:type="character" w:customStyle="1" w:styleId="journalnumber">
    <w:name w:val="journalnumber"/>
    <w:basedOn w:val="DefaultParagraphFont"/>
    <w:rsid w:val="005E28FC"/>
  </w:style>
  <w:style w:type="character" w:customStyle="1" w:styleId="pages">
    <w:name w:val="pages"/>
    <w:basedOn w:val="DefaultParagraphFont"/>
    <w:rsid w:val="005E28FC"/>
  </w:style>
  <w:style w:type="character" w:customStyle="1" w:styleId="authorname">
    <w:name w:val="authorname"/>
    <w:basedOn w:val="DefaultParagraphFont"/>
    <w:rsid w:val="005E28FC"/>
  </w:style>
  <w:style w:type="character" w:customStyle="1" w:styleId="separator">
    <w:name w:val="separator"/>
    <w:basedOn w:val="DefaultParagraphFont"/>
    <w:rsid w:val="005E28FC"/>
  </w:style>
  <w:style w:type="character" w:customStyle="1" w:styleId="Date3">
    <w:name w:val="Date3"/>
    <w:basedOn w:val="DefaultParagraphFont"/>
    <w:rsid w:val="005E28FC"/>
  </w:style>
  <w:style w:type="character" w:styleId="Strong">
    <w:name w:val="Strong"/>
    <w:basedOn w:val="DefaultParagraphFont"/>
    <w:uiPriority w:val="22"/>
    <w:qFormat/>
    <w:rsid w:val="005E28FC"/>
    <w:rPr>
      <w:b/>
      <w:bCs/>
    </w:rPr>
  </w:style>
  <w:style w:type="paragraph" w:styleId="Header">
    <w:name w:val="header"/>
    <w:basedOn w:val="Normal"/>
    <w:link w:val="HeaderChar"/>
    <w:uiPriority w:val="99"/>
    <w:unhideWhenUsed/>
    <w:rsid w:val="00FB2E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2EFF"/>
  </w:style>
  <w:style w:type="paragraph" w:styleId="Footer">
    <w:name w:val="footer"/>
    <w:basedOn w:val="Normal"/>
    <w:link w:val="FooterChar"/>
    <w:uiPriority w:val="99"/>
    <w:unhideWhenUsed/>
    <w:rsid w:val="00FB2E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2EFF"/>
  </w:style>
  <w:style w:type="character" w:styleId="CommentReference">
    <w:name w:val="annotation reference"/>
    <w:basedOn w:val="DefaultParagraphFont"/>
    <w:uiPriority w:val="99"/>
    <w:semiHidden/>
    <w:unhideWhenUsed/>
    <w:rsid w:val="00B22B7F"/>
    <w:rPr>
      <w:sz w:val="16"/>
      <w:szCs w:val="16"/>
    </w:rPr>
  </w:style>
  <w:style w:type="paragraph" w:styleId="CommentText">
    <w:name w:val="annotation text"/>
    <w:basedOn w:val="Normal"/>
    <w:link w:val="CommentTextChar"/>
    <w:uiPriority w:val="99"/>
    <w:semiHidden/>
    <w:unhideWhenUsed/>
    <w:rsid w:val="00B22B7F"/>
    <w:pPr>
      <w:spacing w:line="240" w:lineRule="auto"/>
    </w:pPr>
    <w:rPr>
      <w:sz w:val="20"/>
      <w:szCs w:val="20"/>
    </w:rPr>
  </w:style>
  <w:style w:type="character" w:customStyle="1" w:styleId="CommentTextChar">
    <w:name w:val="Comment Text Char"/>
    <w:basedOn w:val="DefaultParagraphFont"/>
    <w:link w:val="CommentText"/>
    <w:uiPriority w:val="99"/>
    <w:semiHidden/>
    <w:rsid w:val="00B22B7F"/>
    <w:rPr>
      <w:sz w:val="20"/>
      <w:szCs w:val="20"/>
    </w:rPr>
  </w:style>
  <w:style w:type="paragraph" w:styleId="CommentSubject">
    <w:name w:val="annotation subject"/>
    <w:basedOn w:val="CommentText"/>
    <w:next w:val="CommentText"/>
    <w:link w:val="CommentSubjectChar"/>
    <w:uiPriority w:val="99"/>
    <w:semiHidden/>
    <w:unhideWhenUsed/>
    <w:rsid w:val="00B22B7F"/>
    <w:rPr>
      <w:b/>
      <w:bCs/>
    </w:rPr>
  </w:style>
  <w:style w:type="character" w:customStyle="1" w:styleId="CommentSubjectChar">
    <w:name w:val="Comment Subject Char"/>
    <w:basedOn w:val="CommentTextChar"/>
    <w:link w:val="CommentSubject"/>
    <w:uiPriority w:val="99"/>
    <w:semiHidden/>
    <w:rsid w:val="00B22B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82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earch.tue.nl/en/persons/evangelia-demerouti/publications/?page=3" TargetMode="External"/><Relationship Id="rId13" Type="http://schemas.openxmlformats.org/officeDocument/2006/relationships/hyperlink" Target="https://pure.eur.nl/en/persons/arnold-bakker/publications/?page=7" TargetMode="External"/><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research.tue.nl/en/publications/assessing-the-effects-of-a-personal-effectiveness-training-on-psy" TargetMode="External"/><Relationship Id="rId12" Type="http://schemas.openxmlformats.org/officeDocument/2006/relationships/hyperlink" Target="https://pure.eur.nl/en/publications/defining-and-measuring-work-engagement-bringing-clarity-to-the-co"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research.tue.nl/en/persons/evangelia-demerouti" TargetMode="External"/><Relationship Id="rId11" Type="http://schemas.openxmlformats.org/officeDocument/2006/relationships/hyperlink" Target="https://pure.eur.nl/en/persons/arnold-bakker"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pure.eur.nl/en/publications/the-utrecht-work-engagement-scale-uwes-test-manual"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pure.eur.nl/en/persons/arnold-bakker"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3798</Words>
  <Characters>21655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2024-06-13T13:16:00Z</dcterms:created>
  <dcterms:modified xsi:type="dcterms:W3CDTF">2024-06-13T13:16:00Z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db8261d-41b3-44da-ade1-0b00b3df987c_Enabled">
    <vt:lpwstr>true</vt:lpwstr>
  </property>
  <property fmtid="{D5CDD505-2E9C-101B-9397-08002B2CF9AE}" pid="3" name="MSIP_Label_5db8261d-41b3-44da-ade1-0b00b3df987c_SetDate">
    <vt:lpwstr>2024-06-03T08:15:20Z</vt:lpwstr>
  </property>
  <property fmtid="{D5CDD505-2E9C-101B-9397-08002B2CF9AE}" pid="4" name="MSIP_Label_5db8261d-41b3-44da-ade1-0b00b3df987c_Method">
    <vt:lpwstr>Privileged</vt:lpwstr>
  </property>
  <property fmtid="{D5CDD505-2E9C-101B-9397-08002B2CF9AE}" pid="5" name="MSIP_Label_5db8261d-41b3-44da-ade1-0b00b3df987c_Name">
    <vt:lpwstr>KU Public</vt:lpwstr>
  </property>
  <property fmtid="{D5CDD505-2E9C-101B-9397-08002B2CF9AE}" pid="6" name="MSIP_Label_5db8261d-41b3-44da-ade1-0b00b3df987c_SiteId">
    <vt:lpwstr>c9ef029c-18cf-4016-86d3-93cf8e94ff94</vt:lpwstr>
  </property>
  <property fmtid="{D5CDD505-2E9C-101B-9397-08002B2CF9AE}" pid="7" name="MSIP_Label_5db8261d-41b3-44da-ade1-0b00b3df987c_ActionId">
    <vt:lpwstr>d817609e-0ba9-4899-99da-65f1c429c18a</vt:lpwstr>
  </property>
  <property fmtid="{D5CDD505-2E9C-101B-9397-08002B2CF9AE}" pid="8" name="MSIP_Label_5db8261d-41b3-44da-ade1-0b00b3df987c_ContentBits">
    <vt:lpwstr>0</vt:lpwstr>
  </property>
</Properties>
</file>