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C10E168" w14:textId="77777777" w:rsidR="004F2069" w:rsidRDefault="004F2069" w:rsidP="006B75C2">
      <w:pPr>
        <w:spacing w:line="240" w:lineRule="auto"/>
        <w:jc w:val="center"/>
        <w:rPr>
          <w:rFonts w:asciiTheme="majorBidi" w:hAnsiTheme="majorBidi" w:cstheme="majorBidi"/>
          <w:b/>
          <w:bCs/>
          <w:sz w:val="24"/>
          <w:szCs w:val="24"/>
        </w:rPr>
      </w:pPr>
      <w:r w:rsidRPr="0049543F">
        <w:rPr>
          <w:rFonts w:asciiTheme="majorBidi" w:hAnsiTheme="majorBidi" w:cstheme="majorBidi"/>
          <w:b/>
          <w:bCs/>
          <w:sz w:val="24"/>
          <w:szCs w:val="24"/>
        </w:rPr>
        <w:t>Raising the tensions of learning: Understanding the Learning Organisation as a paradox in an SME context</w:t>
      </w:r>
    </w:p>
    <w:p w14:paraId="2EA44E57" w14:textId="77777777" w:rsidR="004F2069" w:rsidRDefault="004F2069" w:rsidP="006B75C2">
      <w:pPr>
        <w:spacing w:line="240" w:lineRule="auto"/>
        <w:jc w:val="center"/>
        <w:rPr>
          <w:rFonts w:asciiTheme="majorBidi" w:hAnsiTheme="majorBidi" w:cstheme="majorBidi"/>
          <w:b/>
          <w:bCs/>
          <w:sz w:val="24"/>
          <w:szCs w:val="24"/>
        </w:rPr>
      </w:pPr>
    </w:p>
    <w:p w14:paraId="705E274F" w14:textId="143B8DC4" w:rsidR="004F2069" w:rsidRPr="00A65E69" w:rsidRDefault="004F2069" w:rsidP="006B75C2">
      <w:pPr>
        <w:spacing w:line="240" w:lineRule="auto"/>
        <w:jc w:val="center"/>
        <w:rPr>
          <w:rFonts w:asciiTheme="majorBidi" w:hAnsiTheme="majorBidi" w:cstheme="majorBidi"/>
          <w:b/>
          <w:bCs/>
          <w:sz w:val="24"/>
          <w:szCs w:val="24"/>
        </w:rPr>
      </w:pPr>
      <w:r w:rsidRPr="00A65E69">
        <w:rPr>
          <w:rFonts w:asciiTheme="majorBidi" w:hAnsiTheme="majorBidi" w:cstheme="majorBidi"/>
          <w:b/>
          <w:bCs/>
          <w:sz w:val="24"/>
          <w:szCs w:val="24"/>
        </w:rPr>
        <w:t>British Academy of Management Conference 2024</w:t>
      </w:r>
    </w:p>
    <w:p w14:paraId="6716FB61" w14:textId="77777777" w:rsidR="004F2069" w:rsidRDefault="004F2069" w:rsidP="006B75C2">
      <w:pPr>
        <w:spacing w:line="240" w:lineRule="auto"/>
        <w:jc w:val="center"/>
        <w:rPr>
          <w:rFonts w:asciiTheme="majorBidi" w:hAnsiTheme="majorBidi" w:cstheme="majorBidi"/>
          <w:b/>
          <w:bCs/>
          <w:sz w:val="24"/>
          <w:szCs w:val="24"/>
        </w:rPr>
      </w:pPr>
      <w:r w:rsidRPr="00A65E69">
        <w:rPr>
          <w:rFonts w:asciiTheme="majorBidi" w:hAnsiTheme="majorBidi" w:cstheme="majorBidi"/>
          <w:b/>
          <w:bCs/>
          <w:sz w:val="24"/>
          <w:szCs w:val="24"/>
        </w:rPr>
        <w:t>Knowledge and Learning Track</w:t>
      </w:r>
    </w:p>
    <w:p w14:paraId="4C1F7F53" w14:textId="77777777" w:rsidR="006C031B" w:rsidRDefault="006C031B" w:rsidP="006B75C2">
      <w:pPr>
        <w:spacing w:line="240" w:lineRule="auto"/>
        <w:jc w:val="center"/>
        <w:rPr>
          <w:rFonts w:asciiTheme="majorBidi" w:hAnsiTheme="majorBidi" w:cstheme="majorBidi"/>
          <w:b/>
          <w:bCs/>
          <w:sz w:val="24"/>
          <w:szCs w:val="24"/>
        </w:rPr>
      </w:pPr>
    </w:p>
    <w:p w14:paraId="7BA79314" w14:textId="4DF45EEB" w:rsidR="006C031B" w:rsidRPr="004B0429" w:rsidRDefault="006C031B" w:rsidP="006B75C2">
      <w:pPr>
        <w:spacing w:line="240" w:lineRule="auto"/>
        <w:jc w:val="center"/>
        <w:rPr>
          <w:rFonts w:asciiTheme="majorBidi" w:hAnsiTheme="majorBidi" w:cstheme="majorBidi"/>
          <w:sz w:val="24"/>
          <w:szCs w:val="24"/>
        </w:rPr>
      </w:pPr>
      <w:r w:rsidRPr="004B0429">
        <w:rPr>
          <w:rFonts w:asciiTheme="majorBidi" w:hAnsiTheme="majorBidi" w:cstheme="majorBidi"/>
          <w:sz w:val="24"/>
          <w:szCs w:val="24"/>
        </w:rPr>
        <w:t>Dr Amanda Hay</w:t>
      </w:r>
    </w:p>
    <w:p w14:paraId="619C3E86" w14:textId="17F2D5F1" w:rsidR="006C031B" w:rsidRPr="004B0429" w:rsidRDefault="006C031B" w:rsidP="006B75C2">
      <w:pPr>
        <w:spacing w:line="240" w:lineRule="auto"/>
        <w:jc w:val="center"/>
        <w:rPr>
          <w:rFonts w:asciiTheme="majorBidi" w:hAnsiTheme="majorBidi" w:cstheme="majorBidi"/>
          <w:sz w:val="24"/>
          <w:szCs w:val="24"/>
        </w:rPr>
      </w:pPr>
      <w:bookmarkStart w:id="0" w:name="_Hlk165559215"/>
      <w:r w:rsidRPr="004B0429">
        <w:rPr>
          <w:rFonts w:asciiTheme="majorBidi" w:hAnsiTheme="majorBidi" w:cstheme="majorBidi"/>
          <w:sz w:val="24"/>
          <w:szCs w:val="24"/>
        </w:rPr>
        <w:t>Nottingham Business School</w:t>
      </w:r>
    </w:p>
    <w:p w14:paraId="3E324041" w14:textId="515074C6" w:rsidR="006C031B" w:rsidRPr="004B0429" w:rsidRDefault="006C031B" w:rsidP="006B75C2">
      <w:pPr>
        <w:spacing w:line="240" w:lineRule="auto"/>
        <w:jc w:val="center"/>
        <w:rPr>
          <w:rFonts w:asciiTheme="majorBidi" w:hAnsiTheme="majorBidi" w:cstheme="majorBidi"/>
          <w:sz w:val="24"/>
          <w:szCs w:val="24"/>
        </w:rPr>
      </w:pPr>
      <w:r w:rsidRPr="004B0429">
        <w:rPr>
          <w:rFonts w:asciiTheme="majorBidi" w:hAnsiTheme="majorBidi" w:cstheme="majorBidi"/>
          <w:sz w:val="24"/>
          <w:szCs w:val="24"/>
        </w:rPr>
        <w:t>Nottingham Trent University</w:t>
      </w:r>
    </w:p>
    <w:p w14:paraId="136BD944" w14:textId="199FF902" w:rsidR="006C031B" w:rsidRPr="004B0429" w:rsidRDefault="004B0429" w:rsidP="006B75C2">
      <w:pPr>
        <w:spacing w:line="240" w:lineRule="auto"/>
        <w:jc w:val="center"/>
        <w:rPr>
          <w:rFonts w:asciiTheme="majorBidi" w:hAnsiTheme="majorBidi" w:cstheme="majorBidi"/>
          <w:sz w:val="24"/>
          <w:szCs w:val="24"/>
        </w:rPr>
      </w:pPr>
      <w:r w:rsidRPr="004B0429">
        <w:rPr>
          <w:rFonts w:asciiTheme="majorBidi" w:hAnsiTheme="majorBidi" w:cstheme="majorBidi"/>
          <w:sz w:val="24"/>
          <w:szCs w:val="24"/>
        </w:rPr>
        <w:t>Nottingham</w:t>
      </w:r>
    </w:p>
    <w:p w14:paraId="5C3A6933" w14:textId="6067F35D" w:rsidR="004B0429" w:rsidRPr="004B0429" w:rsidRDefault="004B0429" w:rsidP="006B75C2">
      <w:pPr>
        <w:spacing w:line="240" w:lineRule="auto"/>
        <w:jc w:val="center"/>
        <w:rPr>
          <w:rFonts w:asciiTheme="majorBidi" w:hAnsiTheme="majorBidi" w:cstheme="majorBidi"/>
          <w:sz w:val="24"/>
          <w:szCs w:val="24"/>
        </w:rPr>
      </w:pPr>
      <w:r w:rsidRPr="004B0429">
        <w:rPr>
          <w:rFonts w:asciiTheme="majorBidi" w:hAnsiTheme="majorBidi" w:cstheme="majorBidi"/>
          <w:sz w:val="24"/>
          <w:szCs w:val="24"/>
        </w:rPr>
        <w:t>UK</w:t>
      </w:r>
    </w:p>
    <w:bookmarkEnd w:id="0"/>
    <w:p w14:paraId="2FDF2091" w14:textId="2F6EB19F" w:rsidR="004B0429" w:rsidRDefault="004B0429" w:rsidP="006B75C2">
      <w:pPr>
        <w:spacing w:line="240" w:lineRule="auto"/>
        <w:jc w:val="center"/>
        <w:rPr>
          <w:rFonts w:asciiTheme="majorBidi" w:hAnsiTheme="majorBidi" w:cstheme="majorBidi"/>
          <w:sz w:val="24"/>
          <w:szCs w:val="24"/>
        </w:rPr>
      </w:pPr>
      <w:r w:rsidRPr="004B0429">
        <w:rPr>
          <w:rFonts w:asciiTheme="majorBidi" w:hAnsiTheme="majorBidi" w:cstheme="majorBidi"/>
          <w:sz w:val="24"/>
          <w:szCs w:val="24"/>
        </w:rPr>
        <w:t xml:space="preserve">amanda.hay@ntu.ac.uk </w:t>
      </w:r>
    </w:p>
    <w:p w14:paraId="2FC232C6" w14:textId="77777777" w:rsidR="004B0429" w:rsidRDefault="004B0429" w:rsidP="006B75C2">
      <w:pPr>
        <w:spacing w:line="240" w:lineRule="auto"/>
        <w:jc w:val="center"/>
        <w:rPr>
          <w:rFonts w:asciiTheme="majorBidi" w:hAnsiTheme="majorBidi" w:cstheme="majorBidi"/>
          <w:sz w:val="24"/>
          <w:szCs w:val="24"/>
        </w:rPr>
      </w:pPr>
    </w:p>
    <w:p w14:paraId="06A05867" w14:textId="77777777" w:rsidR="008D5254" w:rsidRDefault="008D5254" w:rsidP="006B75C2">
      <w:pPr>
        <w:spacing w:line="240" w:lineRule="auto"/>
        <w:jc w:val="center"/>
        <w:rPr>
          <w:rFonts w:asciiTheme="majorBidi" w:hAnsiTheme="majorBidi" w:cstheme="majorBidi"/>
          <w:sz w:val="24"/>
          <w:szCs w:val="24"/>
        </w:rPr>
      </w:pPr>
    </w:p>
    <w:p w14:paraId="217A027D" w14:textId="2E7C4940" w:rsidR="00166D13" w:rsidRDefault="00166D13" w:rsidP="006B75C2">
      <w:pPr>
        <w:spacing w:line="240" w:lineRule="auto"/>
        <w:jc w:val="center"/>
        <w:rPr>
          <w:rFonts w:asciiTheme="majorBidi" w:hAnsiTheme="majorBidi" w:cstheme="majorBidi"/>
          <w:sz w:val="24"/>
          <w:szCs w:val="24"/>
        </w:rPr>
      </w:pPr>
      <w:r>
        <w:rPr>
          <w:rFonts w:asciiTheme="majorBidi" w:hAnsiTheme="majorBidi" w:cstheme="majorBidi"/>
          <w:sz w:val="24"/>
          <w:szCs w:val="24"/>
        </w:rPr>
        <w:t>Professor Daniel King</w:t>
      </w:r>
    </w:p>
    <w:p w14:paraId="32239585" w14:textId="77777777" w:rsidR="00166D13" w:rsidRPr="004B0429" w:rsidRDefault="00166D13" w:rsidP="006B75C2">
      <w:pPr>
        <w:spacing w:line="240" w:lineRule="auto"/>
        <w:jc w:val="center"/>
        <w:rPr>
          <w:rFonts w:asciiTheme="majorBidi" w:hAnsiTheme="majorBidi" w:cstheme="majorBidi"/>
          <w:sz w:val="24"/>
          <w:szCs w:val="24"/>
        </w:rPr>
      </w:pPr>
      <w:bookmarkStart w:id="1" w:name="_Hlk165559252"/>
      <w:r w:rsidRPr="004B0429">
        <w:rPr>
          <w:rFonts w:asciiTheme="majorBidi" w:hAnsiTheme="majorBidi" w:cstheme="majorBidi"/>
          <w:sz w:val="24"/>
          <w:szCs w:val="24"/>
        </w:rPr>
        <w:t>Nottingham Business School</w:t>
      </w:r>
    </w:p>
    <w:p w14:paraId="1A2BE676" w14:textId="77777777" w:rsidR="00166D13" w:rsidRPr="002E1B1D" w:rsidRDefault="00166D13" w:rsidP="006B75C2">
      <w:pPr>
        <w:spacing w:line="240" w:lineRule="auto"/>
        <w:jc w:val="center"/>
        <w:rPr>
          <w:rFonts w:asciiTheme="majorBidi" w:hAnsiTheme="majorBidi" w:cstheme="majorBidi"/>
          <w:sz w:val="24"/>
          <w:szCs w:val="24"/>
          <w:lang w:val="nb-NO"/>
        </w:rPr>
      </w:pPr>
      <w:r w:rsidRPr="002E1B1D">
        <w:rPr>
          <w:rFonts w:asciiTheme="majorBidi" w:hAnsiTheme="majorBidi" w:cstheme="majorBidi"/>
          <w:sz w:val="24"/>
          <w:szCs w:val="24"/>
          <w:lang w:val="nb-NO"/>
        </w:rPr>
        <w:t>Nottingham Trent University</w:t>
      </w:r>
    </w:p>
    <w:p w14:paraId="2134F9DC" w14:textId="77777777" w:rsidR="00166D13" w:rsidRPr="002E1B1D" w:rsidRDefault="00166D13" w:rsidP="006B75C2">
      <w:pPr>
        <w:spacing w:line="240" w:lineRule="auto"/>
        <w:jc w:val="center"/>
        <w:rPr>
          <w:rFonts w:asciiTheme="majorBidi" w:hAnsiTheme="majorBidi" w:cstheme="majorBidi"/>
          <w:sz w:val="24"/>
          <w:szCs w:val="24"/>
          <w:lang w:val="nb-NO"/>
        </w:rPr>
      </w:pPr>
      <w:r w:rsidRPr="002E1B1D">
        <w:rPr>
          <w:rFonts w:asciiTheme="majorBidi" w:hAnsiTheme="majorBidi" w:cstheme="majorBidi"/>
          <w:sz w:val="24"/>
          <w:szCs w:val="24"/>
          <w:lang w:val="nb-NO"/>
        </w:rPr>
        <w:t>Nottingham</w:t>
      </w:r>
    </w:p>
    <w:p w14:paraId="08624138" w14:textId="77777777" w:rsidR="00166D13" w:rsidRPr="002E1B1D" w:rsidRDefault="00166D13" w:rsidP="006B75C2">
      <w:pPr>
        <w:spacing w:line="240" w:lineRule="auto"/>
        <w:jc w:val="center"/>
        <w:rPr>
          <w:rFonts w:asciiTheme="majorBidi" w:hAnsiTheme="majorBidi" w:cstheme="majorBidi"/>
          <w:sz w:val="24"/>
          <w:szCs w:val="24"/>
          <w:lang w:val="nb-NO"/>
        </w:rPr>
      </w:pPr>
      <w:r w:rsidRPr="002E1B1D">
        <w:rPr>
          <w:rFonts w:asciiTheme="majorBidi" w:hAnsiTheme="majorBidi" w:cstheme="majorBidi"/>
          <w:sz w:val="24"/>
          <w:szCs w:val="24"/>
          <w:lang w:val="nb-NO"/>
        </w:rPr>
        <w:t>UK</w:t>
      </w:r>
    </w:p>
    <w:bookmarkEnd w:id="1"/>
    <w:p w14:paraId="7C8683E8" w14:textId="33307665" w:rsidR="00166D13" w:rsidRPr="002E1B1D" w:rsidRDefault="00166D13" w:rsidP="006B75C2">
      <w:pPr>
        <w:spacing w:line="240" w:lineRule="auto"/>
        <w:jc w:val="center"/>
        <w:rPr>
          <w:rFonts w:asciiTheme="majorBidi" w:hAnsiTheme="majorBidi" w:cstheme="majorBidi"/>
          <w:sz w:val="24"/>
          <w:szCs w:val="24"/>
          <w:lang w:val="nb-NO"/>
        </w:rPr>
      </w:pPr>
      <w:r w:rsidRPr="002E1B1D">
        <w:rPr>
          <w:rFonts w:asciiTheme="majorBidi" w:hAnsiTheme="majorBidi" w:cstheme="majorBidi"/>
          <w:sz w:val="24"/>
          <w:szCs w:val="24"/>
          <w:lang w:val="nb-NO"/>
        </w:rPr>
        <w:t xml:space="preserve">daniel.king@ntu.ac.uk </w:t>
      </w:r>
    </w:p>
    <w:p w14:paraId="1E17E27E" w14:textId="77777777" w:rsidR="00166D13" w:rsidRPr="002E1B1D" w:rsidRDefault="00166D13" w:rsidP="006B75C2">
      <w:pPr>
        <w:spacing w:line="240" w:lineRule="auto"/>
        <w:jc w:val="center"/>
        <w:rPr>
          <w:rFonts w:asciiTheme="majorBidi" w:hAnsiTheme="majorBidi" w:cstheme="majorBidi"/>
          <w:sz w:val="24"/>
          <w:szCs w:val="24"/>
          <w:lang w:val="nb-NO"/>
        </w:rPr>
      </w:pPr>
    </w:p>
    <w:p w14:paraId="5D67BF56" w14:textId="77777777" w:rsidR="008D5254" w:rsidRPr="002E1B1D" w:rsidRDefault="008D5254" w:rsidP="006B75C2">
      <w:pPr>
        <w:spacing w:line="240" w:lineRule="auto"/>
        <w:jc w:val="center"/>
        <w:rPr>
          <w:rFonts w:asciiTheme="majorBidi" w:hAnsiTheme="majorBidi" w:cstheme="majorBidi"/>
          <w:sz w:val="24"/>
          <w:szCs w:val="24"/>
          <w:lang w:val="nb-NO"/>
        </w:rPr>
      </w:pPr>
    </w:p>
    <w:p w14:paraId="0B1C0451" w14:textId="438EB836" w:rsidR="00166D13" w:rsidRPr="004B0429" w:rsidRDefault="00166D13" w:rsidP="006B75C2">
      <w:pPr>
        <w:spacing w:line="240" w:lineRule="auto"/>
        <w:jc w:val="center"/>
        <w:rPr>
          <w:rFonts w:asciiTheme="majorBidi" w:hAnsiTheme="majorBidi" w:cstheme="majorBidi"/>
          <w:sz w:val="24"/>
          <w:szCs w:val="24"/>
        </w:rPr>
      </w:pPr>
      <w:r>
        <w:rPr>
          <w:rFonts w:asciiTheme="majorBidi" w:hAnsiTheme="majorBidi" w:cstheme="majorBidi"/>
          <w:sz w:val="24"/>
          <w:szCs w:val="24"/>
        </w:rPr>
        <w:t>Dr Sarah Smith</w:t>
      </w:r>
    </w:p>
    <w:p w14:paraId="22666F2D" w14:textId="77777777" w:rsidR="00166D13" w:rsidRPr="004B0429" w:rsidRDefault="00166D13" w:rsidP="006B75C2">
      <w:pPr>
        <w:spacing w:line="240" w:lineRule="auto"/>
        <w:jc w:val="center"/>
        <w:rPr>
          <w:rFonts w:asciiTheme="majorBidi" w:hAnsiTheme="majorBidi" w:cstheme="majorBidi"/>
          <w:sz w:val="24"/>
          <w:szCs w:val="24"/>
        </w:rPr>
      </w:pPr>
      <w:r w:rsidRPr="004B0429">
        <w:rPr>
          <w:rFonts w:asciiTheme="majorBidi" w:hAnsiTheme="majorBidi" w:cstheme="majorBidi"/>
          <w:sz w:val="24"/>
          <w:szCs w:val="24"/>
        </w:rPr>
        <w:t>Nottingham Business School</w:t>
      </w:r>
    </w:p>
    <w:p w14:paraId="4EC3C6D9" w14:textId="77777777" w:rsidR="00166D13" w:rsidRPr="002E1B1D" w:rsidRDefault="00166D13" w:rsidP="006B75C2">
      <w:pPr>
        <w:spacing w:line="240" w:lineRule="auto"/>
        <w:jc w:val="center"/>
        <w:rPr>
          <w:rFonts w:asciiTheme="majorBidi" w:hAnsiTheme="majorBidi" w:cstheme="majorBidi"/>
          <w:sz w:val="24"/>
          <w:szCs w:val="24"/>
          <w:lang w:val="nb-NO"/>
        </w:rPr>
      </w:pPr>
      <w:r w:rsidRPr="002E1B1D">
        <w:rPr>
          <w:rFonts w:asciiTheme="majorBidi" w:hAnsiTheme="majorBidi" w:cstheme="majorBidi"/>
          <w:sz w:val="24"/>
          <w:szCs w:val="24"/>
          <w:lang w:val="nb-NO"/>
        </w:rPr>
        <w:t>Nottingham Trent University</w:t>
      </w:r>
    </w:p>
    <w:p w14:paraId="47B040D5" w14:textId="77777777" w:rsidR="00166D13" w:rsidRPr="002E1B1D" w:rsidRDefault="00166D13" w:rsidP="006B75C2">
      <w:pPr>
        <w:spacing w:line="240" w:lineRule="auto"/>
        <w:jc w:val="center"/>
        <w:rPr>
          <w:rFonts w:asciiTheme="majorBidi" w:hAnsiTheme="majorBidi" w:cstheme="majorBidi"/>
          <w:sz w:val="24"/>
          <w:szCs w:val="24"/>
          <w:lang w:val="nb-NO"/>
        </w:rPr>
      </w:pPr>
      <w:r w:rsidRPr="002E1B1D">
        <w:rPr>
          <w:rFonts w:asciiTheme="majorBidi" w:hAnsiTheme="majorBidi" w:cstheme="majorBidi"/>
          <w:sz w:val="24"/>
          <w:szCs w:val="24"/>
          <w:lang w:val="nb-NO"/>
        </w:rPr>
        <w:t>Nottingham</w:t>
      </w:r>
    </w:p>
    <w:p w14:paraId="4FB40897" w14:textId="77777777" w:rsidR="00166D13" w:rsidRPr="002E1B1D" w:rsidRDefault="00166D13" w:rsidP="006B75C2">
      <w:pPr>
        <w:spacing w:line="240" w:lineRule="auto"/>
        <w:jc w:val="center"/>
        <w:rPr>
          <w:rFonts w:asciiTheme="majorBidi" w:hAnsiTheme="majorBidi" w:cstheme="majorBidi"/>
          <w:sz w:val="24"/>
          <w:szCs w:val="24"/>
          <w:lang w:val="nb-NO"/>
        </w:rPr>
      </w:pPr>
      <w:r w:rsidRPr="002E1B1D">
        <w:rPr>
          <w:rFonts w:asciiTheme="majorBidi" w:hAnsiTheme="majorBidi" w:cstheme="majorBidi"/>
          <w:sz w:val="24"/>
          <w:szCs w:val="24"/>
          <w:lang w:val="nb-NO"/>
        </w:rPr>
        <w:t>UK</w:t>
      </w:r>
    </w:p>
    <w:p w14:paraId="77B6B7D7" w14:textId="410FE84F" w:rsidR="004F2069" w:rsidRPr="002E1B1D" w:rsidRDefault="00166D13" w:rsidP="006B75C2">
      <w:pPr>
        <w:spacing w:line="240" w:lineRule="auto"/>
        <w:jc w:val="center"/>
        <w:rPr>
          <w:rFonts w:asciiTheme="majorBidi" w:hAnsiTheme="majorBidi" w:cstheme="majorBidi"/>
          <w:sz w:val="24"/>
          <w:szCs w:val="24"/>
          <w:lang w:val="nb-NO"/>
        </w:rPr>
      </w:pPr>
      <w:r w:rsidRPr="002E1B1D">
        <w:rPr>
          <w:rFonts w:asciiTheme="majorBidi" w:hAnsiTheme="majorBidi" w:cstheme="majorBidi"/>
          <w:sz w:val="24"/>
          <w:szCs w:val="24"/>
          <w:lang w:val="nb-NO"/>
        </w:rPr>
        <w:t xml:space="preserve">sarah.smith@ntu.ac.uk </w:t>
      </w:r>
    </w:p>
    <w:p w14:paraId="7CE104E3" w14:textId="77777777" w:rsidR="004F2069" w:rsidRPr="002E1B1D" w:rsidRDefault="004F2069" w:rsidP="006B75C2">
      <w:pPr>
        <w:spacing w:line="240" w:lineRule="auto"/>
        <w:rPr>
          <w:rFonts w:asciiTheme="majorBidi" w:hAnsiTheme="majorBidi" w:cstheme="majorBidi"/>
          <w:b/>
          <w:bCs/>
          <w:sz w:val="24"/>
          <w:szCs w:val="24"/>
          <w:lang w:val="nb-NO"/>
        </w:rPr>
      </w:pPr>
      <w:r w:rsidRPr="002E1B1D">
        <w:rPr>
          <w:rFonts w:asciiTheme="majorBidi" w:hAnsiTheme="majorBidi" w:cstheme="majorBidi"/>
          <w:b/>
          <w:bCs/>
          <w:sz w:val="24"/>
          <w:szCs w:val="24"/>
          <w:lang w:val="nb-NO"/>
        </w:rPr>
        <w:br w:type="page"/>
      </w:r>
    </w:p>
    <w:p w14:paraId="4B8EEA3F" w14:textId="23BF4C5B" w:rsidR="002F0B8D" w:rsidRDefault="002F0B8D" w:rsidP="006B75C2">
      <w:pPr>
        <w:spacing w:line="240" w:lineRule="auto"/>
        <w:jc w:val="center"/>
        <w:rPr>
          <w:rFonts w:asciiTheme="majorBidi" w:hAnsiTheme="majorBidi" w:cstheme="majorBidi"/>
          <w:b/>
          <w:bCs/>
          <w:sz w:val="24"/>
          <w:szCs w:val="24"/>
        </w:rPr>
      </w:pPr>
      <w:r w:rsidRPr="0049543F">
        <w:rPr>
          <w:rFonts w:asciiTheme="majorBidi" w:hAnsiTheme="majorBidi" w:cstheme="majorBidi"/>
          <w:b/>
          <w:bCs/>
          <w:sz w:val="24"/>
          <w:szCs w:val="24"/>
        </w:rPr>
        <w:lastRenderedPageBreak/>
        <w:t>Raising the tensions of learning: Understanding the Learning Organisation as a paradox in an SME context</w:t>
      </w:r>
    </w:p>
    <w:p w14:paraId="53084887" w14:textId="77777777" w:rsidR="00A65E69" w:rsidRDefault="00A65E69" w:rsidP="006B75C2">
      <w:pPr>
        <w:spacing w:line="240" w:lineRule="auto"/>
        <w:jc w:val="center"/>
        <w:rPr>
          <w:rFonts w:asciiTheme="majorBidi" w:hAnsiTheme="majorBidi" w:cstheme="majorBidi"/>
          <w:b/>
          <w:bCs/>
          <w:sz w:val="24"/>
          <w:szCs w:val="24"/>
        </w:rPr>
      </w:pPr>
    </w:p>
    <w:p w14:paraId="2305C1C1" w14:textId="641968F0" w:rsidR="00A65E69" w:rsidRPr="00A65E69" w:rsidRDefault="00A65E69" w:rsidP="006B75C2">
      <w:pPr>
        <w:spacing w:line="240" w:lineRule="auto"/>
        <w:jc w:val="center"/>
        <w:rPr>
          <w:rFonts w:asciiTheme="majorBidi" w:hAnsiTheme="majorBidi" w:cstheme="majorBidi"/>
          <w:b/>
          <w:bCs/>
          <w:sz w:val="24"/>
          <w:szCs w:val="24"/>
        </w:rPr>
      </w:pPr>
      <w:r w:rsidRPr="00A65E69">
        <w:rPr>
          <w:rFonts w:asciiTheme="majorBidi" w:hAnsiTheme="majorBidi" w:cstheme="majorBidi"/>
          <w:b/>
          <w:bCs/>
          <w:sz w:val="24"/>
          <w:szCs w:val="24"/>
        </w:rPr>
        <w:t>British Academy of Management Conference 2024</w:t>
      </w:r>
    </w:p>
    <w:p w14:paraId="2BF17D41" w14:textId="2EE6C6DB" w:rsidR="00A65E69" w:rsidRDefault="00A65E69" w:rsidP="006B75C2">
      <w:pPr>
        <w:spacing w:line="240" w:lineRule="auto"/>
        <w:jc w:val="center"/>
        <w:rPr>
          <w:rFonts w:asciiTheme="majorBidi" w:hAnsiTheme="majorBidi" w:cstheme="majorBidi"/>
          <w:b/>
          <w:bCs/>
          <w:sz w:val="24"/>
          <w:szCs w:val="24"/>
        </w:rPr>
      </w:pPr>
      <w:r w:rsidRPr="00A65E69">
        <w:rPr>
          <w:rFonts w:asciiTheme="majorBidi" w:hAnsiTheme="majorBidi" w:cstheme="majorBidi"/>
          <w:b/>
          <w:bCs/>
          <w:sz w:val="24"/>
          <w:szCs w:val="24"/>
        </w:rPr>
        <w:t>Knowledge and Learning Track</w:t>
      </w:r>
    </w:p>
    <w:p w14:paraId="674B789E" w14:textId="77777777" w:rsidR="002F0B8D" w:rsidRDefault="002F0B8D" w:rsidP="006B75C2">
      <w:pPr>
        <w:spacing w:line="240" w:lineRule="auto"/>
        <w:jc w:val="center"/>
        <w:rPr>
          <w:rFonts w:asciiTheme="majorBidi" w:hAnsiTheme="majorBidi" w:cstheme="majorBidi"/>
          <w:b/>
          <w:bCs/>
          <w:sz w:val="24"/>
          <w:szCs w:val="24"/>
        </w:rPr>
      </w:pPr>
    </w:p>
    <w:p w14:paraId="3FFB9947" w14:textId="58FBC867" w:rsidR="002F0B8D" w:rsidRDefault="002F0B8D" w:rsidP="006B75C2">
      <w:pPr>
        <w:spacing w:line="240" w:lineRule="auto"/>
        <w:jc w:val="center"/>
        <w:rPr>
          <w:rFonts w:asciiTheme="majorBidi" w:hAnsiTheme="majorBidi" w:cstheme="majorBidi"/>
          <w:b/>
          <w:bCs/>
          <w:sz w:val="24"/>
          <w:szCs w:val="24"/>
        </w:rPr>
      </w:pPr>
      <w:r>
        <w:rPr>
          <w:rFonts w:asciiTheme="majorBidi" w:hAnsiTheme="majorBidi" w:cstheme="majorBidi"/>
          <w:b/>
          <w:bCs/>
          <w:sz w:val="24"/>
          <w:szCs w:val="24"/>
        </w:rPr>
        <w:t>Summary</w:t>
      </w:r>
    </w:p>
    <w:p w14:paraId="261E359D" w14:textId="3411ACA1" w:rsidR="0084772C" w:rsidRDefault="0075547F" w:rsidP="006B75C2">
      <w:pPr>
        <w:spacing w:line="240" w:lineRule="auto"/>
        <w:jc w:val="both"/>
        <w:rPr>
          <w:rFonts w:asciiTheme="majorBidi" w:hAnsiTheme="majorBidi" w:cstheme="majorBidi"/>
          <w:sz w:val="24"/>
          <w:szCs w:val="24"/>
        </w:rPr>
      </w:pPr>
      <w:r>
        <w:rPr>
          <w:rFonts w:asciiTheme="majorBidi" w:hAnsiTheme="majorBidi" w:cstheme="majorBidi"/>
          <w:sz w:val="24"/>
          <w:szCs w:val="24"/>
        </w:rPr>
        <w:t>Our</w:t>
      </w:r>
      <w:r w:rsidR="000E41E1" w:rsidRPr="000E41E1">
        <w:rPr>
          <w:rFonts w:asciiTheme="majorBidi" w:hAnsiTheme="majorBidi" w:cstheme="majorBidi"/>
          <w:sz w:val="24"/>
          <w:szCs w:val="24"/>
        </w:rPr>
        <w:t xml:space="preserve"> paper provides an empirical example of the Learning Organisation as a paradox (Vince, 2018). </w:t>
      </w:r>
      <w:r w:rsidR="00766268">
        <w:rPr>
          <w:rFonts w:asciiTheme="majorBidi" w:hAnsiTheme="majorBidi" w:cstheme="majorBidi"/>
          <w:sz w:val="24"/>
          <w:szCs w:val="24"/>
        </w:rPr>
        <w:t>We focus</w:t>
      </w:r>
      <w:r w:rsidR="003B7A28">
        <w:rPr>
          <w:rFonts w:asciiTheme="majorBidi" w:hAnsiTheme="majorBidi" w:cstheme="majorBidi"/>
          <w:sz w:val="24"/>
          <w:szCs w:val="24"/>
        </w:rPr>
        <w:t xml:space="preserve"> on a</w:t>
      </w:r>
      <w:r w:rsidR="00447EBC">
        <w:rPr>
          <w:rFonts w:asciiTheme="majorBidi" w:hAnsiTheme="majorBidi" w:cstheme="majorBidi"/>
          <w:sz w:val="24"/>
          <w:szCs w:val="24"/>
        </w:rPr>
        <w:t xml:space="preserve"> UK</w:t>
      </w:r>
      <w:r w:rsidR="000D6F69">
        <w:rPr>
          <w:rFonts w:asciiTheme="majorBidi" w:hAnsiTheme="majorBidi" w:cstheme="majorBidi"/>
          <w:sz w:val="24"/>
          <w:szCs w:val="24"/>
        </w:rPr>
        <w:t xml:space="preserve"> technologically focused</w:t>
      </w:r>
      <w:r w:rsidR="00D9645F">
        <w:rPr>
          <w:rFonts w:asciiTheme="majorBidi" w:hAnsiTheme="majorBidi" w:cstheme="majorBidi"/>
          <w:sz w:val="24"/>
          <w:szCs w:val="24"/>
        </w:rPr>
        <w:t xml:space="preserve"> </w:t>
      </w:r>
      <w:r w:rsidR="002E2FF2">
        <w:rPr>
          <w:rFonts w:asciiTheme="majorBidi" w:hAnsiTheme="majorBidi" w:cstheme="majorBidi"/>
          <w:sz w:val="24"/>
          <w:szCs w:val="24"/>
        </w:rPr>
        <w:t>SME and</w:t>
      </w:r>
      <w:r w:rsidR="00B91C48">
        <w:rPr>
          <w:rFonts w:asciiTheme="majorBidi" w:hAnsiTheme="majorBidi" w:cstheme="majorBidi"/>
          <w:sz w:val="24"/>
          <w:szCs w:val="24"/>
        </w:rPr>
        <w:t xml:space="preserve"> draw</w:t>
      </w:r>
      <w:r w:rsidR="00766268" w:rsidRPr="00766268">
        <w:rPr>
          <w:rFonts w:asciiTheme="majorBidi" w:hAnsiTheme="majorBidi" w:cstheme="majorBidi"/>
          <w:sz w:val="24"/>
          <w:szCs w:val="24"/>
        </w:rPr>
        <w:t xml:space="preserve"> on observations and interviews with 21 organisational members</w:t>
      </w:r>
      <w:r w:rsidR="00D9645F">
        <w:rPr>
          <w:rFonts w:asciiTheme="majorBidi" w:hAnsiTheme="majorBidi" w:cstheme="majorBidi"/>
          <w:sz w:val="24"/>
          <w:szCs w:val="24"/>
        </w:rPr>
        <w:t xml:space="preserve"> </w:t>
      </w:r>
      <w:r w:rsidR="00B91C48">
        <w:rPr>
          <w:rFonts w:asciiTheme="majorBidi" w:hAnsiTheme="majorBidi" w:cstheme="majorBidi"/>
          <w:sz w:val="24"/>
          <w:szCs w:val="24"/>
        </w:rPr>
        <w:t>to</w:t>
      </w:r>
      <w:r w:rsidR="000E41E1" w:rsidRPr="000E41E1">
        <w:rPr>
          <w:rFonts w:asciiTheme="majorBidi" w:hAnsiTheme="majorBidi" w:cstheme="majorBidi"/>
          <w:sz w:val="24"/>
          <w:szCs w:val="24"/>
        </w:rPr>
        <w:t xml:space="preserve"> reveal persistent contradictions of learning.</w:t>
      </w:r>
      <w:bookmarkStart w:id="2" w:name="_Hlk158801748"/>
      <w:r w:rsidR="00343840" w:rsidRPr="00343840">
        <w:t xml:space="preserve"> </w:t>
      </w:r>
      <w:r w:rsidR="00343840" w:rsidRPr="00343840">
        <w:rPr>
          <w:rFonts w:asciiTheme="majorBidi" w:hAnsiTheme="majorBidi" w:cstheme="majorBidi"/>
          <w:sz w:val="24"/>
          <w:szCs w:val="24"/>
        </w:rPr>
        <w:t xml:space="preserve">We illustrate that, through an exclusive </w:t>
      </w:r>
      <w:r w:rsidR="00343840" w:rsidRPr="00343840">
        <w:rPr>
          <w:rFonts w:asciiTheme="majorBidi" w:hAnsiTheme="majorBidi" w:cstheme="majorBidi"/>
          <w:i/>
          <w:iCs/>
          <w:sz w:val="24"/>
          <w:szCs w:val="24"/>
        </w:rPr>
        <w:t>focus</w:t>
      </w:r>
      <w:r w:rsidR="00343840" w:rsidRPr="00343840">
        <w:rPr>
          <w:rFonts w:asciiTheme="majorBidi" w:hAnsiTheme="majorBidi" w:cstheme="majorBidi"/>
          <w:sz w:val="24"/>
          <w:szCs w:val="24"/>
        </w:rPr>
        <w:t xml:space="preserve"> on building conditions</w:t>
      </w:r>
      <w:r w:rsidR="003E0B32">
        <w:rPr>
          <w:rFonts w:asciiTheme="majorBidi" w:hAnsiTheme="majorBidi" w:cstheme="majorBidi"/>
          <w:sz w:val="24"/>
          <w:szCs w:val="24"/>
        </w:rPr>
        <w:t xml:space="preserve"> for learning</w:t>
      </w:r>
      <w:r w:rsidR="00343840" w:rsidRPr="00343840">
        <w:rPr>
          <w:rFonts w:asciiTheme="majorBidi" w:hAnsiTheme="majorBidi" w:cstheme="majorBidi"/>
          <w:sz w:val="24"/>
          <w:szCs w:val="24"/>
        </w:rPr>
        <w:t>, th</w:t>
      </w:r>
      <w:r w:rsidR="00245F9C">
        <w:rPr>
          <w:rFonts w:asciiTheme="majorBidi" w:hAnsiTheme="majorBidi" w:cstheme="majorBidi"/>
          <w:sz w:val="24"/>
          <w:szCs w:val="24"/>
        </w:rPr>
        <w:t>e SME</w:t>
      </w:r>
      <w:r w:rsidR="00343840" w:rsidRPr="00343840">
        <w:rPr>
          <w:rFonts w:asciiTheme="majorBidi" w:hAnsiTheme="majorBidi" w:cstheme="majorBidi"/>
          <w:sz w:val="24"/>
          <w:szCs w:val="24"/>
        </w:rPr>
        <w:t xml:space="preserve"> unwittingly separated learning and organising.</w:t>
      </w:r>
      <w:r w:rsidR="006C2179">
        <w:rPr>
          <w:rFonts w:asciiTheme="majorBidi" w:hAnsiTheme="majorBidi" w:cstheme="majorBidi"/>
          <w:sz w:val="24"/>
          <w:szCs w:val="24"/>
        </w:rPr>
        <w:t xml:space="preserve"> </w:t>
      </w:r>
      <w:r w:rsidR="00A715C9" w:rsidRPr="00A715C9">
        <w:rPr>
          <w:rFonts w:asciiTheme="majorBidi" w:hAnsiTheme="majorBidi" w:cstheme="majorBidi"/>
          <w:sz w:val="24"/>
          <w:szCs w:val="24"/>
        </w:rPr>
        <w:t xml:space="preserve">Yet their focus on learning nevertheless mobilised underlying organisational tensions which simultaneously built conditions which undermined learning. This resulted in defensive reactions which simultaneously constituted a </w:t>
      </w:r>
      <w:r w:rsidR="00A715C9" w:rsidRPr="00BC1D74">
        <w:rPr>
          <w:rFonts w:asciiTheme="majorBidi" w:hAnsiTheme="majorBidi" w:cstheme="majorBidi"/>
          <w:i/>
          <w:iCs/>
          <w:sz w:val="24"/>
          <w:szCs w:val="24"/>
        </w:rPr>
        <w:t>position</w:t>
      </w:r>
      <w:r w:rsidR="00A715C9" w:rsidRPr="00A715C9">
        <w:rPr>
          <w:rFonts w:asciiTheme="majorBidi" w:hAnsiTheme="majorBidi" w:cstheme="majorBidi"/>
          <w:sz w:val="24"/>
          <w:szCs w:val="24"/>
        </w:rPr>
        <w:t xml:space="preserve"> against learning and ultimately meant that the desired </w:t>
      </w:r>
      <w:r w:rsidR="00A715C9" w:rsidRPr="00BC1D74">
        <w:rPr>
          <w:rFonts w:asciiTheme="majorBidi" w:hAnsiTheme="majorBidi" w:cstheme="majorBidi"/>
          <w:i/>
          <w:iCs/>
          <w:sz w:val="24"/>
          <w:szCs w:val="24"/>
        </w:rPr>
        <w:t>consequence</w:t>
      </w:r>
      <w:r w:rsidR="00A715C9" w:rsidRPr="00A715C9">
        <w:rPr>
          <w:rFonts w:asciiTheme="majorBidi" w:hAnsiTheme="majorBidi" w:cstheme="majorBidi"/>
          <w:sz w:val="24"/>
          <w:szCs w:val="24"/>
        </w:rPr>
        <w:t xml:space="preserve"> of learning often did not happen.</w:t>
      </w:r>
      <w:bookmarkEnd w:id="2"/>
      <w:r w:rsidR="00931950">
        <w:rPr>
          <w:rFonts w:asciiTheme="majorBidi" w:hAnsiTheme="majorBidi" w:cstheme="majorBidi"/>
          <w:sz w:val="24"/>
          <w:szCs w:val="24"/>
        </w:rPr>
        <w:t xml:space="preserve"> </w:t>
      </w:r>
      <w:r w:rsidR="00EA0173">
        <w:rPr>
          <w:rFonts w:asciiTheme="majorBidi" w:hAnsiTheme="majorBidi" w:cstheme="majorBidi"/>
          <w:sz w:val="24"/>
          <w:szCs w:val="24"/>
        </w:rPr>
        <w:t xml:space="preserve">We contribute by </w:t>
      </w:r>
      <w:r w:rsidR="0084367A">
        <w:rPr>
          <w:rFonts w:asciiTheme="majorBidi" w:hAnsiTheme="majorBidi" w:cstheme="majorBidi"/>
          <w:sz w:val="24"/>
          <w:szCs w:val="24"/>
        </w:rPr>
        <w:t>offering</w:t>
      </w:r>
      <w:r w:rsidR="00EA0173">
        <w:rPr>
          <w:rFonts w:asciiTheme="majorBidi" w:hAnsiTheme="majorBidi" w:cstheme="majorBidi"/>
          <w:sz w:val="24"/>
          <w:szCs w:val="24"/>
        </w:rPr>
        <w:t xml:space="preserve"> a theor</w:t>
      </w:r>
      <w:r w:rsidR="00C30136">
        <w:rPr>
          <w:rFonts w:asciiTheme="majorBidi" w:hAnsiTheme="majorBidi" w:cstheme="majorBidi"/>
          <w:sz w:val="24"/>
          <w:szCs w:val="24"/>
        </w:rPr>
        <w:t xml:space="preserve">etical model of the </w:t>
      </w:r>
      <w:r w:rsidR="00B75655">
        <w:rPr>
          <w:rFonts w:asciiTheme="majorBidi" w:hAnsiTheme="majorBidi" w:cstheme="majorBidi"/>
          <w:sz w:val="24"/>
          <w:szCs w:val="24"/>
        </w:rPr>
        <w:t>L</w:t>
      </w:r>
      <w:r w:rsidR="00C30136">
        <w:rPr>
          <w:rFonts w:asciiTheme="majorBidi" w:hAnsiTheme="majorBidi" w:cstheme="majorBidi"/>
          <w:sz w:val="24"/>
          <w:szCs w:val="24"/>
        </w:rPr>
        <w:t xml:space="preserve">earning </w:t>
      </w:r>
      <w:r w:rsidR="00B75655">
        <w:rPr>
          <w:rFonts w:asciiTheme="majorBidi" w:hAnsiTheme="majorBidi" w:cstheme="majorBidi"/>
          <w:sz w:val="24"/>
          <w:szCs w:val="24"/>
        </w:rPr>
        <w:t>O</w:t>
      </w:r>
      <w:r w:rsidR="00C30136">
        <w:rPr>
          <w:rFonts w:asciiTheme="majorBidi" w:hAnsiTheme="majorBidi" w:cstheme="majorBidi"/>
          <w:sz w:val="24"/>
          <w:szCs w:val="24"/>
        </w:rPr>
        <w:t>rganisation as a paradox which</w:t>
      </w:r>
      <w:r w:rsidR="009C32B4">
        <w:rPr>
          <w:rFonts w:asciiTheme="majorBidi" w:hAnsiTheme="majorBidi" w:cstheme="majorBidi"/>
          <w:sz w:val="24"/>
          <w:szCs w:val="24"/>
        </w:rPr>
        <w:t xml:space="preserve"> </w:t>
      </w:r>
      <w:r w:rsidR="008903AB">
        <w:rPr>
          <w:rFonts w:asciiTheme="majorBidi" w:hAnsiTheme="majorBidi" w:cstheme="majorBidi"/>
          <w:sz w:val="24"/>
          <w:szCs w:val="24"/>
        </w:rPr>
        <w:t>helps explain</w:t>
      </w:r>
      <w:r w:rsidR="00CB0031">
        <w:rPr>
          <w:rFonts w:asciiTheme="majorBidi" w:hAnsiTheme="majorBidi" w:cstheme="majorBidi"/>
          <w:sz w:val="24"/>
          <w:szCs w:val="24"/>
        </w:rPr>
        <w:t xml:space="preserve"> the</w:t>
      </w:r>
      <w:r w:rsidR="005728D9">
        <w:rPr>
          <w:rFonts w:asciiTheme="majorBidi" w:hAnsiTheme="majorBidi" w:cstheme="majorBidi"/>
          <w:sz w:val="24"/>
          <w:szCs w:val="24"/>
        </w:rPr>
        <w:t xml:space="preserve"> </w:t>
      </w:r>
      <w:r w:rsidR="00A65E69">
        <w:rPr>
          <w:rFonts w:asciiTheme="majorBidi" w:hAnsiTheme="majorBidi" w:cstheme="majorBidi"/>
          <w:sz w:val="24"/>
          <w:szCs w:val="24"/>
        </w:rPr>
        <w:t>contradictions</w:t>
      </w:r>
      <w:r w:rsidR="005728D9" w:rsidRPr="005728D9">
        <w:rPr>
          <w:rFonts w:asciiTheme="majorBidi" w:hAnsiTheme="majorBidi" w:cstheme="majorBidi"/>
          <w:sz w:val="24"/>
          <w:szCs w:val="24"/>
        </w:rPr>
        <w:t xml:space="preserve"> that are always present between the desire to create opportunities to learn and implicit limitations that arise in relation to the everyday organi</w:t>
      </w:r>
      <w:r w:rsidR="00DD2B29">
        <w:rPr>
          <w:rFonts w:asciiTheme="majorBidi" w:hAnsiTheme="majorBidi" w:cstheme="majorBidi"/>
          <w:sz w:val="24"/>
          <w:szCs w:val="24"/>
        </w:rPr>
        <w:t>s</w:t>
      </w:r>
      <w:r w:rsidR="005728D9" w:rsidRPr="005728D9">
        <w:rPr>
          <w:rFonts w:asciiTheme="majorBidi" w:hAnsiTheme="majorBidi" w:cstheme="majorBidi"/>
          <w:sz w:val="24"/>
          <w:szCs w:val="24"/>
        </w:rPr>
        <w:t>ation of attempts to learn.</w:t>
      </w:r>
      <w:r w:rsidR="00DC3EC8">
        <w:rPr>
          <w:rFonts w:asciiTheme="majorBidi" w:hAnsiTheme="majorBidi" w:cstheme="majorBidi"/>
          <w:sz w:val="24"/>
          <w:szCs w:val="24"/>
        </w:rPr>
        <w:t xml:space="preserve"> </w:t>
      </w:r>
      <w:r w:rsidR="00E8012D">
        <w:rPr>
          <w:rFonts w:asciiTheme="majorBidi" w:hAnsiTheme="majorBidi" w:cstheme="majorBidi"/>
          <w:sz w:val="24"/>
          <w:szCs w:val="24"/>
        </w:rPr>
        <w:t xml:space="preserve">Practically, we suggest that </w:t>
      </w:r>
      <w:r w:rsidR="0039070D">
        <w:rPr>
          <w:rFonts w:asciiTheme="majorBidi" w:hAnsiTheme="majorBidi" w:cstheme="majorBidi"/>
          <w:sz w:val="24"/>
          <w:szCs w:val="24"/>
        </w:rPr>
        <w:t>attending to these contradictions</w:t>
      </w:r>
      <w:r w:rsidR="000508D1">
        <w:rPr>
          <w:rFonts w:asciiTheme="majorBidi" w:hAnsiTheme="majorBidi" w:cstheme="majorBidi"/>
          <w:sz w:val="24"/>
          <w:szCs w:val="24"/>
        </w:rPr>
        <w:t xml:space="preserve"> can</w:t>
      </w:r>
      <w:r w:rsidR="004911CE">
        <w:rPr>
          <w:rFonts w:asciiTheme="majorBidi" w:hAnsiTheme="majorBidi" w:cstheme="majorBidi"/>
          <w:sz w:val="24"/>
          <w:szCs w:val="24"/>
        </w:rPr>
        <w:t xml:space="preserve"> make learning more likely</w:t>
      </w:r>
      <w:r w:rsidR="00DD2B29">
        <w:rPr>
          <w:rFonts w:asciiTheme="majorBidi" w:hAnsiTheme="majorBidi" w:cstheme="majorBidi"/>
          <w:sz w:val="24"/>
          <w:szCs w:val="24"/>
        </w:rPr>
        <w:t xml:space="preserve"> in organisations</w:t>
      </w:r>
      <w:r w:rsidR="002471B1">
        <w:rPr>
          <w:rFonts w:asciiTheme="majorBidi" w:hAnsiTheme="majorBidi" w:cstheme="majorBidi"/>
          <w:sz w:val="24"/>
          <w:szCs w:val="24"/>
        </w:rPr>
        <w:t xml:space="preserve"> and offer suggestions for working with these.</w:t>
      </w:r>
      <w:r w:rsidR="00DD2B29">
        <w:rPr>
          <w:rFonts w:asciiTheme="majorBidi" w:hAnsiTheme="majorBidi" w:cstheme="majorBidi"/>
          <w:sz w:val="24"/>
          <w:szCs w:val="24"/>
        </w:rPr>
        <w:t xml:space="preserve"> </w:t>
      </w:r>
    </w:p>
    <w:p w14:paraId="0A221D61" w14:textId="77777777" w:rsidR="00C8056C" w:rsidRDefault="00C8056C" w:rsidP="006B75C2">
      <w:pPr>
        <w:spacing w:line="240" w:lineRule="auto"/>
        <w:rPr>
          <w:rFonts w:asciiTheme="majorBidi" w:hAnsiTheme="majorBidi" w:cstheme="majorBidi"/>
          <w:b/>
          <w:bCs/>
          <w:sz w:val="24"/>
          <w:szCs w:val="24"/>
        </w:rPr>
      </w:pPr>
    </w:p>
    <w:p w14:paraId="6ED5AF46" w14:textId="1DC4D8D6" w:rsidR="00C8056C" w:rsidRDefault="00C8056C" w:rsidP="006B75C2">
      <w:pPr>
        <w:spacing w:line="240" w:lineRule="auto"/>
        <w:jc w:val="center"/>
        <w:rPr>
          <w:rFonts w:asciiTheme="majorBidi" w:hAnsiTheme="majorBidi" w:cstheme="majorBidi"/>
          <w:b/>
          <w:bCs/>
          <w:sz w:val="24"/>
          <w:szCs w:val="24"/>
        </w:rPr>
      </w:pPr>
    </w:p>
    <w:p w14:paraId="3D98B1CD" w14:textId="77777777" w:rsidR="002F7AD7" w:rsidRDefault="002F7AD7" w:rsidP="006B75C2">
      <w:pPr>
        <w:spacing w:line="240" w:lineRule="auto"/>
        <w:jc w:val="center"/>
        <w:rPr>
          <w:rFonts w:asciiTheme="majorBidi" w:hAnsiTheme="majorBidi" w:cstheme="majorBidi"/>
          <w:b/>
          <w:bCs/>
          <w:sz w:val="24"/>
          <w:szCs w:val="24"/>
        </w:rPr>
      </w:pPr>
    </w:p>
    <w:p w14:paraId="72E9D2F5" w14:textId="77777777" w:rsidR="0016140B" w:rsidRDefault="0016140B" w:rsidP="006B75C2">
      <w:pPr>
        <w:spacing w:line="240" w:lineRule="auto"/>
        <w:jc w:val="center"/>
        <w:rPr>
          <w:rFonts w:asciiTheme="majorBidi" w:hAnsiTheme="majorBidi" w:cstheme="majorBidi"/>
          <w:b/>
          <w:bCs/>
          <w:sz w:val="24"/>
          <w:szCs w:val="24"/>
        </w:rPr>
      </w:pPr>
    </w:p>
    <w:p w14:paraId="73B6DDDA" w14:textId="09AB2B9D" w:rsidR="004D2E55" w:rsidRPr="00D935D6" w:rsidRDefault="004D2E55" w:rsidP="006B75C2">
      <w:pPr>
        <w:spacing w:line="240" w:lineRule="auto"/>
        <w:jc w:val="center"/>
        <w:rPr>
          <w:rFonts w:asciiTheme="majorBidi" w:hAnsiTheme="majorBidi" w:cstheme="majorBidi"/>
          <w:b/>
          <w:bCs/>
          <w:color w:val="FF0000"/>
          <w:sz w:val="24"/>
          <w:szCs w:val="24"/>
        </w:rPr>
      </w:pPr>
    </w:p>
    <w:p w14:paraId="505A7F8B" w14:textId="77777777" w:rsidR="006B75C2" w:rsidRPr="006B75C2" w:rsidRDefault="002F0B8D" w:rsidP="006B75C2">
      <w:pPr>
        <w:spacing w:line="240" w:lineRule="auto"/>
        <w:jc w:val="both"/>
        <w:rPr>
          <w:rFonts w:asciiTheme="majorBidi" w:hAnsiTheme="majorBidi" w:cstheme="majorBidi"/>
          <w:b/>
          <w:bCs/>
          <w:sz w:val="24"/>
          <w:szCs w:val="24"/>
        </w:rPr>
      </w:pPr>
      <w:r>
        <w:rPr>
          <w:rFonts w:asciiTheme="majorBidi" w:hAnsiTheme="majorBidi" w:cstheme="majorBidi"/>
          <w:b/>
          <w:bCs/>
          <w:sz w:val="24"/>
          <w:szCs w:val="24"/>
        </w:rPr>
        <w:br w:type="page"/>
      </w:r>
      <w:r w:rsidR="006B75C2" w:rsidRPr="006B75C2">
        <w:rPr>
          <w:rFonts w:asciiTheme="majorBidi" w:hAnsiTheme="majorBidi" w:cstheme="majorBidi"/>
          <w:b/>
          <w:bCs/>
          <w:sz w:val="24"/>
          <w:szCs w:val="24"/>
        </w:rPr>
        <w:lastRenderedPageBreak/>
        <w:t>Introduction</w:t>
      </w:r>
    </w:p>
    <w:p w14:paraId="3ADBCE44" w14:textId="77777777" w:rsidR="006B75C2" w:rsidRPr="006B75C2" w:rsidRDefault="006B75C2" w:rsidP="006B75C2">
      <w:pPr>
        <w:spacing w:line="240" w:lineRule="auto"/>
        <w:jc w:val="both"/>
        <w:rPr>
          <w:rFonts w:asciiTheme="majorBidi" w:hAnsiTheme="majorBidi" w:cstheme="majorBidi"/>
          <w:sz w:val="24"/>
          <w:szCs w:val="24"/>
        </w:rPr>
      </w:pPr>
      <w:r w:rsidRPr="006B75C2">
        <w:rPr>
          <w:rFonts w:asciiTheme="majorBidi" w:hAnsiTheme="majorBidi" w:cstheme="majorBidi"/>
          <w:sz w:val="24"/>
          <w:szCs w:val="24"/>
        </w:rPr>
        <w:t xml:space="preserve">Reflecting the growing interest in utilising paradox theory (Lewis and Smith, 2022; Smith and Lewis, 2011) in management and organisation studies (Cunha et al., 2022; Lê and Pradies, 2023; Pinto, 2019; Schad et al., 2016; Smith et al., 2017; Tomkins and Bristow, 2023), this paper provides an empirical example of the Learning Organisation as a paradox (Vince, 2018). A paradox describes “contradictory yet interrelated elements that exist simultaneously and persist over time” (Smith and Lewis, 2011:382). Crucially, “such elements seem logical when considered in isolation, but irrational, inconsistent, and even absurd when juxtaposed’ (p.382). We suggest that the Learning Organisation construct, which broadly pivots on claims that the elevation of learning underpins organisational success (Senge, 1990), reveals three key overarching and interconnected contradictions, which to date have been insufficiently recognised. These relate to the contradictions in its </w:t>
      </w:r>
      <w:r w:rsidRPr="006B75C2">
        <w:rPr>
          <w:rFonts w:asciiTheme="majorBidi" w:hAnsiTheme="majorBidi" w:cstheme="majorBidi"/>
          <w:i/>
          <w:iCs/>
          <w:sz w:val="24"/>
          <w:szCs w:val="24"/>
        </w:rPr>
        <w:t>focus</w:t>
      </w:r>
      <w:r w:rsidRPr="006B75C2">
        <w:rPr>
          <w:rFonts w:asciiTheme="majorBidi" w:hAnsiTheme="majorBidi" w:cstheme="majorBidi"/>
          <w:sz w:val="24"/>
          <w:szCs w:val="24"/>
        </w:rPr>
        <w:t xml:space="preserve">- combining the activities of learning and organising (Smith and Lewis, 2011); contradictions in its </w:t>
      </w:r>
      <w:r w:rsidRPr="006B75C2">
        <w:rPr>
          <w:rFonts w:asciiTheme="majorBidi" w:hAnsiTheme="majorBidi" w:cstheme="majorBidi"/>
          <w:i/>
          <w:iCs/>
          <w:sz w:val="24"/>
          <w:szCs w:val="24"/>
        </w:rPr>
        <w:t>position</w:t>
      </w:r>
      <w:r w:rsidRPr="006B75C2">
        <w:rPr>
          <w:rFonts w:asciiTheme="majorBidi" w:hAnsiTheme="majorBidi" w:cstheme="majorBidi"/>
          <w:sz w:val="24"/>
          <w:szCs w:val="24"/>
        </w:rPr>
        <w:t xml:space="preserve">-it is possible to be both for and against learning (Contu et al., 2003; Vince, 2018); and contradictions in its </w:t>
      </w:r>
      <w:r w:rsidRPr="006B75C2">
        <w:rPr>
          <w:rFonts w:asciiTheme="majorBidi" w:hAnsiTheme="majorBidi" w:cstheme="majorBidi"/>
          <w:i/>
          <w:iCs/>
          <w:sz w:val="24"/>
          <w:szCs w:val="24"/>
        </w:rPr>
        <w:t>consequences</w:t>
      </w:r>
      <w:r w:rsidRPr="006B75C2">
        <w:rPr>
          <w:rFonts w:asciiTheme="majorBidi" w:hAnsiTheme="majorBidi" w:cstheme="majorBidi"/>
          <w:sz w:val="24"/>
          <w:szCs w:val="24"/>
        </w:rPr>
        <w:t xml:space="preserve">-learning both happens and does not (Vince, 2008). We argue that understanding the Learning Organisation as a paradox can contribute to emerging work which seeks to “foster the development of an organisational learning theory that more fully reflects the richness and complexity of organisational life” (Bristow et al, 2022: 224). </w:t>
      </w:r>
    </w:p>
    <w:p w14:paraId="1D84C738" w14:textId="77777777" w:rsidR="006B75C2" w:rsidRPr="006B75C2" w:rsidRDefault="006B75C2" w:rsidP="006B75C2">
      <w:pPr>
        <w:spacing w:line="240" w:lineRule="auto"/>
        <w:jc w:val="both"/>
        <w:rPr>
          <w:rFonts w:asciiTheme="majorBidi" w:hAnsiTheme="majorBidi" w:cstheme="majorBidi"/>
          <w:sz w:val="24"/>
          <w:szCs w:val="24"/>
        </w:rPr>
      </w:pPr>
      <w:r w:rsidRPr="006B75C2">
        <w:rPr>
          <w:rFonts w:asciiTheme="majorBidi" w:hAnsiTheme="majorBidi" w:cstheme="majorBidi"/>
          <w:sz w:val="24"/>
          <w:szCs w:val="24"/>
        </w:rPr>
        <w:t xml:space="preserve">Responding to calls for research which explores organisational learning in a greater diversity of settings (Bristow et al., 2022), we focus on learning in the typically neglected SME context (Querbach et al., 2022; Short, 2019). Our paper focuses on a UK SME who offer digital marketing solutions and are principally comprised of young graduate level employees. They operate in what they describe as a ‘fast changing market’ that demands continuous innovation and accordingly, requires scarce specialist skills which must be continually updated. In light of these conditions allied to graduate expectations which increasingly demand development opportunities (Lub et al., 2016; Maxwell et al., 2010), our SME aspired to be, what they </w:t>
      </w:r>
      <w:r w:rsidRPr="006B75C2">
        <w:rPr>
          <w:rFonts w:asciiTheme="majorBidi" w:hAnsiTheme="majorBidi" w:cstheme="majorBidi"/>
          <w:i/>
          <w:iCs/>
          <w:sz w:val="24"/>
          <w:szCs w:val="24"/>
        </w:rPr>
        <w:t>themselves</w:t>
      </w:r>
      <w:r w:rsidRPr="006B75C2">
        <w:rPr>
          <w:rFonts w:asciiTheme="majorBidi" w:hAnsiTheme="majorBidi" w:cstheme="majorBidi"/>
          <w:sz w:val="24"/>
          <w:szCs w:val="24"/>
        </w:rPr>
        <w:t xml:space="preserve"> described as a ‘Learning Organisation’.  </w:t>
      </w:r>
      <w:bookmarkStart w:id="3" w:name="_Hlk153362545"/>
      <w:r w:rsidRPr="006B75C2">
        <w:rPr>
          <w:rFonts w:asciiTheme="majorBidi" w:hAnsiTheme="majorBidi" w:cstheme="majorBidi"/>
          <w:sz w:val="24"/>
          <w:szCs w:val="24"/>
        </w:rPr>
        <w:t>Drawing on observations and interviews with 21 organisational members</w:t>
      </w:r>
      <w:bookmarkEnd w:id="3"/>
      <w:r w:rsidRPr="006B75C2">
        <w:rPr>
          <w:rFonts w:asciiTheme="majorBidi" w:hAnsiTheme="majorBidi" w:cstheme="majorBidi"/>
          <w:sz w:val="24"/>
          <w:szCs w:val="24"/>
        </w:rPr>
        <w:t>, we reveal persistent contradictions of learning.</w:t>
      </w:r>
      <w:r w:rsidRPr="006B75C2">
        <w:t xml:space="preserve"> </w:t>
      </w:r>
      <w:r w:rsidRPr="006B75C2">
        <w:rPr>
          <w:rFonts w:asciiTheme="majorBidi" w:hAnsiTheme="majorBidi" w:cstheme="majorBidi"/>
          <w:sz w:val="24"/>
          <w:szCs w:val="24"/>
        </w:rPr>
        <w:t xml:space="preserve">We illustrate that, through an exclusive </w:t>
      </w:r>
      <w:r w:rsidRPr="006B75C2">
        <w:rPr>
          <w:rFonts w:asciiTheme="majorBidi" w:hAnsiTheme="majorBidi" w:cstheme="majorBidi"/>
          <w:i/>
          <w:iCs/>
          <w:sz w:val="24"/>
          <w:szCs w:val="24"/>
        </w:rPr>
        <w:t>focus</w:t>
      </w:r>
      <w:r w:rsidRPr="006B75C2">
        <w:rPr>
          <w:rFonts w:asciiTheme="majorBidi" w:hAnsiTheme="majorBidi" w:cstheme="majorBidi"/>
          <w:sz w:val="24"/>
          <w:szCs w:val="24"/>
        </w:rPr>
        <w:t xml:space="preserve"> on building conditions for learning, the SME unwittingly separated learning and organising. Yet their focus on learning nevertheless mobilised underlying organisational tensions which simultaneously built conditions which undermined learning. This resulted in defensive reactions which simultaneously constituted a </w:t>
      </w:r>
      <w:r w:rsidRPr="006B75C2">
        <w:rPr>
          <w:rFonts w:asciiTheme="majorBidi" w:hAnsiTheme="majorBidi" w:cstheme="majorBidi"/>
          <w:i/>
          <w:iCs/>
          <w:sz w:val="24"/>
          <w:szCs w:val="24"/>
        </w:rPr>
        <w:t>position</w:t>
      </w:r>
      <w:r w:rsidRPr="006B75C2">
        <w:rPr>
          <w:rFonts w:asciiTheme="majorBidi" w:hAnsiTheme="majorBidi" w:cstheme="majorBidi"/>
          <w:sz w:val="24"/>
          <w:szCs w:val="24"/>
        </w:rPr>
        <w:t xml:space="preserve"> against learning and ultimately meant that the desired </w:t>
      </w:r>
      <w:r w:rsidRPr="006B75C2">
        <w:rPr>
          <w:rFonts w:asciiTheme="majorBidi" w:hAnsiTheme="majorBidi" w:cstheme="majorBidi"/>
          <w:i/>
          <w:iCs/>
          <w:sz w:val="24"/>
          <w:szCs w:val="24"/>
        </w:rPr>
        <w:t>consequence</w:t>
      </w:r>
      <w:r w:rsidRPr="006B75C2">
        <w:rPr>
          <w:rFonts w:asciiTheme="majorBidi" w:hAnsiTheme="majorBidi" w:cstheme="majorBidi"/>
          <w:sz w:val="24"/>
          <w:szCs w:val="24"/>
        </w:rPr>
        <w:t xml:space="preserve"> of learning often did not happen. Our contribution is to offer a theoretical model of the Learning Organisation as a paradox which helps explain the contradictions that are always present between the desire to create opportunities to learn and implicit limitations that arise in relation to the everyday organisation of attempts to learn. Practically, we suggest that attending to these contradictions can make learning more likely in organisations and offer suggestions for working with these.</w:t>
      </w:r>
    </w:p>
    <w:p w14:paraId="09DB71E2" w14:textId="77777777" w:rsidR="006B75C2" w:rsidRPr="006B75C2" w:rsidRDefault="006B75C2" w:rsidP="006B75C2">
      <w:pPr>
        <w:spacing w:line="240" w:lineRule="auto"/>
        <w:jc w:val="both"/>
        <w:rPr>
          <w:rFonts w:asciiTheme="majorBidi" w:hAnsiTheme="majorBidi" w:cstheme="majorBidi"/>
          <w:sz w:val="24"/>
          <w:szCs w:val="24"/>
        </w:rPr>
      </w:pPr>
      <w:r w:rsidRPr="006B75C2">
        <w:rPr>
          <w:rFonts w:asciiTheme="majorBidi" w:hAnsiTheme="majorBidi" w:cstheme="majorBidi"/>
          <w:sz w:val="24"/>
          <w:szCs w:val="24"/>
        </w:rPr>
        <w:t>Our paper is structured as follows. We begin by further explicating our theoretical perspective on the Learning Organisation as a paradox. We then consider the empirical context of our research before describing our qualitative research approach which utilised observation and semi-structured interviews with both employees and the owner managers. We then present our analysis which seeks to illuminate the contradictions which arose in our SME’s attempts to enact the Learning Organisation concept. Finally, we discuss our findings and offer our theoretical and practical contributions.</w:t>
      </w:r>
    </w:p>
    <w:p w14:paraId="3D6526E9" w14:textId="77777777" w:rsidR="00F64A88" w:rsidRDefault="00F64A88" w:rsidP="006B75C2">
      <w:pPr>
        <w:spacing w:line="240" w:lineRule="auto"/>
        <w:jc w:val="both"/>
        <w:rPr>
          <w:rFonts w:asciiTheme="majorBidi" w:hAnsiTheme="majorBidi" w:cstheme="majorBidi"/>
          <w:b/>
          <w:bCs/>
          <w:sz w:val="24"/>
          <w:szCs w:val="24"/>
        </w:rPr>
      </w:pPr>
    </w:p>
    <w:p w14:paraId="4C80A270" w14:textId="77777777" w:rsidR="00F64A88" w:rsidRDefault="00F64A88" w:rsidP="006B75C2">
      <w:pPr>
        <w:spacing w:line="240" w:lineRule="auto"/>
        <w:jc w:val="both"/>
        <w:rPr>
          <w:rFonts w:asciiTheme="majorBidi" w:hAnsiTheme="majorBidi" w:cstheme="majorBidi"/>
          <w:b/>
          <w:bCs/>
          <w:sz w:val="24"/>
          <w:szCs w:val="24"/>
        </w:rPr>
      </w:pPr>
    </w:p>
    <w:p w14:paraId="42ACA9F7" w14:textId="6C928837" w:rsidR="006B75C2" w:rsidRPr="006B75C2" w:rsidRDefault="006B75C2" w:rsidP="006B75C2">
      <w:pPr>
        <w:spacing w:line="240" w:lineRule="auto"/>
        <w:jc w:val="both"/>
        <w:rPr>
          <w:rFonts w:asciiTheme="majorBidi" w:hAnsiTheme="majorBidi" w:cstheme="majorBidi"/>
          <w:b/>
          <w:bCs/>
          <w:sz w:val="24"/>
          <w:szCs w:val="24"/>
        </w:rPr>
      </w:pPr>
      <w:r w:rsidRPr="006B75C2">
        <w:rPr>
          <w:rFonts w:asciiTheme="majorBidi" w:hAnsiTheme="majorBidi" w:cstheme="majorBidi"/>
          <w:b/>
          <w:bCs/>
          <w:sz w:val="24"/>
          <w:szCs w:val="24"/>
        </w:rPr>
        <w:lastRenderedPageBreak/>
        <w:t>A Paradoxical Perspective on the Learning Organisation</w:t>
      </w:r>
    </w:p>
    <w:p w14:paraId="750151C7" w14:textId="77777777" w:rsidR="006B75C2" w:rsidRPr="006B75C2" w:rsidRDefault="006B75C2" w:rsidP="006B75C2">
      <w:pPr>
        <w:spacing w:line="240" w:lineRule="auto"/>
        <w:jc w:val="both"/>
        <w:rPr>
          <w:rFonts w:asciiTheme="majorBidi" w:hAnsiTheme="majorBidi" w:cstheme="majorBidi"/>
          <w:sz w:val="24"/>
          <w:szCs w:val="24"/>
        </w:rPr>
      </w:pPr>
      <w:r w:rsidRPr="006B75C2">
        <w:rPr>
          <w:rFonts w:asciiTheme="majorBidi" w:hAnsiTheme="majorBidi" w:cstheme="majorBidi"/>
          <w:sz w:val="24"/>
          <w:szCs w:val="24"/>
        </w:rPr>
        <w:t xml:space="preserve">A paradox perspective provides a metatheory for understanding tensions in organisational life.  Tensions are constituted by opposing yet interrelated elements of organisational concern such as flexibility v control, exploration v exploitation and global v local (Lewis and Smith, 2014).  Tensions are viewed as “ubiquitous and persistent forces that challenge and fuel long-term success” (Lewis and Smith, 2014: 129). The persistence of tensions means that they are continually enacted over time and play out in diverse ways (Schad et al., 2016) making them unreceptive to resolution (Smith and Lewis, 2011). The core premise of a paradox perspective is a need to embrace multiple, opposing forces </w:t>
      </w:r>
      <w:r w:rsidRPr="006B75C2">
        <w:rPr>
          <w:rFonts w:asciiTheme="majorBidi" w:hAnsiTheme="majorBidi" w:cstheme="majorBidi"/>
          <w:i/>
          <w:iCs/>
          <w:sz w:val="24"/>
          <w:szCs w:val="24"/>
        </w:rPr>
        <w:t>simultaneously</w:t>
      </w:r>
      <w:r w:rsidRPr="006B75C2">
        <w:rPr>
          <w:rFonts w:asciiTheme="majorBidi" w:hAnsiTheme="majorBidi" w:cstheme="majorBidi"/>
          <w:sz w:val="24"/>
          <w:szCs w:val="24"/>
        </w:rPr>
        <w:t xml:space="preserve"> (Smith and Lewis, 2011). It therefore encourages a shift from “either/or” thinking to “both/and approaches”.</w:t>
      </w:r>
      <w:r w:rsidRPr="006B75C2">
        <w:t xml:space="preserve"> </w:t>
      </w:r>
      <w:r w:rsidRPr="006B75C2">
        <w:rPr>
          <w:rFonts w:asciiTheme="majorBidi" w:hAnsiTheme="majorBidi" w:cstheme="majorBidi"/>
          <w:sz w:val="24"/>
          <w:szCs w:val="24"/>
        </w:rPr>
        <w:t xml:space="preserve">We suggest that a paradox lens is especially apposite for bringing to light the rarely explored tensions of the Learning Organisation. We argue that this becomes increasingly important given recent debates surrounding the concept’s utility (Pedler &amp; Burgoyne, 2017, Elkjaer, 2022). While its advocates suggest it is “an idea whose time has now come” (Cheese, 2017: 5 as cited in Daly and Overton, 2017), its critics have simultaneously questioned its very existence (Pedler &amp; Burgoyne, 2017). We contend that it is through better understanding its contradictions that learning in organisations can be better supported. Below we identify three key sets of inter-related contradictions which are fundamental to the notion of a Learning Organisation. </w:t>
      </w:r>
    </w:p>
    <w:p w14:paraId="4EAB3275" w14:textId="77777777" w:rsidR="006B75C2" w:rsidRPr="006B75C2" w:rsidRDefault="006B75C2" w:rsidP="006B75C2">
      <w:pPr>
        <w:spacing w:line="240" w:lineRule="auto"/>
        <w:jc w:val="both"/>
        <w:rPr>
          <w:rFonts w:asciiTheme="majorBidi" w:hAnsiTheme="majorBidi" w:cstheme="majorBidi"/>
          <w:b/>
          <w:bCs/>
          <w:sz w:val="24"/>
          <w:szCs w:val="24"/>
        </w:rPr>
      </w:pPr>
      <w:r w:rsidRPr="006B75C2">
        <w:rPr>
          <w:rFonts w:asciiTheme="majorBidi" w:hAnsiTheme="majorBidi" w:cstheme="majorBidi"/>
          <w:b/>
          <w:bCs/>
          <w:sz w:val="24"/>
          <w:szCs w:val="24"/>
        </w:rPr>
        <w:t>Contradictions of focus: Learning and Organising</w:t>
      </w:r>
    </w:p>
    <w:p w14:paraId="18BB9364" w14:textId="77777777" w:rsidR="006B75C2" w:rsidRPr="006B75C2" w:rsidRDefault="006B75C2" w:rsidP="006B75C2">
      <w:pPr>
        <w:spacing w:line="240" w:lineRule="auto"/>
        <w:jc w:val="both"/>
        <w:rPr>
          <w:rFonts w:asciiTheme="majorBidi" w:hAnsiTheme="majorBidi" w:cstheme="majorBidi"/>
          <w:sz w:val="24"/>
          <w:szCs w:val="24"/>
        </w:rPr>
      </w:pPr>
      <w:r w:rsidRPr="006B75C2">
        <w:rPr>
          <w:rFonts w:asciiTheme="majorBidi" w:hAnsiTheme="majorBidi" w:cstheme="majorBidi"/>
          <w:sz w:val="24"/>
          <w:szCs w:val="24"/>
        </w:rPr>
        <w:t xml:space="preserve">Portrayed as a panacea for all organisational ills (Tosey, 2005), a Learning Organisation has been defined as one that has an enhanced capacity to learn and to transform (Watkins and Marsick, 1993). For us, it is an idea that problematically views learning as a distinct and independent activity from organising. This is exemplified in accounts which are concerned to specify its dimensions. For example, Watkins and Marsick, (1993) identify seven dimensions that foster learning including creation of continuous learning opportunities, (especially informal ones), promoting inquiry and dialogue, and encouraging collaboration. In mainstream accounts, learning becomes possible precisely because individuals are freed from the shackles of organising (Barker and Camarata, 1998). In these ways, the Learning Organisation polarises the activities of learning and organising and in so doing, masks or ignores their interdependence (Lewis and Smith, 2014) which ironically is hidden in plain sight in its very description- the Learning-Organisation. </w:t>
      </w:r>
    </w:p>
    <w:p w14:paraId="6F12117B" w14:textId="77777777" w:rsidR="006B75C2" w:rsidRPr="006B75C2" w:rsidRDefault="006B75C2" w:rsidP="006B75C2">
      <w:pPr>
        <w:spacing w:line="240" w:lineRule="auto"/>
        <w:jc w:val="both"/>
        <w:rPr>
          <w:rFonts w:asciiTheme="majorBidi" w:hAnsiTheme="majorBidi" w:cstheme="majorBidi"/>
          <w:sz w:val="24"/>
          <w:szCs w:val="24"/>
        </w:rPr>
      </w:pPr>
      <w:r w:rsidRPr="006B75C2">
        <w:rPr>
          <w:rFonts w:asciiTheme="majorBidi" w:hAnsiTheme="majorBidi" w:cstheme="majorBidi"/>
          <w:sz w:val="24"/>
          <w:szCs w:val="24"/>
        </w:rPr>
        <w:t xml:space="preserve">In contrast, a paradox lens helps us to see their interdependence and co-existence. Indeed, Smith and Lewis (2011:383) identify that juxtaposing learning and organising constitutes a key paradox of organisational life since “organisational routines and capabilities seek stability, clarity, focus, and efficiency while also enabling dynamic, flexible, and agile outcomes”. Such contradictions have been fleetingly surfaced in the Learning Organisation literature. For example, Grieves (2008: 465) highlights that “designing an organisation contradicts the principles of continual transformation”. He notes that efforts to continually transform or learn reflect ideas of flexibility, fluidity, boundarylessness and adaptability which fail to consider obvious tensions, with for example, exploitation and domination characteristic of organising efforts. In addition, Driver (2002) highlights how efforts to learn clash with efforts to control- a basic concern of organising. They therefore acknowledge that efforts to learn fundamentally challenge practices and orders of organising and vice versa. It is to recognise a dynamic bi-directional relationship between the two activities: Learning impacts on organising and organising impacts on learning (Vince, 2004). Organising can then not be assumed to be an obstacle to learning as depicted in mainstream accounts but is itself “productive and constitutive of learning” (Bristow et al., 2022: 225). </w:t>
      </w:r>
    </w:p>
    <w:p w14:paraId="233597B1" w14:textId="77777777" w:rsidR="006B75C2" w:rsidRPr="006B75C2" w:rsidRDefault="006B75C2" w:rsidP="006B75C2">
      <w:pPr>
        <w:spacing w:line="240" w:lineRule="auto"/>
        <w:jc w:val="both"/>
        <w:rPr>
          <w:rFonts w:asciiTheme="majorBidi" w:hAnsiTheme="majorBidi" w:cstheme="majorBidi"/>
          <w:sz w:val="24"/>
          <w:szCs w:val="24"/>
        </w:rPr>
      </w:pPr>
      <w:r w:rsidRPr="006B75C2">
        <w:rPr>
          <w:rFonts w:asciiTheme="majorBidi" w:hAnsiTheme="majorBidi" w:cstheme="majorBidi"/>
          <w:sz w:val="24"/>
          <w:szCs w:val="24"/>
        </w:rPr>
        <w:lastRenderedPageBreak/>
        <w:t xml:space="preserve">Recognising the ongoing interdependence of learning and organising then allows us to see how efforts to learn in organisations inevitably mobilise organisational dynamics which shape learning possibilities. These dynamics reflect the political context in which learning takes place and work to make salient and accentuate the tensions between learning and organising. These underlying dynamics relate to for example, differing perspectives, competition for scarce resources and conflicting demands between the long and short term (Pinto, 2019; Smith and Lewis, 2011). These competing forces present challenges for the Learning Organisation which are not easily reconciled. For example, it is improbable that individual and organisational learning perspectives seamlessly align (Fenwick, 1998) and it is entirely probable that short term organisational demands may sacrifice long term learning demands since investment in the latter may not be immediately returned. </w:t>
      </w:r>
    </w:p>
    <w:p w14:paraId="5A092C74" w14:textId="77777777" w:rsidR="006B75C2" w:rsidRPr="006B75C2" w:rsidRDefault="006B75C2" w:rsidP="006B75C2">
      <w:pPr>
        <w:spacing w:line="240" w:lineRule="auto"/>
        <w:jc w:val="both"/>
        <w:rPr>
          <w:rFonts w:asciiTheme="majorBidi" w:hAnsiTheme="majorBidi" w:cstheme="majorBidi"/>
          <w:b/>
          <w:bCs/>
          <w:sz w:val="24"/>
          <w:szCs w:val="24"/>
        </w:rPr>
      </w:pPr>
      <w:r w:rsidRPr="006B75C2">
        <w:rPr>
          <w:rFonts w:asciiTheme="majorBidi" w:hAnsiTheme="majorBidi" w:cstheme="majorBidi"/>
          <w:b/>
          <w:bCs/>
          <w:sz w:val="24"/>
          <w:szCs w:val="24"/>
        </w:rPr>
        <w:t>Contradictions of position: For and against learning</w:t>
      </w:r>
    </w:p>
    <w:p w14:paraId="2CFB3F19" w14:textId="77777777" w:rsidR="006B75C2" w:rsidRPr="006B75C2" w:rsidRDefault="006B75C2" w:rsidP="006B75C2">
      <w:pPr>
        <w:spacing w:line="240" w:lineRule="auto"/>
        <w:jc w:val="both"/>
        <w:rPr>
          <w:rFonts w:asciiTheme="majorBidi" w:hAnsiTheme="majorBidi" w:cstheme="majorBidi"/>
          <w:sz w:val="24"/>
          <w:szCs w:val="24"/>
        </w:rPr>
      </w:pPr>
      <w:r w:rsidRPr="006B75C2">
        <w:rPr>
          <w:rFonts w:asciiTheme="majorBidi" w:hAnsiTheme="majorBidi" w:cstheme="majorBidi"/>
          <w:sz w:val="24"/>
          <w:szCs w:val="24"/>
        </w:rPr>
        <w:t xml:space="preserve">Once we accept the tensions that arise in putting together the activities of learning and organising (Vince, 2018), a second contradiction arises- one that relates to the position of the Learning Organisation. Reflecting broader contemporary discourses of learning (Handley, 2018), its advocates typically position learning as inherently positive and unproblematic upholding learning as empowering and liberating (Senge, 1990) enabling members to ‘grow and glow’ (Daly and Overton, 2017). Indeed, the strength of this position ostensibly provides no alternative (Contu et al., 2003). Yet more critical accounts question such an unequivocal stance </w:t>
      </w:r>
      <w:r w:rsidRPr="006B75C2">
        <w:rPr>
          <w:rFonts w:asciiTheme="majorBidi" w:hAnsiTheme="majorBidi" w:cstheme="majorBidi"/>
          <w:i/>
          <w:iCs/>
          <w:sz w:val="24"/>
          <w:szCs w:val="24"/>
        </w:rPr>
        <w:t>for</w:t>
      </w:r>
      <w:r w:rsidRPr="006B75C2">
        <w:rPr>
          <w:rFonts w:asciiTheme="majorBidi" w:hAnsiTheme="majorBidi" w:cstheme="majorBidi"/>
          <w:sz w:val="24"/>
          <w:szCs w:val="24"/>
        </w:rPr>
        <w:t xml:space="preserve"> learning and argue that learning can also be coercive causing pain and discomfort (Coopey, 1995; Driver, 2002) making it equally possible to take a previously unthinkable position </w:t>
      </w:r>
      <w:r w:rsidRPr="006B75C2">
        <w:rPr>
          <w:rFonts w:asciiTheme="majorBidi" w:hAnsiTheme="majorBidi" w:cstheme="majorBidi"/>
          <w:i/>
          <w:iCs/>
          <w:sz w:val="24"/>
          <w:szCs w:val="24"/>
        </w:rPr>
        <w:t>against</w:t>
      </w:r>
      <w:r w:rsidRPr="006B75C2">
        <w:rPr>
          <w:rFonts w:asciiTheme="majorBidi" w:hAnsiTheme="majorBidi" w:cstheme="majorBidi"/>
          <w:sz w:val="24"/>
          <w:szCs w:val="24"/>
        </w:rPr>
        <w:t xml:space="preserve"> learning (Contu et al., 2003). Taking a stance against learning is to recognise that learning can also be understood as negative and problematic. For example, Pedler and Burgoyne (2017: 120) describe a company who deliberately chose not to label themselves as a Learning Organisation due to fears that “the stock market might think they had gone soft”. While this example directly opposes the position of Coopey (1995) and Driver (2002), it serves to highlight the contradictory positions that the Learning Organisation can evoke to underline that “being for the Learning Organisation also means being against it” (Vince, 2018: 274). </w:t>
      </w:r>
    </w:p>
    <w:p w14:paraId="3DB07D92" w14:textId="77777777" w:rsidR="006B75C2" w:rsidRPr="006B75C2" w:rsidRDefault="006B75C2" w:rsidP="006B75C2">
      <w:pPr>
        <w:spacing w:line="240" w:lineRule="auto"/>
        <w:jc w:val="both"/>
        <w:rPr>
          <w:rFonts w:asciiTheme="majorBidi" w:hAnsiTheme="majorBidi" w:cstheme="majorBidi"/>
          <w:b/>
          <w:bCs/>
          <w:sz w:val="24"/>
          <w:szCs w:val="24"/>
        </w:rPr>
      </w:pPr>
      <w:r w:rsidRPr="006B75C2">
        <w:rPr>
          <w:rFonts w:asciiTheme="majorBidi" w:hAnsiTheme="majorBidi" w:cstheme="majorBidi"/>
          <w:b/>
          <w:bCs/>
          <w:sz w:val="24"/>
          <w:szCs w:val="24"/>
        </w:rPr>
        <w:t>Contradictions of consequences: Learning happens and does not</w:t>
      </w:r>
    </w:p>
    <w:p w14:paraId="36CE1B90" w14:textId="77777777" w:rsidR="006B75C2" w:rsidRPr="006B75C2" w:rsidRDefault="006B75C2" w:rsidP="006B75C2">
      <w:pPr>
        <w:spacing w:line="240" w:lineRule="auto"/>
        <w:jc w:val="both"/>
        <w:rPr>
          <w:rFonts w:asciiTheme="majorBidi" w:hAnsiTheme="majorBidi" w:cstheme="majorBidi"/>
          <w:sz w:val="24"/>
          <w:szCs w:val="24"/>
        </w:rPr>
      </w:pPr>
      <w:r w:rsidRPr="006B75C2">
        <w:rPr>
          <w:rFonts w:asciiTheme="majorBidi" w:hAnsiTheme="majorBidi" w:cstheme="majorBidi"/>
          <w:sz w:val="24"/>
          <w:szCs w:val="24"/>
        </w:rPr>
        <w:t xml:space="preserve">The contradictory position of simultaneously being for and against learning in turn is associated with paradoxical consequences of the Learning Organisation. The unambiguous intended consequence of the Learning Organisation is that it transforms organisational capabilities and practices (Pedler et al., 1991, Senge, 1990) to provide dramatic benefits. Indeed, while conceding that such benefits may have been somewhat delayed, its advocates now loudly celebrate the realisation of Senge’s (1990) original vision (Daly &amp; Overton, 2017).  Yet its rarely seen unintended consequence is that it also undermines and inhibits learning (Vince, 2018) yielding unwanted detrimental effects. Given the organisational dynamics mobilised in bringing together the activities of learning and organising described above which both support and constrain learning, “the contradictions of learning and </w:t>
      </w:r>
      <w:r w:rsidRPr="006B75C2">
        <w:rPr>
          <w:rFonts w:asciiTheme="majorBidi" w:hAnsiTheme="majorBidi" w:cstheme="majorBidi"/>
          <w:i/>
          <w:iCs/>
          <w:sz w:val="24"/>
          <w:szCs w:val="24"/>
        </w:rPr>
        <w:t>not</w:t>
      </w:r>
      <w:r w:rsidRPr="006B75C2">
        <w:rPr>
          <w:rFonts w:asciiTheme="majorBidi" w:hAnsiTheme="majorBidi" w:cstheme="majorBidi"/>
          <w:sz w:val="24"/>
          <w:szCs w:val="24"/>
        </w:rPr>
        <w:t xml:space="preserve">-learning” (Vince, 2008: 97 our emphasis) are brought into focus. It is important then to acknowledge that while development is facilitated in organisations, at the same time members also refrain, avoid, and fail to learn (Vince, 2008). </w:t>
      </w:r>
    </w:p>
    <w:p w14:paraId="1C042EC5" w14:textId="77777777" w:rsidR="006B75C2" w:rsidRPr="006B75C2" w:rsidRDefault="006B75C2" w:rsidP="006B75C2">
      <w:pPr>
        <w:spacing w:line="240" w:lineRule="auto"/>
        <w:jc w:val="both"/>
        <w:rPr>
          <w:rFonts w:asciiTheme="majorBidi" w:hAnsiTheme="majorBidi" w:cstheme="majorBidi"/>
          <w:b/>
          <w:bCs/>
          <w:sz w:val="24"/>
          <w:szCs w:val="24"/>
        </w:rPr>
      </w:pPr>
      <w:r w:rsidRPr="006B75C2">
        <w:rPr>
          <w:rFonts w:asciiTheme="majorBidi" w:hAnsiTheme="majorBidi" w:cstheme="majorBidi"/>
          <w:b/>
          <w:bCs/>
          <w:sz w:val="24"/>
          <w:szCs w:val="24"/>
        </w:rPr>
        <w:t>Coping with contradictions</w:t>
      </w:r>
    </w:p>
    <w:p w14:paraId="6782EBAB" w14:textId="77777777" w:rsidR="006B75C2" w:rsidRPr="006B75C2" w:rsidRDefault="006B75C2" w:rsidP="006B75C2">
      <w:pPr>
        <w:spacing w:line="240" w:lineRule="auto"/>
        <w:jc w:val="both"/>
        <w:rPr>
          <w:rFonts w:asciiTheme="majorBidi" w:hAnsiTheme="majorBidi" w:cstheme="majorBidi"/>
          <w:sz w:val="24"/>
          <w:szCs w:val="24"/>
        </w:rPr>
      </w:pPr>
      <w:r w:rsidRPr="006B75C2">
        <w:rPr>
          <w:rFonts w:asciiTheme="majorBidi" w:hAnsiTheme="majorBidi" w:cstheme="majorBidi"/>
          <w:sz w:val="24"/>
          <w:szCs w:val="24"/>
        </w:rPr>
        <w:t xml:space="preserve">While we do not claim that the above contradictions are new, they have nevertheless rarely been central to analysis of the Learning Organisation (Vince, 2018). Indeed, earlier analyses have suggested that their presence means that we should “now abandon the idea of the Learning Organisation” (Grieves, 2008: 472). Our view, in line with paradox theory, is that we need to </w:t>
      </w:r>
      <w:r w:rsidRPr="006B75C2">
        <w:rPr>
          <w:rFonts w:asciiTheme="majorBidi" w:hAnsiTheme="majorBidi" w:cstheme="majorBidi"/>
          <w:sz w:val="24"/>
          <w:szCs w:val="24"/>
        </w:rPr>
        <w:lastRenderedPageBreak/>
        <w:t xml:space="preserve">‘protect the paradox’ (Huq et al., 2017) which means recognising and exploring these contradictions to better support learning in organisations. A paradox lens allows us to see that while the contradictions of the Learning Organisation are not resolvable (Smith and Lewis, 2011), it is nonetheless important to identify more productive ways of working with them rather than ignoring them (Griffin et al., 2022). As Huq et al (2017) highlight ignoring contradictions by engaging in either/or thinking tends to mobilise vicious cycles of defensiveness and emotional anxiety. In contrast, engaging in both/and thinking can mobilise virtuous cycles which harness the productive capacity of generated tensions. </w:t>
      </w:r>
    </w:p>
    <w:p w14:paraId="2497F07D" w14:textId="77777777" w:rsidR="006B75C2" w:rsidRPr="006B75C2" w:rsidRDefault="006B75C2" w:rsidP="006B75C2">
      <w:pPr>
        <w:spacing w:line="240" w:lineRule="auto"/>
        <w:jc w:val="both"/>
        <w:rPr>
          <w:rFonts w:asciiTheme="majorBidi" w:hAnsiTheme="majorBidi" w:cstheme="majorBidi"/>
          <w:sz w:val="24"/>
          <w:szCs w:val="24"/>
        </w:rPr>
      </w:pPr>
      <w:r w:rsidRPr="006B75C2">
        <w:rPr>
          <w:rFonts w:asciiTheme="majorBidi" w:hAnsiTheme="majorBidi" w:cstheme="majorBidi"/>
          <w:sz w:val="24"/>
          <w:szCs w:val="24"/>
        </w:rPr>
        <w:t xml:space="preserve">In this paper, we demonstrate the value of protecting the Learning Organisation paradox by illustrating the problems that arise when the contradictions of learning and organising are unwittingly overlooked.  Our illustration arises from empirical work with a technologically focused SME. We now turn to consider our case study, which we refer to by the pseudonym Swift, in more detail before describing our research design. </w:t>
      </w:r>
    </w:p>
    <w:p w14:paraId="73F1BE6E" w14:textId="77777777" w:rsidR="006B75C2" w:rsidRPr="006B75C2" w:rsidRDefault="006B75C2" w:rsidP="006B75C2">
      <w:pPr>
        <w:spacing w:line="240" w:lineRule="auto"/>
        <w:jc w:val="both"/>
        <w:rPr>
          <w:rFonts w:asciiTheme="majorBidi" w:hAnsiTheme="majorBidi" w:cstheme="majorBidi"/>
          <w:b/>
          <w:bCs/>
          <w:sz w:val="24"/>
          <w:szCs w:val="24"/>
        </w:rPr>
      </w:pPr>
      <w:r w:rsidRPr="006B75C2">
        <w:rPr>
          <w:rFonts w:asciiTheme="majorBidi" w:hAnsiTheme="majorBidi" w:cstheme="majorBidi"/>
          <w:b/>
          <w:bCs/>
          <w:sz w:val="24"/>
          <w:szCs w:val="24"/>
        </w:rPr>
        <w:t>Research Context, Design and Methods</w:t>
      </w:r>
    </w:p>
    <w:p w14:paraId="1C2365B1" w14:textId="77777777" w:rsidR="006B75C2" w:rsidRPr="006B75C2" w:rsidRDefault="006B75C2" w:rsidP="006B75C2">
      <w:pPr>
        <w:spacing w:line="240" w:lineRule="auto"/>
        <w:jc w:val="both"/>
        <w:rPr>
          <w:rFonts w:asciiTheme="majorBidi" w:hAnsiTheme="majorBidi" w:cstheme="majorBidi"/>
          <w:b/>
          <w:bCs/>
          <w:sz w:val="24"/>
          <w:szCs w:val="24"/>
        </w:rPr>
      </w:pPr>
      <w:r w:rsidRPr="006B75C2">
        <w:rPr>
          <w:rFonts w:asciiTheme="majorBidi" w:hAnsiTheme="majorBidi" w:cstheme="majorBidi"/>
          <w:b/>
          <w:bCs/>
          <w:sz w:val="24"/>
          <w:szCs w:val="24"/>
        </w:rPr>
        <w:t xml:space="preserve">The Contextual Backdrop </w:t>
      </w:r>
    </w:p>
    <w:p w14:paraId="15010827" w14:textId="77777777" w:rsidR="006B75C2" w:rsidRPr="006B75C2" w:rsidRDefault="006B75C2" w:rsidP="006B75C2">
      <w:pPr>
        <w:spacing w:line="240" w:lineRule="auto"/>
        <w:jc w:val="both"/>
        <w:rPr>
          <w:rFonts w:asciiTheme="majorBidi" w:hAnsiTheme="majorBidi" w:cstheme="majorBidi"/>
          <w:sz w:val="24"/>
          <w:szCs w:val="24"/>
        </w:rPr>
      </w:pPr>
      <w:r w:rsidRPr="006B75C2">
        <w:rPr>
          <w:rFonts w:asciiTheme="majorBidi" w:hAnsiTheme="majorBidi" w:cstheme="majorBidi"/>
          <w:sz w:val="24"/>
          <w:szCs w:val="24"/>
        </w:rPr>
        <w:t xml:space="preserve">As minimally outlined earlier, Swift is an SME comprised largely of young graduate employees who offer bespoke digital marketing solutions to their clients located across the UK. As our analysis progressed, it became apparent that Swift provided an interesting site to explore the contradictions of the Learning Organisation. However, consistent with our interpretivist approach that sought “to understand the world from the point of view of those who live it” (Schwandt, 1994: 118), this focus arose from undertaking the analysis </w:t>
      </w:r>
      <w:r w:rsidRPr="006B75C2">
        <w:rPr>
          <w:rFonts w:asciiTheme="majorBidi" w:hAnsiTheme="majorBidi" w:cstheme="majorBidi"/>
          <w:i/>
          <w:iCs/>
          <w:sz w:val="24"/>
          <w:szCs w:val="24"/>
        </w:rPr>
        <w:t>first</w:t>
      </w:r>
      <w:r w:rsidRPr="006B75C2">
        <w:rPr>
          <w:rFonts w:asciiTheme="majorBidi" w:hAnsiTheme="majorBidi" w:cstheme="majorBidi"/>
          <w:sz w:val="24"/>
          <w:szCs w:val="24"/>
        </w:rPr>
        <w:t xml:space="preserve"> (Rawls, 2008). In the context of our empirical case, learning emerged as an activity that was ostensibly highly valued by both the organisation’s owner managers and its employees. From the organisation’s perspective, learning was perceived as critical to keep pace with technological advances in the digital marketing industry. The centrality of learning was also evident in the organisation’s external description of themselves as what might be described as an ‘employer of choice for learning and development’ in the regional market. Given the value placed on learning, it was perhaps unsurprising that the organisation keenly referred to themselves as a Learning Organisation.  From the employees’ perspective, since they were predominantly in their 20s and 30s, they too valued learning opportunities which would facilitate their career progression (Lub et al., 2016; Maxwell et al., 2010). However, at the time of the fieldwork the company had experienced a period of rapid growth increasing the size of the workforce six-fold over the previous four years, employing a total of 27 people. As we will see, this fundamentally challenged the company’s ambitions to continue to position themselves as a ‘Learning Organisation’ since growth presents pressures towards more systematic processes of managing (Fayol, 1949) making visible latent tensions between learning and organising (Smith and Lewis, 2011). In light of this dominant tension, our research sought to develop an in-depth understanding of this SME’s efforts to put the Learning Organisation concept into practice. </w:t>
      </w:r>
    </w:p>
    <w:p w14:paraId="63A27344" w14:textId="77777777" w:rsidR="006B75C2" w:rsidRPr="006B75C2" w:rsidRDefault="006B75C2" w:rsidP="006B75C2">
      <w:pPr>
        <w:spacing w:line="240" w:lineRule="auto"/>
        <w:jc w:val="both"/>
        <w:rPr>
          <w:rFonts w:asciiTheme="majorBidi" w:hAnsiTheme="majorBidi" w:cstheme="majorBidi"/>
          <w:b/>
          <w:bCs/>
          <w:sz w:val="24"/>
          <w:szCs w:val="24"/>
        </w:rPr>
      </w:pPr>
      <w:r w:rsidRPr="006B75C2">
        <w:rPr>
          <w:rFonts w:asciiTheme="majorBidi" w:hAnsiTheme="majorBidi" w:cstheme="majorBidi"/>
          <w:b/>
          <w:bCs/>
          <w:sz w:val="24"/>
          <w:szCs w:val="24"/>
        </w:rPr>
        <w:t>Research Design and Methods</w:t>
      </w:r>
    </w:p>
    <w:p w14:paraId="6A2CF342" w14:textId="77777777" w:rsidR="006B75C2" w:rsidRPr="006B75C2" w:rsidRDefault="006B75C2" w:rsidP="006B75C2">
      <w:pPr>
        <w:spacing w:line="240" w:lineRule="auto"/>
        <w:jc w:val="both"/>
        <w:rPr>
          <w:rFonts w:asciiTheme="majorBidi" w:hAnsiTheme="majorBidi" w:cstheme="majorBidi"/>
          <w:sz w:val="24"/>
          <w:szCs w:val="24"/>
        </w:rPr>
      </w:pPr>
      <w:r w:rsidRPr="006B75C2">
        <w:rPr>
          <w:rFonts w:asciiTheme="majorBidi" w:hAnsiTheme="majorBidi" w:cstheme="majorBidi"/>
          <w:sz w:val="24"/>
          <w:szCs w:val="24"/>
        </w:rPr>
        <w:t xml:space="preserve">The empirical materials drawn on here are taken from a larger study which aspired to work with Swift to facilitate their growth. In broad terms, our design can be described as qualitatively rich which sought in the first instance to develop an in-depth understanding of the challenges of this context and importantly, as identified by organisational members </w:t>
      </w:r>
      <w:r w:rsidRPr="006B75C2">
        <w:rPr>
          <w:rFonts w:asciiTheme="majorBidi" w:hAnsiTheme="majorBidi" w:cstheme="majorBidi"/>
          <w:i/>
          <w:iCs/>
          <w:sz w:val="24"/>
          <w:szCs w:val="24"/>
        </w:rPr>
        <w:t>themselves</w:t>
      </w:r>
      <w:r w:rsidRPr="006B75C2">
        <w:rPr>
          <w:rFonts w:asciiTheme="majorBidi" w:hAnsiTheme="majorBidi" w:cstheme="majorBidi"/>
          <w:sz w:val="24"/>
          <w:szCs w:val="24"/>
        </w:rPr>
        <w:t xml:space="preserve"> (Llewellyn and Spence, 2009). To do so, we utilised methods of observation and face to face semi-structured interviews with 21 organisational members, including the two owner managers, thereby eventually providing a multi-actor perspective (Aust et al., 2015) of the paradoxical tensions of the Learning Organisation which became apparent as the analysis progressed. A </w:t>
      </w:r>
      <w:r w:rsidRPr="006B75C2">
        <w:rPr>
          <w:rFonts w:asciiTheme="majorBidi" w:hAnsiTheme="majorBidi" w:cstheme="majorBidi"/>
          <w:sz w:val="24"/>
          <w:szCs w:val="24"/>
        </w:rPr>
        <w:lastRenderedPageBreak/>
        <w:t xml:space="preserve">two-week period of observation by the third author supplemented by informal meetings between the first and second authors and senior organisational members provided an opportunity to understand the nature of the challenges facing the organisation, enriching our understanding of the research context. At this early stage, researchers simply made fieldnotes which highlighted issues ostensibly pertinent to the context. This preliminary work then informed the content of the subsequent semi-structured interviews. Interviews lasted between 30 and 70 minutes and explored three broad areas. First, the interviews focused on general perceptions of working in light of the period of rapid company growth, for example identifying positive and negative aspects of working life. Second, more specific questions were asked which related to undertaking the job with a particular focus on opportunities for innovation and initiative use. Third, the final section of the interview focused specifically on experiences of learning and development, such as for example, opportunities and challenges relating to learning efforts at Swift. All interviews were recorded and fully transcribed. </w:t>
      </w:r>
    </w:p>
    <w:p w14:paraId="597D18F8" w14:textId="77777777" w:rsidR="006B75C2" w:rsidRPr="006B75C2" w:rsidRDefault="006B75C2" w:rsidP="006B75C2">
      <w:pPr>
        <w:spacing w:line="240" w:lineRule="auto"/>
        <w:jc w:val="both"/>
        <w:rPr>
          <w:rFonts w:asciiTheme="majorBidi" w:hAnsiTheme="majorBidi" w:cstheme="majorBidi"/>
          <w:b/>
          <w:bCs/>
          <w:sz w:val="24"/>
          <w:szCs w:val="24"/>
        </w:rPr>
      </w:pPr>
      <w:r w:rsidRPr="006B75C2">
        <w:rPr>
          <w:rFonts w:asciiTheme="majorBidi" w:hAnsiTheme="majorBidi" w:cstheme="majorBidi"/>
          <w:b/>
          <w:bCs/>
          <w:sz w:val="24"/>
          <w:szCs w:val="24"/>
        </w:rPr>
        <w:t>Data Analysis</w:t>
      </w:r>
    </w:p>
    <w:p w14:paraId="2F33D4CF" w14:textId="77777777" w:rsidR="006B75C2" w:rsidRPr="006B75C2" w:rsidRDefault="006B75C2" w:rsidP="006B75C2">
      <w:pPr>
        <w:spacing w:line="240" w:lineRule="auto"/>
        <w:jc w:val="both"/>
        <w:rPr>
          <w:rFonts w:asciiTheme="majorBidi" w:hAnsiTheme="majorBidi" w:cstheme="majorBidi"/>
          <w:sz w:val="24"/>
          <w:szCs w:val="24"/>
        </w:rPr>
      </w:pPr>
      <w:r w:rsidRPr="006B75C2">
        <w:rPr>
          <w:rFonts w:asciiTheme="majorBidi" w:hAnsiTheme="majorBidi" w:cstheme="majorBidi"/>
          <w:sz w:val="24"/>
          <w:szCs w:val="24"/>
        </w:rPr>
        <w:t xml:space="preserve">Our analysis was informed by Strauss and Corbin’s (1998) grounded theory approach where themes emerged from our empirical materials. This meant that our analysis consisted of three broad stages. However, these stages were not linear but, instead, consistent with Corley and Gioia (2004:183-184) formed a “recursive, process-oriented, analytic procedure (Locke, 1996: 240) that continued until we had a clear grasp of the emerging theoretical relationships”.  First, we began to familiarize ourselves with our data where we independently read and re-read a small selection (five) of the interview transcripts with open minds to allow the data to speak to us (Suddaby, 2006). From doing so, we were struck by organisational members’ discussions which simultaneously emphasised both positive and negative aspects of working at Swift which were often related to their self-described challenge of preserving learning as they grew rapidly.  We then began to utilize an open coding process to identify initial categories or first-order codes (Van Maanen, 1979) related to the specific positive aspects emphasised such as the existence of a culture of care for learning, empowerment, encouragement of open inquiry, flexitime, and a focus on the employee perspective. We then turned to identify specific negative aspects such as a culture of indifference to learning, paternalistic control, ignorance and closure, time-flex, and a focus on the owner managers’ perspective.  While undertaking this stage of the analysis, the research team discussed the emerging codes, with a focus on questioning the developing structure and making comparisons between member accounts. As we began to identify first-order codes, we used NVivo software to formalize and organise our analysis. Second, we then engaged in axial or pattern coding (Strauss and Corbin, 1998) which focused on looking for relationships between the first-order codes which allowed us to assemble them into higher order themes. Here we noted that collectively many of the positive aspects ostensibly related to the company’s efforts to build the conditions of a Learning Organisation. We therefore compared our emerging codes against Watkins and Marsick’s (1993) dimensions of the Learning Organisation to finally settle on and label five dimensions which were pertinent in our context. Simultaneously, many of the negative aspects of working at Swift for us constituted the exact opposite of these dimensions, which we collectively labelled as conditions against learning.  In addition, we also grouped together what we came to see as political conditions salient to this SME context, namely competing interests of owner managers and employees, pressures on temporal resources and temporal focus. Third, as the analysis progressed, we integrated themes into overarching dimensions which when taken together, helped to deepen understandings of members’ experiences (Bansal and Corley, 2012). Here, there was an explicit and more intense focus on comparing emerging themes against the literature (Alvesson and Skoldberg, 2000). Overall, our analysis suggested that Swift’s strong desires to build conditions for learning mobilised unacknowledged organisational tensions </w:t>
      </w:r>
      <w:r w:rsidRPr="006B75C2">
        <w:rPr>
          <w:rFonts w:asciiTheme="majorBidi" w:hAnsiTheme="majorBidi" w:cstheme="majorBidi"/>
          <w:sz w:val="24"/>
          <w:szCs w:val="24"/>
        </w:rPr>
        <w:lastRenderedPageBreak/>
        <w:t xml:space="preserve">which simultaneously built conditions against learning undermining their aspirations to put the Learning Organisation into practice. For us, overall, this strongly resonated with understanding the Learning Organisation as a paradox (Vince, 2018). An overview of our data structure can be found in table 1. Ultimately then, the three linked questions to which we had an answer following our analysis (Rawls, 2008) were: </w:t>
      </w:r>
    </w:p>
    <w:p w14:paraId="7277E68F" w14:textId="77777777" w:rsidR="006B75C2" w:rsidRPr="006B75C2" w:rsidRDefault="006B75C2" w:rsidP="006B75C2">
      <w:pPr>
        <w:numPr>
          <w:ilvl w:val="0"/>
          <w:numId w:val="1"/>
        </w:numPr>
        <w:spacing w:line="240" w:lineRule="auto"/>
        <w:contextualSpacing/>
        <w:jc w:val="both"/>
        <w:rPr>
          <w:rFonts w:asciiTheme="majorBidi" w:hAnsiTheme="majorBidi" w:cstheme="majorBidi"/>
          <w:sz w:val="24"/>
          <w:szCs w:val="24"/>
        </w:rPr>
      </w:pPr>
      <w:r w:rsidRPr="006B75C2">
        <w:rPr>
          <w:rFonts w:asciiTheme="majorBidi" w:hAnsiTheme="majorBidi" w:cstheme="majorBidi"/>
          <w:sz w:val="24"/>
          <w:szCs w:val="24"/>
        </w:rPr>
        <w:t>What contradictions of learning do organisational members in our empirical case experience?</w:t>
      </w:r>
    </w:p>
    <w:p w14:paraId="7CD4E239" w14:textId="77777777" w:rsidR="006B75C2" w:rsidRPr="006B75C2" w:rsidRDefault="006B75C2" w:rsidP="006B75C2">
      <w:pPr>
        <w:numPr>
          <w:ilvl w:val="0"/>
          <w:numId w:val="1"/>
        </w:numPr>
        <w:spacing w:line="240" w:lineRule="auto"/>
        <w:contextualSpacing/>
        <w:jc w:val="both"/>
        <w:rPr>
          <w:rFonts w:asciiTheme="majorBidi" w:hAnsiTheme="majorBidi" w:cstheme="majorBidi"/>
          <w:sz w:val="24"/>
          <w:szCs w:val="24"/>
        </w:rPr>
      </w:pPr>
      <w:r w:rsidRPr="006B75C2">
        <w:rPr>
          <w:rFonts w:asciiTheme="majorBidi" w:hAnsiTheme="majorBidi" w:cstheme="majorBidi"/>
          <w:sz w:val="24"/>
          <w:szCs w:val="24"/>
        </w:rPr>
        <w:t>How are contradictions of learning produced?</w:t>
      </w:r>
    </w:p>
    <w:p w14:paraId="0DF7A2AA" w14:textId="77777777" w:rsidR="006B75C2" w:rsidRPr="006B75C2" w:rsidRDefault="006B75C2" w:rsidP="006B75C2">
      <w:pPr>
        <w:numPr>
          <w:ilvl w:val="0"/>
          <w:numId w:val="1"/>
        </w:numPr>
        <w:spacing w:line="240" w:lineRule="auto"/>
        <w:contextualSpacing/>
        <w:jc w:val="both"/>
        <w:rPr>
          <w:rFonts w:asciiTheme="majorBidi" w:hAnsiTheme="majorBidi" w:cstheme="majorBidi"/>
          <w:sz w:val="24"/>
          <w:szCs w:val="24"/>
        </w:rPr>
      </w:pPr>
      <w:r w:rsidRPr="006B75C2">
        <w:rPr>
          <w:rFonts w:asciiTheme="majorBidi" w:hAnsiTheme="majorBidi" w:cstheme="majorBidi"/>
          <w:sz w:val="24"/>
          <w:szCs w:val="24"/>
        </w:rPr>
        <w:t>How do members respond to contradictions of learning?</w:t>
      </w:r>
    </w:p>
    <w:p w14:paraId="6D1EDDC7" w14:textId="77777777" w:rsidR="009E57E1" w:rsidRDefault="009E57E1" w:rsidP="006B75C2">
      <w:pPr>
        <w:spacing w:line="240" w:lineRule="auto"/>
        <w:ind w:left="720"/>
        <w:contextualSpacing/>
        <w:jc w:val="center"/>
        <w:rPr>
          <w:rFonts w:asciiTheme="majorBidi" w:hAnsiTheme="majorBidi" w:cstheme="majorBidi"/>
          <w:b/>
          <w:bCs/>
          <w:i/>
          <w:iCs/>
          <w:sz w:val="24"/>
          <w:szCs w:val="24"/>
        </w:rPr>
      </w:pPr>
    </w:p>
    <w:p w14:paraId="70281445" w14:textId="218E59FC" w:rsidR="006B75C2" w:rsidRDefault="006B75C2" w:rsidP="006B75C2">
      <w:pPr>
        <w:spacing w:line="240" w:lineRule="auto"/>
        <w:ind w:left="720"/>
        <w:contextualSpacing/>
        <w:jc w:val="center"/>
        <w:rPr>
          <w:rFonts w:asciiTheme="majorBidi" w:hAnsiTheme="majorBidi" w:cstheme="majorBidi"/>
          <w:b/>
          <w:bCs/>
          <w:i/>
          <w:iCs/>
          <w:sz w:val="24"/>
          <w:szCs w:val="24"/>
        </w:rPr>
      </w:pPr>
      <w:r w:rsidRPr="006B75C2">
        <w:rPr>
          <w:rFonts w:asciiTheme="majorBidi" w:hAnsiTheme="majorBidi" w:cstheme="majorBidi"/>
          <w:b/>
          <w:bCs/>
          <w:i/>
          <w:iCs/>
          <w:sz w:val="24"/>
          <w:szCs w:val="24"/>
        </w:rPr>
        <w:t>Insert Table 1 about here</w:t>
      </w:r>
    </w:p>
    <w:p w14:paraId="2D4D33C0" w14:textId="77777777" w:rsidR="009E57E1" w:rsidRPr="006B75C2" w:rsidRDefault="009E57E1" w:rsidP="006B75C2">
      <w:pPr>
        <w:spacing w:line="240" w:lineRule="auto"/>
        <w:ind w:left="720"/>
        <w:contextualSpacing/>
        <w:jc w:val="center"/>
        <w:rPr>
          <w:rFonts w:asciiTheme="majorBidi" w:hAnsiTheme="majorBidi" w:cstheme="majorBidi"/>
          <w:b/>
          <w:bCs/>
          <w:i/>
          <w:iCs/>
          <w:sz w:val="24"/>
          <w:szCs w:val="24"/>
        </w:rPr>
      </w:pPr>
    </w:p>
    <w:p w14:paraId="4C9E83F7" w14:textId="77777777" w:rsidR="006B75C2" w:rsidRPr="006B75C2" w:rsidRDefault="006B75C2" w:rsidP="006B75C2">
      <w:pPr>
        <w:spacing w:line="240" w:lineRule="auto"/>
        <w:jc w:val="both"/>
        <w:rPr>
          <w:rFonts w:asciiTheme="majorBidi" w:hAnsiTheme="majorBidi" w:cstheme="majorBidi"/>
          <w:sz w:val="24"/>
          <w:szCs w:val="24"/>
        </w:rPr>
      </w:pPr>
      <w:r w:rsidRPr="006B75C2">
        <w:rPr>
          <w:rFonts w:asciiTheme="majorBidi" w:hAnsiTheme="majorBidi" w:cstheme="majorBidi"/>
          <w:sz w:val="24"/>
          <w:szCs w:val="24"/>
        </w:rPr>
        <w:t xml:space="preserve">We now turn to answer these questions in the presentation of our analysis. </w:t>
      </w:r>
    </w:p>
    <w:p w14:paraId="78397FF5" w14:textId="77777777" w:rsidR="006B75C2" w:rsidRPr="006B75C2" w:rsidRDefault="006B75C2" w:rsidP="006B75C2">
      <w:pPr>
        <w:spacing w:line="240" w:lineRule="auto"/>
        <w:jc w:val="both"/>
        <w:rPr>
          <w:rFonts w:asciiTheme="majorBidi" w:hAnsiTheme="majorBidi" w:cstheme="majorBidi"/>
          <w:b/>
          <w:bCs/>
          <w:sz w:val="24"/>
          <w:szCs w:val="24"/>
        </w:rPr>
      </w:pPr>
      <w:r w:rsidRPr="006B75C2">
        <w:rPr>
          <w:rFonts w:asciiTheme="majorBidi" w:hAnsiTheme="majorBidi" w:cstheme="majorBidi"/>
          <w:b/>
          <w:bCs/>
          <w:sz w:val="24"/>
          <w:szCs w:val="24"/>
        </w:rPr>
        <w:t>Findings</w:t>
      </w:r>
    </w:p>
    <w:p w14:paraId="50EEC30D" w14:textId="77777777" w:rsidR="006B75C2" w:rsidRPr="006B75C2" w:rsidRDefault="006B75C2" w:rsidP="006B75C2">
      <w:pPr>
        <w:spacing w:line="240" w:lineRule="auto"/>
        <w:jc w:val="both"/>
        <w:rPr>
          <w:rFonts w:asciiTheme="majorBidi" w:hAnsiTheme="majorBidi" w:cstheme="majorBidi"/>
          <w:b/>
          <w:bCs/>
          <w:sz w:val="24"/>
          <w:szCs w:val="24"/>
        </w:rPr>
      </w:pPr>
      <w:r w:rsidRPr="006B75C2">
        <w:rPr>
          <w:rFonts w:asciiTheme="majorBidi" w:hAnsiTheme="majorBidi" w:cstheme="majorBidi"/>
          <w:b/>
          <w:bCs/>
          <w:sz w:val="24"/>
          <w:szCs w:val="24"/>
        </w:rPr>
        <w:t>Contradiction of focus: Learning not organising</w:t>
      </w:r>
    </w:p>
    <w:p w14:paraId="72BDBD09" w14:textId="77777777" w:rsidR="006B75C2" w:rsidRPr="006B75C2" w:rsidRDefault="006B75C2" w:rsidP="006B75C2">
      <w:pPr>
        <w:spacing w:line="240" w:lineRule="auto"/>
        <w:jc w:val="both"/>
        <w:rPr>
          <w:rFonts w:asciiTheme="majorBidi" w:hAnsiTheme="majorBidi" w:cstheme="majorBidi"/>
          <w:sz w:val="24"/>
          <w:szCs w:val="24"/>
        </w:rPr>
      </w:pPr>
      <w:r w:rsidRPr="006B75C2">
        <w:rPr>
          <w:rFonts w:asciiTheme="majorBidi" w:hAnsiTheme="majorBidi" w:cstheme="majorBidi"/>
          <w:sz w:val="24"/>
          <w:szCs w:val="24"/>
        </w:rPr>
        <w:t>Our analysis highlighted that rather unusually for an SME given the typically ambivalent orientations towards development (Nolan and Garavan, 2016), Swift professed a strong focus on learning reflected in their explicit description of themselves as a ‘Learning Organisation’:</w:t>
      </w:r>
    </w:p>
    <w:p w14:paraId="7409F103" w14:textId="77777777" w:rsidR="006B75C2" w:rsidRPr="006B75C2" w:rsidRDefault="006B75C2" w:rsidP="006B75C2">
      <w:pPr>
        <w:spacing w:line="240" w:lineRule="auto"/>
        <w:jc w:val="both"/>
        <w:rPr>
          <w:rFonts w:asciiTheme="majorBidi" w:hAnsiTheme="majorBidi" w:cstheme="majorBidi"/>
          <w:sz w:val="24"/>
          <w:szCs w:val="24"/>
        </w:rPr>
      </w:pPr>
      <w:r w:rsidRPr="006B75C2">
        <w:rPr>
          <w:rFonts w:asciiTheme="majorBidi" w:hAnsiTheme="majorBidi" w:cstheme="majorBidi"/>
          <w:sz w:val="24"/>
          <w:szCs w:val="24"/>
        </w:rPr>
        <w:t>“</w:t>
      </w:r>
      <w:r w:rsidRPr="006B75C2">
        <w:rPr>
          <w:rFonts w:asciiTheme="majorBidi" w:hAnsiTheme="majorBidi" w:cstheme="majorBidi"/>
          <w:i/>
          <w:iCs/>
          <w:sz w:val="24"/>
          <w:szCs w:val="24"/>
        </w:rPr>
        <w:t>We're a Learning Organisation…We're still investing heavily in the guys. I think education for them to learn new stuff is still really… I think for us, success looks like have you learned something new, because if you're in digital and you haven't learned anything new, we have really got a serious problem</w:t>
      </w:r>
      <w:r w:rsidRPr="006B75C2">
        <w:rPr>
          <w:rFonts w:asciiTheme="majorBidi" w:hAnsiTheme="majorBidi" w:cstheme="majorBidi"/>
          <w:sz w:val="24"/>
          <w:szCs w:val="24"/>
        </w:rPr>
        <w:t>” [Owner Manager 1]</w:t>
      </w:r>
    </w:p>
    <w:p w14:paraId="3C6FEBEA" w14:textId="77777777" w:rsidR="006B75C2" w:rsidRPr="006B75C2" w:rsidRDefault="006B75C2" w:rsidP="006B75C2">
      <w:pPr>
        <w:spacing w:line="240" w:lineRule="auto"/>
        <w:jc w:val="both"/>
        <w:rPr>
          <w:rFonts w:asciiTheme="majorBidi" w:hAnsiTheme="majorBidi" w:cstheme="majorBidi"/>
          <w:sz w:val="24"/>
          <w:szCs w:val="24"/>
        </w:rPr>
      </w:pPr>
      <w:r w:rsidRPr="006B75C2">
        <w:rPr>
          <w:rFonts w:asciiTheme="majorBidi" w:hAnsiTheme="majorBidi" w:cstheme="majorBidi"/>
          <w:sz w:val="24"/>
          <w:szCs w:val="24"/>
        </w:rPr>
        <w:t xml:space="preserve">Moreover, as they grew, the focus on learning ostensibly intensified: </w:t>
      </w:r>
    </w:p>
    <w:p w14:paraId="2CBA322C" w14:textId="77777777" w:rsidR="006B75C2" w:rsidRPr="006B75C2" w:rsidRDefault="006B75C2" w:rsidP="006B75C2">
      <w:pPr>
        <w:spacing w:line="240" w:lineRule="auto"/>
        <w:jc w:val="both"/>
        <w:rPr>
          <w:rFonts w:asciiTheme="majorBidi" w:hAnsiTheme="majorBidi" w:cstheme="majorBidi"/>
          <w:sz w:val="24"/>
          <w:szCs w:val="24"/>
        </w:rPr>
      </w:pPr>
      <w:r w:rsidRPr="006B75C2">
        <w:rPr>
          <w:rFonts w:asciiTheme="majorBidi" w:hAnsiTheme="majorBidi" w:cstheme="majorBidi"/>
          <w:i/>
          <w:iCs/>
          <w:sz w:val="24"/>
          <w:szCs w:val="24"/>
        </w:rPr>
        <w:t>“[Development] is part of the culture, to be fair.  I think that is engrained within business and has been since... That's something that hasn’t really slipped as the company's grown. If anything, it's become more considered</w:t>
      </w:r>
      <w:r w:rsidRPr="006B75C2">
        <w:rPr>
          <w:rFonts w:asciiTheme="majorBidi" w:hAnsiTheme="majorBidi" w:cstheme="majorBidi"/>
          <w:sz w:val="24"/>
          <w:szCs w:val="24"/>
        </w:rPr>
        <w:t>”.  [Scott]</w:t>
      </w:r>
    </w:p>
    <w:p w14:paraId="7E23845E" w14:textId="77777777" w:rsidR="006B75C2" w:rsidRPr="006B75C2" w:rsidRDefault="006B75C2" w:rsidP="006B75C2">
      <w:pPr>
        <w:spacing w:line="240" w:lineRule="auto"/>
        <w:jc w:val="both"/>
        <w:rPr>
          <w:rFonts w:asciiTheme="majorBidi" w:hAnsiTheme="majorBidi" w:cstheme="majorBidi"/>
          <w:sz w:val="24"/>
          <w:szCs w:val="24"/>
        </w:rPr>
      </w:pPr>
      <w:r w:rsidRPr="006B75C2">
        <w:rPr>
          <w:rFonts w:asciiTheme="majorBidi" w:hAnsiTheme="majorBidi" w:cstheme="majorBidi"/>
          <w:sz w:val="24"/>
          <w:szCs w:val="24"/>
        </w:rPr>
        <w:t xml:space="preserve">Indeed, discussions in our initial meetings with senior organisational members also repeated a concern to preserve their valued focus on learning. Members were especially concerned to avoid the implementation of organisational structures which they perceived would hinder the agility of learning. Such discussions began to highlight the fundamental paradox between learning and organising (Smith and Lewis, 2011) which reveals the contradiction in the focus of the Learning Organisation. However, as our analysis progressed it became increasingly apparent that Swift unintentionally overlooked this contradiction. In practice, their </w:t>
      </w:r>
      <w:bookmarkStart w:id="4" w:name="_Hlk158801707"/>
      <w:r w:rsidRPr="006B75C2">
        <w:rPr>
          <w:rFonts w:asciiTheme="majorBidi" w:hAnsiTheme="majorBidi" w:cstheme="majorBidi"/>
          <w:sz w:val="24"/>
          <w:szCs w:val="24"/>
        </w:rPr>
        <w:t xml:space="preserve">strong desire for learning meant that they focused exclusively on building conditions to facilitate learning as recommended by Learning Organisation advocates, and in so doing, they unwittingly separated learning from organising. </w:t>
      </w:r>
      <w:bookmarkStart w:id="5" w:name="_Hlk158802316"/>
      <w:bookmarkEnd w:id="4"/>
      <w:r w:rsidRPr="006B75C2">
        <w:rPr>
          <w:rFonts w:asciiTheme="majorBidi" w:hAnsiTheme="majorBidi" w:cstheme="majorBidi"/>
          <w:sz w:val="24"/>
          <w:szCs w:val="24"/>
        </w:rPr>
        <w:t xml:space="preserve">Yet their focus on learning nevertheless mobilised underlying organisational tensions which simultaneously built conditions which undermined learning. This resulted in defensive reactions which simultaneously constituted a </w:t>
      </w:r>
      <w:r w:rsidRPr="006B75C2">
        <w:rPr>
          <w:rFonts w:asciiTheme="majorBidi" w:hAnsiTheme="majorBidi" w:cstheme="majorBidi"/>
          <w:i/>
          <w:iCs/>
          <w:sz w:val="24"/>
          <w:szCs w:val="24"/>
        </w:rPr>
        <w:t>position</w:t>
      </w:r>
      <w:r w:rsidRPr="006B75C2">
        <w:rPr>
          <w:rFonts w:asciiTheme="majorBidi" w:hAnsiTheme="majorBidi" w:cstheme="majorBidi"/>
          <w:sz w:val="24"/>
          <w:szCs w:val="24"/>
        </w:rPr>
        <w:t xml:space="preserve"> against learning and ultimately meant that the desired </w:t>
      </w:r>
      <w:r w:rsidRPr="006B75C2">
        <w:rPr>
          <w:rFonts w:asciiTheme="majorBidi" w:hAnsiTheme="majorBidi" w:cstheme="majorBidi"/>
          <w:i/>
          <w:iCs/>
          <w:sz w:val="24"/>
          <w:szCs w:val="24"/>
        </w:rPr>
        <w:t>consequence</w:t>
      </w:r>
      <w:r w:rsidRPr="006B75C2">
        <w:rPr>
          <w:rFonts w:asciiTheme="majorBidi" w:hAnsiTheme="majorBidi" w:cstheme="majorBidi"/>
          <w:sz w:val="24"/>
          <w:szCs w:val="24"/>
        </w:rPr>
        <w:t xml:space="preserve"> of learning often did not happen.</w:t>
      </w:r>
      <w:bookmarkEnd w:id="5"/>
      <w:r w:rsidRPr="006B75C2">
        <w:rPr>
          <w:rFonts w:asciiTheme="majorBidi" w:hAnsiTheme="majorBidi" w:cstheme="majorBidi"/>
          <w:sz w:val="24"/>
          <w:szCs w:val="24"/>
        </w:rPr>
        <w:t xml:space="preserve"> Our analysis now turns to further detail the persistent contradictions that we found in their attempts to build a Learning Organisation. </w:t>
      </w:r>
    </w:p>
    <w:p w14:paraId="339A07CE" w14:textId="77777777" w:rsidR="006B75C2" w:rsidRPr="006B75C2" w:rsidRDefault="006B75C2" w:rsidP="006B75C2">
      <w:pPr>
        <w:spacing w:line="240" w:lineRule="auto"/>
        <w:jc w:val="both"/>
        <w:rPr>
          <w:rFonts w:asciiTheme="majorBidi" w:hAnsiTheme="majorBidi" w:cstheme="majorBidi"/>
          <w:b/>
          <w:bCs/>
          <w:sz w:val="24"/>
          <w:szCs w:val="24"/>
        </w:rPr>
      </w:pPr>
      <w:r w:rsidRPr="006B75C2">
        <w:rPr>
          <w:rFonts w:asciiTheme="majorBidi" w:hAnsiTheme="majorBidi" w:cstheme="majorBidi"/>
          <w:b/>
          <w:bCs/>
          <w:sz w:val="24"/>
          <w:szCs w:val="24"/>
        </w:rPr>
        <w:t xml:space="preserve">Contradictions of position: Building conditions for </w:t>
      </w:r>
      <w:r w:rsidRPr="006B75C2">
        <w:rPr>
          <w:rFonts w:asciiTheme="majorBidi" w:hAnsiTheme="majorBidi" w:cstheme="majorBidi"/>
          <w:b/>
          <w:bCs/>
          <w:i/>
          <w:iCs/>
          <w:sz w:val="24"/>
          <w:szCs w:val="24"/>
        </w:rPr>
        <w:t>and</w:t>
      </w:r>
      <w:r w:rsidRPr="006B75C2">
        <w:rPr>
          <w:rFonts w:asciiTheme="majorBidi" w:hAnsiTheme="majorBidi" w:cstheme="majorBidi"/>
          <w:b/>
          <w:bCs/>
          <w:sz w:val="24"/>
          <w:szCs w:val="24"/>
        </w:rPr>
        <w:t xml:space="preserve"> against learning</w:t>
      </w:r>
    </w:p>
    <w:p w14:paraId="372A34D7" w14:textId="77777777" w:rsidR="006B75C2" w:rsidRPr="006B75C2" w:rsidRDefault="006B75C2" w:rsidP="006B75C2">
      <w:pPr>
        <w:spacing w:line="240" w:lineRule="auto"/>
        <w:jc w:val="both"/>
        <w:rPr>
          <w:rFonts w:asciiTheme="majorBidi" w:hAnsiTheme="majorBidi" w:cstheme="majorBidi"/>
          <w:b/>
          <w:bCs/>
          <w:sz w:val="24"/>
          <w:szCs w:val="24"/>
        </w:rPr>
      </w:pPr>
      <w:r w:rsidRPr="006B75C2">
        <w:rPr>
          <w:rFonts w:asciiTheme="majorBidi" w:hAnsiTheme="majorBidi" w:cstheme="majorBidi"/>
          <w:b/>
          <w:bCs/>
          <w:sz w:val="24"/>
          <w:szCs w:val="24"/>
        </w:rPr>
        <w:t xml:space="preserve">Culture of care for learning </w:t>
      </w:r>
      <w:r w:rsidRPr="006B75C2">
        <w:rPr>
          <w:rFonts w:asciiTheme="majorBidi" w:hAnsiTheme="majorBidi" w:cstheme="majorBidi"/>
          <w:b/>
          <w:bCs/>
          <w:i/>
          <w:iCs/>
          <w:sz w:val="24"/>
          <w:szCs w:val="24"/>
        </w:rPr>
        <w:t>and</w:t>
      </w:r>
      <w:r w:rsidRPr="006B75C2">
        <w:rPr>
          <w:rFonts w:asciiTheme="majorBidi" w:hAnsiTheme="majorBidi" w:cstheme="majorBidi"/>
          <w:b/>
          <w:bCs/>
          <w:sz w:val="24"/>
          <w:szCs w:val="24"/>
        </w:rPr>
        <w:t xml:space="preserve"> culture of indifference towards learning</w:t>
      </w:r>
    </w:p>
    <w:p w14:paraId="6939EF20" w14:textId="77777777" w:rsidR="006B75C2" w:rsidRPr="006B75C2" w:rsidRDefault="006B75C2" w:rsidP="006B75C2">
      <w:pPr>
        <w:spacing w:line="240" w:lineRule="auto"/>
        <w:jc w:val="both"/>
        <w:rPr>
          <w:rFonts w:asciiTheme="majorBidi" w:hAnsiTheme="majorBidi" w:cstheme="majorBidi"/>
          <w:sz w:val="24"/>
          <w:szCs w:val="24"/>
        </w:rPr>
      </w:pPr>
      <w:r w:rsidRPr="006B75C2">
        <w:rPr>
          <w:rFonts w:asciiTheme="majorBidi" w:hAnsiTheme="majorBidi" w:cstheme="majorBidi"/>
          <w:sz w:val="24"/>
          <w:szCs w:val="24"/>
        </w:rPr>
        <w:lastRenderedPageBreak/>
        <w:t>Our first contradiction centred on a tension between the intended creation of a culture of care for learning and the unintended simultaneous creation of a culture of indifference towards learning.  Consistent with the prescriptions of the Learning Organisation (Watkins and Marsick, 1993), we found that Swift sought to build a culture that centred on ‘looking after’ employees particularly through the creation of ongoing formal development opportunities:</w:t>
      </w:r>
    </w:p>
    <w:p w14:paraId="6E97825A" w14:textId="77777777" w:rsidR="006B75C2" w:rsidRPr="006B75C2" w:rsidRDefault="006B75C2" w:rsidP="006B75C2">
      <w:pPr>
        <w:spacing w:line="240" w:lineRule="auto"/>
        <w:jc w:val="both"/>
        <w:rPr>
          <w:rFonts w:asciiTheme="majorBidi" w:hAnsiTheme="majorBidi" w:cstheme="majorBidi"/>
          <w:sz w:val="24"/>
          <w:szCs w:val="24"/>
        </w:rPr>
      </w:pPr>
      <w:r w:rsidRPr="006B75C2">
        <w:rPr>
          <w:rFonts w:asciiTheme="majorBidi" w:hAnsiTheme="majorBidi" w:cstheme="majorBidi"/>
          <w:sz w:val="24"/>
          <w:szCs w:val="24"/>
        </w:rPr>
        <w:t>“</w:t>
      </w:r>
      <w:r w:rsidRPr="006B75C2">
        <w:rPr>
          <w:rFonts w:asciiTheme="majorBidi" w:hAnsiTheme="majorBidi" w:cstheme="majorBidi"/>
          <w:i/>
          <w:sz w:val="24"/>
          <w:szCs w:val="24"/>
        </w:rPr>
        <w:t>Working here, they look after us. They really look after us. Everyone gets their tea, we get lunch bought for us..we get nice spacious offices, we get sent on training courses</w:t>
      </w:r>
      <w:r w:rsidRPr="006B75C2">
        <w:rPr>
          <w:rFonts w:asciiTheme="majorBidi" w:hAnsiTheme="majorBidi" w:cstheme="majorBidi"/>
          <w:sz w:val="24"/>
          <w:szCs w:val="24"/>
        </w:rPr>
        <w:t>.” [Jasper]</w:t>
      </w:r>
    </w:p>
    <w:p w14:paraId="4570ADD5" w14:textId="77777777" w:rsidR="006B75C2" w:rsidRPr="006B75C2" w:rsidRDefault="006B75C2" w:rsidP="006B75C2">
      <w:pPr>
        <w:spacing w:line="240" w:lineRule="auto"/>
        <w:jc w:val="both"/>
        <w:rPr>
          <w:rFonts w:asciiTheme="majorBidi" w:hAnsiTheme="majorBidi" w:cstheme="majorBidi"/>
          <w:sz w:val="24"/>
          <w:szCs w:val="24"/>
        </w:rPr>
      </w:pPr>
      <w:r w:rsidRPr="006B75C2">
        <w:rPr>
          <w:rFonts w:asciiTheme="majorBidi" w:hAnsiTheme="majorBidi" w:cstheme="majorBidi"/>
          <w:sz w:val="24"/>
          <w:szCs w:val="24"/>
        </w:rPr>
        <w:t>“</w:t>
      </w:r>
      <w:r w:rsidRPr="006B75C2">
        <w:rPr>
          <w:rFonts w:asciiTheme="majorBidi" w:hAnsiTheme="majorBidi" w:cstheme="majorBidi"/>
          <w:i/>
          <w:sz w:val="24"/>
          <w:szCs w:val="24"/>
        </w:rPr>
        <w:t>There is a real feeling that the management team</w:t>
      </w:r>
      <w:r w:rsidRPr="006B75C2">
        <w:rPr>
          <w:rFonts w:asciiTheme="majorBidi" w:hAnsiTheme="majorBidi" w:cstheme="majorBidi"/>
          <w:bCs/>
          <w:i/>
          <w:sz w:val="24"/>
          <w:szCs w:val="24"/>
        </w:rPr>
        <w:t xml:space="preserve"> care</w:t>
      </w:r>
      <w:r w:rsidRPr="006B75C2">
        <w:rPr>
          <w:rFonts w:asciiTheme="majorBidi" w:hAnsiTheme="majorBidi" w:cstheme="majorBidi"/>
          <w:i/>
          <w:sz w:val="24"/>
          <w:szCs w:val="24"/>
        </w:rPr>
        <w:t xml:space="preserve"> about other’s professional development which I think is really, really good. The support and resources here are fantastic.</w:t>
      </w:r>
      <w:r w:rsidRPr="006B75C2">
        <w:rPr>
          <w:rFonts w:asciiTheme="majorBidi" w:hAnsiTheme="majorBidi" w:cstheme="majorBidi"/>
          <w:sz w:val="24"/>
          <w:szCs w:val="24"/>
        </w:rPr>
        <w:t>” [Arran]</w:t>
      </w:r>
    </w:p>
    <w:p w14:paraId="0EC99707" w14:textId="77777777" w:rsidR="006B75C2" w:rsidRPr="006B75C2" w:rsidRDefault="006B75C2" w:rsidP="006B75C2">
      <w:pPr>
        <w:spacing w:line="240" w:lineRule="auto"/>
        <w:jc w:val="both"/>
        <w:rPr>
          <w:rFonts w:asciiTheme="majorBidi" w:hAnsiTheme="majorBidi" w:cstheme="majorBidi"/>
          <w:sz w:val="24"/>
          <w:szCs w:val="24"/>
        </w:rPr>
      </w:pPr>
      <w:r w:rsidRPr="006B75C2">
        <w:rPr>
          <w:rFonts w:asciiTheme="majorBidi" w:hAnsiTheme="majorBidi" w:cstheme="majorBidi"/>
          <w:sz w:val="24"/>
          <w:szCs w:val="24"/>
        </w:rPr>
        <w:t>“</w:t>
      </w:r>
      <w:r w:rsidRPr="006B75C2">
        <w:rPr>
          <w:rFonts w:asciiTheme="majorBidi" w:hAnsiTheme="majorBidi" w:cstheme="majorBidi"/>
          <w:i/>
          <w:iCs/>
          <w:sz w:val="24"/>
          <w:szCs w:val="24"/>
        </w:rPr>
        <w:t>We've got a training plan for the year with budgets signed off, with every individual catered for in terms of training, whether it's external or internal.  Everybody's needs are being addressed through our one-to-ones.  This is something that we instigated a couple of years ago, which has been absolutely vital</w:t>
      </w:r>
      <w:r w:rsidRPr="006B75C2">
        <w:rPr>
          <w:rFonts w:asciiTheme="majorBidi" w:hAnsiTheme="majorBidi" w:cstheme="majorBidi"/>
          <w:sz w:val="24"/>
          <w:szCs w:val="24"/>
        </w:rPr>
        <w:t>”. [Owner Manager 2]</w:t>
      </w:r>
    </w:p>
    <w:p w14:paraId="66B3A86E" w14:textId="77777777" w:rsidR="006B75C2" w:rsidRPr="006B75C2" w:rsidRDefault="006B75C2" w:rsidP="006B75C2">
      <w:pPr>
        <w:spacing w:line="240" w:lineRule="auto"/>
        <w:jc w:val="both"/>
        <w:rPr>
          <w:rFonts w:asciiTheme="majorBidi" w:hAnsiTheme="majorBidi" w:cstheme="majorBidi"/>
          <w:sz w:val="24"/>
          <w:szCs w:val="24"/>
        </w:rPr>
      </w:pPr>
      <w:r w:rsidRPr="006B75C2">
        <w:rPr>
          <w:rFonts w:asciiTheme="majorBidi" w:hAnsiTheme="majorBidi" w:cstheme="majorBidi"/>
          <w:sz w:val="24"/>
          <w:szCs w:val="24"/>
        </w:rPr>
        <w:t>These quotes are illustrative of Swift’s genuine efforts to treat employees well by providing conditions which convey a general care, such as offering food alongside a more specific care, unusual for SMEs focused on prioritising formal learning opportunities (Coetzer et al., 2012), crucially tailored to individual needs. This tailored focus was highly valued by their graduate employees, especially in light of their attraction to Swift as an ‘employer of choice for development’ described earlier. However, other employees reported less positive experiences of formal learning opportunities suggesting that these were often restricted to the types of learning that the organisation cared for:</w:t>
      </w:r>
    </w:p>
    <w:p w14:paraId="15516958" w14:textId="77777777" w:rsidR="006B75C2" w:rsidRPr="006B75C2" w:rsidRDefault="006B75C2" w:rsidP="006B75C2">
      <w:pPr>
        <w:spacing w:line="240" w:lineRule="auto"/>
        <w:jc w:val="both"/>
        <w:rPr>
          <w:rFonts w:asciiTheme="majorBidi" w:hAnsiTheme="majorBidi" w:cstheme="majorBidi"/>
          <w:sz w:val="24"/>
          <w:szCs w:val="24"/>
        </w:rPr>
      </w:pPr>
      <w:r w:rsidRPr="006B75C2">
        <w:rPr>
          <w:rFonts w:asciiTheme="majorBidi" w:hAnsiTheme="majorBidi" w:cstheme="majorBidi"/>
          <w:i/>
          <w:iCs/>
          <w:sz w:val="24"/>
          <w:szCs w:val="24"/>
        </w:rPr>
        <w:t>“[The Owner Manager] tried to push me to do public speaking and I went on a training course…I never agreed to that because that’s just not something that I would (bother) to do. And I think there’s a culture here that to progress because [owner manager’s] a public speaker and that’s what they’re known for… [you’re] forced into them… to progress in the business. I one hundred per cent don’t want to do that</w:t>
      </w:r>
      <w:r w:rsidRPr="006B75C2">
        <w:rPr>
          <w:rFonts w:asciiTheme="majorBidi" w:hAnsiTheme="majorBidi" w:cstheme="majorBidi"/>
          <w:sz w:val="24"/>
          <w:szCs w:val="24"/>
        </w:rPr>
        <w:t>.” [Mitchell]</w:t>
      </w:r>
    </w:p>
    <w:p w14:paraId="6F42FF3A" w14:textId="77777777" w:rsidR="006B75C2" w:rsidRPr="006B75C2" w:rsidRDefault="006B75C2" w:rsidP="006B75C2">
      <w:pPr>
        <w:spacing w:line="240" w:lineRule="auto"/>
        <w:jc w:val="both"/>
        <w:rPr>
          <w:rFonts w:asciiTheme="majorBidi" w:hAnsiTheme="majorBidi" w:cstheme="majorBidi"/>
          <w:sz w:val="24"/>
          <w:szCs w:val="24"/>
        </w:rPr>
      </w:pPr>
      <w:r w:rsidRPr="006B75C2">
        <w:rPr>
          <w:rFonts w:asciiTheme="majorBidi" w:hAnsiTheme="majorBidi" w:cstheme="majorBidi"/>
          <w:sz w:val="24"/>
          <w:szCs w:val="24"/>
        </w:rPr>
        <w:t>“</w:t>
      </w:r>
      <w:r w:rsidRPr="006B75C2">
        <w:rPr>
          <w:rFonts w:asciiTheme="majorBidi" w:hAnsiTheme="majorBidi" w:cstheme="majorBidi"/>
          <w:i/>
          <w:iCs/>
          <w:sz w:val="24"/>
          <w:szCs w:val="24"/>
        </w:rPr>
        <w:t>It’s very much you’re encouraged to do talks, you’re encouraged to do blogs, you’re encouraged to do all the things I don’t like doing, but then that’s me…And everyone’s different and I think the flexibility to focus on people’s strengths and weaknesses isn’t really here, it’s a flat everyone must conform to these certain things…it can be a little frustrating. If you are not drilling down to an individual’s needs and desires, ultimately, you’re not going to get the best out of them because they’re being held back by something they’re forced to do and don’t feel comfortable doing”</w:t>
      </w:r>
      <w:r w:rsidRPr="006B75C2">
        <w:rPr>
          <w:rFonts w:asciiTheme="majorBidi" w:hAnsiTheme="majorBidi" w:cstheme="majorBidi"/>
          <w:sz w:val="24"/>
          <w:szCs w:val="24"/>
        </w:rPr>
        <w:t>. [Martha]</w:t>
      </w:r>
    </w:p>
    <w:p w14:paraId="78463EFD" w14:textId="77777777" w:rsidR="006B75C2" w:rsidRPr="006B75C2" w:rsidRDefault="006B75C2" w:rsidP="006B75C2">
      <w:pPr>
        <w:spacing w:line="240" w:lineRule="auto"/>
        <w:jc w:val="both"/>
        <w:rPr>
          <w:rFonts w:asciiTheme="majorBidi" w:hAnsiTheme="majorBidi" w:cstheme="majorBidi"/>
          <w:sz w:val="24"/>
          <w:szCs w:val="24"/>
        </w:rPr>
      </w:pPr>
      <w:r w:rsidRPr="006B75C2">
        <w:rPr>
          <w:rFonts w:asciiTheme="majorBidi" w:hAnsiTheme="majorBidi" w:cstheme="majorBidi"/>
          <w:sz w:val="24"/>
          <w:szCs w:val="24"/>
        </w:rPr>
        <w:t xml:space="preserve">Above we glimpse, how attempts to offer formal learning opportunities mobilised underlying tensions of differing perspectives (Pinto, 2019, Smith and Lewis, 2011) between employees and Swift’s owner managers, which imposed limits on learning. Reflecting the recognised influence of owner managers in SMEs (Kerr and McDougall, 1999; Querbach et al, 2022), we see how their perspectives dictate what others should learn and accordingly, employees felt pressurised to develop public speaking skills as well as producing artefacts (e.g. blogs and webinars) to enhance the organisation’s reputation. Consistent with Fenwick (1998), a care for learning is therefore shown to have decisively prescribed parameters where it can occur only as defined by powerful others. As we see here, this resulted in resistance, frustration and discomfort for employees raising questions as to whether enacted learning was really something all members ‘truly cared’ for (Senge, 1990), instead implying a culture of indifference towards learning. This stands in contrast to assertions that in SMEs, it is relatively easier to build a unified learning culture that guides what employees should learn (Coetzer et </w:t>
      </w:r>
      <w:r w:rsidRPr="006B75C2">
        <w:rPr>
          <w:rFonts w:asciiTheme="majorBidi" w:hAnsiTheme="majorBidi" w:cstheme="majorBidi"/>
          <w:sz w:val="24"/>
          <w:szCs w:val="24"/>
        </w:rPr>
        <w:lastRenderedPageBreak/>
        <w:t>al, 2019). Moreover, the contradictions evident in the formal learning opportunities were also reflected in the experience of informal learning opportunities.</w:t>
      </w:r>
    </w:p>
    <w:p w14:paraId="39EB77E8" w14:textId="77777777" w:rsidR="006B75C2" w:rsidRPr="006B75C2" w:rsidRDefault="006B75C2" w:rsidP="006B75C2">
      <w:pPr>
        <w:spacing w:line="240" w:lineRule="auto"/>
        <w:jc w:val="both"/>
        <w:rPr>
          <w:rFonts w:asciiTheme="majorBidi" w:hAnsiTheme="majorBidi" w:cstheme="majorBidi"/>
          <w:b/>
          <w:bCs/>
          <w:sz w:val="24"/>
          <w:szCs w:val="24"/>
        </w:rPr>
      </w:pPr>
      <w:r w:rsidRPr="006B75C2">
        <w:rPr>
          <w:rFonts w:asciiTheme="majorBidi" w:hAnsiTheme="majorBidi" w:cstheme="majorBidi"/>
          <w:b/>
          <w:bCs/>
          <w:sz w:val="24"/>
          <w:szCs w:val="24"/>
        </w:rPr>
        <w:t xml:space="preserve">Empowerment </w:t>
      </w:r>
      <w:r w:rsidRPr="006B75C2">
        <w:rPr>
          <w:rFonts w:asciiTheme="majorBidi" w:hAnsiTheme="majorBidi" w:cstheme="majorBidi"/>
          <w:b/>
          <w:bCs/>
          <w:i/>
          <w:iCs/>
          <w:sz w:val="24"/>
          <w:szCs w:val="24"/>
        </w:rPr>
        <w:t>and</w:t>
      </w:r>
      <w:r w:rsidRPr="006B75C2">
        <w:rPr>
          <w:rFonts w:asciiTheme="majorBidi" w:hAnsiTheme="majorBidi" w:cstheme="majorBidi"/>
          <w:b/>
          <w:bCs/>
          <w:sz w:val="24"/>
          <w:szCs w:val="24"/>
        </w:rPr>
        <w:t xml:space="preserve"> Disempowerment</w:t>
      </w:r>
    </w:p>
    <w:p w14:paraId="1963CCD6" w14:textId="77777777" w:rsidR="006B75C2" w:rsidRPr="006B75C2" w:rsidRDefault="006B75C2" w:rsidP="006B75C2">
      <w:pPr>
        <w:spacing w:line="240" w:lineRule="auto"/>
        <w:jc w:val="both"/>
        <w:rPr>
          <w:rFonts w:asciiTheme="majorBidi" w:hAnsiTheme="majorBidi" w:cstheme="majorBidi"/>
          <w:sz w:val="24"/>
          <w:szCs w:val="24"/>
        </w:rPr>
      </w:pPr>
      <w:r w:rsidRPr="006B75C2">
        <w:rPr>
          <w:rFonts w:asciiTheme="majorBidi" w:hAnsiTheme="majorBidi" w:cstheme="majorBidi"/>
          <w:sz w:val="24"/>
          <w:szCs w:val="24"/>
        </w:rPr>
        <w:t>As underlined by Learning Organisation advocates (Watkins and Marsick, 1993), Swift’s care for learning extended to providing informal learning opportunities through encouraging employee empowerment to enable learning on the job:</w:t>
      </w:r>
    </w:p>
    <w:p w14:paraId="24B5E125" w14:textId="77777777" w:rsidR="006B75C2" w:rsidRPr="006B75C2" w:rsidRDefault="006B75C2" w:rsidP="006B75C2">
      <w:pPr>
        <w:spacing w:line="240" w:lineRule="auto"/>
        <w:jc w:val="both"/>
        <w:rPr>
          <w:rFonts w:asciiTheme="majorBidi" w:hAnsiTheme="majorBidi" w:cstheme="majorBidi"/>
          <w:sz w:val="24"/>
          <w:szCs w:val="24"/>
        </w:rPr>
      </w:pPr>
      <w:r w:rsidRPr="006B75C2">
        <w:rPr>
          <w:rFonts w:asciiTheme="majorBidi" w:hAnsiTheme="majorBidi" w:cstheme="majorBidi"/>
          <w:sz w:val="24"/>
          <w:szCs w:val="24"/>
        </w:rPr>
        <w:t>“</w:t>
      </w:r>
      <w:r w:rsidRPr="006B75C2">
        <w:rPr>
          <w:rFonts w:asciiTheme="majorBidi" w:hAnsiTheme="majorBidi" w:cstheme="majorBidi"/>
          <w:i/>
          <w:sz w:val="24"/>
          <w:szCs w:val="24"/>
        </w:rPr>
        <w:t>It’s been a case of gradually letting go and saying, no come on, you guys take it on, you don’t have to ask us every little micro decision, we trust you to make the right decision and, you’ll get it right most of the time. If you don’t, it’s not catastrophic, that’s how you learn</w:t>
      </w:r>
      <w:r w:rsidRPr="006B75C2">
        <w:rPr>
          <w:rFonts w:asciiTheme="majorBidi" w:hAnsiTheme="majorBidi" w:cstheme="majorBidi"/>
          <w:sz w:val="24"/>
          <w:szCs w:val="24"/>
        </w:rPr>
        <w:t>.” [Owner Manager 2]</w:t>
      </w:r>
    </w:p>
    <w:p w14:paraId="708B1324" w14:textId="77777777" w:rsidR="006B75C2" w:rsidRPr="006B75C2" w:rsidRDefault="006B75C2" w:rsidP="006B75C2">
      <w:pPr>
        <w:spacing w:line="240" w:lineRule="auto"/>
        <w:jc w:val="both"/>
        <w:rPr>
          <w:rFonts w:asciiTheme="majorBidi" w:hAnsiTheme="majorBidi" w:cstheme="majorBidi"/>
          <w:sz w:val="24"/>
          <w:szCs w:val="24"/>
        </w:rPr>
      </w:pPr>
      <w:r w:rsidRPr="006B75C2">
        <w:rPr>
          <w:rFonts w:asciiTheme="majorBidi" w:hAnsiTheme="majorBidi" w:cstheme="majorBidi"/>
          <w:sz w:val="24"/>
          <w:szCs w:val="24"/>
        </w:rPr>
        <w:t>“</w:t>
      </w:r>
      <w:r w:rsidRPr="006B75C2">
        <w:rPr>
          <w:rFonts w:asciiTheme="majorBidi" w:hAnsiTheme="majorBidi" w:cstheme="majorBidi"/>
          <w:i/>
          <w:iCs/>
          <w:sz w:val="24"/>
          <w:szCs w:val="24"/>
        </w:rPr>
        <w:t>Here [I am not micromanaged] people are just getting on with it and teaching themselves and going to other people and asking all these questions. I think Swift is really, really good for that.</w:t>
      </w:r>
      <w:r w:rsidRPr="006B75C2">
        <w:rPr>
          <w:rFonts w:asciiTheme="majorBidi" w:hAnsiTheme="majorBidi" w:cstheme="majorBidi"/>
          <w:sz w:val="24"/>
          <w:szCs w:val="24"/>
        </w:rPr>
        <w:t>” [Cerys]</w:t>
      </w:r>
    </w:p>
    <w:p w14:paraId="226A4FF4" w14:textId="77777777" w:rsidR="006B75C2" w:rsidRPr="006B75C2" w:rsidRDefault="006B75C2" w:rsidP="006B75C2">
      <w:pPr>
        <w:spacing w:line="240" w:lineRule="auto"/>
        <w:jc w:val="both"/>
        <w:rPr>
          <w:rFonts w:asciiTheme="majorBidi" w:hAnsiTheme="majorBidi" w:cstheme="majorBidi"/>
          <w:sz w:val="24"/>
          <w:szCs w:val="24"/>
        </w:rPr>
      </w:pPr>
      <w:r w:rsidRPr="006B75C2">
        <w:rPr>
          <w:rFonts w:asciiTheme="majorBidi" w:hAnsiTheme="majorBidi" w:cstheme="majorBidi"/>
          <w:sz w:val="24"/>
          <w:szCs w:val="24"/>
        </w:rPr>
        <w:t>The reported absence of ‘micromanagement’ implies the presence of trust and psychological safety (Edmondson, 2018) which is fundamental to learning through its tolerance of failure and we see that for some employees, this was positively experienced especially when compared to previous employment. However, other employees suggested that while they were empowered to ‘use their initiative’, the ensuing judgemental response from owner managers frequently left them feeling disempowered in ways which undermined their attempts to learn on the job:</w:t>
      </w:r>
    </w:p>
    <w:p w14:paraId="638A117D" w14:textId="77777777" w:rsidR="006B75C2" w:rsidRPr="006B75C2" w:rsidRDefault="006B75C2" w:rsidP="006B75C2">
      <w:pPr>
        <w:spacing w:line="240" w:lineRule="auto"/>
        <w:jc w:val="both"/>
        <w:rPr>
          <w:rFonts w:asciiTheme="majorBidi" w:hAnsiTheme="majorBidi" w:cstheme="majorBidi"/>
          <w:sz w:val="24"/>
          <w:szCs w:val="24"/>
        </w:rPr>
      </w:pPr>
      <w:r w:rsidRPr="006B75C2">
        <w:rPr>
          <w:rFonts w:asciiTheme="majorBidi" w:hAnsiTheme="majorBidi" w:cstheme="majorBidi"/>
          <w:sz w:val="24"/>
          <w:szCs w:val="24"/>
        </w:rPr>
        <w:t>“</w:t>
      </w:r>
      <w:r w:rsidRPr="006B75C2">
        <w:rPr>
          <w:rFonts w:asciiTheme="majorBidi" w:hAnsiTheme="majorBidi" w:cstheme="majorBidi"/>
          <w:i/>
          <w:iCs/>
          <w:sz w:val="24"/>
          <w:szCs w:val="24"/>
        </w:rPr>
        <w:t>We've been told that they want us to make our own decisions and just implement things and use our initiative.  But then there have been times when we've done that and then we've been told that we've done it wrong or it's not right, so it's mixed messages really</w:t>
      </w:r>
      <w:r w:rsidRPr="006B75C2">
        <w:rPr>
          <w:rFonts w:asciiTheme="majorBidi" w:hAnsiTheme="majorBidi" w:cstheme="majorBidi"/>
          <w:sz w:val="24"/>
          <w:szCs w:val="24"/>
        </w:rPr>
        <w:t>”. [Shania]</w:t>
      </w:r>
    </w:p>
    <w:p w14:paraId="42CDDE0C" w14:textId="77777777" w:rsidR="006B75C2" w:rsidRPr="006B75C2" w:rsidRDefault="006B75C2" w:rsidP="006B75C2">
      <w:pPr>
        <w:spacing w:line="240" w:lineRule="auto"/>
        <w:jc w:val="both"/>
        <w:rPr>
          <w:rFonts w:asciiTheme="majorBidi" w:hAnsiTheme="majorBidi" w:cstheme="majorBidi"/>
          <w:sz w:val="24"/>
          <w:szCs w:val="24"/>
        </w:rPr>
      </w:pPr>
      <w:r w:rsidRPr="006B75C2">
        <w:rPr>
          <w:rFonts w:asciiTheme="majorBidi" w:hAnsiTheme="majorBidi" w:cstheme="majorBidi"/>
          <w:sz w:val="24"/>
          <w:szCs w:val="24"/>
        </w:rPr>
        <w:t>“</w:t>
      </w:r>
      <w:r w:rsidRPr="006B75C2">
        <w:rPr>
          <w:rFonts w:asciiTheme="majorBidi" w:hAnsiTheme="majorBidi" w:cstheme="majorBidi"/>
          <w:i/>
          <w:iCs/>
          <w:sz w:val="24"/>
          <w:szCs w:val="24"/>
        </w:rPr>
        <w:t>When you have those conversations about work, often they [owner manager] always have a better answer, or they always say- ‘have you thought of this?’. As MD, they should be giving us ideas, they should be helping you improve but often it’s patronising or condescending. You feel shat on basically when you have those conversations…I actually avoid them... I put if off and it’s not good for my development</w:t>
      </w:r>
      <w:r w:rsidRPr="006B75C2">
        <w:rPr>
          <w:rFonts w:asciiTheme="majorBidi" w:hAnsiTheme="majorBidi" w:cstheme="majorBidi"/>
          <w:sz w:val="24"/>
          <w:szCs w:val="24"/>
        </w:rPr>
        <w:t>.” [Lucy]</w:t>
      </w:r>
    </w:p>
    <w:p w14:paraId="6ECC52F0" w14:textId="77777777" w:rsidR="006B75C2" w:rsidRPr="006B75C2" w:rsidRDefault="006B75C2" w:rsidP="006B75C2">
      <w:pPr>
        <w:spacing w:line="240" w:lineRule="auto"/>
        <w:jc w:val="both"/>
        <w:rPr>
          <w:rFonts w:asciiTheme="majorBidi" w:hAnsiTheme="majorBidi" w:cstheme="majorBidi"/>
          <w:sz w:val="24"/>
          <w:szCs w:val="24"/>
        </w:rPr>
      </w:pPr>
      <w:r w:rsidRPr="006B75C2">
        <w:rPr>
          <w:rFonts w:asciiTheme="majorBidi" w:hAnsiTheme="majorBidi" w:cstheme="majorBidi"/>
          <w:sz w:val="24"/>
          <w:szCs w:val="24"/>
        </w:rPr>
        <w:t>The co-existence of efforts to empower and disempower reflects the mobilisation of underlying organisational tensions in the paternalistic relations which are notable in SME contexts (Rainnie 2016). On the one hand, there is an implicit sense of employee autonomy indicating trusting relations, yet on the other hand, there is an explicit need for owner manager control which constitutes an absence of trust in their young employees. The owner managers’ response to this tension was to “yield a disproportionate level of control”, reinforcing existing power relations (Huq et al., 2017) which worked against learning since employees were scared to act in ways that might meet the disapproval of the owner managers.</w:t>
      </w:r>
      <w:r w:rsidRPr="006B75C2">
        <w:t xml:space="preserve"> </w:t>
      </w:r>
      <w:r w:rsidRPr="006B75C2">
        <w:rPr>
          <w:rFonts w:asciiTheme="majorBidi" w:hAnsiTheme="majorBidi" w:cstheme="majorBidi"/>
          <w:sz w:val="24"/>
          <w:szCs w:val="24"/>
        </w:rPr>
        <w:t>Indeed, our observations gleaned that managers’ search for control was often reflected in the disapproval of employees experimenting with “cutting edge” methods which, while potentially highly impactful for clients, simultaneously carried greater risk. Owner managers’ search for control then encouraged employees to avoid learning as they learnt that this was psychologically safer:</w:t>
      </w:r>
    </w:p>
    <w:p w14:paraId="2F96C690" w14:textId="77777777" w:rsidR="006B75C2" w:rsidRPr="006B75C2" w:rsidRDefault="006B75C2" w:rsidP="006B75C2">
      <w:pPr>
        <w:spacing w:line="240" w:lineRule="auto"/>
        <w:jc w:val="both"/>
        <w:rPr>
          <w:rFonts w:asciiTheme="majorBidi" w:hAnsiTheme="majorBidi" w:cstheme="majorBidi"/>
          <w:sz w:val="24"/>
          <w:szCs w:val="24"/>
        </w:rPr>
      </w:pPr>
      <w:r w:rsidRPr="006B75C2">
        <w:rPr>
          <w:rFonts w:asciiTheme="majorBidi" w:hAnsiTheme="majorBidi" w:cstheme="majorBidi"/>
          <w:sz w:val="24"/>
          <w:szCs w:val="24"/>
        </w:rPr>
        <w:t>“</w:t>
      </w:r>
      <w:r w:rsidRPr="006B75C2">
        <w:rPr>
          <w:rFonts w:asciiTheme="majorBidi" w:hAnsiTheme="majorBidi" w:cstheme="majorBidi"/>
          <w:i/>
          <w:iCs/>
          <w:sz w:val="24"/>
          <w:szCs w:val="24"/>
        </w:rPr>
        <w:t>I know by the language they use; they [owner manager] treats us as their kids which is fine. We’re all 26, 27, 28, we’re all fairly young…a frustration would be that the directorship still yields a disproportionate level of control to what we feel would be optimal…They're not sure where the sign-off levels are and they haven't been given the emotional security to fail with those ideas so they're scared of failing, so it's easier not to try”.</w:t>
      </w:r>
      <w:r w:rsidRPr="006B75C2">
        <w:rPr>
          <w:rFonts w:asciiTheme="majorBidi" w:hAnsiTheme="majorBidi" w:cstheme="majorBidi"/>
          <w:sz w:val="24"/>
          <w:szCs w:val="24"/>
        </w:rPr>
        <w:t>[Jasper]</w:t>
      </w:r>
    </w:p>
    <w:p w14:paraId="464C4214" w14:textId="4CA0F245" w:rsidR="006B75C2" w:rsidRPr="006B75C2" w:rsidRDefault="006B75C2" w:rsidP="006B75C2">
      <w:pPr>
        <w:spacing w:line="240" w:lineRule="auto"/>
        <w:jc w:val="both"/>
        <w:rPr>
          <w:rFonts w:asciiTheme="majorBidi" w:hAnsiTheme="majorBidi" w:cstheme="majorBidi"/>
          <w:b/>
          <w:bCs/>
          <w:sz w:val="24"/>
          <w:szCs w:val="24"/>
        </w:rPr>
      </w:pPr>
      <w:r w:rsidRPr="006B75C2">
        <w:rPr>
          <w:rFonts w:asciiTheme="majorBidi" w:hAnsiTheme="majorBidi" w:cstheme="majorBidi"/>
          <w:b/>
          <w:bCs/>
          <w:sz w:val="24"/>
          <w:szCs w:val="24"/>
        </w:rPr>
        <w:lastRenderedPageBreak/>
        <w:t xml:space="preserve">Inquiry and Openness </w:t>
      </w:r>
      <w:r w:rsidRPr="006B75C2">
        <w:rPr>
          <w:rFonts w:asciiTheme="majorBidi" w:hAnsiTheme="majorBidi" w:cstheme="majorBidi"/>
          <w:b/>
          <w:bCs/>
          <w:i/>
          <w:iCs/>
          <w:sz w:val="24"/>
          <w:szCs w:val="24"/>
        </w:rPr>
        <w:t>and</w:t>
      </w:r>
      <w:r w:rsidRPr="006B75C2">
        <w:rPr>
          <w:rFonts w:asciiTheme="majorBidi" w:hAnsiTheme="majorBidi" w:cstheme="majorBidi"/>
          <w:b/>
          <w:bCs/>
          <w:sz w:val="24"/>
          <w:szCs w:val="24"/>
        </w:rPr>
        <w:t xml:space="preserve"> Ignorance and Closure</w:t>
      </w:r>
    </w:p>
    <w:p w14:paraId="768FC2D8" w14:textId="77777777" w:rsidR="006B75C2" w:rsidRPr="006B75C2" w:rsidRDefault="006B75C2" w:rsidP="006B75C2">
      <w:pPr>
        <w:spacing w:line="240" w:lineRule="auto"/>
        <w:jc w:val="both"/>
        <w:rPr>
          <w:rFonts w:asciiTheme="majorBidi" w:hAnsiTheme="majorBidi" w:cstheme="majorBidi"/>
          <w:sz w:val="24"/>
          <w:szCs w:val="24"/>
        </w:rPr>
      </w:pPr>
      <w:r w:rsidRPr="006B75C2">
        <w:rPr>
          <w:rFonts w:asciiTheme="majorBidi" w:hAnsiTheme="majorBidi" w:cstheme="majorBidi"/>
          <w:sz w:val="24"/>
          <w:szCs w:val="24"/>
        </w:rPr>
        <w:t>Reflecting guidance of the Learning Organisation concept to create opportunities for inquiry and dialogue (Watkins and Marsick, 1993), our analysis identified that Swift placed a keen emphasis on encouraging their members to express their opinions to facilitate their collective learning:</w:t>
      </w:r>
    </w:p>
    <w:p w14:paraId="0432C08C" w14:textId="77777777" w:rsidR="006B75C2" w:rsidRPr="006B75C2" w:rsidRDefault="006B75C2" w:rsidP="006B75C2">
      <w:pPr>
        <w:spacing w:line="240" w:lineRule="auto"/>
        <w:jc w:val="both"/>
        <w:rPr>
          <w:rFonts w:asciiTheme="majorBidi" w:hAnsiTheme="majorBidi" w:cstheme="majorBidi"/>
          <w:bCs/>
          <w:sz w:val="24"/>
          <w:szCs w:val="24"/>
        </w:rPr>
      </w:pPr>
      <w:r w:rsidRPr="006B75C2">
        <w:rPr>
          <w:rFonts w:asciiTheme="majorBidi" w:hAnsiTheme="majorBidi" w:cstheme="majorBidi"/>
          <w:bCs/>
          <w:i/>
          <w:iCs/>
          <w:sz w:val="24"/>
          <w:szCs w:val="24"/>
        </w:rPr>
        <w:t>“I think [the owner managers] and the senior management team hold those values that they want employees to have an input and to let them know that they're heard”</w:t>
      </w:r>
      <w:r w:rsidRPr="006B75C2">
        <w:rPr>
          <w:rFonts w:asciiTheme="majorBidi" w:hAnsiTheme="majorBidi" w:cstheme="majorBidi"/>
          <w:bCs/>
          <w:sz w:val="24"/>
          <w:szCs w:val="24"/>
        </w:rPr>
        <w:t>. [Arran]</w:t>
      </w:r>
    </w:p>
    <w:p w14:paraId="2A1179E0" w14:textId="77777777" w:rsidR="006B75C2" w:rsidRPr="006B75C2" w:rsidRDefault="006B75C2" w:rsidP="006B75C2">
      <w:pPr>
        <w:spacing w:line="240" w:lineRule="auto"/>
        <w:jc w:val="both"/>
        <w:rPr>
          <w:rFonts w:asciiTheme="majorBidi" w:hAnsiTheme="majorBidi" w:cstheme="majorBidi"/>
          <w:bCs/>
          <w:sz w:val="24"/>
          <w:szCs w:val="24"/>
        </w:rPr>
      </w:pPr>
      <w:r w:rsidRPr="006B75C2">
        <w:rPr>
          <w:rFonts w:asciiTheme="majorBidi" w:hAnsiTheme="majorBidi" w:cstheme="majorBidi"/>
          <w:bCs/>
          <w:sz w:val="24"/>
          <w:szCs w:val="24"/>
        </w:rPr>
        <w:t>Indeed, this openness to inquiry was also evident in Swift’s decision to invite all organisational members to the unedited presentation of our research findings, which struck us as unusually progressive compared to other SMEs we had worked alongside, as well as employee comments which underlined that they felt their expressed opinions counted, again comparing favourably to previous larger employers:</w:t>
      </w:r>
    </w:p>
    <w:p w14:paraId="7B7D56FF" w14:textId="77777777" w:rsidR="006B75C2" w:rsidRPr="006B75C2" w:rsidRDefault="006B75C2" w:rsidP="006B75C2">
      <w:pPr>
        <w:spacing w:line="240" w:lineRule="auto"/>
        <w:jc w:val="both"/>
        <w:rPr>
          <w:rFonts w:asciiTheme="majorBidi" w:hAnsiTheme="majorBidi" w:cstheme="majorBidi"/>
          <w:bCs/>
          <w:sz w:val="24"/>
          <w:szCs w:val="24"/>
        </w:rPr>
      </w:pPr>
      <w:r w:rsidRPr="006B75C2">
        <w:rPr>
          <w:rFonts w:asciiTheme="majorBidi" w:hAnsiTheme="majorBidi" w:cstheme="majorBidi"/>
          <w:b/>
          <w:sz w:val="24"/>
          <w:szCs w:val="24"/>
        </w:rPr>
        <w:t>“</w:t>
      </w:r>
      <w:r w:rsidRPr="006B75C2">
        <w:rPr>
          <w:rFonts w:asciiTheme="majorBidi" w:hAnsiTheme="majorBidi" w:cstheme="majorBidi"/>
          <w:bCs/>
          <w:i/>
          <w:iCs/>
          <w:sz w:val="24"/>
          <w:szCs w:val="24"/>
        </w:rPr>
        <w:t>I want to be somewhere like this where I'm making a massive difference.., I hate jobs where I feel that my opinion doesn't matter.  I worked at a big company before, 8,000 people, you asked but it never got followed up – all the time”.</w:t>
      </w:r>
      <w:r w:rsidRPr="006B75C2">
        <w:rPr>
          <w:rFonts w:asciiTheme="majorBidi" w:hAnsiTheme="majorBidi" w:cstheme="majorBidi"/>
          <w:b/>
          <w:i/>
          <w:iCs/>
          <w:sz w:val="24"/>
          <w:szCs w:val="24"/>
        </w:rPr>
        <w:t xml:space="preserve"> </w:t>
      </w:r>
      <w:r w:rsidRPr="006B75C2">
        <w:rPr>
          <w:rFonts w:asciiTheme="majorBidi" w:hAnsiTheme="majorBidi" w:cstheme="majorBidi"/>
          <w:bCs/>
          <w:sz w:val="24"/>
          <w:szCs w:val="24"/>
        </w:rPr>
        <w:t>[Kyle]</w:t>
      </w:r>
    </w:p>
    <w:p w14:paraId="127F5F90" w14:textId="77777777" w:rsidR="006B75C2" w:rsidRPr="006B75C2" w:rsidRDefault="006B75C2" w:rsidP="006B75C2">
      <w:pPr>
        <w:spacing w:line="240" w:lineRule="auto"/>
        <w:jc w:val="both"/>
        <w:rPr>
          <w:rFonts w:asciiTheme="majorBidi" w:hAnsiTheme="majorBidi" w:cstheme="majorBidi"/>
          <w:b/>
          <w:sz w:val="24"/>
          <w:szCs w:val="24"/>
        </w:rPr>
      </w:pPr>
      <w:r w:rsidRPr="006B75C2">
        <w:rPr>
          <w:rFonts w:asciiTheme="majorBidi" w:hAnsiTheme="majorBidi" w:cstheme="majorBidi"/>
          <w:bCs/>
          <w:sz w:val="24"/>
          <w:szCs w:val="24"/>
        </w:rPr>
        <w:t>However, reflecting previous studies of learning in SMEs (Querbach et al., 2022), our analysis highlighted that while members’ opinions were encouraged, simultaneously they were also frequently ignored or shut down which undermined future learning possibilities:</w:t>
      </w:r>
    </w:p>
    <w:p w14:paraId="3B81D295" w14:textId="77777777" w:rsidR="006B75C2" w:rsidRPr="006B75C2" w:rsidRDefault="006B75C2" w:rsidP="006B75C2">
      <w:pPr>
        <w:spacing w:line="240" w:lineRule="auto"/>
        <w:jc w:val="both"/>
        <w:rPr>
          <w:rFonts w:asciiTheme="majorBidi" w:hAnsiTheme="majorBidi" w:cstheme="majorBidi"/>
          <w:bCs/>
          <w:sz w:val="24"/>
          <w:szCs w:val="24"/>
        </w:rPr>
      </w:pPr>
      <w:r w:rsidRPr="006B75C2">
        <w:rPr>
          <w:rFonts w:asciiTheme="majorBidi" w:hAnsiTheme="majorBidi" w:cstheme="majorBidi"/>
          <w:b/>
          <w:sz w:val="24"/>
          <w:szCs w:val="24"/>
        </w:rPr>
        <w:t>“</w:t>
      </w:r>
      <w:r w:rsidRPr="006B75C2">
        <w:rPr>
          <w:rFonts w:asciiTheme="majorBidi" w:hAnsiTheme="majorBidi" w:cstheme="majorBidi"/>
          <w:bCs/>
          <w:i/>
          <w:iCs/>
          <w:sz w:val="24"/>
          <w:szCs w:val="24"/>
        </w:rPr>
        <w:t>Good ideas can certainly arise, but can they flourish? Good ideas enjoy a mediocre existence</w:t>
      </w:r>
      <w:r w:rsidRPr="006B75C2">
        <w:rPr>
          <w:rFonts w:asciiTheme="majorBidi" w:hAnsiTheme="majorBidi" w:cstheme="majorBidi"/>
          <w:b/>
          <w:sz w:val="24"/>
          <w:szCs w:val="24"/>
        </w:rPr>
        <w:t xml:space="preserve">”. </w:t>
      </w:r>
      <w:r w:rsidRPr="006B75C2">
        <w:rPr>
          <w:rFonts w:asciiTheme="majorBidi" w:hAnsiTheme="majorBidi" w:cstheme="majorBidi"/>
          <w:bCs/>
          <w:sz w:val="24"/>
          <w:szCs w:val="24"/>
        </w:rPr>
        <w:t>[Jasper]</w:t>
      </w:r>
    </w:p>
    <w:p w14:paraId="7E786B9A" w14:textId="77777777" w:rsidR="006B75C2" w:rsidRPr="006B75C2" w:rsidRDefault="006B75C2" w:rsidP="006B75C2">
      <w:pPr>
        <w:spacing w:line="240" w:lineRule="auto"/>
        <w:jc w:val="both"/>
        <w:rPr>
          <w:rFonts w:asciiTheme="majorBidi" w:hAnsiTheme="majorBidi" w:cstheme="majorBidi"/>
          <w:bCs/>
          <w:sz w:val="24"/>
          <w:szCs w:val="24"/>
        </w:rPr>
      </w:pPr>
      <w:r w:rsidRPr="006B75C2">
        <w:rPr>
          <w:rFonts w:asciiTheme="majorBidi" w:hAnsiTheme="majorBidi" w:cstheme="majorBidi"/>
          <w:bCs/>
          <w:i/>
          <w:iCs/>
          <w:sz w:val="24"/>
          <w:szCs w:val="24"/>
        </w:rPr>
        <w:t xml:space="preserve">“[The owner managers] still have the final say in everything.  And so, there's a rebrand going on soon, and… I haven't said that I'm against it, but I know there's no point because...basically once [the owner manager] decides that they want something, it's extremely hard to change their mind.  So, people just ignore it.  They don't even speak up sometimes because they know that it won't be passed on”. </w:t>
      </w:r>
      <w:r w:rsidRPr="006B75C2">
        <w:rPr>
          <w:rFonts w:asciiTheme="majorBidi" w:hAnsiTheme="majorBidi" w:cstheme="majorBidi"/>
          <w:bCs/>
          <w:sz w:val="24"/>
          <w:szCs w:val="24"/>
        </w:rPr>
        <w:t>[Brandon]</w:t>
      </w:r>
    </w:p>
    <w:p w14:paraId="6CC4EC1A" w14:textId="77777777" w:rsidR="006B75C2" w:rsidRPr="006B75C2" w:rsidRDefault="006B75C2" w:rsidP="006B75C2">
      <w:pPr>
        <w:spacing w:line="240" w:lineRule="auto"/>
        <w:jc w:val="both"/>
        <w:rPr>
          <w:rFonts w:asciiTheme="majorBidi" w:hAnsiTheme="majorBidi" w:cstheme="majorBidi"/>
          <w:bCs/>
          <w:sz w:val="24"/>
          <w:szCs w:val="24"/>
        </w:rPr>
      </w:pPr>
      <w:r w:rsidRPr="006B75C2">
        <w:rPr>
          <w:rFonts w:asciiTheme="majorBidi" w:hAnsiTheme="majorBidi" w:cstheme="majorBidi"/>
          <w:bCs/>
          <w:sz w:val="24"/>
          <w:szCs w:val="24"/>
        </w:rPr>
        <w:t>“</w:t>
      </w:r>
      <w:r w:rsidRPr="006B75C2">
        <w:rPr>
          <w:rFonts w:asciiTheme="majorBidi" w:hAnsiTheme="majorBidi" w:cstheme="majorBidi"/>
          <w:bCs/>
          <w:i/>
          <w:iCs/>
          <w:sz w:val="24"/>
          <w:szCs w:val="24"/>
        </w:rPr>
        <w:t>[Senior Manager] was suggesting that the managers could discuss amongst themselves which team would be best suited to receiving the client.  And that would turn into days of discussion, and it was, ‘look we are not a democracy’</w:t>
      </w:r>
      <w:r w:rsidRPr="006B75C2">
        <w:rPr>
          <w:rFonts w:asciiTheme="majorBidi" w:hAnsiTheme="majorBidi" w:cstheme="majorBidi"/>
          <w:bCs/>
          <w:sz w:val="24"/>
          <w:szCs w:val="24"/>
        </w:rPr>
        <w:t>”. [Owner Manager 1]</w:t>
      </w:r>
    </w:p>
    <w:p w14:paraId="59A296B5" w14:textId="77777777" w:rsidR="006B75C2" w:rsidRPr="006B75C2" w:rsidRDefault="006B75C2" w:rsidP="006B75C2">
      <w:pPr>
        <w:spacing w:line="240" w:lineRule="auto"/>
        <w:jc w:val="both"/>
        <w:rPr>
          <w:rFonts w:asciiTheme="majorBidi" w:hAnsiTheme="majorBidi" w:cstheme="majorBidi"/>
          <w:bCs/>
          <w:sz w:val="24"/>
          <w:szCs w:val="24"/>
        </w:rPr>
      </w:pPr>
      <w:r w:rsidRPr="006B75C2">
        <w:rPr>
          <w:rFonts w:asciiTheme="majorBidi" w:hAnsiTheme="majorBidi" w:cstheme="majorBidi"/>
          <w:bCs/>
          <w:sz w:val="24"/>
          <w:szCs w:val="24"/>
        </w:rPr>
        <w:t xml:space="preserve">The contradiction between inviting inquiry while simultaneously closing it down reflects the mobilisation of a recurrent organisational tension at Swift focused on the use of temporal resource (Smith and Lewis, 2011) to both use time flexibly (to satisfy employee discretion) and to flex time (to secure maximum organisational efficiency). As glimpsed above, inquiry takes time - an especially scarce resource for SMEs (Gold and Lees, 2023) - fundamentally threatening the efficiency needs of organising. The response to this tension was to prioritise the need to get things done quickly rather than democratically as prescribed by Learning Organisation advocates (Senge, 1990) which hindered learning by discouraging employees from offering views in the future and blocking development opportunities: </w:t>
      </w:r>
    </w:p>
    <w:p w14:paraId="4D7C81EF" w14:textId="77777777" w:rsidR="006B75C2" w:rsidRPr="006B75C2" w:rsidRDefault="006B75C2" w:rsidP="006B75C2">
      <w:pPr>
        <w:spacing w:line="240" w:lineRule="auto"/>
        <w:jc w:val="both"/>
        <w:rPr>
          <w:rFonts w:asciiTheme="majorBidi" w:hAnsiTheme="majorBidi" w:cstheme="majorBidi"/>
          <w:bCs/>
          <w:sz w:val="24"/>
          <w:szCs w:val="24"/>
        </w:rPr>
      </w:pPr>
      <w:r w:rsidRPr="006B75C2">
        <w:rPr>
          <w:rFonts w:asciiTheme="majorBidi" w:hAnsiTheme="majorBidi" w:cstheme="majorBidi"/>
          <w:bCs/>
          <w:sz w:val="24"/>
          <w:szCs w:val="24"/>
        </w:rPr>
        <w:t>“</w:t>
      </w:r>
      <w:r w:rsidRPr="006B75C2">
        <w:rPr>
          <w:rFonts w:asciiTheme="majorBidi" w:hAnsiTheme="majorBidi" w:cstheme="majorBidi"/>
          <w:bCs/>
          <w:i/>
          <w:iCs/>
          <w:sz w:val="24"/>
          <w:szCs w:val="24"/>
        </w:rPr>
        <w:t>We get a new client, and then it goes against the skills versus time, but I think the whole who it goes to and why it goes to them, I think needs looking at because it frustrates a lot of people. Why is that work going to those same people all the time when I want the opportunity to do it, why am I not having the [development] opportunity</w:t>
      </w:r>
      <w:r w:rsidRPr="006B75C2">
        <w:rPr>
          <w:rFonts w:asciiTheme="majorBidi" w:hAnsiTheme="majorBidi" w:cstheme="majorBidi"/>
          <w:bCs/>
          <w:sz w:val="24"/>
          <w:szCs w:val="24"/>
        </w:rPr>
        <w:t>?” [Arran]</w:t>
      </w:r>
    </w:p>
    <w:p w14:paraId="3C91820B" w14:textId="77777777" w:rsidR="006B75C2" w:rsidRPr="006B75C2" w:rsidRDefault="006B75C2" w:rsidP="006B75C2">
      <w:pPr>
        <w:spacing w:line="240" w:lineRule="auto"/>
        <w:jc w:val="both"/>
        <w:rPr>
          <w:rFonts w:asciiTheme="majorBidi" w:hAnsiTheme="majorBidi" w:cstheme="majorBidi"/>
          <w:bCs/>
          <w:sz w:val="24"/>
          <w:szCs w:val="24"/>
        </w:rPr>
      </w:pPr>
      <w:r w:rsidRPr="006B75C2">
        <w:rPr>
          <w:rFonts w:asciiTheme="majorBidi" w:hAnsiTheme="majorBidi" w:cstheme="majorBidi"/>
          <w:bCs/>
          <w:sz w:val="24"/>
          <w:szCs w:val="24"/>
        </w:rPr>
        <w:t>Further examples of learning hindrances emerged in members’ discussions of efforts to work collaboratively.</w:t>
      </w:r>
    </w:p>
    <w:p w14:paraId="3536C021" w14:textId="77777777" w:rsidR="006B75C2" w:rsidRPr="006B75C2" w:rsidRDefault="006B75C2" w:rsidP="006B75C2">
      <w:pPr>
        <w:spacing w:line="240" w:lineRule="auto"/>
        <w:jc w:val="both"/>
        <w:rPr>
          <w:rFonts w:asciiTheme="majorBidi" w:hAnsiTheme="majorBidi" w:cstheme="majorBidi"/>
          <w:b/>
          <w:sz w:val="24"/>
          <w:szCs w:val="24"/>
        </w:rPr>
      </w:pPr>
      <w:r w:rsidRPr="006B75C2">
        <w:rPr>
          <w:rFonts w:asciiTheme="majorBidi" w:hAnsiTheme="majorBidi" w:cstheme="majorBidi"/>
          <w:b/>
          <w:sz w:val="24"/>
          <w:szCs w:val="24"/>
        </w:rPr>
        <w:lastRenderedPageBreak/>
        <w:t xml:space="preserve">Collaboration </w:t>
      </w:r>
      <w:r w:rsidRPr="006B75C2">
        <w:rPr>
          <w:rFonts w:asciiTheme="majorBidi" w:hAnsiTheme="majorBidi" w:cstheme="majorBidi"/>
          <w:b/>
          <w:i/>
          <w:iCs/>
          <w:sz w:val="24"/>
          <w:szCs w:val="24"/>
        </w:rPr>
        <w:t>and</w:t>
      </w:r>
      <w:r w:rsidRPr="006B75C2">
        <w:rPr>
          <w:rFonts w:asciiTheme="majorBidi" w:hAnsiTheme="majorBidi" w:cstheme="majorBidi"/>
          <w:b/>
          <w:sz w:val="24"/>
          <w:szCs w:val="24"/>
        </w:rPr>
        <w:t xml:space="preserve"> Separation</w:t>
      </w:r>
    </w:p>
    <w:p w14:paraId="10758D8E" w14:textId="77777777" w:rsidR="006B75C2" w:rsidRPr="006B75C2" w:rsidRDefault="006B75C2" w:rsidP="006B75C2">
      <w:pPr>
        <w:spacing w:line="240" w:lineRule="auto"/>
        <w:jc w:val="both"/>
        <w:rPr>
          <w:rFonts w:asciiTheme="majorBidi" w:hAnsiTheme="majorBidi" w:cstheme="majorBidi"/>
          <w:bCs/>
          <w:sz w:val="24"/>
          <w:szCs w:val="24"/>
        </w:rPr>
      </w:pPr>
      <w:r w:rsidRPr="006B75C2">
        <w:rPr>
          <w:rFonts w:asciiTheme="majorBidi" w:hAnsiTheme="majorBidi" w:cstheme="majorBidi"/>
          <w:bCs/>
          <w:sz w:val="24"/>
          <w:szCs w:val="24"/>
        </w:rPr>
        <w:t>In line with prescriptions to encourage collaboration to foster learning (Watkins and Marsick, 1993), Swift had consciously implemented work structures and spaces to enable its facilitation:</w:t>
      </w:r>
    </w:p>
    <w:p w14:paraId="08C432B7" w14:textId="77777777" w:rsidR="006B75C2" w:rsidRPr="006B75C2" w:rsidRDefault="006B75C2" w:rsidP="006B75C2">
      <w:pPr>
        <w:spacing w:line="240" w:lineRule="auto"/>
        <w:jc w:val="both"/>
        <w:rPr>
          <w:rFonts w:asciiTheme="majorBidi" w:hAnsiTheme="majorBidi" w:cstheme="majorBidi"/>
          <w:bCs/>
          <w:sz w:val="24"/>
          <w:szCs w:val="24"/>
        </w:rPr>
      </w:pPr>
      <w:r w:rsidRPr="006B75C2">
        <w:rPr>
          <w:rFonts w:asciiTheme="majorBidi" w:hAnsiTheme="majorBidi" w:cstheme="majorBidi"/>
          <w:bCs/>
          <w:i/>
          <w:iCs/>
          <w:sz w:val="24"/>
          <w:szCs w:val="24"/>
        </w:rPr>
        <w:t>“We've evolved into what we call response teams, so each team has one specialist from each area, it's worked out very well and our experience has shown that that's definitely the way to go</w:t>
      </w:r>
      <w:r w:rsidRPr="006B75C2">
        <w:rPr>
          <w:rFonts w:asciiTheme="majorBidi" w:hAnsiTheme="majorBidi" w:cstheme="majorBidi"/>
          <w:bCs/>
          <w:sz w:val="24"/>
          <w:szCs w:val="24"/>
        </w:rPr>
        <w:t>”.  [Owner Manager 2]</w:t>
      </w:r>
    </w:p>
    <w:p w14:paraId="69DA5DCF" w14:textId="77777777" w:rsidR="006B75C2" w:rsidRPr="006B75C2" w:rsidRDefault="006B75C2" w:rsidP="006B75C2">
      <w:pPr>
        <w:spacing w:line="240" w:lineRule="auto"/>
        <w:jc w:val="both"/>
        <w:rPr>
          <w:rFonts w:asciiTheme="majorBidi" w:hAnsiTheme="majorBidi" w:cstheme="majorBidi"/>
          <w:bCs/>
          <w:sz w:val="24"/>
          <w:szCs w:val="24"/>
        </w:rPr>
      </w:pPr>
      <w:r w:rsidRPr="006B75C2">
        <w:rPr>
          <w:rFonts w:asciiTheme="majorBidi" w:hAnsiTheme="majorBidi" w:cstheme="majorBidi"/>
          <w:bCs/>
          <w:i/>
          <w:iCs/>
          <w:sz w:val="24"/>
          <w:szCs w:val="24"/>
        </w:rPr>
        <w:t>“We decided to create this Townhall.. we use it for whole team meetings and for informal working.  I think it's really attractive, it's a great use of the space</w:t>
      </w:r>
      <w:r w:rsidRPr="006B75C2">
        <w:rPr>
          <w:rFonts w:asciiTheme="majorBidi" w:hAnsiTheme="majorBidi" w:cstheme="majorBidi"/>
          <w:bCs/>
          <w:sz w:val="24"/>
          <w:szCs w:val="24"/>
        </w:rPr>
        <w:t>”. [Owner Manager 1]</w:t>
      </w:r>
    </w:p>
    <w:p w14:paraId="794DCB67" w14:textId="77777777" w:rsidR="006B75C2" w:rsidRPr="006B75C2" w:rsidRDefault="006B75C2" w:rsidP="006B75C2">
      <w:pPr>
        <w:spacing w:line="240" w:lineRule="auto"/>
        <w:jc w:val="both"/>
        <w:rPr>
          <w:rFonts w:asciiTheme="majorBidi" w:hAnsiTheme="majorBidi" w:cstheme="majorBidi"/>
          <w:bCs/>
          <w:sz w:val="24"/>
          <w:szCs w:val="24"/>
        </w:rPr>
      </w:pPr>
      <w:r w:rsidRPr="006B75C2">
        <w:rPr>
          <w:rFonts w:asciiTheme="majorBidi" w:hAnsiTheme="majorBidi" w:cstheme="majorBidi"/>
          <w:bCs/>
          <w:sz w:val="24"/>
          <w:szCs w:val="24"/>
        </w:rPr>
        <w:t>Efforts to implement ‘response teams’ comprised of a cross section of specialists, represented a shift from previous working arrangements when the company was smaller where members worked separately and had sole responsibility for particular clients. The new intention was that members worked collaboratively to serve clients as a team. So too, rather than work at their individual desks, spaces had also been created for working collaboratively in the form of a ‘Townhall’. However, contrary to the optimistic position described above, the interviews revealed that in practice, collaborative working was rarely enacted and which in turn, as revealed by our observations, provoked ongoing confusion for the owner managers who struggled to understand its absence:</w:t>
      </w:r>
    </w:p>
    <w:p w14:paraId="38811C43" w14:textId="77777777" w:rsidR="006B75C2" w:rsidRPr="006B75C2" w:rsidRDefault="006B75C2" w:rsidP="006B75C2">
      <w:pPr>
        <w:spacing w:line="240" w:lineRule="auto"/>
        <w:jc w:val="both"/>
        <w:rPr>
          <w:rFonts w:asciiTheme="majorBidi" w:hAnsiTheme="majorBidi" w:cstheme="majorBidi"/>
          <w:bCs/>
          <w:sz w:val="24"/>
          <w:szCs w:val="24"/>
        </w:rPr>
      </w:pPr>
      <w:r w:rsidRPr="006B75C2">
        <w:rPr>
          <w:rFonts w:asciiTheme="majorBidi" w:hAnsiTheme="majorBidi" w:cstheme="majorBidi"/>
          <w:bCs/>
          <w:sz w:val="24"/>
          <w:szCs w:val="24"/>
        </w:rPr>
        <w:t>“</w:t>
      </w:r>
      <w:r w:rsidRPr="006B75C2">
        <w:rPr>
          <w:rFonts w:asciiTheme="majorBidi" w:hAnsiTheme="majorBidi" w:cstheme="majorBidi"/>
          <w:bCs/>
          <w:i/>
          <w:iCs/>
          <w:sz w:val="24"/>
          <w:szCs w:val="24"/>
        </w:rPr>
        <w:t>I think the mentality's still a matter of this is my client, what I do</w:t>
      </w:r>
      <w:r w:rsidRPr="006B75C2">
        <w:rPr>
          <w:rFonts w:asciiTheme="majorBidi" w:hAnsiTheme="majorBidi" w:cstheme="majorBidi"/>
          <w:bCs/>
          <w:sz w:val="24"/>
          <w:szCs w:val="24"/>
        </w:rPr>
        <w:t>”. [Ollie]</w:t>
      </w:r>
    </w:p>
    <w:p w14:paraId="4C261B45" w14:textId="77777777" w:rsidR="006B75C2" w:rsidRPr="006B75C2" w:rsidRDefault="006B75C2" w:rsidP="006B75C2">
      <w:pPr>
        <w:spacing w:line="240" w:lineRule="auto"/>
        <w:jc w:val="both"/>
        <w:rPr>
          <w:rFonts w:asciiTheme="majorBidi" w:hAnsiTheme="majorBidi" w:cstheme="majorBidi"/>
          <w:bCs/>
          <w:sz w:val="24"/>
          <w:szCs w:val="24"/>
        </w:rPr>
      </w:pPr>
      <w:r w:rsidRPr="006B75C2">
        <w:rPr>
          <w:rFonts w:asciiTheme="majorBidi" w:hAnsiTheme="majorBidi" w:cstheme="majorBidi"/>
          <w:bCs/>
          <w:sz w:val="24"/>
          <w:szCs w:val="24"/>
        </w:rPr>
        <w:t>“</w:t>
      </w:r>
      <w:r w:rsidRPr="006B75C2">
        <w:rPr>
          <w:rFonts w:asciiTheme="majorBidi" w:hAnsiTheme="majorBidi" w:cstheme="majorBidi"/>
          <w:bCs/>
          <w:i/>
          <w:iCs/>
          <w:sz w:val="24"/>
          <w:szCs w:val="24"/>
        </w:rPr>
        <w:t>People just get clouded with trying to get stuff done for their clients…. We've got all these amazing areas for collaborative learning, but it doesn't happen</w:t>
      </w:r>
      <w:r w:rsidRPr="006B75C2">
        <w:rPr>
          <w:rFonts w:asciiTheme="majorBidi" w:hAnsiTheme="majorBidi" w:cstheme="majorBidi"/>
          <w:bCs/>
          <w:sz w:val="24"/>
          <w:szCs w:val="24"/>
        </w:rPr>
        <w:t>”. [Mitchell]</w:t>
      </w:r>
    </w:p>
    <w:p w14:paraId="6CF0F33D" w14:textId="77777777" w:rsidR="006B75C2" w:rsidRPr="006B75C2" w:rsidRDefault="006B75C2" w:rsidP="006B75C2">
      <w:pPr>
        <w:spacing w:line="240" w:lineRule="auto"/>
        <w:jc w:val="both"/>
        <w:rPr>
          <w:rFonts w:asciiTheme="majorBidi" w:hAnsiTheme="majorBidi" w:cstheme="majorBidi"/>
          <w:bCs/>
          <w:sz w:val="24"/>
          <w:szCs w:val="24"/>
        </w:rPr>
      </w:pPr>
      <w:r w:rsidRPr="006B75C2">
        <w:rPr>
          <w:rFonts w:asciiTheme="majorBidi" w:hAnsiTheme="majorBidi" w:cstheme="majorBidi"/>
          <w:bCs/>
          <w:sz w:val="24"/>
          <w:szCs w:val="24"/>
        </w:rPr>
        <w:t>“</w:t>
      </w:r>
      <w:r w:rsidRPr="006B75C2">
        <w:rPr>
          <w:rFonts w:asciiTheme="majorBidi" w:hAnsiTheme="majorBidi" w:cstheme="majorBidi"/>
          <w:bCs/>
          <w:i/>
          <w:iCs/>
          <w:sz w:val="24"/>
          <w:szCs w:val="24"/>
        </w:rPr>
        <w:t>Nobody's really taking advantage of these open working spaces because of where they are… you feel watched, or you feel judged</w:t>
      </w:r>
      <w:r w:rsidRPr="006B75C2">
        <w:rPr>
          <w:rFonts w:asciiTheme="majorBidi" w:hAnsiTheme="majorBidi" w:cstheme="majorBidi"/>
          <w:bCs/>
          <w:sz w:val="24"/>
          <w:szCs w:val="24"/>
        </w:rPr>
        <w:t>”. [Martha]</w:t>
      </w:r>
    </w:p>
    <w:p w14:paraId="72B06ECE" w14:textId="77777777" w:rsidR="006B75C2" w:rsidRPr="006B75C2" w:rsidRDefault="006B75C2" w:rsidP="006B75C2">
      <w:pPr>
        <w:spacing w:line="240" w:lineRule="auto"/>
        <w:jc w:val="both"/>
        <w:rPr>
          <w:rFonts w:asciiTheme="majorBidi" w:hAnsiTheme="majorBidi" w:cstheme="majorBidi"/>
          <w:bCs/>
          <w:sz w:val="24"/>
          <w:szCs w:val="24"/>
        </w:rPr>
      </w:pPr>
      <w:r w:rsidRPr="006B75C2">
        <w:rPr>
          <w:rFonts w:asciiTheme="majorBidi" w:hAnsiTheme="majorBidi" w:cstheme="majorBidi"/>
          <w:bCs/>
          <w:sz w:val="24"/>
          <w:szCs w:val="24"/>
        </w:rPr>
        <w:t xml:space="preserve">The highlighted contradiction of working collaboratively and separately reflects the mobilisation of two underlying organisational tensions at Swift. One, we glimpse, how short-term demands “people just get clouded with trying to get stuff done” hinder opportunities to learn with others for the long term (Smith &amp; Lewis, 2011). Second, we again see how differences in perspectives between employees and owner managers impede the use of collaborative learning spaces since these are also construed as surveillance spaces by employees. Here, in contrast to other studies of SMEs (Coetzer et al., 2023), we see how physical proximity of the owner managers works to ensure that learning often didn’t happen, a theme further evidenced in our final contradiction below. </w:t>
      </w:r>
    </w:p>
    <w:p w14:paraId="7597DA94" w14:textId="77777777" w:rsidR="006B75C2" w:rsidRPr="006B75C2" w:rsidRDefault="006B75C2" w:rsidP="006B75C2">
      <w:pPr>
        <w:spacing w:line="240" w:lineRule="auto"/>
        <w:jc w:val="both"/>
        <w:rPr>
          <w:rFonts w:asciiTheme="majorBidi" w:hAnsiTheme="majorBidi" w:cstheme="majorBidi"/>
          <w:bCs/>
          <w:sz w:val="24"/>
          <w:szCs w:val="24"/>
        </w:rPr>
      </w:pPr>
      <w:r w:rsidRPr="006B75C2">
        <w:rPr>
          <w:rFonts w:asciiTheme="majorBidi" w:hAnsiTheme="majorBidi" w:cstheme="majorBidi"/>
          <w:b/>
          <w:sz w:val="24"/>
          <w:szCs w:val="24"/>
        </w:rPr>
        <w:t xml:space="preserve">Learning Capture and Recognition </w:t>
      </w:r>
      <w:r w:rsidRPr="006B75C2">
        <w:rPr>
          <w:rFonts w:asciiTheme="majorBidi" w:hAnsiTheme="majorBidi" w:cstheme="majorBidi"/>
          <w:b/>
          <w:i/>
          <w:iCs/>
          <w:sz w:val="24"/>
          <w:szCs w:val="24"/>
        </w:rPr>
        <w:t>and</w:t>
      </w:r>
      <w:r w:rsidRPr="006B75C2">
        <w:rPr>
          <w:rFonts w:asciiTheme="majorBidi" w:hAnsiTheme="majorBidi" w:cstheme="majorBidi"/>
          <w:b/>
          <w:sz w:val="24"/>
          <w:szCs w:val="24"/>
        </w:rPr>
        <w:t xml:space="preserve"> Learning Loss and Disregard</w:t>
      </w:r>
    </w:p>
    <w:p w14:paraId="5DA968CF" w14:textId="77777777" w:rsidR="006B75C2" w:rsidRPr="006B75C2" w:rsidRDefault="006B75C2" w:rsidP="006B75C2">
      <w:pPr>
        <w:spacing w:line="240" w:lineRule="auto"/>
        <w:jc w:val="both"/>
        <w:rPr>
          <w:rFonts w:asciiTheme="majorBidi" w:hAnsiTheme="majorBidi" w:cstheme="majorBidi"/>
          <w:bCs/>
          <w:sz w:val="24"/>
          <w:szCs w:val="24"/>
        </w:rPr>
      </w:pPr>
      <w:r w:rsidRPr="006B75C2">
        <w:rPr>
          <w:rFonts w:asciiTheme="majorBidi" w:hAnsiTheme="majorBidi" w:cstheme="majorBidi"/>
          <w:bCs/>
          <w:sz w:val="24"/>
          <w:szCs w:val="24"/>
        </w:rPr>
        <w:t>As illustrated below, Swift embedded systems to capture and recognise learning (Watkins and Marsick, 1993), in the form of a weekly ‘academy’ and ‘gold star’ award:</w:t>
      </w:r>
    </w:p>
    <w:p w14:paraId="4726AF94" w14:textId="77777777" w:rsidR="006B75C2" w:rsidRPr="006B75C2" w:rsidRDefault="006B75C2" w:rsidP="006B75C2">
      <w:pPr>
        <w:spacing w:line="240" w:lineRule="auto"/>
        <w:jc w:val="both"/>
        <w:rPr>
          <w:rFonts w:asciiTheme="majorBidi" w:hAnsiTheme="majorBidi" w:cstheme="majorBidi"/>
          <w:bCs/>
          <w:sz w:val="24"/>
          <w:szCs w:val="24"/>
        </w:rPr>
      </w:pPr>
      <w:r w:rsidRPr="006B75C2">
        <w:rPr>
          <w:rFonts w:asciiTheme="majorBidi" w:hAnsiTheme="majorBidi" w:cstheme="majorBidi"/>
          <w:bCs/>
          <w:sz w:val="24"/>
          <w:szCs w:val="24"/>
        </w:rPr>
        <w:t xml:space="preserve"> “</w:t>
      </w:r>
      <w:r w:rsidRPr="006B75C2">
        <w:rPr>
          <w:rFonts w:asciiTheme="majorBidi" w:hAnsiTheme="majorBidi" w:cstheme="majorBidi"/>
          <w:bCs/>
          <w:i/>
          <w:iCs/>
          <w:sz w:val="24"/>
          <w:szCs w:val="24"/>
        </w:rPr>
        <w:t>One of my goals, is to expand my knowledge of digital marketing and I really like the academies that we do, every week or so somebody in the team does a presentation on a specific topic, anybody can attend. I find those really useful, and ultimately to see different sides of digital marketing, just allows me to see if I want to specialise in a specific area.</w:t>
      </w:r>
      <w:r w:rsidRPr="006B75C2">
        <w:rPr>
          <w:rFonts w:asciiTheme="majorBidi" w:hAnsiTheme="majorBidi" w:cstheme="majorBidi"/>
          <w:bCs/>
          <w:sz w:val="24"/>
          <w:szCs w:val="24"/>
        </w:rPr>
        <w:t>” [Robyn]</w:t>
      </w:r>
    </w:p>
    <w:p w14:paraId="322AAD90" w14:textId="77777777" w:rsidR="006B75C2" w:rsidRPr="006B75C2" w:rsidRDefault="006B75C2" w:rsidP="006B75C2">
      <w:pPr>
        <w:spacing w:line="240" w:lineRule="auto"/>
        <w:jc w:val="both"/>
        <w:rPr>
          <w:rFonts w:asciiTheme="majorBidi" w:hAnsiTheme="majorBidi" w:cstheme="majorBidi"/>
          <w:bCs/>
          <w:sz w:val="24"/>
          <w:szCs w:val="24"/>
        </w:rPr>
      </w:pPr>
      <w:r w:rsidRPr="006B75C2">
        <w:rPr>
          <w:rFonts w:asciiTheme="majorBidi" w:hAnsiTheme="majorBidi" w:cstheme="majorBidi"/>
          <w:bCs/>
          <w:sz w:val="24"/>
          <w:szCs w:val="24"/>
        </w:rPr>
        <w:t>“</w:t>
      </w:r>
      <w:r w:rsidRPr="006B75C2">
        <w:rPr>
          <w:rFonts w:asciiTheme="majorBidi" w:hAnsiTheme="majorBidi" w:cstheme="majorBidi"/>
          <w:bCs/>
          <w:i/>
          <w:iCs/>
          <w:sz w:val="24"/>
          <w:szCs w:val="24"/>
        </w:rPr>
        <w:t>We do have a gold star thing and therefore my peers are supposed to promote people that they think have done a wicked job that week.</w:t>
      </w:r>
      <w:r w:rsidRPr="006B75C2">
        <w:rPr>
          <w:rFonts w:asciiTheme="majorBidi" w:hAnsiTheme="majorBidi" w:cstheme="majorBidi"/>
          <w:bCs/>
          <w:sz w:val="24"/>
          <w:szCs w:val="24"/>
        </w:rPr>
        <w:t>” [Ewan]</w:t>
      </w:r>
    </w:p>
    <w:p w14:paraId="2A513D43" w14:textId="77777777" w:rsidR="006B75C2" w:rsidRPr="006B75C2" w:rsidRDefault="006B75C2" w:rsidP="006B75C2">
      <w:pPr>
        <w:spacing w:line="240" w:lineRule="auto"/>
        <w:jc w:val="both"/>
        <w:rPr>
          <w:rFonts w:asciiTheme="majorBidi" w:hAnsiTheme="majorBidi" w:cstheme="majorBidi"/>
          <w:bCs/>
          <w:sz w:val="24"/>
          <w:szCs w:val="24"/>
        </w:rPr>
      </w:pPr>
      <w:r w:rsidRPr="006B75C2">
        <w:rPr>
          <w:rFonts w:asciiTheme="majorBidi" w:hAnsiTheme="majorBidi" w:cstheme="majorBidi"/>
          <w:bCs/>
          <w:sz w:val="24"/>
          <w:szCs w:val="24"/>
        </w:rPr>
        <w:t>However, while valued by some, our analysis also revealed less positive responses from others which suggested that learning was simultaneously lost and disregarded:</w:t>
      </w:r>
    </w:p>
    <w:p w14:paraId="09A805EA" w14:textId="77777777" w:rsidR="006B75C2" w:rsidRPr="006B75C2" w:rsidRDefault="006B75C2" w:rsidP="006B75C2">
      <w:pPr>
        <w:spacing w:line="240" w:lineRule="auto"/>
        <w:jc w:val="both"/>
        <w:rPr>
          <w:rFonts w:asciiTheme="majorBidi" w:hAnsiTheme="majorBidi" w:cstheme="majorBidi"/>
          <w:bCs/>
          <w:sz w:val="24"/>
          <w:szCs w:val="24"/>
        </w:rPr>
      </w:pPr>
      <w:r w:rsidRPr="006B75C2">
        <w:rPr>
          <w:rFonts w:asciiTheme="majorBidi" w:hAnsiTheme="majorBidi" w:cstheme="majorBidi"/>
          <w:bCs/>
          <w:sz w:val="24"/>
          <w:szCs w:val="24"/>
        </w:rPr>
        <w:lastRenderedPageBreak/>
        <w:t>“</w:t>
      </w:r>
      <w:r w:rsidRPr="006B75C2">
        <w:rPr>
          <w:rFonts w:asciiTheme="majorBidi" w:hAnsiTheme="majorBidi" w:cstheme="majorBidi"/>
          <w:bCs/>
          <w:i/>
          <w:iCs/>
          <w:sz w:val="24"/>
          <w:szCs w:val="24"/>
        </w:rPr>
        <w:t>But often they're (academies) are side-lined, and they get rearranged and postponed and pushed back and sometimes never happen. I think taking that more seriously would help a lot of people</w:t>
      </w:r>
      <w:r w:rsidRPr="006B75C2">
        <w:rPr>
          <w:rFonts w:asciiTheme="majorBidi" w:hAnsiTheme="majorBidi" w:cstheme="majorBidi"/>
          <w:bCs/>
          <w:sz w:val="24"/>
          <w:szCs w:val="24"/>
        </w:rPr>
        <w:t>.” [Shania]</w:t>
      </w:r>
    </w:p>
    <w:p w14:paraId="0DF79BEE" w14:textId="77777777" w:rsidR="006B75C2" w:rsidRPr="006B75C2" w:rsidRDefault="006B75C2" w:rsidP="006B75C2">
      <w:pPr>
        <w:spacing w:line="240" w:lineRule="auto"/>
        <w:jc w:val="both"/>
        <w:rPr>
          <w:rFonts w:asciiTheme="majorBidi" w:hAnsiTheme="majorBidi" w:cstheme="majorBidi"/>
          <w:bCs/>
          <w:sz w:val="24"/>
          <w:szCs w:val="24"/>
        </w:rPr>
      </w:pPr>
      <w:r w:rsidRPr="006B75C2">
        <w:rPr>
          <w:rFonts w:asciiTheme="majorBidi" w:hAnsiTheme="majorBidi" w:cstheme="majorBidi"/>
          <w:bCs/>
          <w:sz w:val="24"/>
          <w:szCs w:val="24"/>
        </w:rPr>
        <w:t>“</w:t>
      </w:r>
      <w:r w:rsidRPr="006B75C2">
        <w:rPr>
          <w:rFonts w:asciiTheme="majorBidi" w:hAnsiTheme="majorBidi" w:cstheme="majorBidi"/>
          <w:bCs/>
          <w:i/>
          <w:iCs/>
          <w:sz w:val="24"/>
          <w:szCs w:val="24"/>
        </w:rPr>
        <w:t>On the surface, it’s [gold star award] pretty nice, but there’s a lot of backstabbing, horribly bitchy attitudes and you think, Jesus, OK, I don’t want to stand out anyway, just get over it</w:t>
      </w:r>
      <w:r w:rsidRPr="006B75C2">
        <w:rPr>
          <w:rFonts w:asciiTheme="majorBidi" w:hAnsiTheme="majorBidi" w:cstheme="majorBidi"/>
          <w:bCs/>
          <w:sz w:val="24"/>
          <w:szCs w:val="24"/>
        </w:rPr>
        <w:t>.” [Esme]</w:t>
      </w:r>
    </w:p>
    <w:p w14:paraId="6F25BC98" w14:textId="77777777" w:rsidR="006B75C2" w:rsidRPr="006B75C2" w:rsidRDefault="006B75C2" w:rsidP="006B75C2">
      <w:pPr>
        <w:spacing w:line="240" w:lineRule="auto"/>
        <w:jc w:val="both"/>
        <w:rPr>
          <w:rFonts w:asciiTheme="majorBidi" w:hAnsiTheme="majorBidi" w:cstheme="majorBidi"/>
          <w:bCs/>
          <w:sz w:val="24"/>
          <w:szCs w:val="24"/>
        </w:rPr>
      </w:pPr>
      <w:r w:rsidRPr="006B75C2">
        <w:rPr>
          <w:rFonts w:asciiTheme="majorBidi" w:hAnsiTheme="majorBidi" w:cstheme="majorBidi"/>
          <w:bCs/>
          <w:sz w:val="24"/>
          <w:szCs w:val="24"/>
        </w:rPr>
        <w:t>These contradictions in the implementation of their learning systems, again reflect the mobilisation of underlying organisational tensions. The side-lining of their academies which prohibited sharing of learning arises from the tensions noted earlier relating to both the use and focus of scarce temporal resource (Smith and Lewis, 2011). Since learning requires precious time and is often orientated towards the longer term, as glimpsed above, it then comes to be ‘pushed back’ as attention is dedicated to more immediate organisational needs. The ‘bitchy attitudes’ and lack of desire to ‘stand out’, reflect different perspectives on recognition, while on one hand it signals praise, it also signals visibility, especially in an SME context, evoking jealously and conflict, and as such, creating a defensive ambivalence towards learning architecture. Conversely, our observations also detected such ambivalence from those with strong desires to be recognised for their longer-term learning through the promotion system since this was necessarily severely limited by the flat organisational structure of the SME.</w:t>
      </w:r>
    </w:p>
    <w:p w14:paraId="15C109D5" w14:textId="77777777" w:rsidR="006B75C2" w:rsidRPr="006B75C2" w:rsidRDefault="006B75C2" w:rsidP="006B75C2">
      <w:pPr>
        <w:spacing w:line="240" w:lineRule="auto"/>
        <w:jc w:val="both"/>
        <w:rPr>
          <w:rFonts w:asciiTheme="majorBidi" w:hAnsiTheme="majorBidi" w:cstheme="majorBidi"/>
          <w:b/>
          <w:sz w:val="24"/>
          <w:szCs w:val="24"/>
        </w:rPr>
      </w:pPr>
      <w:r w:rsidRPr="006B75C2">
        <w:rPr>
          <w:rFonts w:asciiTheme="majorBidi" w:hAnsiTheme="majorBidi" w:cstheme="majorBidi"/>
          <w:b/>
          <w:sz w:val="24"/>
          <w:szCs w:val="24"/>
        </w:rPr>
        <w:t>Contradictions of consequences of the Learning Organisation</w:t>
      </w:r>
    </w:p>
    <w:p w14:paraId="29A2F889" w14:textId="77777777" w:rsidR="006B75C2" w:rsidRPr="006B75C2" w:rsidRDefault="006B75C2" w:rsidP="006B75C2">
      <w:pPr>
        <w:spacing w:line="240" w:lineRule="auto"/>
        <w:jc w:val="both"/>
        <w:rPr>
          <w:rFonts w:asciiTheme="majorBidi" w:hAnsiTheme="majorBidi" w:cstheme="majorBidi"/>
          <w:bCs/>
          <w:sz w:val="24"/>
          <w:szCs w:val="24"/>
        </w:rPr>
      </w:pPr>
      <w:r w:rsidRPr="006B75C2">
        <w:rPr>
          <w:rFonts w:asciiTheme="majorBidi" w:hAnsiTheme="majorBidi" w:cstheme="majorBidi"/>
          <w:bCs/>
          <w:sz w:val="24"/>
          <w:szCs w:val="24"/>
        </w:rPr>
        <w:t>In light of the contradictions of learning reported above, it was unsurprising that ultimately, contradictions also existed in appraisals of the overall learning effort at Swift. As we see below, ultimately the owner manager suggested that Swift were guilty of an over-emphasis upon learning at the expense of organising, yet reflecting the employee perspective, Jasper presents a more pessimistic reading, suggesting that organising was over-emphasised at the expense of learning</w:t>
      </w:r>
      <w:bookmarkStart w:id="6" w:name="_Hlk153357893"/>
      <w:r w:rsidRPr="006B75C2">
        <w:rPr>
          <w:rFonts w:asciiTheme="majorBidi" w:hAnsiTheme="majorBidi" w:cstheme="majorBidi"/>
          <w:bCs/>
          <w:sz w:val="24"/>
          <w:szCs w:val="24"/>
        </w:rPr>
        <w:t>:</w:t>
      </w:r>
    </w:p>
    <w:bookmarkEnd w:id="6"/>
    <w:p w14:paraId="6C257689" w14:textId="77777777" w:rsidR="006B75C2" w:rsidRPr="006B75C2" w:rsidRDefault="006B75C2" w:rsidP="006B75C2">
      <w:pPr>
        <w:spacing w:line="240" w:lineRule="auto"/>
        <w:jc w:val="both"/>
        <w:rPr>
          <w:rFonts w:asciiTheme="majorBidi" w:hAnsiTheme="majorBidi" w:cstheme="majorBidi"/>
          <w:b/>
          <w:sz w:val="24"/>
          <w:szCs w:val="24"/>
        </w:rPr>
      </w:pPr>
      <w:r w:rsidRPr="006B75C2">
        <w:rPr>
          <w:rFonts w:asciiTheme="majorBidi" w:hAnsiTheme="majorBidi" w:cstheme="majorBidi"/>
          <w:bCs/>
          <w:i/>
          <w:iCs/>
          <w:sz w:val="24"/>
          <w:szCs w:val="24"/>
        </w:rPr>
        <w:t>“I think we're really good at learning, I'd like to show you something cool. ‘God, that's really cool’, and I think what I'm still missing is, can you show me where you've then used that and talked to a client about that….I don't think we've taken our eye off that ball, but I think we've turned it so much into a learning culture [but] have we actually translated that into service delivery.”</w:t>
      </w:r>
      <w:r w:rsidRPr="006B75C2">
        <w:rPr>
          <w:rFonts w:asciiTheme="majorBidi" w:hAnsiTheme="majorBidi" w:cstheme="majorBidi"/>
          <w:bCs/>
          <w:sz w:val="24"/>
          <w:szCs w:val="24"/>
        </w:rPr>
        <w:t xml:space="preserve"> [Owner Manager 1]</w:t>
      </w:r>
    </w:p>
    <w:p w14:paraId="74414CA5" w14:textId="77777777" w:rsidR="006B75C2" w:rsidRPr="006B75C2" w:rsidRDefault="006B75C2" w:rsidP="006B75C2">
      <w:pPr>
        <w:spacing w:line="240" w:lineRule="auto"/>
        <w:jc w:val="both"/>
        <w:rPr>
          <w:rFonts w:asciiTheme="majorBidi" w:hAnsiTheme="majorBidi" w:cstheme="majorBidi"/>
          <w:bCs/>
          <w:sz w:val="24"/>
          <w:szCs w:val="24"/>
        </w:rPr>
      </w:pPr>
      <w:r w:rsidRPr="006B75C2">
        <w:rPr>
          <w:rFonts w:asciiTheme="majorBidi" w:hAnsiTheme="majorBidi" w:cstheme="majorBidi"/>
          <w:bCs/>
          <w:sz w:val="24"/>
          <w:szCs w:val="24"/>
        </w:rPr>
        <w:t>“</w:t>
      </w:r>
      <w:r w:rsidRPr="006B75C2">
        <w:rPr>
          <w:rFonts w:asciiTheme="majorBidi" w:hAnsiTheme="majorBidi" w:cstheme="majorBidi"/>
          <w:bCs/>
          <w:i/>
          <w:iCs/>
          <w:sz w:val="24"/>
          <w:szCs w:val="24"/>
        </w:rPr>
        <w:t>I don’t think we’re very good at nurturing people and I think this is because at the end of the day, we are...like a battery farm in the sense that each individual is a unit that delivers a certain amount of billable hours for a certain level of profit</w:t>
      </w:r>
      <w:r w:rsidRPr="006B75C2">
        <w:rPr>
          <w:rFonts w:asciiTheme="majorBidi" w:hAnsiTheme="majorBidi" w:cstheme="majorBidi"/>
          <w:bCs/>
          <w:sz w:val="24"/>
          <w:szCs w:val="24"/>
        </w:rPr>
        <w:t>”. [Jasper]</w:t>
      </w:r>
    </w:p>
    <w:p w14:paraId="08263EEB" w14:textId="77777777" w:rsidR="006B75C2" w:rsidRPr="006B75C2" w:rsidRDefault="006B75C2" w:rsidP="006B75C2">
      <w:pPr>
        <w:spacing w:line="240" w:lineRule="auto"/>
        <w:jc w:val="both"/>
        <w:rPr>
          <w:rFonts w:asciiTheme="majorBidi" w:hAnsiTheme="majorBidi" w:cstheme="majorBidi"/>
          <w:bCs/>
          <w:sz w:val="24"/>
          <w:szCs w:val="24"/>
          <w:highlight w:val="cyan"/>
        </w:rPr>
      </w:pPr>
      <w:r w:rsidRPr="006B75C2">
        <w:rPr>
          <w:rFonts w:asciiTheme="majorBidi" w:hAnsiTheme="majorBidi" w:cstheme="majorBidi"/>
          <w:bCs/>
          <w:sz w:val="24"/>
          <w:szCs w:val="24"/>
        </w:rPr>
        <w:t xml:space="preserve">These contradictory closing comments reinforce the often-overlooked position that “organisational learning is something that is extremely difficult to get right” (Tomkins and Bristow, 2023: 2), even in an SME context constituted by comparatively small employee numbers and where learning was highly desired by both the organisation and its employees. Here, ostensibly learning outcomes satisfied neither managers nor employees, and in the end, reflects a stronger weighting of conditions against learning at Swift where learning often failed to happen in ways desired. For example, above we glimpse a notable failure to ‘translate’ individual learning gains into ‘service delivery’, reflecting an absence of second order learning deemed especially critical for the survival of Learning Organisations (Thomas &amp; Allen, 2006). More starkly, our findings also identified deeper issues of learning ‘translation’ when valued learning was ultimately taken elsewhere: </w:t>
      </w:r>
    </w:p>
    <w:p w14:paraId="3E488348" w14:textId="77777777" w:rsidR="006B75C2" w:rsidRPr="006B75C2" w:rsidRDefault="006B75C2" w:rsidP="006B75C2">
      <w:pPr>
        <w:spacing w:line="240" w:lineRule="auto"/>
        <w:jc w:val="both"/>
        <w:rPr>
          <w:rFonts w:asciiTheme="majorBidi" w:hAnsiTheme="majorBidi" w:cstheme="majorBidi"/>
          <w:bCs/>
          <w:sz w:val="24"/>
          <w:szCs w:val="24"/>
        </w:rPr>
      </w:pPr>
      <w:r w:rsidRPr="006B75C2">
        <w:rPr>
          <w:rFonts w:asciiTheme="majorBidi" w:hAnsiTheme="majorBidi" w:cstheme="majorBidi"/>
          <w:bCs/>
          <w:sz w:val="24"/>
          <w:szCs w:val="24"/>
        </w:rPr>
        <w:lastRenderedPageBreak/>
        <w:t xml:space="preserve">  “</w:t>
      </w:r>
      <w:r w:rsidRPr="006B75C2">
        <w:rPr>
          <w:rFonts w:asciiTheme="majorBidi" w:hAnsiTheme="majorBidi" w:cstheme="majorBidi"/>
          <w:bCs/>
          <w:i/>
          <w:iCs/>
          <w:sz w:val="24"/>
          <w:szCs w:val="24"/>
        </w:rPr>
        <w:t>One of the senior managers got demoted and now she’s just left to join our closest competitor, taking all of that competitive information…..That’s not good and that’s happened because she was essentially undervalued</w:t>
      </w:r>
      <w:r w:rsidRPr="006B75C2">
        <w:rPr>
          <w:rFonts w:asciiTheme="majorBidi" w:hAnsiTheme="majorBidi" w:cstheme="majorBidi"/>
          <w:bCs/>
          <w:sz w:val="24"/>
          <w:szCs w:val="24"/>
        </w:rPr>
        <w:t>.” [Jasper]</w:t>
      </w:r>
    </w:p>
    <w:p w14:paraId="7EE126B0" w14:textId="77777777" w:rsidR="006B75C2" w:rsidRPr="006B75C2" w:rsidRDefault="006B75C2" w:rsidP="006B75C2">
      <w:pPr>
        <w:spacing w:line="240" w:lineRule="auto"/>
        <w:jc w:val="both"/>
        <w:rPr>
          <w:rFonts w:asciiTheme="majorBidi" w:hAnsiTheme="majorBidi" w:cstheme="majorBidi"/>
          <w:b/>
          <w:sz w:val="24"/>
          <w:szCs w:val="24"/>
        </w:rPr>
      </w:pPr>
      <w:r w:rsidRPr="006B75C2">
        <w:rPr>
          <w:rFonts w:asciiTheme="majorBidi" w:hAnsiTheme="majorBidi" w:cstheme="majorBidi"/>
          <w:b/>
          <w:sz w:val="24"/>
          <w:szCs w:val="24"/>
        </w:rPr>
        <w:t>Discussion</w:t>
      </w:r>
    </w:p>
    <w:p w14:paraId="1E961D5C" w14:textId="77777777" w:rsidR="006B75C2" w:rsidRPr="006B75C2" w:rsidRDefault="006B75C2" w:rsidP="006B75C2">
      <w:pPr>
        <w:spacing w:line="240" w:lineRule="auto"/>
        <w:jc w:val="both"/>
        <w:rPr>
          <w:rFonts w:asciiTheme="majorBidi" w:hAnsiTheme="majorBidi" w:cstheme="majorBidi"/>
          <w:bCs/>
          <w:sz w:val="24"/>
          <w:szCs w:val="24"/>
        </w:rPr>
      </w:pPr>
      <w:r w:rsidRPr="006B75C2">
        <w:rPr>
          <w:rFonts w:asciiTheme="majorBidi" w:hAnsiTheme="majorBidi" w:cstheme="majorBidi"/>
          <w:bCs/>
          <w:sz w:val="24"/>
          <w:szCs w:val="24"/>
        </w:rPr>
        <w:t xml:space="preserve">Our work has responded to Vince’s (2018) invitation to re-imagine the Learning Organisation as a paradox. We build on his insights gleaned from a classroom context to empirically demonstrate the applicability of the lens to an organisational context. Doing so enables us to make three contributions. </w:t>
      </w:r>
      <w:r w:rsidRPr="006B75C2">
        <w:rPr>
          <w:rFonts w:asciiTheme="majorBidi" w:hAnsiTheme="majorBidi" w:cstheme="majorBidi"/>
          <w:kern w:val="2"/>
          <w:sz w:val="24"/>
          <w:szCs w:val="24"/>
          <w14:ligatures w14:val="standardContextual"/>
        </w:rPr>
        <w:t xml:space="preserve">Our first contribution is to offer a theoretical model (see Figure 1) of the Learning Organisation as a paradox which elucidates the rarely seen contradictions that are always present between the desire to create opportunities to learn and implicit limitations that arise in relation to the everyday organisation of attempts to learn.  While Learning Organisation advocates (Daly and Overton, 2017; Senge, 1990; Watkins and Marsick, 1993) view learning as a separate activity from organising, manifest through an exclusive focus on building conditions which will enable learning, our work has empirically illustrated that in practice learning is inseparable from organising since attempts to build conditions for learning at the same time mobilise underlying organisational tensions which shape learning possibilities. This brings into light the contradictory </w:t>
      </w:r>
      <w:r w:rsidRPr="006B75C2">
        <w:rPr>
          <w:rFonts w:asciiTheme="majorBidi" w:hAnsiTheme="majorBidi" w:cstheme="majorBidi"/>
          <w:i/>
          <w:iCs/>
          <w:kern w:val="2"/>
          <w:sz w:val="24"/>
          <w:szCs w:val="24"/>
          <w14:ligatures w14:val="standardContextual"/>
        </w:rPr>
        <w:t>focus</w:t>
      </w:r>
      <w:r w:rsidRPr="006B75C2">
        <w:rPr>
          <w:rFonts w:asciiTheme="majorBidi" w:hAnsiTheme="majorBidi" w:cstheme="majorBidi"/>
          <w:kern w:val="2"/>
          <w:sz w:val="24"/>
          <w:szCs w:val="24"/>
          <w14:ligatures w14:val="standardContextual"/>
        </w:rPr>
        <w:t xml:space="preserve"> of the Learning Organisation- it inevitably must attend to </w:t>
      </w:r>
      <w:r w:rsidRPr="006B75C2">
        <w:rPr>
          <w:rFonts w:asciiTheme="majorBidi" w:hAnsiTheme="majorBidi" w:cstheme="majorBidi"/>
          <w:i/>
          <w:iCs/>
          <w:kern w:val="2"/>
          <w:sz w:val="24"/>
          <w:szCs w:val="24"/>
          <w14:ligatures w14:val="standardContextual"/>
        </w:rPr>
        <w:t>both</w:t>
      </w:r>
      <w:r w:rsidRPr="006B75C2">
        <w:rPr>
          <w:rFonts w:asciiTheme="majorBidi" w:hAnsiTheme="majorBidi" w:cstheme="majorBidi"/>
          <w:kern w:val="2"/>
          <w:sz w:val="24"/>
          <w:szCs w:val="24"/>
          <w14:ligatures w14:val="standardContextual"/>
        </w:rPr>
        <w:t xml:space="preserve"> learning </w:t>
      </w:r>
      <w:r w:rsidRPr="006B75C2">
        <w:rPr>
          <w:rFonts w:asciiTheme="majorBidi" w:hAnsiTheme="majorBidi" w:cstheme="majorBidi"/>
          <w:i/>
          <w:iCs/>
          <w:kern w:val="2"/>
          <w:sz w:val="24"/>
          <w:szCs w:val="24"/>
          <w14:ligatures w14:val="standardContextual"/>
        </w:rPr>
        <w:t>and</w:t>
      </w:r>
      <w:r w:rsidRPr="006B75C2">
        <w:rPr>
          <w:rFonts w:asciiTheme="majorBidi" w:hAnsiTheme="majorBidi" w:cstheme="majorBidi"/>
          <w:kern w:val="2"/>
          <w:sz w:val="24"/>
          <w:szCs w:val="24"/>
          <w14:ligatures w14:val="standardContextual"/>
        </w:rPr>
        <w:t xml:space="preserve"> organising activities. Moreover, as Bristow et al (2022) contend, the interplay between learning and organising activities will be dependent upon the specific organisational context. In our SME context, we have highlighted how efforts to learn mobilised tensions relating to paternalistic organisational relationships often associated with SMEs which reveal a struggle for control (Panya, 2024); a heightened focus on the optimal use of temporal resources to enable organisational efficiency in a context where time resources are notably scarce (Gold and Lees, 2023) alongside an emphasis upon short term concerns consistent with a neglect of long term priorities typical of SMEs (</w:t>
      </w:r>
      <w:r w:rsidRPr="006B75C2">
        <w:rPr>
          <w:rFonts w:asciiTheme="majorBidi" w:hAnsiTheme="majorBidi" w:cstheme="majorBidi"/>
          <w:sz w:val="24"/>
          <w:szCs w:val="24"/>
        </w:rPr>
        <w:t>Harney and Alkhalaf, 2021</w:t>
      </w:r>
      <w:r w:rsidRPr="006B75C2">
        <w:rPr>
          <w:rFonts w:asciiTheme="majorBidi" w:hAnsiTheme="majorBidi" w:cstheme="majorBidi"/>
          <w:kern w:val="2"/>
          <w:sz w:val="24"/>
          <w:szCs w:val="24"/>
          <w14:ligatures w14:val="standardContextual"/>
        </w:rPr>
        <w:t xml:space="preserve">). The delicate interplay between these competing forces then works to simultaneously create conditions which work against learning. Here for example, we have seen how attempts to build a culture of care for learning at the same time created a culture of indifference towards learning and how efforts to encourage inquiry and dialogue at the same time promoted ignorance and closure. </w:t>
      </w:r>
    </w:p>
    <w:p w14:paraId="7FF109CA" w14:textId="77777777" w:rsidR="006B75C2" w:rsidRPr="006B75C2" w:rsidRDefault="006B75C2" w:rsidP="006B75C2">
      <w:pPr>
        <w:spacing w:line="240" w:lineRule="auto"/>
        <w:jc w:val="both"/>
        <w:rPr>
          <w:rFonts w:asciiTheme="majorBidi" w:hAnsiTheme="majorBidi" w:cstheme="majorBidi"/>
          <w:kern w:val="2"/>
          <w:sz w:val="24"/>
          <w:szCs w:val="24"/>
          <w14:ligatures w14:val="standardContextual"/>
        </w:rPr>
      </w:pPr>
      <w:r w:rsidRPr="006B75C2">
        <w:rPr>
          <w:rFonts w:asciiTheme="majorBidi" w:hAnsiTheme="majorBidi" w:cstheme="majorBidi"/>
          <w:kern w:val="2"/>
          <w:sz w:val="24"/>
          <w:szCs w:val="24"/>
          <w14:ligatures w14:val="standardContextual"/>
        </w:rPr>
        <w:t xml:space="preserve">Through the building of these conditions which undermine learning we also then glimpse contradictions relating to the </w:t>
      </w:r>
      <w:r w:rsidRPr="006B75C2">
        <w:rPr>
          <w:rFonts w:asciiTheme="majorBidi" w:hAnsiTheme="majorBidi" w:cstheme="majorBidi"/>
          <w:i/>
          <w:iCs/>
          <w:kern w:val="2"/>
          <w:sz w:val="24"/>
          <w:szCs w:val="24"/>
          <w14:ligatures w14:val="standardContextual"/>
        </w:rPr>
        <w:t>position</w:t>
      </w:r>
      <w:r w:rsidRPr="006B75C2">
        <w:rPr>
          <w:rFonts w:asciiTheme="majorBidi" w:hAnsiTheme="majorBidi" w:cstheme="majorBidi"/>
          <w:kern w:val="2"/>
          <w:sz w:val="24"/>
          <w:szCs w:val="24"/>
          <w14:ligatures w14:val="standardContextual"/>
        </w:rPr>
        <w:t xml:space="preserve"> and </w:t>
      </w:r>
      <w:r w:rsidRPr="006B75C2">
        <w:rPr>
          <w:rFonts w:asciiTheme="majorBidi" w:hAnsiTheme="majorBidi" w:cstheme="majorBidi"/>
          <w:i/>
          <w:iCs/>
          <w:kern w:val="2"/>
          <w:sz w:val="24"/>
          <w:szCs w:val="24"/>
          <w14:ligatures w14:val="standardContextual"/>
        </w:rPr>
        <w:t>consequences</w:t>
      </w:r>
      <w:r w:rsidRPr="006B75C2">
        <w:rPr>
          <w:rFonts w:asciiTheme="majorBidi" w:hAnsiTheme="majorBidi" w:cstheme="majorBidi"/>
          <w:kern w:val="2"/>
          <w:sz w:val="24"/>
          <w:szCs w:val="24"/>
          <w14:ligatures w14:val="standardContextual"/>
        </w:rPr>
        <w:t xml:space="preserve"> of the Learning Organisation. We see through, for example, the jealousy provoked by learning recognition systems and the discomfort evoked by judgemental disempowering responses to informal learning attempts, that a position against learning is just as likely as a position for learning. Given this ambivalence, we can then understand the contradictions of consequences of attempts to enact the Learning Organisation concept, learning both happens and does not (Vince, 2008). In the case of our SME, we have illustrated that the unintentional oversight of the contradictions of the Learning Organisation meant that defensive reactions often set in motion a vicious cycle (Huq et al., 2017) which ultimately threatened to tip the weight in favour of conditions which worked against learning leading to outcomes which were problematic for both the organisation and its graduate employees. For example, most starkly, decisions to exit the organisation in cases where employee learning needs were neglected, heightened recognised SME recruitment challenges (Carroll et al., 1998) in a sector characterised by skill shortages. </w:t>
      </w:r>
    </w:p>
    <w:p w14:paraId="5D119380" w14:textId="77777777" w:rsidR="006B75C2" w:rsidRPr="006B75C2" w:rsidRDefault="006B75C2" w:rsidP="006B75C2">
      <w:pPr>
        <w:spacing w:line="240" w:lineRule="auto"/>
        <w:jc w:val="both"/>
        <w:rPr>
          <w:rFonts w:asciiTheme="majorBidi" w:hAnsiTheme="majorBidi" w:cstheme="majorBidi"/>
          <w:kern w:val="2"/>
          <w:sz w:val="24"/>
          <w:szCs w:val="24"/>
          <w14:ligatures w14:val="standardContextual"/>
        </w:rPr>
      </w:pPr>
      <w:r w:rsidRPr="006B75C2">
        <w:rPr>
          <w:rFonts w:asciiTheme="majorBidi" w:hAnsiTheme="majorBidi" w:cstheme="majorBidi"/>
          <w:kern w:val="2"/>
          <w:sz w:val="24"/>
          <w:szCs w:val="24"/>
          <w14:ligatures w14:val="standardContextual"/>
        </w:rPr>
        <w:t xml:space="preserve">Our second and related contribution is to demonstrate why these contradictions matter. The contradictions that are central to our model are on one hand, hardly new, yet on the other hand they continue to be overlooked by both Learning Organisation advocates and as we have demonstrated here, by practitioners. We have unambiguously illustrated it is their unintentional oversight that undermines possibilities for learning in organisations and as such we </w:t>
      </w:r>
      <w:r w:rsidRPr="006B75C2">
        <w:rPr>
          <w:rFonts w:asciiTheme="majorBidi" w:hAnsiTheme="majorBidi" w:cstheme="majorBidi"/>
          <w:kern w:val="2"/>
          <w:sz w:val="24"/>
          <w:szCs w:val="24"/>
          <w14:ligatures w14:val="standardContextual"/>
        </w:rPr>
        <w:lastRenderedPageBreak/>
        <w:t>demonstrate that “the emergence of the genuine Learning Organisation” (Cheese, 2017: 5 in Daly and Overton, 2017) is only likely to ever be realised by recognising and working through the tensions which inevitably arise in relation to the everyday organisation of attempts to learn.</w:t>
      </w:r>
    </w:p>
    <w:p w14:paraId="06547EEE" w14:textId="77777777" w:rsidR="006B75C2" w:rsidRPr="006B75C2" w:rsidRDefault="006B75C2" w:rsidP="006B75C2">
      <w:pPr>
        <w:spacing w:line="240" w:lineRule="auto"/>
        <w:jc w:val="both"/>
        <w:rPr>
          <w:rFonts w:asciiTheme="majorBidi" w:hAnsiTheme="majorBidi" w:cstheme="majorBidi"/>
          <w:kern w:val="2"/>
          <w:sz w:val="24"/>
          <w:szCs w:val="24"/>
          <w14:ligatures w14:val="standardContextual"/>
        </w:rPr>
      </w:pPr>
      <w:r w:rsidRPr="006B75C2">
        <w:rPr>
          <w:rFonts w:asciiTheme="majorBidi" w:hAnsiTheme="majorBidi" w:cstheme="majorBidi"/>
          <w:kern w:val="2"/>
          <w:sz w:val="24"/>
          <w:szCs w:val="24"/>
          <w14:ligatures w14:val="standardContextual"/>
        </w:rPr>
        <w:t>Our third contribution is to develop understandings of learning in the SME context. As Short (2019: 414) notes, although SMEs “play a vital part in economies throughout the world” the literature continues to prioritise the experiences of large organisations. Our work demonstrates that the unique conditions of the SME context, related to rapid growth and intimate size, accentuate and make visible, analytically at least, the tensions revealed here, suggesting their particular importance for SMEs. Our work therefore suggests that enabling learning in SMEs may be more challenging than reported in earlier studies (Coetzer et al, 2019: Coetzer et al, 2023) which in contrast, for example, identify that conditions of closeness facilitate learning.</w:t>
      </w:r>
    </w:p>
    <w:p w14:paraId="72961360" w14:textId="77777777" w:rsidR="006B75C2" w:rsidRPr="006B75C2" w:rsidRDefault="006B75C2" w:rsidP="006B75C2">
      <w:pPr>
        <w:spacing w:line="240" w:lineRule="auto"/>
        <w:jc w:val="center"/>
        <w:rPr>
          <w:rFonts w:asciiTheme="majorBidi" w:hAnsiTheme="majorBidi" w:cstheme="majorBidi"/>
          <w:b/>
          <w:sz w:val="24"/>
          <w:szCs w:val="24"/>
        </w:rPr>
      </w:pPr>
      <w:r w:rsidRPr="006B75C2">
        <w:rPr>
          <w:rFonts w:asciiTheme="majorBidi" w:hAnsiTheme="majorBidi" w:cstheme="majorBidi"/>
          <w:b/>
          <w:sz w:val="24"/>
          <w:szCs w:val="24"/>
        </w:rPr>
        <w:t>Insert Figure 1 about here</w:t>
      </w:r>
    </w:p>
    <w:p w14:paraId="02723C72" w14:textId="60B4A4F5" w:rsidR="006B75C2" w:rsidRPr="006B75C2" w:rsidRDefault="006B75C2" w:rsidP="006B75C2">
      <w:pPr>
        <w:spacing w:line="240" w:lineRule="auto"/>
        <w:jc w:val="both"/>
        <w:rPr>
          <w:rFonts w:asciiTheme="majorBidi" w:hAnsiTheme="majorBidi" w:cstheme="majorBidi"/>
          <w:b/>
          <w:sz w:val="24"/>
          <w:szCs w:val="24"/>
        </w:rPr>
      </w:pPr>
      <w:r w:rsidRPr="006B75C2">
        <w:rPr>
          <w:rFonts w:asciiTheme="majorBidi" w:hAnsiTheme="majorBidi" w:cstheme="majorBidi"/>
          <w:b/>
          <w:sz w:val="24"/>
          <w:szCs w:val="24"/>
        </w:rPr>
        <w:t>Implications for Practice</w:t>
      </w:r>
      <w:r w:rsidR="0025167B">
        <w:rPr>
          <w:rFonts w:asciiTheme="majorBidi" w:hAnsiTheme="majorBidi" w:cstheme="majorBidi"/>
          <w:b/>
          <w:sz w:val="24"/>
          <w:szCs w:val="24"/>
        </w:rPr>
        <w:t xml:space="preserve"> and Future Research</w:t>
      </w:r>
    </w:p>
    <w:p w14:paraId="73858A8C" w14:textId="2B5E63C2" w:rsidR="006B75C2" w:rsidRPr="006B75C2" w:rsidRDefault="006B75C2" w:rsidP="0025167B">
      <w:pPr>
        <w:spacing w:line="240" w:lineRule="auto"/>
        <w:jc w:val="both"/>
        <w:rPr>
          <w:rFonts w:asciiTheme="majorBidi" w:hAnsiTheme="majorBidi" w:cstheme="majorBidi"/>
          <w:bCs/>
          <w:sz w:val="24"/>
          <w:szCs w:val="24"/>
        </w:rPr>
      </w:pPr>
      <w:r w:rsidRPr="006B75C2">
        <w:rPr>
          <w:rFonts w:asciiTheme="majorBidi" w:hAnsiTheme="majorBidi" w:cstheme="majorBidi"/>
          <w:bCs/>
          <w:sz w:val="24"/>
          <w:szCs w:val="24"/>
        </w:rPr>
        <w:t xml:space="preserve">We suggest that in practical terms, a sensitivity to the contradictions of learning can ironically make learning more likely, ensuring that its precious investment is not wasted. This is especially important for SMEs like Swift where resources are scarce and learning matters greatly to both the organisation and employees. We offer three implications.  First, a Learning Organisation cannot be successfully enacted by simply prioritising learning with a focus on building prescribed learning conditions in a checklist like manner.  This overlooks the contradiction in its focus and falsely separates learning from organising. Viewing the Learning Organisation as a paradox helps to see learning and organising as interdependent activities. In practice, this framing sensitizes practitioners to consider how efforts to learn might impact organising and vice versa. It then becomes possible to construe the tensions between learning and organising as inevitable and signs of normal, healthy organisational functioning (Putnam, 2015) and not a sign of personal fault (Griffin et al., 2022). Second, recognising the contradictory position of the Learning Organisation, that it is possible to be both for and against learning, may help to respect diverse reactions to the organisation of learning. While this may appear unremarkable, this is nevertheless important given the relentless positivity of the Learning Organisation (Daly and Overton, 2017), allied to contemporary discourses where learning knows no bounds (Handley, 2018). This move may potentially alleviate the spiralling of defensive reactions which undermine learning of the nature we have glimpsed here. Instead, such reactions might be explored as cues for further inquiry (Huq et al., 2017). Thirdly, accepting the contradiction that learning both happens and does not, alerts practitioners to consider the constraining forces on learning and explore ways in which these may be worked with. A focus on examining learning ‘failure’ then becomes as integral as celebrating learning ‘success’. As Vince (2018: 276) notes, “it is in the </w:t>
      </w:r>
      <w:r w:rsidRPr="006B75C2">
        <w:rPr>
          <w:rFonts w:asciiTheme="majorBidi" w:hAnsiTheme="majorBidi" w:cstheme="majorBidi"/>
          <w:bCs/>
          <w:i/>
          <w:iCs/>
          <w:sz w:val="24"/>
          <w:szCs w:val="24"/>
        </w:rPr>
        <w:t>no</w:t>
      </w:r>
      <w:r w:rsidRPr="006B75C2">
        <w:rPr>
          <w:rFonts w:asciiTheme="majorBidi" w:hAnsiTheme="majorBidi" w:cstheme="majorBidi"/>
          <w:bCs/>
          <w:sz w:val="24"/>
          <w:szCs w:val="24"/>
        </w:rPr>
        <w:t xml:space="preserve">t learning” that is particularly helpful for exploring ongoing organisational tensions that attempts to learn generate and reinforce. While these three sets of contradictions are ultimately unresolvable (Smith and Lewis, 2011), it is through serious attention to their presence that learning in organisations can be enhanced. </w:t>
      </w:r>
    </w:p>
    <w:p w14:paraId="37CDE63E" w14:textId="77777777" w:rsidR="006B75C2" w:rsidRPr="006B75C2" w:rsidRDefault="006B75C2" w:rsidP="006B75C2">
      <w:pPr>
        <w:spacing w:line="240" w:lineRule="auto"/>
        <w:jc w:val="both"/>
        <w:rPr>
          <w:rFonts w:ascii="Times New Roman" w:hAnsi="Times New Roman" w:cs="Times New Roman"/>
          <w:bCs/>
          <w:sz w:val="24"/>
          <w:szCs w:val="24"/>
        </w:rPr>
      </w:pPr>
      <w:r w:rsidRPr="006B75C2">
        <w:rPr>
          <w:rFonts w:ascii="Times New Roman" w:hAnsi="Times New Roman" w:cs="Times New Roman"/>
          <w:bCs/>
          <w:sz w:val="24"/>
          <w:szCs w:val="24"/>
        </w:rPr>
        <w:t xml:space="preserve">Finally, an obvious limitation of our study is that it is focused on a single organisational context. Therefore, as Lincoln and Guba (1985: 316) remind us,  whether findings ‘hold in some other context, or even in the same context at some other time, is an empirical issue”. Hence, it is important to outline implications for future research in order to expand our understanding of the Learning Organisation as a paradox. Future work might explore the utility of our theoretical model in other organisational settings, for example is this helpful to other SMEs and does it also reflect learning contradictions which are perhaps less visible in larger organisations? What differences are there in the specific organisational tensions mobilised by attempts to learn in </w:t>
      </w:r>
      <w:r w:rsidRPr="006B75C2">
        <w:rPr>
          <w:rFonts w:ascii="Times New Roman" w:hAnsi="Times New Roman" w:cs="Times New Roman"/>
          <w:bCs/>
          <w:sz w:val="24"/>
          <w:szCs w:val="24"/>
        </w:rPr>
        <w:lastRenderedPageBreak/>
        <w:t xml:space="preserve">varying organisational contexts? So too, how are efforts to work with the contradictions in management education received and what outcomes follow attempts to attend to the contradictions of learning in practice? </w:t>
      </w:r>
      <w:r w:rsidRPr="006B75C2">
        <w:rPr>
          <w:rFonts w:ascii="Times New Roman" w:hAnsi="Times New Roman" w:cs="Times New Roman"/>
          <w:bCs/>
          <w:sz w:val="24"/>
          <w:szCs w:val="24"/>
        </w:rPr>
        <w:br w:type="page"/>
      </w:r>
    </w:p>
    <w:p w14:paraId="7106A971" w14:textId="77777777" w:rsidR="006B75C2" w:rsidRPr="006B75C2" w:rsidRDefault="006B75C2" w:rsidP="006B75C2">
      <w:pPr>
        <w:spacing w:line="240" w:lineRule="auto"/>
        <w:rPr>
          <w:rFonts w:asciiTheme="majorBidi" w:hAnsiTheme="majorBidi" w:cstheme="majorBidi"/>
          <w:b/>
          <w:bCs/>
          <w:sz w:val="24"/>
          <w:szCs w:val="24"/>
        </w:rPr>
      </w:pPr>
      <w:r w:rsidRPr="006B75C2">
        <w:rPr>
          <w:rFonts w:asciiTheme="majorBidi" w:hAnsiTheme="majorBidi" w:cstheme="majorBidi"/>
          <w:b/>
          <w:bCs/>
          <w:sz w:val="24"/>
          <w:szCs w:val="24"/>
        </w:rPr>
        <w:lastRenderedPageBreak/>
        <w:t>References</w:t>
      </w:r>
    </w:p>
    <w:p w14:paraId="279F5AD9" w14:textId="77777777" w:rsidR="006B75C2" w:rsidRPr="006B75C2" w:rsidRDefault="006B75C2" w:rsidP="006B75C2">
      <w:pPr>
        <w:spacing w:line="240" w:lineRule="auto"/>
        <w:jc w:val="both"/>
        <w:rPr>
          <w:rFonts w:asciiTheme="majorBidi" w:hAnsiTheme="majorBidi" w:cstheme="majorBidi"/>
          <w:sz w:val="24"/>
          <w:szCs w:val="24"/>
        </w:rPr>
      </w:pPr>
      <w:r w:rsidRPr="006B75C2">
        <w:rPr>
          <w:rFonts w:asciiTheme="majorBidi" w:hAnsiTheme="majorBidi" w:cstheme="majorBidi"/>
          <w:sz w:val="24"/>
          <w:szCs w:val="24"/>
        </w:rPr>
        <w:t xml:space="preserve">Alvesson M and Skoldberg K (2000) </w:t>
      </w:r>
      <w:r w:rsidRPr="006B75C2">
        <w:rPr>
          <w:rFonts w:asciiTheme="majorBidi" w:hAnsiTheme="majorBidi" w:cstheme="majorBidi"/>
          <w:i/>
          <w:sz w:val="24"/>
          <w:szCs w:val="24"/>
        </w:rPr>
        <w:t>Reflexive Methodology</w:t>
      </w:r>
      <w:r w:rsidRPr="006B75C2">
        <w:rPr>
          <w:rFonts w:asciiTheme="majorBidi" w:hAnsiTheme="majorBidi" w:cstheme="majorBidi"/>
          <w:sz w:val="24"/>
          <w:szCs w:val="24"/>
        </w:rPr>
        <w:t xml:space="preserve">. London: Sage. </w:t>
      </w:r>
    </w:p>
    <w:p w14:paraId="276D07FB" w14:textId="77777777" w:rsidR="006B75C2" w:rsidRPr="006B75C2" w:rsidRDefault="006B75C2" w:rsidP="006B75C2">
      <w:pPr>
        <w:spacing w:line="240" w:lineRule="auto"/>
        <w:jc w:val="both"/>
        <w:rPr>
          <w:rFonts w:asciiTheme="majorBidi" w:hAnsiTheme="majorBidi" w:cstheme="majorBidi"/>
          <w:sz w:val="24"/>
          <w:szCs w:val="24"/>
        </w:rPr>
      </w:pPr>
      <w:r w:rsidRPr="006B75C2">
        <w:rPr>
          <w:rFonts w:asciiTheme="majorBidi" w:hAnsiTheme="majorBidi" w:cstheme="majorBidi"/>
          <w:sz w:val="24"/>
          <w:szCs w:val="24"/>
        </w:rPr>
        <w:t xml:space="preserve">Aust I, Brandl J and Keegan A (2015) State-of-the-art and future directions for HRM from a paradox perspective: Introduction to the Special Issue. </w:t>
      </w:r>
      <w:r w:rsidRPr="006B75C2">
        <w:rPr>
          <w:rFonts w:asciiTheme="majorBidi" w:hAnsiTheme="majorBidi" w:cstheme="majorBidi"/>
          <w:i/>
          <w:iCs/>
          <w:sz w:val="24"/>
          <w:szCs w:val="24"/>
        </w:rPr>
        <w:t>German Journal of Human Resource Managemen</w:t>
      </w:r>
      <w:r w:rsidRPr="006B75C2">
        <w:rPr>
          <w:rFonts w:asciiTheme="majorBidi" w:hAnsiTheme="majorBidi" w:cstheme="majorBidi"/>
          <w:sz w:val="24"/>
          <w:szCs w:val="24"/>
        </w:rPr>
        <w:t>t 29(3-4): 194-213.</w:t>
      </w:r>
    </w:p>
    <w:p w14:paraId="1CD7F729" w14:textId="77777777" w:rsidR="006B75C2" w:rsidRPr="006B75C2" w:rsidRDefault="006B75C2" w:rsidP="006B75C2">
      <w:pPr>
        <w:spacing w:line="240" w:lineRule="auto"/>
        <w:jc w:val="both"/>
        <w:rPr>
          <w:rFonts w:asciiTheme="majorBidi" w:hAnsiTheme="majorBidi" w:cstheme="majorBidi"/>
          <w:sz w:val="24"/>
          <w:szCs w:val="24"/>
        </w:rPr>
      </w:pPr>
      <w:r w:rsidRPr="006B75C2">
        <w:rPr>
          <w:rFonts w:asciiTheme="majorBidi" w:hAnsiTheme="majorBidi" w:cstheme="majorBidi"/>
          <w:sz w:val="24"/>
          <w:szCs w:val="24"/>
        </w:rPr>
        <w:t xml:space="preserve">Bansal P and Corley K (2012) What’s different about qualitative research? </w:t>
      </w:r>
      <w:r w:rsidRPr="006B75C2">
        <w:rPr>
          <w:rFonts w:asciiTheme="majorBidi" w:hAnsiTheme="majorBidi" w:cstheme="majorBidi"/>
          <w:bCs/>
          <w:i/>
          <w:sz w:val="24"/>
          <w:szCs w:val="24"/>
        </w:rPr>
        <w:t>Academy of Management Journal</w:t>
      </w:r>
      <w:r w:rsidRPr="006B75C2">
        <w:rPr>
          <w:rFonts w:asciiTheme="majorBidi" w:hAnsiTheme="majorBidi" w:cstheme="majorBidi"/>
          <w:sz w:val="24"/>
          <w:szCs w:val="24"/>
        </w:rPr>
        <w:t xml:space="preserve"> 55 (7): 509-513.  </w:t>
      </w:r>
    </w:p>
    <w:p w14:paraId="2431A49B" w14:textId="77777777" w:rsidR="006B75C2" w:rsidRPr="006B75C2" w:rsidRDefault="006B75C2" w:rsidP="006B75C2">
      <w:pPr>
        <w:spacing w:line="240" w:lineRule="auto"/>
        <w:jc w:val="both"/>
        <w:rPr>
          <w:rFonts w:asciiTheme="majorBidi" w:hAnsiTheme="majorBidi" w:cstheme="majorBidi"/>
          <w:sz w:val="24"/>
          <w:szCs w:val="24"/>
        </w:rPr>
      </w:pPr>
      <w:r w:rsidRPr="006B75C2">
        <w:rPr>
          <w:rFonts w:asciiTheme="majorBidi" w:hAnsiTheme="majorBidi" w:cstheme="majorBidi"/>
          <w:sz w:val="24"/>
          <w:szCs w:val="24"/>
        </w:rPr>
        <w:t xml:space="preserve">Barker, RT and Camarata MR (1998) The role of communication in creating and maintaining a learning organization: Preconditions, indicators, and disciplines. </w:t>
      </w:r>
      <w:r w:rsidRPr="006B75C2">
        <w:rPr>
          <w:rFonts w:asciiTheme="majorBidi" w:hAnsiTheme="majorBidi" w:cstheme="majorBidi"/>
          <w:i/>
          <w:iCs/>
          <w:sz w:val="24"/>
          <w:szCs w:val="24"/>
        </w:rPr>
        <w:t>The Journal of Business Communication</w:t>
      </w:r>
      <w:r w:rsidRPr="006B75C2">
        <w:rPr>
          <w:rFonts w:asciiTheme="majorBidi" w:hAnsiTheme="majorBidi" w:cstheme="majorBidi"/>
          <w:sz w:val="24"/>
          <w:szCs w:val="24"/>
        </w:rPr>
        <w:t xml:space="preserve"> 35 (4): 443-467.</w:t>
      </w:r>
    </w:p>
    <w:p w14:paraId="1F849771" w14:textId="77777777" w:rsidR="006B75C2" w:rsidRPr="006B75C2" w:rsidRDefault="006B75C2" w:rsidP="006B75C2">
      <w:pPr>
        <w:spacing w:line="240" w:lineRule="auto"/>
        <w:jc w:val="both"/>
        <w:rPr>
          <w:rFonts w:asciiTheme="majorBidi" w:hAnsiTheme="majorBidi" w:cstheme="majorBidi"/>
          <w:sz w:val="24"/>
          <w:szCs w:val="24"/>
        </w:rPr>
      </w:pPr>
      <w:r w:rsidRPr="006B75C2">
        <w:rPr>
          <w:rFonts w:asciiTheme="majorBidi" w:hAnsiTheme="majorBidi" w:cstheme="majorBidi"/>
          <w:sz w:val="24"/>
          <w:szCs w:val="24"/>
        </w:rPr>
        <w:t xml:space="preserve">Bristow A, Tomkins L and Hartley J (2022) A dialectical approach to the politics of learning in a major city police organization. </w:t>
      </w:r>
      <w:r w:rsidRPr="006B75C2">
        <w:rPr>
          <w:rFonts w:asciiTheme="majorBidi" w:hAnsiTheme="majorBidi" w:cstheme="majorBidi"/>
          <w:i/>
          <w:iCs/>
          <w:sz w:val="24"/>
          <w:szCs w:val="24"/>
        </w:rPr>
        <w:t>Management Learning</w:t>
      </w:r>
      <w:r w:rsidRPr="006B75C2">
        <w:rPr>
          <w:rFonts w:asciiTheme="majorBidi" w:hAnsiTheme="majorBidi" w:cstheme="majorBidi"/>
          <w:sz w:val="24"/>
          <w:szCs w:val="24"/>
        </w:rPr>
        <w:t xml:space="preserve"> 53 (2): 223-248. </w:t>
      </w:r>
    </w:p>
    <w:p w14:paraId="3CB28851" w14:textId="77777777" w:rsidR="006B75C2" w:rsidRPr="006B75C2" w:rsidRDefault="006B75C2" w:rsidP="006B75C2">
      <w:pPr>
        <w:spacing w:line="240" w:lineRule="auto"/>
        <w:jc w:val="both"/>
        <w:rPr>
          <w:rFonts w:asciiTheme="majorBidi" w:hAnsiTheme="majorBidi" w:cstheme="majorBidi"/>
          <w:sz w:val="24"/>
          <w:szCs w:val="24"/>
        </w:rPr>
      </w:pPr>
      <w:r w:rsidRPr="006B75C2">
        <w:rPr>
          <w:rFonts w:asciiTheme="majorBidi" w:hAnsiTheme="majorBidi" w:cstheme="majorBidi"/>
          <w:sz w:val="24"/>
          <w:szCs w:val="24"/>
        </w:rPr>
        <w:t xml:space="preserve">Carroll M, Marchington M, Earnshaw J and Taylor S (1999) Recruitment in Small Firms: Processes, Methods and Problems. </w:t>
      </w:r>
      <w:r w:rsidRPr="006B75C2">
        <w:rPr>
          <w:rFonts w:asciiTheme="majorBidi" w:hAnsiTheme="majorBidi" w:cstheme="majorBidi"/>
          <w:i/>
          <w:iCs/>
          <w:sz w:val="24"/>
          <w:szCs w:val="24"/>
        </w:rPr>
        <w:t>Employee Relations</w:t>
      </w:r>
      <w:r w:rsidRPr="006B75C2">
        <w:rPr>
          <w:rFonts w:asciiTheme="majorBidi" w:hAnsiTheme="majorBidi" w:cstheme="majorBidi"/>
          <w:sz w:val="24"/>
          <w:szCs w:val="24"/>
        </w:rPr>
        <w:t xml:space="preserve"> 21: 236–50.</w:t>
      </w:r>
    </w:p>
    <w:p w14:paraId="28246318" w14:textId="77777777" w:rsidR="006B75C2" w:rsidRPr="006B75C2" w:rsidRDefault="006B75C2" w:rsidP="006B75C2">
      <w:pPr>
        <w:spacing w:line="240" w:lineRule="auto"/>
        <w:jc w:val="both"/>
        <w:rPr>
          <w:rFonts w:asciiTheme="majorBidi" w:hAnsiTheme="majorBidi" w:cstheme="majorBidi"/>
          <w:sz w:val="24"/>
          <w:szCs w:val="24"/>
        </w:rPr>
      </w:pPr>
      <w:r w:rsidRPr="006B75C2">
        <w:rPr>
          <w:rFonts w:asciiTheme="majorBidi" w:hAnsiTheme="majorBidi" w:cstheme="majorBidi"/>
          <w:sz w:val="24"/>
          <w:szCs w:val="24"/>
        </w:rPr>
        <w:t xml:space="preserve">Coetzer A, Redmond J, Sharafizad J. and Lundy, J. (2023). Enhancing learning in small businesses. </w:t>
      </w:r>
      <w:r w:rsidRPr="006B75C2">
        <w:rPr>
          <w:rFonts w:asciiTheme="majorBidi" w:hAnsiTheme="majorBidi" w:cstheme="majorBidi"/>
          <w:i/>
          <w:iCs/>
          <w:sz w:val="24"/>
          <w:szCs w:val="24"/>
        </w:rPr>
        <w:t>Human Resource Management Journal</w:t>
      </w:r>
      <w:r w:rsidRPr="006B75C2">
        <w:rPr>
          <w:rFonts w:asciiTheme="majorBidi" w:hAnsiTheme="majorBidi" w:cstheme="majorBidi"/>
          <w:sz w:val="24"/>
          <w:szCs w:val="24"/>
        </w:rPr>
        <w:t xml:space="preserve"> 33(2): 470-490.</w:t>
      </w:r>
    </w:p>
    <w:p w14:paraId="16FA5721" w14:textId="77777777" w:rsidR="006B75C2" w:rsidRPr="006B75C2" w:rsidRDefault="006B75C2" w:rsidP="006B75C2">
      <w:pPr>
        <w:spacing w:line="240" w:lineRule="auto"/>
        <w:jc w:val="both"/>
        <w:rPr>
          <w:rFonts w:asciiTheme="majorBidi" w:hAnsiTheme="majorBidi" w:cstheme="majorBidi"/>
          <w:sz w:val="24"/>
          <w:szCs w:val="24"/>
        </w:rPr>
      </w:pPr>
      <w:r w:rsidRPr="006B75C2">
        <w:rPr>
          <w:rFonts w:asciiTheme="majorBidi" w:hAnsiTheme="majorBidi" w:cstheme="majorBidi"/>
          <w:sz w:val="24"/>
          <w:szCs w:val="24"/>
        </w:rPr>
        <w:t xml:space="preserve">Coetzer A, Wallo A, and Kock H (2019) The owner-manager’s role as a facilitator of informal learning in small businesses. </w:t>
      </w:r>
      <w:r w:rsidRPr="006B75C2">
        <w:rPr>
          <w:rFonts w:asciiTheme="majorBidi" w:hAnsiTheme="majorBidi" w:cstheme="majorBidi"/>
          <w:i/>
          <w:iCs/>
          <w:sz w:val="24"/>
          <w:szCs w:val="24"/>
        </w:rPr>
        <w:t>Human Resource Development International</w:t>
      </w:r>
      <w:r w:rsidRPr="006B75C2">
        <w:rPr>
          <w:rFonts w:asciiTheme="majorBidi" w:hAnsiTheme="majorBidi" w:cstheme="majorBidi"/>
          <w:sz w:val="24"/>
          <w:szCs w:val="24"/>
        </w:rPr>
        <w:t>, 22(5): 420–452.</w:t>
      </w:r>
    </w:p>
    <w:p w14:paraId="1CED4470" w14:textId="77777777" w:rsidR="006B75C2" w:rsidRPr="006B75C2" w:rsidRDefault="006B75C2" w:rsidP="006B75C2">
      <w:pPr>
        <w:spacing w:line="240" w:lineRule="auto"/>
        <w:jc w:val="both"/>
        <w:rPr>
          <w:rFonts w:asciiTheme="majorBidi" w:hAnsiTheme="majorBidi" w:cstheme="majorBidi"/>
          <w:sz w:val="24"/>
          <w:szCs w:val="24"/>
        </w:rPr>
      </w:pPr>
      <w:r w:rsidRPr="006B75C2">
        <w:rPr>
          <w:rFonts w:asciiTheme="majorBidi" w:hAnsiTheme="majorBidi" w:cstheme="majorBidi"/>
          <w:sz w:val="24"/>
          <w:szCs w:val="24"/>
        </w:rPr>
        <w:t xml:space="preserve">Coetzer A, Redmond J and Sharafizad J (2012) Decision making regarding access to training and development in medium-sized enterprises. </w:t>
      </w:r>
      <w:r w:rsidRPr="006B75C2">
        <w:rPr>
          <w:rFonts w:asciiTheme="majorBidi" w:hAnsiTheme="majorBidi" w:cstheme="majorBidi"/>
          <w:i/>
          <w:iCs/>
          <w:sz w:val="24"/>
          <w:szCs w:val="24"/>
        </w:rPr>
        <w:t>European Journal of Training and Development</w:t>
      </w:r>
      <w:r w:rsidRPr="006B75C2">
        <w:rPr>
          <w:rFonts w:asciiTheme="majorBidi" w:hAnsiTheme="majorBidi" w:cstheme="majorBidi"/>
          <w:sz w:val="24"/>
          <w:szCs w:val="24"/>
        </w:rPr>
        <w:t xml:space="preserve"> 36 :426–447.</w:t>
      </w:r>
    </w:p>
    <w:p w14:paraId="5567400C" w14:textId="77777777" w:rsidR="006B75C2" w:rsidRPr="006B75C2" w:rsidRDefault="006B75C2" w:rsidP="006B75C2">
      <w:pPr>
        <w:spacing w:line="240" w:lineRule="auto"/>
        <w:jc w:val="both"/>
        <w:rPr>
          <w:rFonts w:asciiTheme="majorBidi" w:hAnsiTheme="majorBidi" w:cstheme="majorBidi"/>
          <w:sz w:val="24"/>
          <w:szCs w:val="24"/>
        </w:rPr>
      </w:pPr>
      <w:r w:rsidRPr="006B75C2">
        <w:rPr>
          <w:rFonts w:asciiTheme="majorBidi" w:hAnsiTheme="majorBidi" w:cstheme="majorBidi"/>
          <w:sz w:val="24"/>
          <w:szCs w:val="24"/>
        </w:rPr>
        <w:t xml:space="preserve">Contu A, Grey C and Ortenblad A (2003) Against Learning. </w:t>
      </w:r>
      <w:r w:rsidRPr="006B75C2">
        <w:rPr>
          <w:rFonts w:asciiTheme="majorBidi" w:hAnsiTheme="majorBidi" w:cstheme="majorBidi"/>
          <w:i/>
          <w:sz w:val="24"/>
          <w:szCs w:val="24"/>
        </w:rPr>
        <w:t>Human Relations</w:t>
      </w:r>
      <w:r w:rsidRPr="006B75C2">
        <w:rPr>
          <w:rFonts w:asciiTheme="majorBidi" w:hAnsiTheme="majorBidi" w:cstheme="majorBidi"/>
          <w:sz w:val="24"/>
          <w:szCs w:val="24"/>
        </w:rPr>
        <w:t xml:space="preserve"> 56 (8): 931-952.</w:t>
      </w:r>
    </w:p>
    <w:p w14:paraId="7510F182" w14:textId="77777777" w:rsidR="006B75C2" w:rsidRPr="006B75C2" w:rsidRDefault="006B75C2" w:rsidP="006B75C2">
      <w:pPr>
        <w:spacing w:line="240" w:lineRule="auto"/>
        <w:jc w:val="both"/>
        <w:rPr>
          <w:rFonts w:asciiTheme="majorBidi" w:hAnsiTheme="majorBidi" w:cstheme="majorBidi"/>
          <w:sz w:val="24"/>
          <w:szCs w:val="24"/>
        </w:rPr>
      </w:pPr>
      <w:r w:rsidRPr="006B75C2">
        <w:rPr>
          <w:rFonts w:asciiTheme="majorBidi" w:hAnsiTheme="majorBidi" w:cstheme="majorBidi"/>
          <w:sz w:val="24"/>
          <w:szCs w:val="24"/>
        </w:rPr>
        <w:t xml:space="preserve">Coopey, J (1995) The learning organization: Power, politics and ideology. </w:t>
      </w:r>
      <w:r w:rsidRPr="006B75C2">
        <w:rPr>
          <w:rFonts w:asciiTheme="majorBidi" w:hAnsiTheme="majorBidi" w:cstheme="majorBidi"/>
          <w:i/>
          <w:iCs/>
          <w:sz w:val="24"/>
          <w:szCs w:val="24"/>
        </w:rPr>
        <w:t>Management Learning</w:t>
      </w:r>
      <w:r w:rsidRPr="006B75C2">
        <w:rPr>
          <w:rFonts w:asciiTheme="majorBidi" w:hAnsiTheme="majorBidi" w:cstheme="majorBidi"/>
          <w:sz w:val="24"/>
          <w:szCs w:val="24"/>
        </w:rPr>
        <w:t xml:space="preserve"> </w:t>
      </w:r>
      <w:r w:rsidRPr="006B75C2">
        <w:rPr>
          <w:rFonts w:asciiTheme="majorBidi" w:hAnsiTheme="majorBidi" w:cstheme="majorBidi"/>
          <w:i/>
          <w:iCs/>
          <w:sz w:val="24"/>
          <w:szCs w:val="24"/>
        </w:rPr>
        <w:t>26</w:t>
      </w:r>
      <w:r w:rsidRPr="006B75C2">
        <w:rPr>
          <w:rFonts w:asciiTheme="majorBidi" w:hAnsiTheme="majorBidi" w:cstheme="majorBidi"/>
          <w:sz w:val="24"/>
          <w:szCs w:val="24"/>
        </w:rPr>
        <w:t>(2): 193–214.</w:t>
      </w:r>
    </w:p>
    <w:p w14:paraId="260E10AC" w14:textId="77777777" w:rsidR="006B75C2" w:rsidRPr="006B75C2" w:rsidRDefault="006B75C2" w:rsidP="006B75C2">
      <w:pPr>
        <w:spacing w:line="240" w:lineRule="auto"/>
        <w:jc w:val="both"/>
        <w:rPr>
          <w:rFonts w:asciiTheme="majorBidi" w:hAnsiTheme="majorBidi" w:cstheme="majorBidi"/>
          <w:sz w:val="24"/>
          <w:szCs w:val="24"/>
        </w:rPr>
      </w:pPr>
      <w:r w:rsidRPr="006B75C2">
        <w:rPr>
          <w:rFonts w:asciiTheme="majorBidi" w:hAnsiTheme="majorBidi" w:cstheme="majorBidi"/>
          <w:sz w:val="24"/>
          <w:szCs w:val="24"/>
        </w:rPr>
        <w:t xml:space="preserve">Corley KG and Gioia DA (2004) Identity ambiguity and change in the wake of a corporate spin-off. </w:t>
      </w:r>
      <w:r w:rsidRPr="006B75C2">
        <w:rPr>
          <w:rFonts w:asciiTheme="majorBidi" w:hAnsiTheme="majorBidi" w:cstheme="majorBidi"/>
          <w:bCs/>
          <w:i/>
          <w:sz w:val="24"/>
          <w:szCs w:val="24"/>
        </w:rPr>
        <w:t>Administrative Science Quarterly</w:t>
      </w:r>
      <w:r w:rsidRPr="006B75C2">
        <w:rPr>
          <w:rFonts w:asciiTheme="majorBidi" w:hAnsiTheme="majorBidi" w:cstheme="majorBidi"/>
          <w:sz w:val="24"/>
          <w:szCs w:val="24"/>
        </w:rPr>
        <w:t xml:space="preserve"> 49 (2): 173-208.</w:t>
      </w:r>
    </w:p>
    <w:p w14:paraId="04A2677C" w14:textId="77777777" w:rsidR="006B75C2" w:rsidRPr="006B75C2" w:rsidRDefault="006B75C2" w:rsidP="006B75C2">
      <w:pPr>
        <w:spacing w:line="240" w:lineRule="auto"/>
        <w:jc w:val="both"/>
        <w:rPr>
          <w:rFonts w:asciiTheme="majorBidi" w:hAnsiTheme="majorBidi" w:cstheme="majorBidi"/>
          <w:sz w:val="24"/>
          <w:szCs w:val="24"/>
        </w:rPr>
      </w:pPr>
      <w:r w:rsidRPr="006B75C2">
        <w:rPr>
          <w:rFonts w:asciiTheme="majorBidi" w:hAnsiTheme="majorBidi" w:cstheme="majorBidi"/>
          <w:sz w:val="24"/>
          <w:szCs w:val="24"/>
        </w:rPr>
        <w:t xml:space="preserve">Cunha M, Simpson A and Rego A (2022) Non naïve positivity through a generative paradox pedagogy. </w:t>
      </w:r>
      <w:r w:rsidRPr="006B75C2">
        <w:rPr>
          <w:rFonts w:asciiTheme="majorBidi" w:hAnsiTheme="majorBidi" w:cstheme="majorBidi"/>
          <w:i/>
          <w:iCs/>
          <w:sz w:val="24"/>
          <w:szCs w:val="24"/>
        </w:rPr>
        <w:t>Management Learning</w:t>
      </w:r>
      <w:r w:rsidRPr="006B75C2">
        <w:rPr>
          <w:rFonts w:asciiTheme="majorBidi" w:hAnsiTheme="majorBidi" w:cstheme="majorBidi"/>
          <w:sz w:val="24"/>
          <w:szCs w:val="24"/>
        </w:rPr>
        <w:t xml:space="preserve">, 53 (1):15-32. </w:t>
      </w:r>
    </w:p>
    <w:p w14:paraId="6568C115" w14:textId="77777777" w:rsidR="006B75C2" w:rsidRPr="006B75C2" w:rsidRDefault="006B75C2" w:rsidP="006B75C2">
      <w:pPr>
        <w:spacing w:line="240" w:lineRule="auto"/>
        <w:rPr>
          <w:rFonts w:asciiTheme="majorBidi" w:hAnsiTheme="majorBidi" w:cstheme="majorBidi"/>
          <w:sz w:val="24"/>
          <w:szCs w:val="24"/>
        </w:rPr>
      </w:pPr>
      <w:r w:rsidRPr="006B75C2">
        <w:rPr>
          <w:rFonts w:asciiTheme="majorBidi" w:hAnsiTheme="majorBidi" w:cstheme="majorBidi"/>
          <w:sz w:val="24"/>
          <w:szCs w:val="24"/>
        </w:rPr>
        <w:t xml:space="preserve">Daly J and Overton L (2017) </w:t>
      </w:r>
      <w:r w:rsidRPr="006B75C2">
        <w:rPr>
          <w:rFonts w:asciiTheme="majorBidi" w:hAnsiTheme="majorBidi" w:cstheme="majorBidi"/>
          <w:i/>
          <w:iCs/>
          <w:sz w:val="24"/>
          <w:szCs w:val="24"/>
        </w:rPr>
        <w:t>Driving the New Learning Organisation. How to unlock the potential of L&amp;D</w:t>
      </w:r>
      <w:r w:rsidRPr="006B75C2">
        <w:rPr>
          <w:rFonts w:asciiTheme="majorBidi" w:hAnsiTheme="majorBidi" w:cstheme="majorBidi"/>
          <w:sz w:val="24"/>
          <w:szCs w:val="24"/>
        </w:rPr>
        <w:t xml:space="preserve">. Available at </w:t>
      </w:r>
      <w:hyperlink r:id="rId7" w:history="1">
        <w:r w:rsidRPr="006B75C2">
          <w:rPr>
            <w:rFonts w:asciiTheme="majorBidi" w:hAnsiTheme="majorBidi" w:cstheme="majorBidi"/>
            <w:color w:val="0563C1" w:themeColor="hyperlink"/>
            <w:sz w:val="24"/>
            <w:szCs w:val="24"/>
            <w:u w:val="single"/>
          </w:rPr>
          <w:t>https://www.cipd.co.uk/Images/driving-the-new-learning-organisation_2017-how-to-unlock-the-potential-of-Land-d_tcm18-21557.pdf</w:t>
        </w:r>
      </w:hyperlink>
      <w:r w:rsidRPr="006B75C2">
        <w:rPr>
          <w:rFonts w:asciiTheme="majorBidi" w:hAnsiTheme="majorBidi" w:cstheme="majorBidi"/>
          <w:sz w:val="24"/>
          <w:szCs w:val="24"/>
        </w:rPr>
        <w:t xml:space="preserve"> [Accessed 23/03/22]</w:t>
      </w:r>
    </w:p>
    <w:p w14:paraId="7EC435F1" w14:textId="77777777" w:rsidR="006B75C2" w:rsidRPr="006B75C2" w:rsidRDefault="006B75C2" w:rsidP="006B75C2">
      <w:pPr>
        <w:spacing w:line="240" w:lineRule="auto"/>
        <w:jc w:val="both"/>
        <w:rPr>
          <w:rFonts w:asciiTheme="majorBidi" w:hAnsiTheme="majorBidi" w:cstheme="majorBidi"/>
          <w:sz w:val="24"/>
          <w:szCs w:val="24"/>
        </w:rPr>
      </w:pPr>
      <w:r w:rsidRPr="006B75C2">
        <w:rPr>
          <w:rFonts w:asciiTheme="majorBidi" w:hAnsiTheme="majorBidi" w:cstheme="majorBidi"/>
          <w:sz w:val="24"/>
          <w:szCs w:val="24"/>
        </w:rPr>
        <w:t xml:space="preserve">Driver M (2002) The learning organization: Foucauldian gloom or Utopian sunshine? </w:t>
      </w:r>
      <w:r w:rsidRPr="006B75C2">
        <w:rPr>
          <w:rFonts w:asciiTheme="majorBidi" w:hAnsiTheme="majorBidi" w:cstheme="majorBidi"/>
          <w:i/>
          <w:iCs/>
          <w:sz w:val="24"/>
          <w:szCs w:val="24"/>
        </w:rPr>
        <w:t>Human Relations</w:t>
      </w:r>
      <w:r w:rsidRPr="006B75C2">
        <w:rPr>
          <w:rFonts w:asciiTheme="majorBidi" w:hAnsiTheme="majorBidi" w:cstheme="majorBidi"/>
          <w:sz w:val="24"/>
          <w:szCs w:val="24"/>
        </w:rPr>
        <w:t xml:space="preserve"> 55(1): 33-53.</w:t>
      </w:r>
    </w:p>
    <w:p w14:paraId="48564D4B" w14:textId="77777777" w:rsidR="006B75C2" w:rsidRPr="006B75C2" w:rsidRDefault="006B75C2" w:rsidP="006B75C2">
      <w:pPr>
        <w:spacing w:line="240" w:lineRule="auto"/>
        <w:rPr>
          <w:rFonts w:asciiTheme="majorBidi" w:hAnsiTheme="majorBidi" w:cstheme="majorBidi"/>
          <w:sz w:val="24"/>
          <w:szCs w:val="24"/>
        </w:rPr>
      </w:pPr>
      <w:r w:rsidRPr="006B75C2">
        <w:rPr>
          <w:rFonts w:asciiTheme="majorBidi" w:hAnsiTheme="majorBidi" w:cstheme="majorBidi"/>
          <w:sz w:val="24"/>
          <w:szCs w:val="24"/>
        </w:rPr>
        <w:t xml:space="preserve">Edmondson AC (2018) </w:t>
      </w:r>
      <w:r w:rsidRPr="006B75C2">
        <w:rPr>
          <w:rFonts w:asciiTheme="majorBidi" w:hAnsiTheme="majorBidi" w:cstheme="majorBidi"/>
          <w:i/>
          <w:iCs/>
          <w:sz w:val="24"/>
          <w:szCs w:val="24"/>
        </w:rPr>
        <w:t>The Fearless Organization: Creating Psychological Safety in the Workplace for Learning, Innovation, and Growth</w:t>
      </w:r>
      <w:r w:rsidRPr="006B75C2">
        <w:rPr>
          <w:rFonts w:asciiTheme="majorBidi" w:hAnsiTheme="majorBidi" w:cstheme="majorBidi"/>
          <w:sz w:val="24"/>
          <w:szCs w:val="24"/>
        </w:rPr>
        <w:t>. Hoboken, NJ: John Wiley &amp; Sons.</w:t>
      </w:r>
    </w:p>
    <w:p w14:paraId="31E02212" w14:textId="77777777" w:rsidR="006B75C2" w:rsidRPr="006B75C2" w:rsidRDefault="006B75C2" w:rsidP="006B75C2">
      <w:pPr>
        <w:spacing w:line="240" w:lineRule="auto"/>
        <w:rPr>
          <w:rFonts w:asciiTheme="majorBidi" w:hAnsiTheme="majorBidi" w:cstheme="majorBidi"/>
          <w:sz w:val="24"/>
          <w:szCs w:val="24"/>
        </w:rPr>
      </w:pPr>
      <w:r w:rsidRPr="006B75C2">
        <w:rPr>
          <w:rFonts w:asciiTheme="majorBidi" w:hAnsiTheme="majorBidi" w:cstheme="majorBidi"/>
          <w:sz w:val="24"/>
          <w:szCs w:val="24"/>
        </w:rPr>
        <w:t xml:space="preserve">Elkjaer B (2022) Taking stock of “Organizational Learning”: Looking back and moving forward. </w:t>
      </w:r>
      <w:r w:rsidRPr="006B75C2">
        <w:rPr>
          <w:rFonts w:asciiTheme="majorBidi" w:hAnsiTheme="majorBidi" w:cstheme="majorBidi"/>
          <w:i/>
          <w:iCs/>
          <w:sz w:val="24"/>
          <w:szCs w:val="24"/>
        </w:rPr>
        <w:t>Management Learning</w:t>
      </w:r>
      <w:r w:rsidRPr="006B75C2">
        <w:rPr>
          <w:rFonts w:asciiTheme="majorBidi" w:hAnsiTheme="majorBidi" w:cstheme="majorBidi"/>
          <w:sz w:val="24"/>
          <w:szCs w:val="24"/>
        </w:rPr>
        <w:t xml:space="preserve"> 53 (3): 582-604.</w:t>
      </w:r>
    </w:p>
    <w:p w14:paraId="7E87CE9F" w14:textId="77777777" w:rsidR="006B75C2" w:rsidRPr="006B75C2" w:rsidRDefault="006B75C2" w:rsidP="006B75C2">
      <w:pPr>
        <w:spacing w:line="240" w:lineRule="auto"/>
        <w:rPr>
          <w:rFonts w:asciiTheme="majorBidi" w:hAnsiTheme="majorBidi" w:cstheme="majorBidi"/>
          <w:sz w:val="24"/>
          <w:szCs w:val="24"/>
        </w:rPr>
      </w:pPr>
      <w:r w:rsidRPr="006B75C2">
        <w:rPr>
          <w:rFonts w:asciiTheme="majorBidi" w:hAnsiTheme="majorBidi" w:cstheme="majorBidi"/>
          <w:sz w:val="24"/>
          <w:szCs w:val="24"/>
        </w:rPr>
        <w:t xml:space="preserve">Fayol H (1949) </w:t>
      </w:r>
      <w:r w:rsidRPr="006B75C2">
        <w:rPr>
          <w:rFonts w:asciiTheme="majorBidi" w:hAnsiTheme="majorBidi" w:cstheme="majorBidi"/>
          <w:i/>
          <w:iCs/>
          <w:sz w:val="24"/>
          <w:szCs w:val="24"/>
        </w:rPr>
        <w:t>General and industrial management</w:t>
      </w:r>
      <w:r w:rsidRPr="006B75C2">
        <w:rPr>
          <w:rFonts w:asciiTheme="majorBidi" w:hAnsiTheme="majorBidi" w:cstheme="majorBidi"/>
          <w:sz w:val="24"/>
          <w:szCs w:val="24"/>
        </w:rPr>
        <w:t>. Pitman: London.</w:t>
      </w:r>
    </w:p>
    <w:p w14:paraId="3B0EB1E8" w14:textId="77777777" w:rsidR="006B75C2" w:rsidRPr="006B75C2" w:rsidRDefault="006B75C2" w:rsidP="006B75C2">
      <w:pPr>
        <w:spacing w:line="240" w:lineRule="auto"/>
        <w:jc w:val="both"/>
        <w:rPr>
          <w:rFonts w:asciiTheme="majorBidi" w:hAnsiTheme="majorBidi" w:cstheme="majorBidi"/>
          <w:sz w:val="24"/>
          <w:szCs w:val="24"/>
        </w:rPr>
      </w:pPr>
      <w:r w:rsidRPr="006B75C2">
        <w:rPr>
          <w:rFonts w:asciiTheme="majorBidi" w:hAnsiTheme="majorBidi" w:cstheme="majorBidi"/>
          <w:sz w:val="24"/>
          <w:szCs w:val="24"/>
        </w:rPr>
        <w:lastRenderedPageBreak/>
        <w:t xml:space="preserve">Fenwick T (1998) Questioning the concept of the learning organization. In SM Scott, B Spencer &amp; AM Thomas (Eds), </w:t>
      </w:r>
      <w:r w:rsidRPr="006B75C2">
        <w:rPr>
          <w:rFonts w:asciiTheme="majorBidi" w:hAnsiTheme="majorBidi" w:cstheme="majorBidi"/>
          <w:i/>
          <w:iCs/>
          <w:sz w:val="24"/>
          <w:szCs w:val="24"/>
        </w:rPr>
        <w:t>Learning for life. Canadian readings in adult education</w:t>
      </w:r>
      <w:r w:rsidRPr="006B75C2">
        <w:rPr>
          <w:rFonts w:asciiTheme="majorBidi" w:hAnsiTheme="majorBidi" w:cstheme="majorBidi"/>
          <w:sz w:val="24"/>
          <w:szCs w:val="24"/>
        </w:rPr>
        <w:t xml:space="preserve">. Toronto: Thompson. </w:t>
      </w:r>
    </w:p>
    <w:p w14:paraId="3DCBECC5" w14:textId="77777777" w:rsidR="006B75C2" w:rsidRPr="006B75C2" w:rsidRDefault="006B75C2" w:rsidP="006B75C2">
      <w:pPr>
        <w:spacing w:line="240" w:lineRule="auto"/>
        <w:jc w:val="both"/>
        <w:rPr>
          <w:rFonts w:asciiTheme="majorBidi" w:hAnsiTheme="majorBidi" w:cstheme="majorBidi"/>
          <w:sz w:val="24"/>
          <w:szCs w:val="24"/>
        </w:rPr>
      </w:pPr>
      <w:r w:rsidRPr="006B75C2">
        <w:rPr>
          <w:rFonts w:asciiTheme="majorBidi" w:hAnsiTheme="majorBidi" w:cstheme="majorBidi"/>
          <w:sz w:val="24"/>
          <w:szCs w:val="24"/>
        </w:rPr>
        <w:t xml:space="preserve">Gold J and Jones O (2023) Finding innovation opportunities in SMEs through futures and foresight learning: an action learning approach. </w:t>
      </w:r>
      <w:r w:rsidRPr="006B75C2">
        <w:rPr>
          <w:rFonts w:asciiTheme="majorBidi" w:hAnsiTheme="majorBidi" w:cstheme="majorBidi"/>
          <w:i/>
          <w:iCs/>
          <w:sz w:val="24"/>
          <w:szCs w:val="24"/>
        </w:rPr>
        <w:t>Action Learning: Research and Practice</w:t>
      </w:r>
      <w:r w:rsidRPr="006B75C2">
        <w:rPr>
          <w:rFonts w:asciiTheme="majorBidi" w:hAnsiTheme="majorBidi" w:cstheme="majorBidi"/>
          <w:sz w:val="24"/>
          <w:szCs w:val="24"/>
        </w:rPr>
        <w:t>, 20 (2):132-148.</w:t>
      </w:r>
    </w:p>
    <w:p w14:paraId="53471316" w14:textId="77777777" w:rsidR="006B75C2" w:rsidRPr="006B75C2" w:rsidRDefault="006B75C2" w:rsidP="006B75C2">
      <w:pPr>
        <w:spacing w:line="240" w:lineRule="auto"/>
        <w:jc w:val="both"/>
        <w:rPr>
          <w:rFonts w:asciiTheme="majorBidi" w:hAnsiTheme="majorBidi" w:cstheme="majorBidi"/>
          <w:sz w:val="24"/>
          <w:szCs w:val="24"/>
        </w:rPr>
      </w:pPr>
      <w:r w:rsidRPr="006B75C2">
        <w:rPr>
          <w:rFonts w:asciiTheme="majorBidi" w:hAnsiTheme="majorBidi" w:cstheme="majorBidi"/>
          <w:sz w:val="24"/>
          <w:szCs w:val="24"/>
        </w:rPr>
        <w:t xml:space="preserve">Grieves J (2008) Why we should abandon the idea of the learning organization. </w:t>
      </w:r>
      <w:r w:rsidRPr="006B75C2">
        <w:rPr>
          <w:rFonts w:asciiTheme="majorBidi" w:hAnsiTheme="majorBidi" w:cstheme="majorBidi"/>
          <w:i/>
          <w:iCs/>
          <w:sz w:val="24"/>
          <w:szCs w:val="24"/>
        </w:rPr>
        <w:t>The Learning Organization</w:t>
      </w:r>
      <w:r w:rsidRPr="006B75C2">
        <w:rPr>
          <w:rFonts w:asciiTheme="majorBidi" w:hAnsiTheme="majorBidi" w:cstheme="majorBidi"/>
          <w:sz w:val="24"/>
          <w:szCs w:val="24"/>
        </w:rPr>
        <w:t xml:space="preserve"> 15 (6): 463-473. </w:t>
      </w:r>
    </w:p>
    <w:p w14:paraId="68B424CE" w14:textId="77777777" w:rsidR="006B75C2" w:rsidRPr="006B75C2" w:rsidRDefault="006B75C2" w:rsidP="006B75C2">
      <w:pPr>
        <w:spacing w:line="240" w:lineRule="auto"/>
        <w:jc w:val="both"/>
        <w:rPr>
          <w:rFonts w:asciiTheme="majorBidi" w:hAnsiTheme="majorBidi" w:cstheme="majorBidi"/>
          <w:sz w:val="24"/>
          <w:szCs w:val="24"/>
        </w:rPr>
      </w:pPr>
      <w:r w:rsidRPr="006B75C2">
        <w:rPr>
          <w:rFonts w:asciiTheme="majorBidi" w:hAnsiTheme="majorBidi" w:cstheme="majorBidi"/>
          <w:sz w:val="24"/>
          <w:szCs w:val="24"/>
        </w:rPr>
        <w:t xml:space="preserve">Griffin, M King DR and Reedy P (2022) Learning to "Live the Paradox" in a Democratic Organization: A Deliberative Approach to Paradox Mindsets. </w:t>
      </w:r>
      <w:r w:rsidRPr="006B75C2">
        <w:rPr>
          <w:rFonts w:asciiTheme="majorBidi" w:hAnsiTheme="majorBidi" w:cstheme="majorBidi"/>
          <w:i/>
          <w:iCs/>
          <w:sz w:val="24"/>
          <w:szCs w:val="24"/>
        </w:rPr>
        <w:t>Academy of Management Learning and Education</w:t>
      </w:r>
      <w:r w:rsidRPr="006B75C2">
        <w:rPr>
          <w:rFonts w:asciiTheme="majorBidi" w:hAnsiTheme="majorBidi" w:cstheme="majorBidi"/>
          <w:sz w:val="24"/>
          <w:szCs w:val="24"/>
        </w:rPr>
        <w:t xml:space="preserve">, 4: 624-647. </w:t>
      </w:r>
    </w:p>
    <w:p w14:paraId="61F4EFAA" w14:textId="77777777" w:rsidR="006B75C2" w:rsidRPr="006B75C2" w:rsidRDefault="006B75C2" w:rsidP="006B75C2">
      <w:pPr>
        <w:spacing w:line="240" w:lineRule="auto"/>
        <w:jc w:val="both"/>
        <w:rPr>
          <w:rFonts w:asciiTheme="majorBidi" w:hAnsiTheme="majorBidi" w:cstheme="majorBidi"/>
          <w:sz w:val="24"/>
          <w:szCs w:val="24"/>
        </w:rPr>
      </w:pPr>
      <w:r w:rsidRPr="006B75C2">
        <w:rPr>
          <w:rFonts w:asciiTheme="majorBidi" w:hAnsiTheme="majorBidi" w:cstheme="majorBidi"/>
          <w:sz w:val="24"/>
          <w:szCs w:val="24"/>
        </w:rPr>
        <w:t xml:space="preserve">Handley K (2018) Anticipatory socialization and the construction of the employable graduate: A critical analysis of employers’ graduate websites. </w:t>
      </w:r>
      <w:r w:rsidRPr="006B75C2">
        <w:rPr>
          <w:rFonts w:asciiTheme="majorBidi" w:hAnsiTheme="majorBidi" w:cstheme="majorBidi"/>
          <w:i/>
          <w:sz w:val="24"/>
          <w:szCs w:val="24"/>
        </w:rPr>
        <w:t>Work, Employment and Society</w:t>
      </w:r>
      <w:r w:rsidRPr="006B75C2">
        <w:rPr>
          <w:rFonts w:asciiTheme="majorBidi" w:hAnsiTheme="majorBidi" w:cstheme="majorBidi"/>
          <w:sz w:val="24"/>
          <w:szCs w:val="24"/>
        </w:rPr>
        <w:t xml:space="preserve"> 32 (2): 239-256.</w:t>
      </w:r>
    </w:p>
    <w:p w14:paraId="0C9B3E21" w14:textId="77777777" w:rsidR="006B75C2" w:rsidRPr="006B75C2" w:rsidRDefault="006B75C2" w:rsidP="006B75C2">
      <w:pPr>
        <w:spacing w:line="240" w:lineRule="auto"/>
        <w:rPr>
          <w:rFonts w:asciiTheme="majorBidi" w:hAnsiTheme="majorBidi" w:cstheme="majorBidi"/>
          <w:sz w:val="24"/>
          <w:szCs w:val="24"/>
        </w:rPr>
      </w:pPr>
      <w:r w:rsidRPr="006B75C2">
        <w:rPr>
          <w:rFonts w:asciiTheme="majorBidi" w:hAnsiTheme="majorBidi" w:cstheme="majorBidi"/>
          <w:sz w:val="24"/>
          <w:szCs w:val="24"/>
        </w:rPr>
        <w:t xml:space="preserve">Harney B and Alkhalaf H (2021). A quarter-century review of HRM in small and medium-sized enterprises: Capturing what we know, exploring where we need to go. </w:t>
      </w:r>
      <w:r w:rsidRPr="006B75C2">
        <w:rPr>
          <w:rFonts w:asciiTheme="majorBidi" w:hAnsiTheme="majorBidi" w:cstheme="majorBidi"/>
          <w:i/>
          <w:iCs/>
          <w:sz w:val="24"/>
          <w:szCs w:val="24"/>
        </w:rPr>
        <w:t>Human Resource Management</w:t>
      </w:r>
      <w:r w:rsidRPr="006B75C2">
        <w:rPr>
          <w:rFonts w:asciiTheme="majorBidi" w:hAnsiTheme="majorBidi" w:cstheme="majorBidi"/>
          <w:sz w:val="24"/>
          <w:szCs w:val="24"/>
        </w:rPr>
        <w:t>, 60(1): 5–29.</w:t>
      </w:r>
    </w:p>
    <w:p w14:paraId="3AAB24A5" w14:textId="77777777" w:rsidR="006B75C2" w:rsidRPr="006B75C2" w:rsidRDefault="006B75C2" w:rsidP="006B75C2">
      <w:pPr>
        <w:spacing w:line="240" w:lineRule="auto"/>
        <w:jc w:val="both"/>
        <w:rPr>
          <w:rFonts w:asciiTheme="majorBidi" w:hAnsiTheme="majorBidi" w:cstheme="majorBidi"/>
          <w:sz w:val="24"/>
          <w:szCs w:val="24"/>
        </w:rPr>
      </w:pPr>
      <w:r w:rsidRPr="006B75C2">
        <w:rPr>
          <w:rFonts w:asciiTheme="majorBidi" w:hAnsiTheme="majorBidi" w:cstheme="majorBidi"/>
          <w:sz w:val="24"/>
          <w:szCs w:val="24"/>
        </w:rPr>
        <w:t>Huq, JL Reay T and Chreim S (2017) Protecting the paradox of interprofessional collaboration. </w:t>
      </w:r>
      <w:r w:rsidRPr="006B75C2">
        <w:rPr>
          <w:rFonts w:asciiTheme="majorBidi" w:hAnsiTheme="majorBidi" w:cstheme="majorBidi"/>
          <w:i/>
          <w:iCs/>
          <w:sz w:val="24"/>
          <w:szCs w:val="24"/>
        </w:rPr>
        <w:t>Organization Studies</w:t>
      </w:r>
      <w:r w:rsidRPr="006B75C2">
        <w:rPr>
          <w:rFonts w:asciiTheme="majorBidi" w:hAnsiTheme="majorBidi" w:cstheme="majorBidi"/>
          <w:sz w:val="24"/>
          <w:szCs w:val="24"/>
        </w:rPr>
        <w:t> </w:t>
      </w:r>
      <w:r w:rsidRPr="006B75C2">
        <w:rPr>
          <w:rFonts w:asciiTheme="majorBidi" w:hAnsiTheme="majorBidi" w:cstheme="majorBidi"/>
          <w:i/>
          <w:iCs/>
          <w:sz w:val="24"/>
          <w:szCs w:val="24"/>
        </w:rPr>
        <w:t>38</w:t>
      </w:r>
      <w:r w:rsidRPr="006B75C2">
        <w:rPr>
          <w:rFonts w:asciiTheme="majorBidi" w:hAnsiTheme="majorBidi" w:cstheme="majorBidi"/>
          <w:sz w:val="24"/>
          <w:szCs w:val="24"/>
        </w:rPr>
        <w:t>(3-4): 513-538.</w:t>
      </w:r>
    </w:p>
    <w:p w14:paraId="52A9B1AC" w14:textId="77777777" w:rsidR="006B75C2" w:rsidRPr="006B75C2" w:rsidRDefault="006B75C2" w:rsidP="006B75C2">
      <w:pPr>
        <w:spacing w:line="240" w:lineRule="auto"/>
        <w:jc w:val="both"/>
        <w:rPr>
          <w:rFonts w:asciiTheme="majorBidi" w:hAnsiTheme="majorBidi" w:cstheme="majorBidi"/>
          <w:sz w:val="24"/>
          <w:szCs w:val="24"/>
        </w:rPr>
      </w:pPr>
      <w:r w:rsidRPr="006B75C2">
        <w:rPr>
          <w:rFonts w:asciiTheme="majorBidi" w:hAnsiTheme="majorBidi" w:cstheme="majorBidi"/>
          <w:sz w:val="24"/>
          <w:szCs w:val="24"/>
        </w:rPr>
        <w:t xml:space="preserve">Kerr A and McDougall M (1999) The small business of developing people. </w:t>
      </w:r>
      <w:r w:rsidRPr="006B75C2">
        <w:rPr>
          <w:rFonts w:asciiTheme="majorBidi" w:hAnsiTheme="majorBidi" w:cstheme="majorBidi"/>
          <w:i/>
          <w:iCs/>
          <w:sz w:val="24"/>
          <w:szCs w:val="24"/>
        </w:rPr>
        <w:t>International Small Business Journal</w:t>
      </w:r>
      <w:r w:rsidRPr="006B75C2">
        <w:rPr>
          <w:rFonts w:asciiTheme="majorBidi" w:hAnsiTheme="majorBidi" w:cstheme="majorBidi"/>
          <w:sz w:val="24"/>
          <w:szCs w:val="24"/>
        </w:rPr>
        <w:t>, 17: 65–74.</w:t>
      </w:r>
    </w:p>
    <w:p w14:paraId="5311E442" w14:textId="77777777" w:rsidR="006B75C2" w:rsidRPr="006B75C2" w:rsidRDefault="006B75C2" w:rsidP="006B75C2">
      <w:pPr>
        <w:spacing w:line="240" w:lineRule="auto"/>
        <w:jc w:val="both"/>
        <w:rPr>
          <w:rFonts w:asciiTheme="majorBidi" w:hAnsiTheme="majorBidi" w:cstheme="majorBidi"/>
          <w:sz w:val="24"/>
          <w:szCs w:val="24"/>
        </w:rPr>
      </w:pPr>
      <w:r w:rsidRPr="006B75C2">
        <w:rPr>
          <w:rFonts w:asciiTheme="majorBidi" w:hAnsiTheme="majorBidi" w:cstheme="majorBidi"/>
          <w:sz w:val="24"/>
          <w:szCs w:val="24"/>
        </w:rPr>
        <w:t xml:space="preserve">Lê P and Pradies C (2023) Sailing through the storm: Improvising paradox navigation during a pandemic. </w:t>
      </w:r>
      <w:r w:rsidRPr="006B75C2">
        <w:rPr>
          <w:rFonts w:asciiTheme="majorBidi" w:hAnsiTheme="majorBidi" w:cstheme="majorBidi"/>
          <w:i/>
          <w:iCs/>
          <w:sz w:val="24"/>
          <w:szCs w:val="24"/>
        </w:rPr>
        <w:t>Management Learning</w:t>
      </w:r>
      <w:r w:rsidRPr="006B75C2">
        <w:rPr>
          <w:rFonts w:asciiTheme="majorBidi" w:hAnsiTheme="majorBidi" w:cstheme="majorBidi"/>
          <w:sz w:val="24"/>
          <w:szCs w:val="24"/>
        </w:rPr>
        <w:t>, 54(1): 56-76.</w:t>
      </w:r>
    </w:p>
    <w:p w14:paraId="706E8A78" w14:textId="77777777" w:rsidR="006B75C2" w:rsidRPr="006B75C2" w:rsidRDefault="006B75C2" w:rsidP="006B75C2">
      <w:pPr>
        <w:spacing w:line="240" w:lineRule="auto"/>
        <w:jc w:val="both"/>
        <w:rPr>
          <w:rFonts w:asciiTheme="majorBidi" w:hAnsiTheme="majorBidi" w:cstheme="majorBidi"/>
          <w:sz w:val="24"/>
          <w:szCs w:val="24"/>
        </w:rPr>
      </w:pPr>
      <w:r w:rsidRPr="006B75C2">
        <w:rPr>
          <w:rFonts w:asciiTheme="majorBidi" w:hAnsiTheme="majorBidi" w:cstheme="majorBidi"/>
          <w:sz w:val="24"/>
          <w:szCs w:val="24"/>
        </w:rPr>
        <w:t xml:space="preserve">Lewis MW and Smith WK (2022) Reflections on the 2021 AMR Decade Award: Navigating Paradox Is Paradoxical. </w:t>
      </w:r>
      <w:r w:rsidRPr="006B75C2">
        <w:rPr>
          <w:rFonts w:asciiTheme="majorBidi" w:hAnsiTheme="majorBidi" w:cstheme="majorBidi"/>
          <w:i/>
          <w:iCs/>
          <w:sz w:val="24"/>
          <w:szCs w:val="24"/>
        </w:rPr>
        <w:t>Academy of Management Review</w:t>
      </w:r>
      <w:r w:rsidRPr="006B75C2">
        <w:rPr>
          <w:rFonts w:asciiTheme="majorBidi" w:hAnsiTheme="majorBidi" w:cstheme="majorBidi"/>
          <w:sz w:val="24"/>
          <w:szCs w:val="24"/>
        </w:rPr>
        <w:t xml:space="preserve"> 47: 528-548. </w:t>
      </w:r>
    </w:p>
    <w:p w14:paraId="5BC31D45" w14:textId="77777777" w:rsidR="006B75C2" w:rsidRPr="006B75C2" w:rsidRDefault="006B75C2" w:rsidP="006B75C2">
      <w:pPr>
        <w:spacing w:line="240" w:lineRule="auto"/>
        <w:jc w:val="both"/>
        <w:rPr>
          <w:rFonts w:asciiTheme="majorBidi" w:hAnsiTheme="majorBidi" w:cstheme="majorBidi"/>
          <w:sz w:val="24"/>
          <w:szCs w:val="24"/>
        </w:rPr>
      </w:pPr>
      <w:r w:rsidRPr="006B75C2">
        <w:rPr>
          <w:rFonts w:asciiTheme="majorBidi" w:hAnsiTheme="majorBidi" w:cstheme="majorBidi"/>
          <w:sz w:val="24"/>
          <w:szCs w:val="24"/>
        </w:rPr>
        <w:t xml:space="preserve">Lewis MW and Smith WK (2014) Paradox as a metatheoretical perspective: Sharpening the focus and widening the scope. </w:t>
      </w:r>
      <w:r w:rsidRPr="006B75C2">
        <w:rPr>
          <w:rFonts w:asciiTheme="majorBidi" w:hAnsiTheme="majorBidi" w:cstheme="majorBidi"/>
          <w:i/>
          <w:iCs/>
          <w:sz w:val="24"/>
          <w:szCs w:val="24"/>
        </w:rPr>
        <w:t>The Journal of Applied Behavioral Science,</w:t>
      </w:r>
      <w:r w:rsidRPr="006B75C2">
        <w:rPr>
          <w:rFonts w:asciiTheme="majorBidi" w:hAnsiTheme="majorBidi" w:cstheme="majorBidi"/>
          <w:sz w:val="24"/>
          <w:szCs w:val="24"/>
        </w:rPr>
        <w:t xml:space="preserve"> 50(2): 127-149.</w:t>
      </w:r>
    </w:p>
    <w:p w14:paraId="6746CDAF" w14:textId="77777777" w:rsidR="006B75C2" w:rsidRPr="006B75C2" w:rsidRDefault="006B75C2" w:rsidP="006B75C2">
      <w:pPr>
        <w:spacing w:line="240" w:lineRule="auto"/>
        <w:jc w:val="both"/>
        <w:rPr>
          <w:rFonts w:ascii="Times New Roman" w:hAnsi="Times New Roman"/>
          <w:sz w:val="24"/>
          <w:szCs w:val="24"/>
        </w:rPr>
      </w:pPr>
      <w:r w:rsidRPr="006B75C2">
        <w:rPr>
          <w:rFonts w:ascii="Times New Roman" w:hAnsi="Times New Roman"/>
          <w:sz w:val="24"/>
          <w:szCs w:val="24"/>
        </w:rPr>
        <w:t xml:space="preserve">Lincoln YS and Guba EG (1985). </w:t>
      </w:r>
      <w:r w:rsidRPr="006B75C2">
        <w:rPr>
          <w:rFonts w:ascii="Times New Roman" w:hAnsi="Times New Roman"/>
          <w:bCs/>
          <w:i/>
          <w:sz w:val="24"/>
          <w:szCs w:val="24"/>
        </w:rPr>
        <w:t>Naturalistic Inquiry</w:t>
      </w:r>
      <w:r w:rsidRPr="006B75C2">
        <w:rPr>
          <w:rFonts w:ascii="Times New Roman" w:hAnsi="Times New Roman"/>
          <w:sz w:val="24"/>
          <w:szCs w:val="24"/>
        </w:rPr>
        <w:t>. Beverly Hills, CA: Sage.</w:t>
      </w:r>
    </w:p>
    <w:p w14:paraId="224DA8D0" w14:textId="77777777" w:rsidR="006B75C2" w:rsidRPr="006B75C2" w:rsidRDefault="006B75C2" w:rsidP="006B75C2">
      <w:pPr>
        <w:spacing w:line="240" w:lineRule="auto"/>
        <w:jc w:val="both"/>
        <w:rPr>
          <w:rFonts w:asciiTheme="majorBidi" w:hAnsiTheme="majorBidi" w:cstheme="majorBidi"/>
          <w:sz w:val="24"/>
          <w:szCs w:val="24"/>
        </w:rPr>
      </w:pPr>
      <w:r w:rsidRPr="006B75C2">
        <w:rPr>
          <w:rFonts w:asciiTheme="majorBidi" w:hAnsiTheme="majorBidi" w:cstheme="majorBidi"/>
          <w:sz w:val="24"/>
          <w:szCs w:val="24"/>
        </w:rPr>
        <w:t xml:space="preserve">Llewellyn N and Spence L (2009) Practice as a members' phenomenon. </w:t>
      </w:r>
      <w:r w:rsidRPr="006B75C2">
        <w:rPr>
          <w:rFonts w:asciiTheme="majorBidi" w:hAnsiTheme="majorBidi" w:cstheme="majorBidi"/>
          <w:i/>
          <w:sz w:val="24"/>
          <w:szCs w:val="24"/>
        </w:rPr>
        <w:t>Organization Studies</w:t>
      </w:r>
      <w:r w:rsidRPr="006B75C2">
        <w:rPr>
          <w:rFonts w:asciiTheme="majorBidi" w:hAnsiTheme="majorBidi" w:cstheme="majorBidi"/>
          <w:sz w:val="24"/>
          <w:szCs w:val="24"/>
        </w:rPr>
        <w:t>, 30 (12): 1419-1439.</w:t>
      </w:r>
    </w:p>
    <w:p w14:paraId="1851FF2B" w14:textId="77777777" w:rsidR="006B75C2" w:rsidRPr="006B75C2" w:rsidRDefault="006B75C2" w:rsidP="006B75C2">
      <w:pPr>
        <w:spacing w:line="240" w:lineRule="auto"/>
        <w:jc w:val="both"/>
        <w:rPr>
          <w:rFonts w:asciiTheme="majorBidi" w:hAnsiTheme="majorBidi" w:cstheme="majorBidi"/>
          <w:sz w:val="24"/>
          <w:szCs w:val="24"/>
        </w:rPr>
      </w:pPr>
      <w:r w:rsidRPr="006B75C2">
        <w:rPr>
          <w:rFonts w:asciiTheme="majorBidi" w:hAnsiTheme="majorBidi" w:cstheme="majorBidi"/>
          <w:sz w:val="24"/>
          <w:szCs w:val="24"/>
        </w:rPr>
        <w:t xml:space="preserve">Lub XD, Bal PM, Blomme RJ and Schalk R (2016) One job, one deal… or not: do generations respond differently to psychological contract fulfilment? </w:t>
      </w:r>
      <w:r w:rsidRPr="006B75C2">
        <w:rPr>
          <w:rFonts w:asciiTheme="majorBidi" w:hAnsiTheme="majorBidi" w:cstheme="majorBidi"/>
          <w:i/>
          <w:sz w:val="24"/>
          <w:szCs w:val="24"/>
        </w:rPr>
        <w:t>The International Journal of Human Resource Management</w:t>
      </w:r>
      <w:r w:rsidRPr="006B75C2">
        <w:rPr>
          <w:rFonts w:asciiTheme="majorBidi" w:hAnsiTheme="majorBidi" w:cstheme="majorBidi"/>
          <w:sz w:val="24"/>
          <w:szCs w:val="24"/>
        </w:rPr>
        <w:t xml:space="preserve"> 27(6): 653-680. </w:t>
      </w:r>
    </w:p>
    <w:p w14:paraId="1CB6D2AA" w14:textId="77777777" w:rsidR="006B75C2" w:rsidRPr="006B75C2" w:rsidRDefault="006B75C2" w:rsidP="006B75C2">
      <w:pPr>
        <w:spacing w:line="240" w:lineRule="auto"/>
        <w:jc w:val="both"/>
        <w:rPr>
          <w:rFonts w:asciiTheme="majorBidi" w:hAnsiTheme="majorBidi" w:cstheme="majorBidi"/>
          <w:sz w:val="24"/>
          <w:szCs w:val="24"/>
        </w:rPr>
      </w:pPr>
      <w:r w:rsidRPr="006B75C2">
        <w:rPr>
          <w:rFonts w:asciiTheme="majorBidi" w:hAnsiTheme="majorBidi" w:cstheme="majorBidi"/>
          <w:sz w:val="24"/>
          <w:szCs w:val="24"/>
        </w:rPr>
        <w:t xml:space="preserve">Maxwell GA, Ogden SM and Broadbridge, A (2010) Generation Y's career expectations and aspirations: Engagement in the hospitality industry. </w:t>
      </w:r>
      <w:r w:rsidRPr="006B75C2">
        <w:rPr>
          <w:rFonts w:asciiTheme="majorBidi" w:hAnsiTheme="majorBidi" w:cstheme="majorBidi"/>
          <w:i/>
          <w:sz w:val="24"/>
          <w:szCs w:val="24"/>
        </w:rPr>
        <w:t>Journal of Hospitality and Tourism Management</w:t>
      </w:r>
      <w:r w:rsidRPr="006B75C2">
        <w:rPr>
          <w:rFonts w:asciiTheme="majorBidi" w:hAnsiTheme="majorBidi" w:cstheme="majorBidi"/>
          <w:sz w:val="24"/>
          <w:szCs w:val="24"/>
        </w:rPr>
        <w:t xml:space="preserve"> 17(1): 53-61.</w:t>
      </w:r>
    </w:p>
    <w:p w14:paraId="2CBC8685" w14:textId="77777777" w:rsidR="006B75C2" w:rsidRPr="006B75C2" w:rsidRDefault="006B75C2" w:rsidP="006B75C2">
      <w:pPr>
        <w:spacing w:line="240" w:lineRule="auto"/>
        <w:jc w:val="both"/>
        <w:rPr>
          <w:rFonts w:asciiTheme="majorBidi" w:hAnsiTheme="majorBidi" w:cstheme="majorBidi"/>
          <w:sz w:val="24"/>
          <w:szCs w:val="24"/>
        </w:rPr>
      </w:pPr>
      <w:r w:rsidRPr="006B75C2">
        <w:rPr>
          <w:rFonts w:asciiTheme="majorBidi" w:hAnsiTheme="majorBidi" w:cstheme="majorBidi"/>
          <w:sz w:val="24"/>
          <w:szCs w:val="24"/>
        </w:rPr>
        <w:t>Nolan, C and Garavan, TN (2016) Human Resource Development in SMEs: A Systematic Review of the Literature</w:t>
      </w:r>
      <w:r w:rsidRPr="006B75C2">
        <w:rPr>
          <w:rFonts w:asciiTheme="majorBidi" w:hAnsiTheme="majorBidi" w:cstheme="majorBidi"/>
          <w:i/>
          <w:sz w:val="24"/>
          <w:szCs w:val="24"/>
        </w:rPr>
        <w:t>. International Journal of Management Reviews</w:t>
      </w:r>
      <w:r w:rsidRPr="006B75C2">
        <w:rPr>
          <w:rFonts w:asciiTheme="majorBidi" w:hAnsiTheme="majorBidi" w:cstheme="majorBidi"/>
          <w:sz w:val="24"/>
          <w:szCs w:val="24"/>
        </w:rPr>
        <w:t xml:space="preserve"> 18, 85-107.</w:t>
      </w:r>
    </w:p>
    <w:p w14:paraId="57817016" w14:textId="77777777" w:rsidR="006B75C2" w:rsidRPr="006B75C2" w:rsidRDefault="006B75C2" w:rsidP="006B75C2">
      <w:pPr>
        <w:spacing w:line="240" w:lineRule="auto"/>
        <w:jc w:val="both"/>
        <w:rPr>
          <w:rFonts w:asciiTheme="majorBidi" w:hAnsiTheme="majorBidi" w:cstheme="majorBidi"/>
          <w:sz w:val="24"/>
          <w:szCs w:val="24"/>
        </w:rPr>
      </w:pPr>
      <w:r w:rsidRPr="006B75C2">
        <w:rPr>
          <w:rFonts w:asciiTheme="majorBidi" w:hAnsiTheme="majorBidi" w:cstheme="majorBidi"/>
          <w:sz w:val="24"/>
          <w:szCs w:val="24"/>
        </w:rPr>
        <w:t xml:space="preserve">Querbach S., Kammerlander N., Singh J and Waldkirch M (2022) Pragmatic learning in family SMEs: a qualitative study of functional overload among family SME owner-managers. </w:t>
      </w:r>
      <w:r w:rsidRPr="006B75C2">
        <w:rPr>
          <w:rFonts w:asciiTheme="majorBidi" w:hAnsiTheme="majorBidi" w:cstheme="majorBidi"/>
          <w:i/>
          <w:iCs/>
          <w:sz w:val="24"/>
          <w:szCs w:val="24"/>
        </w:rPr>
        <w:t>Journal of Knowledge Management</w:t>
      </w:r>
      <w:r w:rsidRPr="006B75C2">
        <w:rPr>
          <w:rFonts w:asciiTheme="majorBidi" w:hAnsiTheme="majorBidi" w:cstheme="majorBidi"/>
          <w:sz w:val="24"/>
          <w:szCs w:val="24"/>
        </w:rPr>
        <w:t xml:space="preserve"> 26(2): 375-402.</w:t>
      </w:r>
    </w:p>
    <w:p w14:paraId="1BB5D8AE" w14:textId="77777777" w:rsidR="006B75C2" w:rsidRPr="006B75C2" w:rsidRDefault="006B75C2" w:rsidP="006B75C2">
      <w:pPr>
        <w:spacing w:line="240" w:lineRule="auto"/>
        <w:jc w:val="both"/>
        <w:rPr>
          <w:rFonts w:asciiTheme="majorBidi" w:hAnsiTheme="majorBidi" w:cstheme="majorBidi"/>
          <w:sz w:val="24"/>
          <w:szCs w:val="24"/>
        </w:rPr>
      </w:pPr>
      <w:r w:rsidRPr="006B75C2">
        <w:rPr>
          <w:rFonts w:asciiTheme="majorBidi" w:hAnsiTheme="majorBidi" w:cstheme="majorBidi"/>
          <w:sz w:val="24"/>
          <w:szCs w:val="24"/>
        </w:rPr>
        <w:lastRenderedPageBreak/>
        <w:t xml:space="preserve">Panya F (2024). Paternalism as a positive way of HRM in MSMEs during the COVID-19 pandemic. </w:t>
      </w:r>
      <w:r w:rsidRPr="006B75C2">
        <w:rPr>
          <w:rFonts w:asciiTheme="majorBidi" w:hAnsiTheme="majorBidi" w:cstheme="majorBidi"/>
          <w:i/>
          <w:iCs/>
          <w:sz w:val="24"/>
          <w:szCs w:val="24"/>
        </w:rPr>
        <w:t>Employee Relation</w:t>
      </w:r>
      <w:r w:rsidRPr="006B75C2">
        <w:rPr>
          <w:rFonts w:asciiTheme="majorBidi" w:hAnsiTheme="majorBidi" w:cstheme="majorBidi"/>
          <w:sz w:val="24"/>
          <w:szCs w:val="24"/>
        </w:rPr>
        <w:t>s 46(1): 147-169.</w:t>
      </w:r>
    </w:p>
    <w:p w14:paraId="2A465923" w14:textId="77777777" w:rsidR="006B75C2" w:rsidRPr="006B75C2" w:rsidRDefault="006B75C2" w:rsidP="006B75C2">
      <w:pPr>
        <w:spacing w:line="240" w:lineRule="auto"/>
        <w:jc w:val="both"/>
        <w:rPr>
          <w:rFonts w:asciiTheme="majorBidi" w:hAnsiTheme="majorBidi" w:cstheme="majorBidi"/>
          <w:sz w:val="24"/>
          <w:szCs w:val="24"/>
        </w:rPr>
      </w:pPr>
      <w:r w:rsidRPr="006B75C2">
        <w:rPr>
          <w:rFonts w:asciiTheme="majorBidi" w:hAnsiTheme="majorBidi" w:cstheme="majorBidi"/>
          <w:sz w:val="24"/>
          <w:szCs w:val="24"/>
        </w:rPr>
        <w:t>Pedler M, Burgoyne J and Boydell T (1991</w:t>
      </w:r>
      <w:r w:rsidRPr="006B75C2">
        <w:rPr>
          <w:rFonts w:asciiTheme="majorBidi" w:hAnsiTheme="majorBidi" w:cstheme="majorBidi"/>
          <w:i/>
          <w:iCs/>
          <w:sz w:val="24"/>
          <w:szCs w:val="24"/>
        </w:rPr>
        <w:t>) The Learning Company: A Strategy for Sustainable Development.</w:t>
      </w:r>
      <w:r w:rsidRPr="006B75C2">
        <w:rPr>
          <w:rFonts w:asciiTheme="majorBidi" w:hAnsiTheme="majorBidi" w:cstheme="majorBidi"/>
          <w:sz w:val="24"/>
          <w:szCs w:val="24"/>
        </w:rPr>
        <w:t xml:space="preserve"> Maidenhead: McGraw-Hill. </w:t>
      </w:r>
    </w:p>
    <w:p w14:paraId="67D669F5" w14:textId="77777777" w:rsidR="006B75C2" w:rsidRPr="006B75C2" w:rsidRDefault="006B75C2" w:rsidP="006B75C2">
      <w:pPr>
        <w:spacing w:line="240" w:lineRule="auto"/>
        <w:jc w:val="both"/>
        <w:rPr>
          <w:rFonts w:asciiTheme="majorBidi" w:hAnsiTheme="majorBidi" w:cstheme="majorBidi"/>
          <w:sz w:val="24"/>
          <w:szCs w:val="24"/>
        </w:rPr>
      </w:pPr>
      <w:r w:rsidRPr="006B75C2">
        <w:rPr>
          <w:rFonts w:asciiTheme="majorBidi" w:hAnsiTheme="majorBidi" w:cstheme="majorBidi"/>
          <w:sz w:val="24"/>
          <w:szCs w:val="24"/>
        </w:rPr>
        <w:t xml:space="preserve">Pedler M and Burgoyne J (2017) Is the Learning Organization still alive? </w:t>
      </w:r>
      <w:r w:rsidRPr="006B75C2">
        <w:rPr>
          <w:rFonts w:asciiTheme="majorBidi" w:hAnsiTheme="majorBidi" w:cstheme="majorBidi"/>
          <w:i/>
          <w:sz w:val="24"/>
          <w:szCs w:val="24"/>
        </w:rPr>
        <w:t>The Learning Organization</w:t>
      </w:r>
      <w:r w:rsidRPr="006B75C2">
        <w:rPr>
          <w:rFonts w:asciiTheme="majorBidi" w:hAnsiTheme="majorBidi" w:cstheme="majorBidi"/>
          <w:sz w:val="24"/>
          <w:szCs w:val="24"/>
        </w:rPr>
        <w:t xml:space="preserve"> 24 (2): 119-126. </w:t>
      </w:r>
    </w:p>
    <w:p w14:paraId="27ABB878" w14:textId="77777777" w:rsidR="006B75C2" w:rsidRPr="006B75C2" w:rsidRDefault="006B75C2" w:rsidP="006B75C2">
      <w:pPr>
        <w:spacing w:line="240" w:lineRule="auto"/>
        <w:jc w:val="both"/>
        <w:rPr>
          <w:rFonts w:asciiTheme="majorBidi" w:hAnsiTheme="majorBidi" w:cstheme="majorBidi"/>
          <w:sz w:val="24"/>
          <w:szCs w:val="24"/>
        </w:rPr>
      </w:pPr>
      <w:r w:rsidRPr="006B75C2">
        <w:rPr>
          <w:rFonts w:asciiTheme="majorBidi" w:hAnsiTheme="majorBidi" w:cstheme="majorBidi"/>
          <w:sz w:val="24"/>
          <w:szCs w:val="24"/>
        </w:rPr>
        <w:t xml:space="preserve">Pinto J (2019) Key to effective organizational performance management lies at the intersection of paradox theory and stakeholder theory. </w:t>
      </w:r>
      <w:r w:rsidRPr="006B75C2">
        <w:rPr>
          <w:rFonts w:asciiTheme="majorBidi" w:hAnsiTheme="majorBidi" w:cstheme="majorBidi"/>
          <w:i/>
          <w:iCs/>
          <w:sz w:val="24"/>
          <w:szCs w:val="24"/>
        </w:rPr>
        <w:t>International Journal of Management Reviews</w:t>
      </w:r>
      <w:r w:rsidRPr="006B75C2">
        <w:rPr>
          <w:rFonts w:asciiTheme="majorBidi" w:hAnsiTheme="majorBidi" w:cstheme="majorBidi"/>
          <w:sz w:val="24"/>
          <w:szCs w:val="24"/>
        </w:rPr>
        <w:t xml:space="preserve"> 21(2): 185-208.</w:t>
      </w:r>
    </w:p>
    <w:p w14:paraId="01D08C9E" w14:textId="77777777" w:rsidR="006B75C2" w:rsidRPr="006B75C2" w:rsidRDefault="006B75C2" w:rsidP="006B75C2">
      <w:pPr>
        <w:spacing w:line="240" w:lineRule="auto"/>
        <w:rPr>
          <w:rFonts w:asciiTheme="majorBidi" w:hAnsiTheme="majorBidi" w:cstheme="majorBidi"/>
          <w:sz w:val="24"/>
          <w:szCs w:val="24"/>
        </w:rPr>
      </w:pPr>
      <w:r w:rsidRPr="006B75C2">
        <w:rPr>
          <w:rFonts w:asciiTheme="majorBidi" w:hAnsiTheme="majorBidi" w:cstheme="majorBidi"/>
          <w:sz w:val="24"/>
          <w:szCs w:val="24"/>
        </w:rPr>
        <w:t xml:space="preserve">Putnam L (2015) Moving beyond ‘both-and’ approaches: alternative strategies for managing paradoxical tensions. </w:t>
      </w:r>
      <w:r w:rsidRPr="006B75C2">
        <w:rPr>
          <w:rFonts w:asciiTheme="majorBidi" w:hAnsiTheme="majorBidi" w:cstheme="majorBidi"/>
          <w:i/>
          <w:iCs/>
          <w:sz w:val="24"/>
          <w:szCs w:val="24"/>
        </w:rPr>
        <w:t>Paper presented at European Group for Organization Studies</w:t>
      </w:r>
      <w:r w:rsidRPr="006B75C2">
        <w:rPr>
          <w:rFonts w:asciiTheme="majorBidi" w:hAnsiTheme="majorBidi" w:cstheme="majorBidi"/>
          <w:sz w:val="24"/>
          <w:szCs w:val="24"/>
        </w:rPr>
        <w:t xml:space="preserve"> (EGOS) Conference, Athens, July.</w:t>
      </w:r>
    </w:p>
    <w:p w14:paraId="38AF45A4" w14:textId="77777777" w:rsidR="006B75C2" w:rsidRPr="006B75C2" w:rsidRDefault="006B75C2" w:rsidP="006B75C2">
      <w:pPr>
        <w:spacing w:line="240" w:lineRule="auto"/>
        <w:rPr>
          <w:rFonts w:asciiTheme="majorBidi" w:hAnsiTheme="majorBidi" w:cstheme="majorBidi"/>
          <w:sz w:val="24"/>
          <w:szCs w:val="24"/>
        </w:rPr>
      </w:pPr>
      <w:r w:rsidRPr="006B75C2">
        <w:rPr>
          <w:rFonts w:asciiTheme="majorBidi" w:hAnsiTheme="majorBidi" w:cstheme="majorBidi"/>
          <w:sz w:val="24"/>
          <w:szCs w:val="24"/>
        </w:rPr>
        <w:t xml:space="preserve">Rainnie, A (2016). </w:t>
      </w:r>
      <w:r w:rsidRPr="006B75C2">
        <w:rPr>
          <w:rFonts w:asciiTheme="majorBidi" w:hAnsiTheme="majorBidi" w:cstheme="majorBidi"/>
          <w:i/>
          <w:iCs/>
          <w:sz w:val="24"/>
          <w:szCs w:val="24"/>
        </w:rPr>
        <w:t>Industrial relations in small firms: Small isn't beautiful</w:t>
      </w:r>
      <w:r w:rsidRPr="006B75C2">
        <w:rPr>
          <w:rFonts w:asciiTheme="majorBidi" w:hAnsiTheme="majorBidi" w:cstheme="majorBidi"/>
          <w:sz w:val="24"/>
          <w:szCs w:val="24"/>
        </w:rPr>
        <w:t>. London: Routledge.</w:t>
      </w:r>
    </w:p>
    <w:p w14:paraId="370F7FEB" w14:textId="77777777" w:rsidR="006B75C2" w:rsidRPr="006B75C2" w:rsidRDefault="006B75C2" w:rsidP="006B75C2">
      <w:pPr>
        <w:spacing w:line="240" w:lineRule="auto"/>
        <w:jc w:val="both"/>
        <w:rPr>
          <w:rFonts w:asciiTheme="majorBidi" w:hAnsiTheme="majorBidi" w:cstheme="majorBidi"/>
          <w:sz w:val="24"/>
          <w:szCs w:val="24"/>
        </w:rPr>
      </w:pPr>
      <w:r w:rsidRPr="006B75C2">
        <w:rPr>
          <w:rFonts w:asciiTheme="majorBidi" w:hAnsiTheme="majorBidi" w:cstheme="majorBidi"/>
          <w:sz w:val="24"/>
          <w:szCs w:val="24"/>
        </w:rPr>
        <w:t>Rawls A (2008). Harold Garfinkel, ethnomethodology and workplace studies. </w:t>
      </w:r>
      <w:r w:rsidRPr="006B75C2">
        <w:rPr>
          <w:rFonts w:asciiTheme="majorBidi" w:hAnsiTheme="majorBidi" w:cstheme="majorBidi"/>
          <w:i/>
          <w:iCs/>
          <w:sz w:val="24"/>
          <w:szCs w:val="24"/>
        </w:rPr>
        <w:t>Organization Studies</w:t>
      </w:r>
      <w:r w:rsidRPr="006B75C2">
        <w:rPr>
          <w:rFonts w:asciiTheme="majorBidi" w:hAnsiTheme="majorBidi" w:cstheme="majorBidi"/>
          <w:sz w:val="24"/>
          <w:szCs w:val="24"/>
        </w:rPr>
        <w:t> </w:t>
      </w:r>
      <w:r w:rsidRPr="006B75C2">
        <w:rPr>
          <w:rFonts w:asciiTheme="majorBidi" w:hAnsiTheme="majorBidi" w:cstheme="majorBidi"/>
          <w:i/>
          <w:iCs/>
          <w:sz w:val="24"/>
          <w:szCs w:val="24"/>
        </w:rPr>
        <w:t>29</w:t>
      </w:r>
      <w:r w:rsidRPr="006B75C2">
        <w:rPr>
          <w:rFonts w:asciiTheme="majorBidi" w:hAnsiTheme="majorBidi" w:cstheme="majorBidi"/>
          <w:sz w:val="24"/>
          <w:szCs w:val="24"/>
        </w:rPr>
        <w:t>(5): 701-732.</w:t>
      </w:r>
    </w:p>
    <w:p w14:paraId="68AB34F5" w14:textId="77777777" w:rsidR="006B75C2" w:rsidRPr="006B75C2" w:rsidRDefault="006B75C2" w:rsidP="006B75C2">
      <w:pPr>
        <w:spacing w:line="240" w:lineRule="auto"/>
        <w:jc w:val="both"/>
        <w:rPr>
          <w:rFonts w:asciiTheme="majorBidi" w:hAnsiTheme="majorBidi" w:cstheme="majorBidi"/>
          <w:sz w:val="24"/>
          <w:szCs w:val="24"/>
        </w:rPr>
      </w:pPr>
      <w:r w:rsidRPr="006B75C2">
        <w:rPr>
          <w:rFonts w:asciiTheme="majorBidi" w:hAnsiTheme="majorBidi" w:cstheme="majorBidi"/>
          <w:sz w:val="24"/>
          <w:szCs w:val="24"/>
        </w:rPr>
        <w:t>Schad J, Lewis MW, Raisch S and Smith WK (2016) Paradox research in management science: Looking back to move forward. </w:t>
      </w:r>
      <w:r w:rsidRPr="006B75C2">
        <w:rPr>
          <w:rFonts w:asciiTheme="majorBidi" w:hAnsiTheme="majorBidi" w:cstheme="majorBidi"/>
          <w:i/>
          <w:iCs/>
          <w:sz w:val="24"/>
          <w:szCs w:val="24"/>
        </w:rPr>
        <w:t>Academy of Management Annals</w:t>
      </w:r>
      <w:r w:rsidRPr="006B75C2">
        <w:rPr>
          <w:rFonts w:asciiTheme="majorBidi" w:hAnsiTheme="majorBidi" w:cstheme="majorBidi"/>
          <w:sz w:val="24"/>
          <w:szCs w:val="24"/>
        </w:rPr>
        <w:t>, </w:t>
      </w:r>
      <w:r w:rsidRPr="006B75C2">
        <w:rPr>
          <w:rFonts w:asciiTheme="majorBidi" w:hAnsiTheme="majorBidi" w:cstheme="majorBidi"/>
          <w:i/>
          <w:iCs/>
          <w:sz w:val="24"/>
          <w:szCs w:val="24"/>
        </w:rPr>
        <w:t xml:space="preserve">10 </w:t>
      </w:r>
      <w:r w:rsidRPr="006B75C2">
        <w:rPr>
          <w:rFonts w:asciiTheme="majorBidi" w:hAnsiTheme="majorBidi" w:cstheme="majorBidi"/>
          <w:sz w:val="24"/>
          <w:szCs w:val="24"/>
        </w:rPr>
        <w:t>(1): 5-64.</w:t>
      </w:r>
    </w:p>
    <w:p w14:paraId="0B1B8C00" w14:textId="77777777" w:rsidR="006B75C2" w:rsidRPr="006B75C2" w:rsidRDefault="006B75C2" w:rsidP="006B75C2">
      <w:pPr>
        <w:spacing w:line="240" w:lineRule="auto"/>
        <w:jc w:val="both"/>
        <w:rPr>
          <w:rFonts w:asciiTheme="majorBidi" w:hAnsiTheme="majorBidi" w:cstheme="majorBidi"/>
          <w:sz w:val="24"/>
          <w:szCs w:val="24"/>
        </w:rPr>
      </w:pPr>
      <w:r w:rsidRPr="006B75C2">
        <w:rPr>
          <w:rFonts w:asciiTheme="majorBidi" w:hAnsiTheme="majorBidi" w:cstheme="majorBidi"/>
          <w:sz w:val="24"/>
          <w:szCs w:val="24"/>
        </w:rPr>
        <w:t xml:space="preserve">Schwandt TA (1994) Constructivist, interpretivist approaches to human inquiry. In:   Denzin NK and Lincoln YS (eds) </w:t>
      </w:r>
      <w:r w:rsidRPr="006B75C2">
        <w:rPr>
          <w:rFonts w:asciiTheme="majorBidi" w:hAnsiTheme="majorBidi" w:cstheme="majorBidi"/>
          <w:i/>
          <w:sz w:val="24"/>
          <w:szCs w:val="24"/>
        </w:rPr>
        <w:t>Handbook of Qualitative Research</w:t>
      </w:r>
      <w:r w:rsidRPr="006B75C2">
        <w:rPr>
          <w:rFonts w:asciiTheme="majorBidi" w:hAnsiTheme="majorBidi" w:cstheme="majorBidi"/>
          <w:sz w:val="24"/>
          <w:szCs w:val="24"/>
        </w:rPr>
        <w:t xml:space="preserve">. Thousand Oaks, CA: Sage, 118-137.  </w:t>
      </w:r>
    </w:p>
    <w:p w14:paraId="3AD68C2E" w14:textId="77777777" w:rsidR="006B75C2" w:rsidRPr="006B75C2" w:rsidRDefault="006B75C2" w:rsidP="006B75C2">
      <w:pPr>
        <w:spacing w:line="240" w:lineRule="auto"/>
        <w:jc w:val="both"/>
        <w:rPr>
          <w:rFonts w:asciiTheme="majorBidi" w:hAnsiTheme="majorBidi" w:cstheme="majorBidi"/>
          <w:sz w:val="24"/>
          <w:szCs w:val="24"/>
        </w:rPr>
      </w:pPr>
      <w:r w:rsidRPr="006B75C2">
        <w:rPr>
          <w:rFonts w:asciiTheme="majorBidi" w:hAnsiTheme="majorBidi" w:cstheme="majorBidi"/>
          <w:sz w:val="24"/>
          <w:szCs w:val="24"/>
        </w:rPr>
        <w:t xml:space="preserve">Senge PM (1990) </w:t>
      </w:r>
      <w:r w:rsidRPr="006B75C2">
        <w:rPr>
          <w:rFonts w:asciiTheme="majorBidi" w:hAnsiTheme="majorBidi" w:cstheme="majorBidi"/>
          <w:i/>
          <w:sz w:val="24"/>
          <w:szCs w:val="24"/>
        </w:rPr>
        <w:t>The Fifth Discipline</w:t>
      </w:r>
      <w:r w:rsidRPr="006B75C2">
        <w:rPr>
          <w:rFonts w:asciiTheme="majorBidi" w:hAnsiTheme="majorBidi" w:cstheme="majorBidi"/>
          <w:sz w:val="24"/>
          <w:szCs w:val="24"/>
        </w:rPr>
        <w:t xml:space="preserve">. New York: Doubleday. </w:t>
      </w:r>
    </w:p>
    <w:p w14:paraId="53CC92AE" w14:textId="77777777" w:rsidR="006B75C2" w:rsidRPr="006B75C2" w:rsidRDefault="006B75C2" w:rsidP="006B75C2">
      <w:pPr>
        <w:spacing w:line="240" w:lineRule="auto"/>
        <w:jc w:val="both"/>
        <w:rPr>
          <w:rFonts w:asciiTheme="majorBidi" w:hAnsiTheme="majorBidi" w:cstheme="majorBidi"/>
          <w:sz w:val="24"/>
          <w:szCs w:val="24"/>
        </w:rPr>
      </w:pPr>
      <w:r w:rsidRPr="006B75C2">
        <w:rPr>
          <w:rFonts w:asciiTheme="majorBidi" w:hAnsiTheme="majorBidi" w:cstheme="majorBidi"/>
          <w:sz w:val="24"/>
          <w:szCs w:val="24"/>
        </w:rPr>
        <w:t xml:space="preserve">Short H (2019) Learning in SMEs. </w:t>
      </w:r>
      <w:r w:rsidRPr="006B75C2">
        <w:rPr>
          <w:rFonts w:asciiTheme="majorBidi" w:hAnsiTheme="majorBidi" w:cstheme="majorBidi"/>
          <w:i/>
          <w:sz w:val="24"/>
          <w:szCs w:val="24"/>
        </w:rPr>
        <w:t>Human Resource Development International</w:t>
      </w:r>
      <w:r w:rsidRPr="006B75C2">
        <w:rPr>
          <w:rFonts w:asciiTheme="majorBidi" w:hAnsiTheme="majorBidi" w:cstheme="majorBidi"/>
          <w:sz w:val="24"/>
          <w:szCs w:val="24"/>
        </w:rPr>
        <w:t xml:space="preserve"> 22 (5): 413-419.</w:t>
      </w:r>
    </w:p>
    <w:p w14:paraId="6A241279" w14:textId="77777777" w:rsidR="006B75C2" w:rsidRPr="006B75C2" w:rsidRDefault="006B75C2" w:rsidP="006B75C2">
      <w:pPr>
        <w:spacing w:line="240" w:lineRule="auto"/>
        <w:jc w:val="both"/>
        <w:rPr>
          <w:rFonts w:asciiTheme="majorBidi" w:hAnsiTheme="majorBidi" w:cstheme="majorBidi"/>
          <w:sz w:val="24"/>
          <w:szCs w:val="24"/>
        </w:rPr>
      </w:pPr>
      <w:r w:rsidRPr="006B75C2">
        <w:rPr>
          <w:rFonts w:asciiTheme="majorBidi" w:hAnsiTheme="majorBidi" w:cstheme="majorBidi"/>
          <w:sz w:val="24"/>
          <w:szCs w:val="24"/>
        </w:rPr>
        <w:t>Smith WK and Lewis MW (2011) Toward a theory of paradox: A dynamic equilibrium model of organizing. </w:t>
      </w:r>
      <w:r w:rsidRPr="006B75C2">
        <w:rPr>
          <w:rFonts w:asciiTheme="majorBidi" w:hAnsiTheme="majorBidi" w:cstheme="majorBidi"/>
          <w:i/>
          <w:iCs/>
          <w:sz w:val="24"/>
          <w:szCs w:val="24"/>
        </w:rPr>
        <w:t>Academy of Management Review</w:t>
      </w:r>
      <w:r w:rsidRPr="006B75C2">
        <w:rPr>
          <w:rFonts w:asciiTheme="majorBidi" w:hAnsiTheme="majorBidi" w:cstheme="majorBidi"/>
          <w:sz w:val="24"/>
          <w:szCs w:val="24"/>
        </w:rPr>
        <w:t> </w:t>
      </w:r>
      <w:r w:rsidRPr="006B75C2">
        <w:rPr>
          <w:rFonts w:asciiTheme="majorBidi" w:hAnsiTheme="majorBidi" w:cstheme="majorBidi"/>
          <w:i/>
          <w:iCs/>
          <w:sz w:val="24"/>
          <w:szCs w:val="24"/>
        </w:rPr>
        <w:t>36</w:t>
      </w:r>
      <w:r w:rsidRPr="006B75C2">
        <w:rPr>
          <w:rFonts w:asciiTheme="majorBidi" w:hAnsiTheme="majorBidi" w:cstheme="majorBidi"/>
          <w:sz w:val="24"/>
          <w:szCs w:val="24"/>
        </w:rPr>
        <w:t>(2): 381-403.</w:t>
      </w:r>
    </w:p>
    <w:p w14:paraId="04E59011" w14:textId="77777777" w:rsidR="006B75C2" w:rsidRPr="006B75C2" w:rsidRDefault="006B75C2" w:rsidP="006B75C2">
      <w:pPr>
        <w:spacing w:line="240" w:lineRule="auto"/>
        <w:jc w:val="both"/>
        <w:rPr>
          <w:rFonts w:asciiTheme="majorBidi" w:hAnsiTheme="majorBidi" w:cstheme="majorBidi"/>
          <w:sz w:val="24"/>
          <w:szCs w:val="24"/>
        </w:rPr>
      </w:pPr>
      <w:r w:rsidRPr="006B75C2">
        <w:rPr>
          <w:rFonts w:asciiTheme="majorBidi" w:hAnsiTheme="majorBidi" w:cstheme="majorBidi"/>
          <w:sz w:val="24"/>
          <w:szCs w:val="24"/>
        </w:rPr>
        <w:t xml:space="preserve">Smith WK, Erez M, Jarvenpaa S, Lewis MW and Tracey P (2017) Adding complexity to theories of paradox, tensions, and dualities of innovation and change: Introduction to organization studies special issue on paradox, tensions, and dualities of innovation and change. </w:t>
      </w:r>
      <w:r w:rsidRPr="006B75C2">
        <w:rPr>
          <w:rFonts w:asciiTheme="majorBidi" w:hAnsiTheme="majorBidi" w:cstheme="majorBidi"/>
          <w:i/>
          <w:iCs/>
          <w:sz w:val="24"/>
          <w:szCs w:val="24"/>
        </w:rPr>
        <w:t>Organization Studies</w:t>
      </w:r>
      <w:r w:rsidRPr="006B75C2">
        <w:rPr>
          <w:rFonts w:asciiTheme="majorBidi" w:hAnsiTheme="majorBidi" w:cstheme="majorBidi"/>
          <w:sz w:val="24"/>
          <w:szCs w:val="24"/>
        </w:rPr>
        <w:t xml:space="preserve"> 38 (3-4):303-317.</w:t>
      </w:r>
    </w:p>
    <w:p w14:paraId="75D48310" w14:textId="77777777" w:rsidR="006B75C2" w:rsidRPr="006B75C2" w:rsidRDefault="006B75C2" w:rsidP="006B75C2">
      <w:pPr>
        <w:spacing w:line="240" w:lineRule="auto"/>
        <w:jc w:val="both"/>
        <w:rPr>
          <w:rFonts w:asciiTheme="majorBidi" w:hAnsiTheme="majorBidi" w:cstheme="majorBidi"/>
          <w:sz w:val="24"/>
          <w:szCs w:val="24"/>
        </w:rPr>
      </w:pPr>
      <w:r w:rsidRPr="006B75C2">
        <w:rPr>
          <w:rFonts w:asciiTheme="majorBidi" w:hAnsiTheme="majorBidi" w:cstheme="majorBidi"/>
          <w:sz w:val="24"/>
          <w:szCs w:val="24"/>
        </w:rPr>
        <w:t xml:space="preserve">Strauss A and Corbin J (1998) </w:t>
      </w:r>
      <w:r w:rsidRPr="006B75C2">
        <w:rPr>
          <w:rFonts w:asciiTheme="majorBidi" w:hAnsiTheme="majorBidi" w:cstheme="majorBidi"/>
          <w:i/>
          <w:sz w:val="24"/>
          <w:szCs w:val="24"/>
        </w:rPr>
        <w:t>Basics of Qualitative Research. Techniques and Procedures for Developing Grounded Theory</w:t>
      </w:r>
      <w:r w:rsidRPr="006B75C2">
        <w:rPr>
          <w:rFonts w:asciiTheme="majorBidi" w:hAnsiTheme="majorBidi" w:cstheme="majorBidi"/>
          <w:sz w:val="24"/>
          <w:szCs w:val="24"/>
        </w:rPr>
        <w:t>, 2nd Edition. London: Sage.</w:t>
      </w:r>
    </w:p>
    <w:p w14:paraId="74B4E110" w14:textId="77777777" w:rsidR="006B75C2" w:rsidRPr="006B75C2" w:rsidRDefault="006B75C2" w:rsidP="006B75C2">
      <w:pPr>
        <w:spacing w:line="240" w:lineRule="auto"/>
        <w:jc w:val="both"/>
        <w:rPr>
          <w:rFonts w:asciiTheme="majorBidi" w:hAnsiTheme="majorBidi" w:cstheme="majorBidi"/>
          <w:sz w:val="24"/>
          <w:szCs w:val="24"/>
        </w:rPr>
      </w:pPr>
      <w:r w:rsidRPr="006B75C2">
        <w:rPr>
          <w:rFonts w:asciiTheme="majorBidi" w:hAnsiTheme="majorBidi" w:cstheme="majorBidi"/>
          <w:sz w:val="24"/>
          <w:szCs w:val="24"/>
        </w:rPr>
        <w:t xml:space="preserve">Suddaby R (2006) From the editors: What grounded theory is not. </w:t>
      </w:r>
      <w:r w:rsidRPr="006B75C2">
        <w:rPr>
          <w:rFonts w:asciiTheme="majorBidi" w:hAnsiTheme="majorBidi" w:cstheme="majorBidi"/>
          <w:bCs/>
          <w:i/>
          <w:sz w:val="24"/>
          <w:szCs w:val="24"/>
        </w:rPr>
        <w:t>Academy of Management Journal</w:t>
      </w:r>
      <w:r w:rsidRPr="006B75C2">
        <w:rPr>
          <w:rFonts w:asciiTheme="majorBidi" w:hAnsiTheme="majorBidi" w:cstheme="majorBidi"/>
          <w:sz w:val="24"/>
          <w:szCs w:val="24"/>
        </w:rPr>
        <w:t xml:space="preserve"> 49 (4):  633-642.</w:t>
      </w:r>
    </w:p>
    <w:p w14:paraId="5A2B2483" w14:textId="77777777" w:rsidR="006B75C2" w:rsidRPr="006B75C2" w:rsidRDefault="006B75C2" w:rsidP="006B75C2">
      <w:pPr>
        <w:spacing w:line="240" w:lineRule="auto"/>
        <w:jc w:val="both"/>
        <w:rPr>
          <w:rFonts w:asciiTheme="majorBidi" w:hAnsiTheme="majorBidi" w:cstheme="majorBidi"/>
          <w:sz w:val="24"/>
          <w:szCs w:val="24"/>
        </w:rPr>
      </w:pPr>
      <w:r w:rsidRPr="006B75C2">
        <w:rPr>
          <w:rFonts w:asciiTheme="majorBidi" w:hAnsiTheme="majorBidi" w:cstheme="majorBidi" w:hint="eastAsia"/>
          <w:sz w:val="24"/>
          <w:szCs w:val="24"/>
        </w:rPr>
        <w:t>Thomas K</w:t>
      </w:r>
      <w:r w:rsidRPr="006B75C2">
        <w:rPr>
          <w:rFonts w:asciiTheme="majorBidi" w:hAnsiTheme="majorBidi" w:cstheme="majorBidi"/>
          <w:sz w:val="24"/>
          <w:szCs w:val="24"/>
        </w:rPr>
        <w:t xml:space="preserve"> and</w:t>
      </w:r>
      <w:r w:rsidRPr="006B75C2">
        <w:rPr>
          <w:rFonts w:asciiTheme="majorBidi" w:hAnsiTheme="majorBidi" w:cstheme="majorBidi" w:hint="eastAsia"/>
          <w:sz w:val="24"/>
          <w:szCs w:val="24"/>
        </w:rPr>
        <w:t xml:space="preserve"> Allen S (2006) The learning organisation: a meta</w:t>
      </w:r>
      <w:r w:rsidRPr="006B75C2">
        <w:rPr>
          <w:rFonts w:asciiTheme="majorBidi" w:hAnsiTheme="majorBidi" w:cstheme="majorBidi" w:hint="eastAsia"/>
          <w:sz w:val="24"/>
          <w:szCs w:val="24"/>
        </w:rPr>
        <w:t>‐</w:t>
      </w:r>
      <w:r w:rsidRPr="006B75C2">
        <w:rPr>
          <w:rFonts w:asciiTheme="majorBidi" w:hAnsiTheme="majorBidi" w:cstheme="majorBidi" w:hint="eastAsia"/>
          <w:sz w:val="24"/>
          <w:szCs w:val="24"/>
        </w:rPr>
        <w:t xml:space="preserve">analysis of themes in literature. </w:t>
      </w:r>
      <w:r w:rsidRPr="006B75C2">
        <w:rPr>
          <w:rFonts w:asciiTheme="majorBidi" w:hAnsiTheme="majorBidi" w:cstheme="majorBidi" w:hint="eastAsia"/>
          <w:i/>
          <w:iCs/>
          <w:sz w:val="24"/>
          <w:szCs w:val="24"/>
        </w:rPr>
        <w:t xml:space="preserve">The </w:t>
      </w:r>
      <w:r w:rsidRPr="006B75C2">
        <w:rPr>
          <w:rFonts w:asciiTheme="majorBidi" w:hAnsiTheme="majorBidi" w:cstheme="majorBidi"/>
          <w:i/>
          <w:iCs/>
          <w:sz w:val="24"/>
          <w:szCs w:val="24"/>
        </w:rPr>
        <w:t>L</w:t>
      </w:r>
      <w:r w:rsidRPr="006B75C2">
        <w:rPr>
          <w:rFonts w:asciiTheme="majorBidi" w:hAnsiTheme="majorBidi" w:cstheme="majorBidi" w:hint="eastAsia"/>
          <w:i/>
          <w:iCs/>
          <w:sz w:val="24"/>
          <w:szCs w:val="24"/>
        </w:rPr>
        <w:t xml:space="preserve">earning </w:t>
      </w:r>
      <w:r w:rsidRPr="006B75C2">
        <w:rPr>
          <w:rFonts w:asciiTheme="majorBidi" w:hAnsiTheme="majorBidi" w:cstheme="majorBidi"/>
          <w:i/>
          <w:iCs/>
          <w:sz w:val="24"/>
          <w:szCs w:val="24"/>
        </w:rPr>
        <w:t>O</w:t>
      </w:r>
      <w:r w:rsidRPr="006B75C2">
        <w:rPr>
          <w:rFonts w:asciiTheme="majorBidi" w:hAnsiTheme="majorBidi" w:cstheme="majorBidi" w:hint="eastAsia"/>
          <w:i/>
          <w:iCs/>
          <w:sz w:val="24"/>
          <w:szCs w:val="24"/>
        </w:rPr>
        <w:t>rganization,</w:t>
      </w:r>
      <w:r w:rsidRPr="006B75C2">
        <w:rPr>
          <w:rFonts w:asciiTheme="majorBidi" w:hAnsiTheme="majorBidi" w:cstheme="majorBidi" w:hint="eastAsia"/>
          <w:sz w:val="24"/>
          <w:szCs w:val="24"/>
        </w:rPr>
        <w:t xml:space="preserve"> 13(2)</w:t>
      </w:r>
      <w:r w:rsidRPr="006B75C2">
        <w:rPr>
          <w:rFonts w:asciiTheme="majorBidi" w:hAnsiTheme="majorBidi" w:cstheme="majorBidi"/>
          <w:sz w:val="24"/>
          <w:szCs w:val="24"/>
        </w:rPr>
        <w:t>:</w:t>
      </w:r>
      <w:r w:rsidRPr="006B75C2">
        <w:rPr>
          <w:rFonts w:asciiTheme="majorBidi" w:hAnsiTheme="majorBidi" w:cstheme="majorBidi" w:hint="eastAsia"/>
          <w:sz w:val="24"/>
          <w:szCs w:val="24"/>
        </w:rPr>
        <w:t xml:space="preserve"> 123-139.</w:t>
      </w:r>
    </w:p>
    <w:p w14:paraId="44249F9D" w14:textId="77777777" w:rsidR="006B75C2" w:rsidRPr="006B75C2" w:rsidRDefault="006B75C2" w:rsidP="006B75C2">
      <w:pPr>
        <w:spacing w:line="240" w:lineRule="auto"/>
        <w:jc w:val="both"/>
        <w:rPr>
          <w:rFonts w:asciiTheme="majorBidi" w:hAnsiTheme="majorBidi" w:cstheme="majorBidi"/>
          <w:sz w:val="24"/>
          <w:szCs w:val="24"/>
        </w:rPr>
      </w:pPr>
      <w:r w:rsidRPr="006B75C2">
        <w:rPr>
          <w:rFonts w:asciiTheme="majorBidi" w:hAnsiTheme="majorBidi" w:cstheme="majorBidi"/>
          <w:sz w:val="24"/>
          <w:szCs w:val="24"/>
        </w:rPr>
        <w:t xml:space="preserve">Tomkins L and Bristow A (2023) Paradoxes of organisational learning in policing: ‘The truth, but not the whole truth, for everyone’s sake’. </w:t>
      </w:r>
      <w:r w:rsidRPr="006B75C2">
        <w:rPr>
          <w:rFonts w:asciiTheme="majorBidi" w:hAnsiTheme="majorBidi" w:cstheme="majorBidi"/>
          <w:i/>
          <w:iCs/>
          <w:sz w:val="24"/>
          <w:szCs w:val="24"/>
        </w:rPr>
        <w:t>Management Learning</w:t>
      </w:r>
      <w:r w:rsidRPr="006B75C2">
        <w:rPr>
          <w:rFonts w:asciiTheme="majorBidi" w:hAnsiTheme="majorBidi" w:cstheme="majorBidi"/>
          <w:sz w:val="24"/>
          <w:szCs w:val="24"/>
        </w:rPr>
        <w:t xml:space="preserve"> 13505076231179540.</w:t>
      </w:r>
    </w:p>
    <w:p w14:paraId="4C0C24B3" w14:textId="77777777" w:rsidR="006B75C2" w:rsidRPr="006B75C2" w:rsidRDefault="006B75C2" w:rsidP="006B75C2">
      <w:pPr>
        <w:spacing w:line="240" w:lineRule="auto"/>
        <w:jc w:val="both"/>
        <w:rPr>
          <w:rFonts w:asciiTheme="majorBidi" w:hAnsiTheme="majorBidi" w:cstheme="majorBidi"/>
          <w:sz w:val="24"/>
          <w:szCs w:val="24"/>
        </w:rPr>
      </w:pPr>
      <w:r w:rsidRPr="006B75C2">
        <w:rPr>
          <w:rFonts w:asciiTheme="majorBidi" w:hAnsiTheme="majorBidi" w:cstheme="majorBidi"/>
          <w:sz w:val="24"/>
          <w:szCs w:val="24"/>
        </w:rPr>
        <w:t>Tosey P (2005) The hunting of the learning organization: A paradoxical journey. </w:t>
      </w:r>
      <w:r w:rsidRPr="006B75C2">
        <w:rPr>
          <w:rFonts w:asciiTheme="majorBidi" w:hAnsiTheme="majorBidi" w:cstheme="majorBidi"/>
          <w:i/>
          <w:iCs/>
          <w:sz w:val="24"/>
          <w:szCs w:val="24"/>
        </w:rPr>
        <w:t>Management Learning</w:t>
      </w:r>
      <w:r w:rsidRPr="006B75C2">
        <w:rPr>
          <w:rFonts w:asciiTheme="majorBidi" w:hAnsiTheme="majorBidi" w:cstheme="majorBidi"/>
          <w:sz w:val="24"/>
          <w:szCs w:val="24"/>
        </w:rPr>
        <w:t> </w:t>
      </w:r>
      <w:r w:rsidRPr="006B75C2">
        <w:rPr>
          <w:rFonts w:asciiTheme="majorBidi" w:hAnsiTheme="majorBidi" w:cstheme="majorBidi"/>
          <w:i/>
          <w:iCs/>
          <w:sz w:val="24"/>
          <w:szCs w:val="24"/>
        </w:rPr>
        <w:t>36</w:t>
      </w:r>
      <w:r w:rsidRPr="006B75C2">
        <w:rPr>
          <w:rFonts w:asciiTheme="majorBidi" w:hAnsiTheme="majorBidi" w:cstheme="majorBidi"/>
          <w:sz w:val="24"/>
          <w:szCs w:val="24"/>
        </w:rPr>
        <w:t>(3): 335-352.</w:t>
      </w:r>
    </w:p>
    <w:p w14:paraId="08E8B8A1" w14:textId="77777777" w:rsidR="006B75C2" w:rsidRPr="006B75C2" w:rsidRDefault="006B75C2" w:rsidP="006B75C2">
      <w:pPr>
        <w:spacing w:line="240" w:lineRule="auto"/>
        <w:jc w:val="both"/>
        <w:rPr>
          <w:rFonts w:asciiTheme="majorBidi" w:hAnsiTheme="majorBidi" w:cstheme="majorBidi"/>
          <w:sz w:val="24"/>
          <w:szCs w:val="24"/>
        </w:rPr>
      </w:pPr>
      <w:r w:rsidRPr="006B75C2">
        <w:rPr>
          <w:rFonts w:asciiTheme="majorBidi" w:hAnsiTheme="majorBidi" w:cstheme="majorBidi"/>
          <w:sz w:val="24"/>
          <w:szCs w:val="24"/>
        </w:rPr>
        <w:lastRenderedPageBreak/>
        <w:t xml:space="preserve">Van Maanen J (1979) Reclaiming qualitative methods for organizational research: A preface. </w:t>
      </w:r>
      <w:r w:rsidRPr="006B75C2">
        <w:rPr>
          <w:rFonts w:asciiTheme="majorBidi" w:hAnsiTheme="majorBidi" w:cstheme="majorBidi"/>
          <w:bCs/>
          <w:i/>
          <w:sz w:val="24"/>
          <w:szCs w:val="24"/>
        </w:rPr>
        <w:t>Administrative Science Quarterly</w:t>
      </w:r>
      <w:r w:rsidRPr="006B75C2">
        <w:rPr>
          <w:rFonts w:asciiTheme="majorBidi" w:hAnsiTheme="majorBidi" w:cstheme="majorBidi"/>
          <w:sz w:val="24"/>
          <w:szCs w:val="24"/>
        </w:rPr>
        <w:t xml:space="preserve"> 24:520-526. </w:t>
      </w:r>
    </w:p>
    <w:p w14:paraId="62FFA48B" w14:textId="77777777" w:rsidR="006B75C2" w:rsidRPr="006B75C2" w:rsidRDefault="006B75C2" w:rsidP="006B75C2">
      <w:pPr>
        <w:spacing w:line="240" w:lineRule="auto"/>
        <w:jc w:val="both"/>
        <w:rPr>
          <w:rFonts w:asciiTheme="majorBidi" w:hAnsiTheme="majorBidi" w:cstheme="majorBidi"/>
          <w:sz w:val="24"/>
          <w:szCs w:val="24"/>
        </w:rPr>
      </w:pPr>
      <w:r w:rsidRPr="006B75C2">
        <w:rPr>
          <w:rFonts w:asciiTheme="majorBidi" w:hAnsiTheme="majorBidi" w:cstheme="majorBidi"/>
          <w:sz w:val="24"/>
          <w:szCs w:val="24"/>
        </w:rPr>
        <w:t xml:space="preserve">Vince R (2018) The learning organization as paradox: Being for the learning organization also means being against it. </w:t>
      </w:r>
      <w:r w:rsidRPr="006B75C2">
        <w:rPr>
          <w:rFonts w:asciiTheme="majorBidi" w:hAnsiTheme="majorBidi" w:cstheme="majorBidi"/>
          <w:i/>
          <w:sz w:val="24"/>
          <w:szCs w:val="24"/>
        </w:rPr>
        <w:t>The Learning Organization</w:t>
      </w:r>
      <w:r w:rsidRPr="006B75C2">
        <w:rPr>
          <w:rFonts w:asciiTheme="majorBidi" w:hAnsiTheme="majorBidi" w:cstheme="majorBidi"/>
          <w:sz w:val="24"/>
          <w:szCs w:val="24"/>
        </w:rPr>
        <w:t xml:space="preserve"> 25 (4): 273-280.</w:t>
      </w:r>
    </w:p>
    <w:p w14:paraId="04586136" w14:textId="77777777" w:rsidR="006B75C2" w:rsidRPr="006B75C2" w:rsidRDefault="006B75C2" w:rsidP="006B75C2">
      <w:pPr>
        <w:spacing w:line="240" w:lineRule="auto"/>
        <w:jc w:val="both"/>
        <w:rPr>
          <w:rFonts w:asciiTheme="majorBidi" w:hAnsiTheme="majorBidi" w:cstheme="majorBidi"/>
          <w:sz w:val="24"/>
          <w:szCs w:val="24"/>
        </w:rPr>
      </w:pPr>
      <w:r w:rsidRPr="006B75C2">
        <w:rPr>
          <w:rFonts w:asciiTheme="majorBidi" w:hAnsiTheme="majorBidi" w:cstheme="majorBidi"/>
          <w:sz w:val="24"/>
          <w:szCs w:val="24"/>
        </w:rPr>
        <w:t xml:space="preserve">Vince R (2008) ‘Learning-in-action’ and ‘learning inaction’: advancing the theory and practice of critical action learning. </w:t>
      </w:r>
      <w:r w:rsidRPr="006B75C2">
        <w:rPr>
          <w:rFonts w:asciiTheme="majorBidi" w:hAnsiTheme="majorBidi" w:cstheme="majorBidi"/>
          <w:i/>
          <w:iCs/>
          <w:sz w:val="24"/>
          <w:szCs w:val="24"/>
        </w:rPr>
        <w:t>Action Learning: Research and Practice</w:t>
      </w:r>
      <w:r w:rsidRPr="006B75C2">
        <w:rPr>
          <w:rFonts w:asciiTheme="majorBidi" w:hAnsiTheme="majorBidi" w:cstheme="majorBidi"/>
          <w:sz w:val="24"/>
          <w:szCs w:val="24"/>
        </w:rPr>
        <w:t>, 5(2): 93-104.</w:t>
      </w:r>
    </w:p>
    <w:p w14:paraId="4D95F9A2" w14:textId="77777777" w:rsidR="006B75C2" w:rsidRPr="006B75C2" w:rsidRDefault="006B75C2" w:rsidP="006B75C2">
      <w:pPr>
        <w:spacing w:line="240" w:lineRule="auto"/>
        <w:jc w:val="both"/>
        <w:rPr>
          <w:rFonts w:asciiTheme="majorBidi" w:hAnsiTheme="majorBidi" w:cstheme="majorBidi"/>
          <w:sz w:val="24"/>
          <w:szCs w:val="24"/>
        </w:rPr>
      </w:pPr>
      <w:r w:rsidRPr="006B75C2">
        <w:rPr>
          <w:rFonts w:asciiTheme="majorBidi" w:hAnsiTheme="majorBidi" w:cstheme="majorBidi"/>
          <w:sz w:val="24"/>
          <w:szCs w:val="24"/>
        </w:rPr>
        <w:t xml:space="preserve">Vince R (2004). Action learning and organizational learning: Power, politics and emotion in organizations. </w:t>
      </w:r>
      <w:r w:rsidRPr="006B75C2">
        <w:rPr>
          <w:rFonts w:asciiTheme="majorBidi" w:hAnsiTheme="majorBidi" w:cstheme="majorBidi"/>
          <w:i/>
          <w:iCs/>
          <w:sz w:val="24"/>
          <w:szCs w:val="24"/>
        </w:rPr>
        <w:t>Action Learning: Research and Practice</w:t>
      </w:r>
      <w:r w:rsidRPr="006B75C2">
        <w:rPr>
          <w:rFonts w:asciiTheme="majorBidi" w:hAnsiTheme="majorBidi" w:cstheme="majorBidi"/>
          <w:sz w:val="24"/>
          <w:szCs w:val="24"/>
        </w:rPr>
        <w:t xml:space="preserve"> 1(1): 63-78.</w:t>
      </w:r>
    </w:p>
    <w:p w14:paraId="0D968B5B" w14:textId="77777777" w:rsidR="006B75C2" w:rsidRPr="006B75C2" w:rsidRDefault="006B75C2" w:rsidP="006B75C2">
      <w:pPr>
        <w:spacing w:line="240" w:lineRule="auto"/>
        <w:jc w:val="both"/>
        <w:rPr>
          <w:rFonts w:asciiTheme="majorBidi" w:hAnsiTheme="majorBidi" w:cstheme="majorBidi"/>
          <w:sz w:val="24"/>
          <w:szCs w:val="24"/>
        </w:rPr>
      </w:pPr>
      <w:r w:rsidRPr="006B75C2">
        <w:rPr>
          <w:rFonts w:asciiTheme="majorBidi" w:hAnsiTheme="majorBidi" w:cstheme="majorBidi"/>
          <w:sz w:val="24"/>
          <w:szCs w:val="24"/>
        </w:rPr>
        <w:t xml:space="preserve">Watkins KE and Marsick VJ (1993) </w:t>
      </w:r>
      <w:r w:rsidRPr="006B75C2">
        <w:rPr>
          <w:rFonts w:asciiTheme="majorBidi" w:hAnsiTheme="majorBidi" w:cstheme="majorBidi"/>
          <w:i/>
          <w:sz w:val="24"/>
          <w:szCs w:val="24"/>
        </w:rPr>
        <w:t>Sculpting the learning organization: Lessons in the art and science of systemic change</w:t>
      </w:r>
      <w:r w:rsidRPr="006B75C2">
        <w:rPr>
          <w:rFonts w:asciiTheme="majorBidi" w:hAnsiTheme="majorBidi" w:cstheme="majorBidi"/>
          <w:sz w:val="24"/>
          <w:szCs w:val="24"/>
        </w:rPr>
        <w:t>. San Francisco, CA: Jossey Bass.</w:t>
      </w:r>
    </w:p>
    <w:p w14:paraId="636CCAD1" w14:textId="77777777" w:rsidR="006B75C2" w:rsidRPr="006B75C2" w:rsidRDefault="006B75C2" w:rsidP="006B75C2">
      <w:pPr>
        <w:spacing w:line="240" w:lineRule="auto"/>
        <w:rPr>
          <w:rFonts w:asciiTheme="majorBidi" w:hAnsiTheme="majorBidi" w:cstheme="majorBidi"/>
          <w:bCs/>
          <w:sz w:val="24"/>
          <w:szCs w:val="24"/>
        </w:rPr>
      </w:pPr>
      <w:r w:rsidRPr="006B75C2">
        <w:rPr>
          <w:rFonts w:asciiTheme="majorBidi" w:hAnsiTheme="majorBidi" w:cstheme="majorBidi"/>
          <w:bCs/>
          <w:sz w:val="24"/>
          <w:szCs w:val="24"/>
        </w:rPr>
        <w:br w:type="page"/>
      </w:r>
    </w:p>
    <w:p w14:paraId="5FADACEF" w14:textId="77777777" w:rsidR="006B75C2" w:rsidRPr="006B75C2" w:rsidRDefault="006B75C2" w:rsidP="006B75C2">
      <w:pPr>
        <w:spacing w:line="240" w:lineRule="auto"/>
        <w:jc w:val="center"/>
        <w:rPr>
          <w:rFonts w:asciiTheme="majorBidi" w:hAnsiTheme="majorBidi" w:cstheme="majorBidi"/>
          <w:b/>
          <w:sz w:val="24"/>
          <w:szCs w:val="24"/>
        </w:rPr>
      </w:pPr>
      <w:r w:rsidRPr="006B75C2">
        <w:rPr>
          <w:rFonts w:asciiTheme="majorBidi" w:hAnsiTheme="majorBidi" w:cstheme="majorBidi"/>
          <w:b/>
          <w:sz w:val="24"/>
          <w:szCs w:val="24"/>
        </w:rPr>
        <w:lastRenderedPageBreak/>
        <w:t>Table 1: Data structure</w:t>
      </w:r>
    </w:p>
    <w:p w14:paraId="24D03414" w14:textId="77777777" w:rsidR="006B75C2" w:rsidRPr="006B75C2" w:rsidRDefault="006B75C2" w:rsidP="006B75C2">
      <w:pPr>
        <w:spacing w:line="240" w:lineRule="auto"/>
        <w:jc w:val="center"/>
        <w:rPr>
          <w:rFonts w:asciiTheme="majorBidi" w:hAnsiTheme="majorBidi" w:cstheme="majorBidi"/>
          <w:b/>
          <w:sz w:val="24"/>
          <w:szCs w:val="24"/>
        </w:rPr>
      </w:pPr>
    </w:p>
    <w:tbl>
      <w:tblPr>
        <w:tblStyle w:val="TableGrid"/>
        <w:tblW w:w="0" w:type="auto"/>
        <w:tblLook w:val="04A0" w:firstRow="1" w:lastRow="0" w:firstColumn="1" w:lastColumn="0" w:noHBand="0" w:noVBand="1"/>
      </w:tblPr>
      <w:tblGrid>
        <w:gridCol w:w="3005"/>
        <w:gridCol w:w="3005"/>
        <w:gridCol w:w="3006"/>
      </w:tblGrid>
      <w:tr w:rsidR="006B75C2" w:rsidRPr="006B75C2" w14:paraId="5F8160A4" w14:textId="77777777" w:rsidTr="0084201C">
        <w:tc>
          <w:tcPr>
            <w:tcW w:w="3005" w:type="dxa"/>
          </w:tcPr>
          <w:p w14:paraId="626AA247" w14:textId="77777777" w:rsidR="006B75C2" w:rsidRPr="006B75C2" w:rsidRDefault="006B75C2" w:rsidP="006B75C2">
            <w:pPr>
              <w:rPr>
                <w:rFonts w:asciiTheme="majorBidi" w:hAnsiTheme="majorBidi" w:cstheme="majorBidi"/>
                <w:b/>
                <w:bCs/>
                <w:sz w:val="24"/>
                <w:szCs w:val="24"/>
              </w:rPr>
            </w:pPr>
            <w:r w:rsidRPr="006B75C2">
              <w:rPr>
                <w:rFonts w:asciiTheme="majorBidi" w:hAnsiTheme="majorBidi" w:cstheme="majorBidi"/>
                <w:b/>
                <w:bCs/>
                <w:sz w:val="24"/>
                <w:szCs w:val="24"/>
              </w:rPr>
              <w:t>First Order Codes</w:t>
            </w:r>
          </w:p>
        </w:tc>
        <w:tc>
          <w:tcPr>
            <w:tcW w:w="3005" w:type="dxa"/>
          </w:tcPr>
          <w:p w14:paraId="2FE074C8" w14:textId="77777777" w:rsidR="006B75C2" w:rsidRPr="006B75C2" w:rsidRDefault="006B75C2" w:rsidP="006B75C2">
            <w:pPr>
              <w:rPr>
                <w:rFonts w:asciiTheme="majorBidi" w:hAnsiTheme="majorBidi" w:cstheme="majorBidi"/>
                <w:b/>
                <w:bCs/>
                <w:sz w:val="24"/>
                <w:szCs w:val="24"/>
              </w:rPr>
            </w:pPr>
            <w:r w:rsidRPr="006B75C2">
              <w:rPr>
                <w:rFonts w:asciiTheme="majorBidi" w:hAnsiTheme="majorBidi" w:cstheme="majorBidi"/>
                <w:b/>
                <w:bCs/>
                <w:sz w:val="24"/>
                <w:szCs w:val="24"/>
              </w:rPr>
              <w:t>Second Order Codes</w:t>
            </w:r>
          </w:p>
        </w:tc>
        <w:tc>
          <w:tcPr>
            <w:tcW w:w="3006" w:type="dxa"/>
          </w:tcPr>
          <w:p w14:paraId="50ECE137" w14:textId="77777777" w:rsidR="006B75C2" w:rsidRPr="006B75C2" w:rsidRDefault="006B75C2" w:rsidP="006B75C2">
            <w:pPr>
              <w:rPr>
                <w:rFonts w:asciiTheme="majorBidi" w:hAnsiTheme="majorBidi" w:cstheme="majorBidi"/>
                <w:b/>
                <w:bCs/>
                <w:sz w:val="24"/>
                <w:szCs w:val="24"/>
              </w:rPr>
            </w:pPr>
            <w:r w:rsidRPr="006B75C2">
              <w:rPr>
                <w:rFonts w:asciiTheme="majorBidi" w:hAnsiTheme="majorBidi" w:cstheme="majorBidi"/>
                <w:b/>
                <w:bCs/>
                <w:sz w:val="24"/>
                <w:szCs w:val="24"/>
              </w:rPr>
              <w:t>Aggregate Dimensions</w:t>
            </w:r>
          </w:p>
          <w:p w14:paraId="2A88DC8A" w14:textId="77777777" w:rsidR="006B75C2" w:rsidRPr="006B75C2" w:rsidRDefault="006B75C2" w:rsidP="006B75C2">
            <w:pPr>
              <w:rPr>
                <w:rFonts w:asciiTheme="majorBidi" w:hAnsiTheme="majorBidi" w:cstheme="majorBidi"/>
                <w:b/>
                <w:bCs/>
                <w:sz w:val="24"/>
                <w:szCs w:val="24"/>
              </w:rPr>
            </w:pPr>
          </w:p>
        </w:tc>
      </w:tr>
      <w:tr w:rsidR="006B75C2" w:rsidRPr="006B75C2" w14:paraId="5E5A5F5E" w14:textId="77777777" w:rsidTr="0084201C">
        <w:tc>
          <w:tcPr>
            <w:tcW w:w="3005" w:type="dxa"/>
          </w:tcPr>
          <w:p w14:paraId="01654A80" w14:textId="77777777" w:rsidR="006B75C2" w:rsidRPr="006B75C2" w:rsidRDefault="006B75C2" w:rsidP="006B75C2">
            <w:pPr>
              <w:numPr>
                <w:ilvl w:val="0"/>
                <w:numId w:val="2"/>
              </w:numPr>
              <w:contextualSpacing/>
              <w:rPr>
                <w:rFonts w:asciiTheme="majorBidi" w:hAnsiTheme="majorBidi" w:cstheme="majorBidi"/>
                <w:sz w:val="24"/>
                <w:szCs w:val="24"/>
              </w:rPr>
            </w:pPr>
            <w:r w:rsidRPr="006B75C2">
              <w:rPr>
                <w:rFonts w:asciiTheme="majorBidi" w:hAnsiTheme="majorBidi" w:cstheme="majorBidi"/>
                <w:sz w:val="24"/>
                <w:szCs w:val="24"/>
              </w:rPr>
              <w:t>Culture of care for learning</w:t>
            </w:r>
          </w:p>
          <w:p w14:paraId="25E7B897" w14:textId="77777777" w:rsidR="006B75C2" w:rsidRPr="006B75C2" w:rsidRDefault="006B75C2" w:rsidP="006B75C2">
            <w:pPr>
              <w:numPr>
                <w:ilvl w:val="0"/>
                <w:numId w:val="2"/>
              </w:numPr>
              <w:contextualSpacing/>
              <w:rPr>
                <w:rFonts w:asciiTheme="majorBidi" w:hAnsiTheme="majorBidi" w:cstheme="majorBidi"/>
                <w:sz w:val="24"/>
                <w:szCs w:val="24"/>
              </w:rPr>
            </w:pPr>
            <w:r w:rsidRPr="006B75C2">
              <w:rPr>
                <w:rFonts w:asciiTheme="majorBidi" w:hAnsiTheme="majorBidi" w:cstheme="majorBidi"/>
                <w:sz w:val="24"/>
                <w:szCs w:val="24"/>
              </w:rPr>
              <w:t>Empowerment</w:t>
            </w:r>
          </w:p>
          <w:p w14:paraId="45A13327" w14:textId="77777777" w:rsidR="006B75C2" w:rsidRPr="006B75C2" w:rsidRDefault="006B75C2" w:rsidP="006B75C2">
            <w:pPr>
              <w:numPr>
                <w:ilvl w:val="0"/>
                <w:numId w:val="2"/>
              </w:numPr>
              <w:contextualSpacing/>
              <w:rPr>
                <w:rFonts w:asciiTheme="majorBidi" w:hAnsiTheme="majorBidi" w:cstheme="majorBidi"/>
                <w:sz w:val="24"/>
                <w:szCs w:val="24"/>
              </w:rPr>
            </w:pPr>
            <w:r w:rsidRPr="006B75C2">
              <w:rPr>
                <w:rFonts w:asciiTheme="majorBidi" w:hAnsiTheme="majorBidi" w:cstheme="majorBidi"/>
                <w:sz w:val="24"/>
                <w:szCs w:val="24"/>
              </w:rPr>
              <w:t>Inquiry &amp; Openness</w:t>
            </w:r>
          </w:p>
          <w:p w14:paraId="54342A48" w14:textId="77777777" w:rsidR="006B75C2" w:rsidRPr="006B75C2" w:rsidRDefault="006B75C2" w:rsidP="006B75C2">
            <w:pPr>
              <w:numPr>
                <w:ilvl w:val="0"/>
                <w:numId w:val="2"/>
              </w:numPr>
              <w:contextualSpacing/>
              <w:rPr>
                <w:rFonts w:asciiTheme="majorBidi" w:hAnsiTheme="majorBidi" w:cstheme="majorBidi"/>
                <w:sz w:val="24"/>
                <w:szCs w:val="24"/>
              </w:rPr>
            </w:pPr>
            <w:r w:rsidRPr="006B75C2">
              <w:rPr>
                <w:rFonts w:asciiTheme="majorBidi" w:hAnsiTheme="majorBidi" w:cstheme="majorBidi"/>
                <w:sz w:val="24"/>
                <w:szCs w:val="24"/>
              </w:rPr>
              <w:t>Collaboration</w:t>
            </w:r>
          </w:p>
          <w:p w14:paraId="7046FCD9" w14:textId="77777777" w:rsidR="006B75C2" w:rsidRPr="006B75C2" w:rsidRDefault="006B75C2" w:rsidP="006B75C2">
            <w:pPr>
              <w:numPr>
                <w:ilvl w:val="0"/>
                <w:numId w:val="2"/>
              </w:numPr>
              <w:contextualSpacing/>
              <w:rPr>
                <w:rFonts w:asciiTheme="majorBidi" w:hAnsiTheme="majorBidi" w:cstheme="majorBidi"/>
                <w:sz w:val="24"/>
                <w:szCs w:val="24"/>
              </w:rPr>
            </w:pPr>
            <w:r w:rsidRPr="006B75C2">
              <w:rPr>
                <w:rFonts w:asciiTheme="majorBidi" w:hAnsiTheme="majorBidi" w:cstheme="majorBidi"/>
                <w:sz w:val="24"/>
                <w:szCs w:val="24"/>
              </w:rPr>
              <w:t>Learning capture &amp; recognition</w:t>
            </w:r>
          </w:p>
        </w:tc>
        <w:tc>
          <w:tcPr>
            <w:tcW w:w="3005" w:type="dxa"/>
          </w:tcPr>
          <w:p w14:paraId="6E5EF1DD" w14:textId="77777777" w:rsidR="006B75C2" w:rsidRPr="006B75C2" w:rsidRDefault="006B75C2" w:rsidP="006B75C2">
            <w:pPr>
              <w:rPr>
                <w:rFonts w:asciiTheme="majorBidi" w:hAnsiTheme="majorBidi" w:cstheme="majorBidi"/>
                <w:sz w:val="24"/>
                <w:szCs w:val="24"/>
              </w:rPr>
            </w:pPr>
            <w:r w:rsidRPr="006B75C2">
              <w:rPr>
                <w:rFonts w:asciiTheme="majorBidi" w:hAnsiTheme="majorBidi" w:cstheme="majorBidi"/>
                <w:sz w:val="24"/>
                <w:szCs w:val="24"/>
              </w:rPr>
              <w:t>Conditions for learning</w:t>
            </w:r>
          </w:p>
        </w:tc>
        <w:tc>
          <w:tcPr>
            <w:tcW w:w="3006" w:type="dxa"/>
          </w:tcPr>
          <w:p w14:paraId="4B718DD1" w14:textId="77777777" w:rsidR="006B75C2" w:rsidRPr="006B75C2" w:rsidRDefault="006B75C2" w:rsidP="006B75C2">
            <w:pPr>
              <w:rPr>
                <w:rFonts w:asciiTheme="majorBidi" w:hAnsiTheme="majorBidi" w:cstheme="majorBidi"/>
                <w:sz w:val="24"/>
                <w:szCs w:val="24"/>
              </w:rPr>
            </w:pPr>
            <w:r w:rsidRPr="006B75C2">
              <w:rPr>
                <w:rFonts w:asciiTheme="majorBidi" w:hAnsiTheme="majorBidi" w:cstheme="majorBidi"/>
                <w:sz w:val="24"/>
                <w:szCs w:val="24"/>
              </w:rPr>
              <w:t>Paradoxical conditions of the learning organisation</w:t>
            </w:r>
          </w:p>
        </w:tc>
      </w:tr>
      <w:tr w:rsidR="006B75C2" w:rsidRPr="006B75C2" w14:paraId="73EFC21D" w14:textId="77777777" w:rsidTr="0084201C">
        <w:tc>
          <w:tcPr>
            <w:tcW w:w="3005" w:type="dxa"/>
          </w:tcPr>
          <w:p w14:paraId="4C098E30" w14:textId="77777777" w:rsidR="006B75C2" w:rsidRPr="006B75C2" w:rsidRDefault="006B75C2" w:rsidP="006B75C2">
            <w:pPr>
              <w:numPr>
                <w:ilvl w:val="0"/>
                <w:numId w:val="2"/>
              </w:numPr>
              <w:contextualSpacing/>
              <w:rPr>
                <w:rFonts w:asciiTheme="majorBidi" w:hAnsiTheme="majorBidi" w:cstheme="majorBidi"/>
                <w:sz w:val="24"/>
                <w:szCs w:val="24"/>
              </w:rPr>
            </w:pPr>
            <w:r w:rsidRPr="006B75C2">
              <w:rPr>
                <w:rFonts w:asciiTheme="majorBidi" w:hAnsiTheme="majorBidi" w:cstheme="majorBidi"/>
                <w:sz w:val="24"/>
                <w:szCs w:val="24"/>
              </w:rPr>
              <w:t>Culture of indifference towards learning</w:t>
            </w:r>
          </w:p>
          <w:p w14:paraId="25A096A3" w14:textId="77777777" w:rsidR="006B75C2" w:rsidRPr="006B75C2" w:rsidRDefault="006B75C2" w:rsidP="006B75C2">
            <w:pPr>
              <w:numPr>
                <w:ilvl w:val="0"/>
                <w:numId w:val="2"/>
              </w:numPr>
              <w:contextualSpacing/>
              <w:rPr>
                <w:rFonts w:asciiTheme="majorBidi" w:hAnsiTheme="majorBidi" w:cstheme="majorBidi"/>
                <w:sz w:val="24"/>
                <w:szCs w:val="24"/>
              </w:rPr>
            </w:pPr>
            <w:r w:rsidRPr="006B75C2">
              <w:rPr>
                <w:rFonts w:asciiTheme="majorBidi" w:hAnsiTheme="majorBidi" w:cstheme="majorBidi"/>
                <w:sz w:val="24"/>
                <w:szCs w:val="24"/>
              </w:rPr>
              <w:t>Disempowerment</w:t>
            </w:r>
          </w:p>
          <w:p w14:paraId="1CBFC4D5" w14:textId="77777777" w:rsidR="006B75C2" w:rsidRPr="006B75C2" w:rsidRDefault="006B75C2" w:rsidP="006B75C2">
            <w:pPr>
              <w:numPr>
                <w:ilvl w:val="0"/>
                <w:numId w:val="2"/>
              </w:numPr>
              <w:contextualSpacing/>
              <w:rPr>
                <w:rFonts w:asciiTheme="majorBidi" w:hAnsiTheme="majorBidi" w:cstheme="majorBidi"/>
                <w:sz w:val="24"/>
                <w:szCs w:val="24"/>
              </w:rPr>
            </w:pPr>
            <w:r w:rsidRPr="006B75C2">
              <w:rPr>
                <w:rFonts w:asciiTheme="majorBidi" w:hAnsiTheme="majorBidi" w:cstheme="majorBidi"/>
                <w:sz w:val="24"/>
                <w:szCs w:val="24"/>
              </w:rPr>
              <w:t>Ignorance &amp; closure</w:t>
            </w:r>
          </w:p>
          <w:p w14:paraId="03EEDC26" w14:textId="77777777" w:rsidR="006B75C2" w:rsidRPr="006B75C2" w:rsidRDefault="006B75C2" w:rsidP="006B75C2">
            <w:pPr>
              <w:numPr>
                <w:ilvl w:val="0"/>
                <w:numId w:val="2"/>
              </w:numPr>
              <w:contextualSpacing/>
              <w:rPr>
                <w:rFonts w:asciiTheme="majorBidi" w:hAnsiTheme="majorBidi" w:cstheme="majorBidi"/>
                <w:sz w:val="24"/>
                <w:szCs w:val="24"/>
              </w:rPr>
            </w:pPr>
            <w:r w:rsidRPr="006B75C2">
              <w:rPr>
                <w:rFonts w:asciiTheme="majorBidi" w:hAnsiTheme="majorBidi" w:cstheme="majorBidi"/>
                <w:sz w:val="24"/>
                <w:szCs w:val="24"/>
              </w:rPr>
              <w:t>Separation</w:t>
            </w:r>
          </w:p>
          <w:p w14:paraId="7D805D31" w14:textId="77777777" w:rsidR="006B75C2" w:rsidRPr="006B75C2" w:rsidRDefault="006B75C2" w:rsidP="006B75C2">
            <w:pPr>
              <w:numPr>
                <w:ilvl w:val="0"/>
                <w:numId w:val="2"/>
              </w:numPr>
              <w:contextualSpacing/>
              <w:rPr>
                <w:rFonts w:asciiTheme="majorBidi" w:hAnsiTheme="majorBidi" w:cstheme="majorBidi"/>
                <w:sz w:val="24"/>
                <w:szCs w:val="24"/>
              </w:rPr>
            </w:pPr>
            <w:r w:rsidRPr="006B75C2">
              <w:rPr>
                <w:rFonts w:asciiTheme="majorBidi" w:hAnsiTheme="majorBidi" w:cstheme="majorBidi"/>
                <w:sz w:val="24"/>
                <w:szCs w:val="24"/>
              </w:rPr>
              <w:t>Learning loss &amp; disregard</w:t>
            </w:r>
          </w:p>
        </w:tc>
        <w:tc>
          <w:tcPr>
            <w:tcW w:w="3005" w:type="dxa"/>
          </w:tcPr>
          <w:p w14:paraId="40841444" w14:textId="77777777" w:rsidR="006B75C2" w:rsidRPr="006B75C2" w:rsidRDefault="006B75C2" w:rsidP="006B75C2">
            <w:pPr>
              <w:rPr>
                <w:rFonts w:asciiTheme="majorBidi" w:hAnsiTheme="majorBidi" w:cstheme="majorBidi"/>
                <w:sz w:val="24"/>
                <w:szCs w:val="24"/>
              </w:rPr>
            </w:pPr>
            <w:r w:rsidRPr="006B75C2">
              <w:rPr>
                <w:rFonts w:asciiTheme="majorBidi" w:hAnsiTheme="majorBidi" w:cstheme="majorBidi"/>
                <w:sz w:val="24"/>
                <w:szCs w:val="24"/>
              </w:rPr>
              <w:t>Conditions against learning</w:t>
            </w:r>
          </w:p>
        </w:tc>
        <w:tc>
          <w:tcPr>
            <w:tcW w:w="3006" w:type="dxa"/>
          </w:tcPr>
          <w:p w14:paraId="260A4B19" w14:textId="77777777" w:rsidR="006B75C2" w:rsidRPr="006B75C2" w:rsidRDefault="006B75C2" w:rsidP="006B75C2">
            <w:pPr>
              <w:rPr>
                <w:rFonts w:asciiTheme="majorBidi" w:hAnsiTheme="majorBidi" w:cstheme="majorBidi"/>
                <w:sz w:val="24"/>
                <w:szCs w:val="24"/>
              </w:rPr>
            </w:pPr>
          </w:p>
        </w:tc>
      </w:tr>
      <w:tr w:rsidR="006B75C2" w:rsidRPr="006B75C2" w14:paraId="7EC9217C" w14:textId="77777777" w:rsidTr="0084201C">
        <w:tc>
          <w:tcPr>
            <w:tcW w:w="3005" w:type="dxa"/>
          </w:tcPr>
          <w:p w14:paraId="4FF6D00A" w14:textId="77777777" w:rsidR="006B75C2" w:rsidRPr="006B75C2" w:rsidRDefault="006B75C2" w:rsidP="006B75C2">
            <w:pPr>
              <w:numPr>
                <w:ilvl w:val="0"/>
                <w:numId w:val="2"/>
              </w:numPr>
              <w:contextualSpacing/>
              <w:rPr>
                <w:rFonts w:asciiTheme="majorBidi" w:hAnsiTheme="majorBidi" w:cstheme="majorBidi"/>
                <w:sz w:val="24"/>
                <w:szCs w:val="24"/>
              </w:rPr>
            </w:pPr>
            <w:r w:rsidRPr="006B75C2">
              <w:rPr>
                <w:rFonts w:asciiTheme="majorBidi" w:hAnsiTheme="majorBidi" w:cstheme="majorBidi"/>
                <w:sz w:val="24"/>
                <w:szCs w:val="24"/>
              </w:rPr>
              <w:t>Employee Perspective</w:t>
            </w:r>
          </w:p>
          <w:p w14:paraId="4A97F310" w14:textId="77777777" w:rsidR="006B75C2" w:rsidRPr="006B75C2" w:rsidRDefault="006B75C2" w:rsidP="006B75C2">
            <w:pPr>
              <w:numPr>
                <w:ilvl w:val="0"/>
                <w:numId w:val="2"/>
              </w:numPr>
              <w:contextualSpacing/>
              <w:rPr>
                <w:rFonts w:asciiTheme="majorBidi" w:hAnsiTheme="majorBidi" w:cstheme="majorBidi"/>
                <w:sz w:val="24"/>
                <w:szCs w:val="24"/>
              </w:rPr>
            </w:pPr>
            <w:r w:rsidRPr="006B75C2">
              <w:rPr>
                <w:rFonts w:asciiTheme="majorBidi" w:hAnsiTheme="majorBidi" w:cstheme="majorBidi"/>
                <w:sz w:val="24"/>
                <w:szCs w:val="24"/>
              </w:rPr>
              <w:t>Owner Manager Perspective</w:t>
            </w:r>
          </w:p>
          <w:p w14:paraId="42548813" w14:textId="77777777" w:rsidR="006B75C2" w:rsidRPr="006B75C2" w:rsidRDefault="006B75C2" w:rsidP="006B75C2">
            <w:pPr>
              <w:numPr>
                <w:ilvl w:val="0"/>
                <w:numId w:val="2"/>
              </w:numPr>
              <w:contextualSpacing/>
              <w:rPr>
                <w:rFonts w:asciiTheme="majorBidi" w:hAnsiTheme="majorBidi" w:cstheme="majorBidi"/>
                <w:sz w:val="24"/>
                <w:szCs w:val="24"/>
              </w:rPr>
            </w:pPr>
            <w:r w:rsidRPr="006B75C2">
              <w:rPr>
                <w:rFonts w:asciiTheme="majorBidi" w:hAnsiTheme="majorBidi" w:cstheme="majorBidi"/>
                <w:sz w:val="24"/>
                <w:szCs w:val="24"/>
              </w:rPr>
              <w:t>Flexi-time</w:t>
            </w:r>
          </w:p>
          <w:p w14:paraId="3FF523E2" w14:textId="77777777" w:rsidR="006B75C2" w:rsidRPr="006B75C2" w:rsidRDefault="006B75C2" w:rsidP="006B75C2">
            <w:pPr>
              <w:numPr>
                <w:ilvl w:val="0"/>
                <w:numId w:val="2"/>
              </w:numPr>
              <w:contextualSpacing/>
              <w:rPr>
                <w:rFonts w:asciiTheme="majorBidi" w:hAnsiTheme="majorBidi" w:cstheme="majorBidi"/>
                <w:sz w:val="24"/>
                <w:szCs w:val="24"/>
              </w:rPr>
            </w:pPr>
            <w:r w:rsidRPr="006B75C2">
              <w:rPr>
                <w:rFonts w:asciiTheme="majorBidi" w:hAnsiTheme="majorBidi" w:cstheme="majorBidi"/>
                <w:sz w:val="24"/>
                <w:szCs w:val="24"/>
              </w:rPr>
              <w:t>Time-flex</w:t>
            </w:r>
          </w:p>
          <w:p w14:paraId="3A6E6CEB" w14:textId="77777777" w:rsidR="006B75C2" w:rsidRPr="006B75C2" w:rsidRDefault="006B75C2" w:rsidP="006B75C2">
            <w:pPr>
              <w:numPr>
                <w:ilvl w:val="0"/>
                <w:numId w:val="2"/>
              </w:numPr>
              <w:contextualSpacing/>
              <w:rPr>
                <w:rFonts w:asciiTheme="majorBidi" w:hAnsiTheme="majorBidi" w:cstheme="majorBidi"/>
                <w:sz w:val="24"/>
                <w:szCs w:val="24"/>
              </w:rPr>
            </w:pPr>
            <w:r w:rsidRPr="006B75C2">
              <w:rPr>
                <w:rFonts w:asciiTheme="majorBidi" w:hAnsiTheme="majorBidi" w:cstheme="majorBidi"/>
                <w:sz w:val="24"/>
                <w:szCs w:val="24"/>
              </w:rPr>
              <w:t>Short term focus</w:t>
            </w:r>
          </w:p>
          <w:p w14:paraId="395548B7" w14:textId="77777777" w:rsidR="006B75C2" w:rsidRPr="006B75C2" w:rsidRDefault="006B75C2" w:rsidP="006B75C2">
            <w:pPr>
              <w:numPr>
                <w:ilvl w:val="0"/>
                <w:numId w:val="2"/>
              </w:numPr>
              <w:contextualSpacing/>
              <w:rPr>
                <w:rFonts w:asciiTheme="majorBidi" w:hAnsiTheme="majorBidi" w:cstheme="majorBidi"/>
                <w:sz w:val="24"/>
                <w:szCs w:val="24"/>
              </w:rPr>
            </w:pPr>
            <w:r w:rsidRPr="006B75C2">
              <w:rPr>
                <w:rFonts w:asciiTheme="majorBidi" w:hAnsiTheme="majorBidi" w:cstheme="majorBidi"/>
                <w:sz w:val="24"/>
                <w:szCs w:val="24"/>
              </w:rPr>
              <w:t>Long Term focus</w:t>
            </w:r>
          </w:p>
        </w:tc>
        <w:tc>
          <w:tcPr>
            <w:tcW w:w="3005" w:type="dxa"/>
          </w:tcPr>
          <w:p w14:paraId="17D36A0D" w14:textId="77777777" w:rsidR="006B75C2" w:rsidRPr="006B75C2" w:rsidRDefault="006B75C2" w:rsidP="006B75C2">
            <w:pPr>
              <w:rPr>
                <w:rFonts w:asciiTheme="majorBidi" w:hAnsiTheme="majorBidi" w:cstheme="majorBidi"/>
                <w:sz w:val="24"/>
                <w:szCs w:val="24"/>
              </w:rPr>
            </w:pPr>
            <w:r w:rsidRPr="006B75C2">
              <w:rPr>
                <w:rFonts w:asciiTheme="majorBidi" w:hAnsiTheme="majorBidi" w:cstheme="majorBidi"/>
                <w:sz w:val="24"/>
                <w:szCs w:val="24"/>
              </w:rPr>
              <w:t>Underlying political conditions</w:t>
            </w:r>
          </w:p>
        </w:tc>
        <w:tc>
          <w:tcPr>
            <w:tcW w:w="3006" w:type="dxa"/>
          </w:tcPr>
          <w:p w14:paraId="249838D6" w14:textId="77777777" w:rsidR="006B75C2" w:rsidRPr="006B75C2" w:rsidRDefault="006B75C2" w:rsidP="006B75C2">
            <w:pPr>
              <w:rPr>
                <w:rFonts w:asciiTheme="majorBidi" w:hAnsiTheme="majorBidi" w:cstheme="majorBidi"/>
                <w:sz w:val="24"/>
                <w:szCs w:val="24"/>
              </w:rPr>
            </w:pPr>
            <w:r w:rsidRPr="006B75C2">
              <w:rPr>
                <w:rFonts w:asciiTheme="majorBidi" w:hAnsiTheme="majorBidi" w:cstheme="majorBidi"/>
                <w:sz w:val="24"/>
                <w:szCs w:val="24"/>
              </w:rPr>
              <w:t>Tensions which make salient and accentuate the learning-organising paradox</w:t>
            </w:r>
          </w:p>
        </w:tc>
      </w:tr>
    </w:tbl>
    <w:p w14:paraId="051697A6" w14:textId="77777777" w:rsidR="006B75C2" w:rsidRPr="006B75C2" w:rsidRDefault="006B75C2" w:rsidP="006B75C2">
      <w:pPr>
        <w:spacing w:line="240" w:lineRule="auto"/>
        <w:rPr>
          <w:rFonts w:ascii="AdvOT4ac4c61e" w:hAnsi="AdvOT4ac4c61e" w:cs="AdvOT4ac4c61e"/>
          <w:sz w:val="19"/>
          <w:szCs w:val="19"/>
        </w:rPr>
      </w:pPr>
    </w:p>
    <w:p w14:paraId="4EC469AF" w14:textId="77777777" w:rsidR="006B75C2" w:rsidRPr="006B75C2" w:rsidRDefault="006B75C2" w:rsidP="006B75C2">
      <w:pPr>
        <w:spacing w:line="240" w:lineRule="auto"/>
        <w:rPr>
          <w:rFonts w:asciiTheme="majorBidi" w:hAnsiTheme="majorBidi" w:cstheme="majorBidi"/>
          <w:b/>
          <w:bCs/>
          <w:sz w:val="24"/>
          <w:szCs w:val="24"/>
        </w:rPr>
      </w:pPr>
      <w:r w:rsidRPr="006B75C2">
        <w:rPr>
          <w:rFonts w:asciiTheme="majorBidi" w:hAnsiTheme="majorBidi" w:cstheme="majorBidi"/>
          <w:b/>
          <w:bCs/>
          <w:sz w:val="24"/>
          <w:szCs w:val="24"/>
        </w:rPr>
        <w:br w:type="page"/>
      </w:r>
    </w:p>
    <w:p w14:paraId="15439240" w14:textId="429F97B7" w:rsidR="000C7BCC" w:rsidRPr="000C7BCC" w:rsidRDefault="000C7BCC" w:rsidP="000C7BCC">
      <w:pPr>
        <w:spacing w:line="240" w:lineRule="auto"/>
        <w:jc w:val="both"/>
        <w:rPr>
          <w:rFonts w:asciiTheme="majorBidi" w:hAnsiTheme="majorBidi" w:cstheme="majorBidi"/>
          <w:bCs/>
          <w:sz w:val="24"/>
          <w:szCs w:val="24"/>
        </w:rPr>
      </w:pPr>
      <w:r w:rsidRPr="000C7BCC">
        <w:rPr>
          <w:rFonts w:asciiTheme="majorBidi" w:hAnsiTheme="majorBidi" w:cstheme="majorBidi"/>
          <w:bCs/>
          <w:sz w:val="24"/>
          <w:szCs w:val="24"/>
        </w:rPr>
        <w:lastRenderedPageBreak/>
        <w:drawing>
          <wp:inline distT="0" distB="0" distL="0" distR="0" wp14:anchorId="5FDF516C" wp14:editId="251A5761">
            <wp:extent cx="5731510" cy="3223895"/>
            <wp:effectExtent l="0" t="0" r="2540" b="0"/>
            <wp:docPr id="448441736" name="Picture 1" descr="A diagram of a 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8441736" name="Picture 1" descr="A diagram of a diagram&#10;&#10;Description automatically generated"/>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731510" cy="3223895"/>
                    </a:xfrm>
                    <a:prstGeom prst="rect">
                      <a:avLst/>
                    </a:prstGeom>
                    <a:noFill/>
                    <a:ln>
                      <a:noFill/>
                    </a:ln>
                  </pic:spPr>
                </pic:pic>
              </a:graphicData>
            </a:graphic>
          </wp:inline>
        </w:drawing>
      </w:r>
    </w:p>
    <w:p w14:paraId="6017491F" w14:textId="060BDBCC" w:rsidR="006B75C2" w:rsidRPr="006B75C2" w:rsidRDefault="006B75C2" w:rsidP="006B75C2">
      <w:pPr>
        <w:spacing w:line="240" w:lineRule="auto"/>
        <w:jc w:val="both"/>
        <w:rPr>
          <w:rFonts w:asciiTheme="majorBidi" w:hAnsiTheme="majorBidi" w:cstheme="majorBidi"/>
          <w:bCs/>
          <w:sz w:val="24"/>
          <w:szCs w:val="24"/>
        </w:rPr>
      </w:pPr>
    </w:p>
    <w:p w14:paraId="785D0F56" w14:textId="77777777" w:rsidR="006B75C2" w:rsidRPr="006B75C2" w:rsidRDefault="006B75C2" w:rsidP="006B75C2">
      <w:pPr>
        <w:spacing w:line="240" w:lineRule="auto"/>
        <w:jc w:val="both"/>
        <w:rPr>
          <w:rFonts w:asciiTheme="majorBidi" w:hAnsiTheme="majorBidi" w:cstheme="majorBidi"/>
          <w:bCs/>
          <w:sz w:val="24"/>
          <w:szCs w:val="24"/>
        </w:rPr>
      </w:pPr>
    </w:p>
    <w:p w14:paraId="252257B8" w14:textId="77777777" w:rsidR="006B75C2" w:rsidRPr="006B75C2" w:rsidRDefault="006B75C2" w:rsidP="006B75C2">
      <w:pPr>
        <w:spacing w:line="240" w:lineRule="auto"/>
        <w:jc w:val="both"/>
        <w:rPr>
          <w:rFonts w:asciiTheme="majorBidi" w:hAnsiTheme="majorBidi" w:cstheme="majorBidi"/>
          <w:b/>
          <w:sz w:val="24"/>
          <w:szCs w:val="24"/>
        </w:rPr>
      </w:pPr>
      <w:r w:rsidRPr="006B75C2">
        <w:rPr>
          <w:rFonts w:asciiTheme="majorBidi" w:hAnsiTheme="majorBidi" w:cstheme="majorBidi"/>
          <w:b/>
          <w:sz w:val="24"/>
          <w:szCs w:val="24"/>
        </w:rPr>
        <w:t>Figure 1: The Learning Organisation as a Paradox</w:t>
      </w:r>
    </w:p>
    <w:p w14:paraId="318C02E3" w14:textId="77777777" w:rsidR="006B75C2" w:rsidRPr="006B75C2" w:rsidRDefault="006B75C2" w:rsidP="006B75C2">
      <w:pPr>
        <w:spacing w:line="240" w:lineRule="auto"/>
        <w:jc w:val="both"/>
      </w:pPr>
    </w:p>
    <w:p w14:paraId="76374E3B" w14:textId="63579E85" w:rsidR="002F0B8D" w:rsidRDefault="002F0B8D" w:rsidP="006B75C2">
      <w:pPr>
        <w:spacing w:line="240" w:lineRule="auto"/>
        <w:rPr>
          <w:rFonts w:asciiTheme="majorBidi" w:hAnsiTheme="majorBidi" w:cstheme="majorBidi"/>
          <w:b/>
          <w:bCs/>
          <w:sz w:val="24"/>
          <w:szCs w:val="24"/>
        </w:rPr>
      </w:pPr>
    </w:p>
    <w:sectPr w:rsidR="002F0B8D">
      <w:foot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83028A4" w14:textId="77777777" w:rsidR="003666B4" w:rsidRDefault="003666B4" w:rsidP="009F5AE0">
      <w:pPr>
        <w:spacing w:after="0" w:line="240" w:lineRule="auto"/>
      </w:pPr>
      <w:r>
        <w:separator/>
      </w:r>
    </w:p>
  </w:endnote>
  <w:endnote w:type="continuationSeparator" w:id="0">
    <w:p w14:paraId="65698783" w14:textId="77777777" w:rsidR="003666B4" w:rsidRDefault="003666B4" w:rsidP="009F5AE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AdvOT4ac4c61e">
    <w:altName w:val="Cambria"/>
    <w:panose1 w:val="00000000000000000000"/>
    <w:charset w:val="00"/>
    <w:family w:val="roman"/>
    <w:notTrueType/>
    <w:pitch w:val="default"/>
    <w:sig w:usb0="00000003" w:usb1="00000000" w:usb2="00000000" w:usb3="00000000" w:csb0="00000001"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060178908"/>
      <w:docPartObj>
        <w:docPartGallery w:val="Page Numbers (Bottom of Page)"/>
        <w:docPartUnique/>
      </w:docPartObj>
    </w:sdtPr>
    <w:sdtEndPr>
      <w:rPr>
        <w:noProof/>
      </w:rPr>
    </w:sdtEndPr>
    <w:sdtContent>
      <w:p w14:paraId="7B94394E" w14:textId="4FDCB061" w:rsidR="009F5AE0" w:rsidRDefault="009F5AE0">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601A4B33" w14:textId="77777777" w:rsidR="009F5AE0" w:rsidRDefault="009F5AE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E0E770C" w14:textId="77777777" w:rsidR="003666B4" w:rsidRDefault="003666B4" w:rsidP="009F5AE0">
      <w:pPr>
        <w:spacing w:after="0" w:line="240" w:lineRule="auto"/>
      </w:pPr>
      <w:r>
        <w:separator/>
      </w:r>
    </w:p>
  </w:footnote>
  <w:footnote w:type="continuationSeparator" w:id="0">
    <w:p w14:paraId="5EDC1532" w14:textId="77777777" w:rsidR="003666B4" w:rsidRDefault="003666B4" w:rsidP="009F5AE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2610CFC"/>
    <w:multiLevelType w:val="hybridMultilevel"/>
    <w:tmpl w:val="C84810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32BA4601"/>
    <w:multiLevelType w:val="hybridMultilevel"/>
    <w:tmpl w:val="D7DA60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409687A"/>
    <w:multiLevelType w:val="hybridMultilevel"/>
    <w:tmpl w:val="E0C461F4"/>
    <w:lvl w:ilvl="0" w:tplc="3E021CCC">
      <w:start w:val="1"/>
      <w:numFmt w:val="bullet"/>
      <w:lvlText w:val="•"/>
      <w:lvlJc w:val="left"/>
      <w:pPr>
        <w:tabs>
          <w:tab w:val="num" w:pos="720"/>
        </w:tabs>
        <w:ind w:left="720" w:hanging="360"/>
      </w:pPr>
      <w:rPr>
        <w:rFonts w:ascii="Arial" w:hAnsi="Arial" w:hint="default"/>
      </w:rPr>
    </w:lvl>
    <w:lvl w:ilvl="1" w:tplc="02D4EFCC" w:tentative="1">
      <w:start w:val="1"/>
      <w:numFmt w:val="bullet"/>
      <w:lvlText w:val="•"/>
      <w:lvlJc w:val="left"/>
      <w:pPr>
        <w:tabs>
          <w:tab w:val="num" w:pos="1440"/>
        </w:tabs>
        <w:ind w:left="1440" w:hanging="360"/>
      </w:pPr>
      <w:rPr>
        <w:rFonts w:ascii="Arial" w:hAnsi="Arial" w:hint="default"/>
      </w:rPr>
    </w:lvl>
    <w:lvl w:ilvl="2" w:tplc="F7B0C0C8" w:tentative="1">
      <w:start w:val="1"/>
      <w:numFmt w:val="bullet"/>
      <w:lvlText w:val="•"/>
      <w:lvlJc w:val="left"/>
      <w:pPr>
        <w:tabs>
          <w:tab w:val="num" w:pos="2160"/>
        </w:tabs>
        <w:ind w:left="2160" w:hanging="360"/>
      </w:pPr>
      <w:rPr>
        <w:rFonts w:ascii="Arial" w:hAnsi="Arial" w:hint="default"/>
      </w:rPr>
    </w:lvl>
    <w:lvl w:ilvl="3" w:tplc="64BC19FC" w:tentative="1">
      <w:start w:val="1"/>
      <w:numFmt w:val="bullet"/>
      <w:lvlText w:val="•"/>
      <w:lvlJc w:val="left"/>
      <w:pPr>
        <w:tabs>
          <w:tab w:val="num" w:pos="2880"/>
        </w:tabs>
        <w:ind w:left="2880" w:hanging="360"/>
      </w:pPr>
      <w:rPr>
        <w:rFonts w:ascii="Arial" w:hAnsi="Arial" w:hint="default"/>
      </w:rPr>
    </w:lvl>
    <w:lvl w:ilvl="4" w:tplc="512EE614" w:tentative="1">
      <w:start w:val="1"/>
      <w:numFmt w:val="bullet"/>
      <w:lvlText w:val="•"/>
      <w:lvlJc w:val="left"/>
      <w:pPr>
        <w:tabs>
          <w:tab w:val="num" w:pos="3600"/>
        </w:tabs>
        <w:ind w:left="3600" w:hanging="360"/>
      </w:pPr>
      <w:rPr>
        <w:rFonts w:ascii="Arial" w:hAnsi="Arial" w:hint="default"/>
      </w:rPr>
    </w:lvl>
    <w:lvl w:ilvl="5" w:tplc="30021428" w:tentative="1">
      <w:start w:val="1"/>
      <w:numFmt w:val="bullet"/>
      <w:lvlText w:val="•"/>
      <w:lvlJc w:val="left"/>
      <w:pPr>
        <w:tabs>
          <w:tab w:val="num" w:pos="4320"/>
        </w:tabs>
        <w:ind w:left="4320" w:hanging="360"/>
      </w:pPr>
      <w:rPr>
        <w:rFonts w:ascii="Arial" w:hAnsi="Arial" w:hint="default"/>
      </w:rPr>
    </w:lvl>
    <w:lvl w:ilvl="6" w:tplc="990AC0B4" w:tentative="1">
      <w:start w:val="1"/>
      <w:numFmt w:val="bullet"/>
      <w:lvlText w:val="•"/>
      <w:lvlJc w:val="left"/>
      <w:pPr>
        <w:tabs>
          <w:tab w:val="num" w:pos="5040"/>
        </w:tabs>
        <w:ind w:left="5040" w:hanging="360"/>
      </w:pPr>
      <w:rPr>
        <w:rFonts w:ascii="Arial" w:hAnsi="Arial" w:hint="default"/>
      </w:rPr>
    </w:lvl>
    <w:lvl w:ilvl="7" w:tplc="34F4F910" w:tentative="1">
      <w:start w:val="1"/>
      <w:numFmt w:val="bullet"/>
      <w:lvlText w:val="•"/>
      <w:lvlJc w:val="left"/>
      <w:pPr>
        <w:tabs>
          <w:tab w:val="num" w:pos="5760"/>
        </w:tabs>
        <w:ind w:left="5760" w:hanging="360"/>
      </w:pPr>
      <w:rPr>
        <w:rFonts w:ascii="Arial" w:hAnsi="Arial" w:hint="default"/>
      </w:rPr>
    </w:lvl>
    <w:lvl w:ilvl="8" w:tplc="69427A56" w:tentative="1">
      <w:start w:val="1"/>
      <w:numFmt w:val="bullet"/>
      <w:lvlText w:val="•"/>
      <w:lvlJc w:val="left"/>
      <w:pPr>
        <w:tabs>
          <w:tab w:val="num" w:pos="6480"/>
        </w:tabs>
        <w:ind w:left="6480" w:hanging="360"/>
      </w:pPr>
      <w:rPr>
        <w:rFonts w:ascii="Arial" w:hAnsi="Arial" w:hint="default"/>
      </w:rPr>
    </w:lvl>
  </w:abstractNum>
  <w:abstractNum w:abstractNumId="3" w15:restartNumberingAfterBreak="0">
    <w:nsid w:val="562D5583"/>
    <w:multiLevelType w:val="hybridMultilevel"/>
    <w:tmpl w:val="8E6C4386"/>
    <w:lvl w:ilvl="0" w:tplc="E0D25AF4">
      <w:start w:val="1"/>
      <w:numFmt w:val="bullet"/>
      <w:lvlText w:val="•"/>
      <w:lvlJc w:val="left"/>
      <w:pPr>
        <w:tabs>
          <w:tab w:val="num" w:pos="720"/>
        </w:tabs>
        <w:ind w:left="720" w:hanging="360"/>
      </w:pPr>
      <w:rPr>
        <w:rFonts w:ascii="Arial" w:hAnsi="Arial" w:hint="default"/>
      </w:rPr>
    </w:lvl>
    <w:lvl w:ilvl="1" w:tplc="9BFA3A8C" w:tentative="1">
      <w:start w:val="1"/>
      <w:numFmt w:val="bullet"/>
      <w:lvlText w:val="•"/>
      <w:lvlJc w:val="left"/>
      <w:pPr>
        <w:tabs>
          <w:tab w:val="num" w:pos="1440"/>
        </w:tabs>
        <w:ind w:left="1440" w:hanging="360"/>
      </w:pPr>
      <w:rPr>
        <w:rFonts w:ascii="Arial" w:hAnsi="Arial" w:hint="default"/>
      </w:rPr>
    </w:lvl>
    <w:lvl w:ilvl="2" w:tplc="A02E7922" w:tentative="1">
      <w:start w:val="1"/>
      <w:numFmt w:val="bullet"/>
      <w:lvlText w:val="•"/>
      <w:lvlJc w:val="left"/>
      <w:pPr>
        <w:tabs>
          <w:tab w:val="num" w:pos="2160"/>
        </w:tabs>
        <w:ind w:left="2160" w:hanging="360"/>
      </w:pPr>
      <w:rPr>
        <w:rFonts w:ascii="Arial" w:hAnsi="Arial" w:hint="default"/>
      </w:rPr>
    </w:lvl>
    <w:lvl w:ilvl="3" w:tplc="74264F3E" w:tentative="1">
      <w:start w:val="1"/>
      <w:numFmt w:val="bullet"/>
      <w:lvlText w:val="•"/>
      <w:lvlJc w:val="left"/>
      <w:pPr>
        <w:tabs>
          <w:tab w:val="num" w:pos="2880"/>
        </w:tabs>
        <w:ind w:left="2880" w:hanging="360"/>
      </w:pPr>
      <w:rPr>
        <w:rFonts w:ascii="Arial" w:hAnsi="Arial" w:hint="default"/>
      </w:rPr>
    </w:lvl>
    <w:lvl w:ilvl="4" w:tplc="6ACCB514" w:tentative="1">
      <w:start w:val="1"/>
      <w:numFmt w:val="bullet"/>
      <w:lvlText w:val="•"/>
      <w:lvlJc w:val="left"/>
      <w:pPr>
        <w:tabs>
          <w:tab w:val="num" w:pos="3600"/>
        </w:tabs>
        <w:ind w:left="3600" w:hanging="360"/>
      </w:pPr>
      <w:rPr>
        <w:rFonts w:ascii="Arial" w:hAnsi="Arial" w:hint="default"/>
      </w:rPr>
    </w:lvl>
    <w:lvl w:ilvl="5" w:tplc="2E5CE2A6" w:tentative="1">
      <w:start w:val="1"/>
      <w:numFmt w:val="bullet"/>
      <w:lvlText w:val="•"/>
      <w:lvlJc w:val="left"/>
      <w:pPr>
        <w:tabs>
          <w:tab w:val="num" w:pos="4320"/>
        </w:tabs>
        <w:ind w:left="4320" w:hanging="360"/>
      </w:pPr>
      <w:rPr>
        <w:rFonts w:ascii="Arial" w:hAnsi="Arial" w:hint="default"/>
      </w:rPr>
    </w:lvl>
    <w:lvl w:ilvl="6" w:tplc="AE28CF20" w:tentative="1">
      <w:start w:val="1"/>
      <w:numFmt w:val="bullet"/>
      <w:lvlText w:val="•"/>
      <w:lvlJc w:val="left"/>
      <w:pPr>
        <w:tabs>
          <w:tab w:val="num" w:pos="5040"/>
        </w:tabs>
        <w:ind w:left="5040" w:hanging="360"/>
      </w:pPr>
      <w:rPr>
        <w:rFonts w:ascii="Arial" w:hAnsi="Arial" w:hint="default"/>
      </w:rPr>
    </w:lvl>
    <w:lvl w:ilvl="7" w:tplc="B994172E" w:tentative="1">
      <w:start w:val="1"/>
      <w:numFmt w:val="bullet"/>
      <w:lvlText w:val="•"/>
      <w:lvlJc w:val="left"/>
      <w:pPr>
        <w:tabs>
          <w:tab w:val="num" w:pos="5760"/>
        </w:tabs>
        <w:ind w:left="5760" w:hanging="360"/>
      </w:pPr>
      <w:rPr>
        <w:rFonts w:ascii="Arial" w:hAnsi="Arial" w:hint="default"/>
      </w:rPr>
    </w:lvl>
    <w:lvl w:ilvl="8" w:tplc="905A6C2A" w:tentative="1">
      <w:start w:val="1"/>
      <w:numFmt w:val="bullet"/>
      <w:lvlText w:val="•"/>
      <w:lvlJc w:val="left"/>
      <w:pPr>
        <w:tabs>
          <w:tab w:val="num" w:pos="6480"/>
        </w:tabs>
        <w:ind w:left="6480" w:hanging="360"/>
      </w:pPr>
      <w:rPr>
        <w:rFonts w:ascii="Arial" w:hAnsi="Arial" w:hint="default"/>
      </w:rPr>
    </w:lvl>
  </w:abstractNum>
  <w:num w:numId="1" w16cid:durableId="179706153">
    <w:abstractNumId w:val="0"/>
  </w:num>
  <w:num w:numId="2" w16cid:durableId="1649237265">
    <w:abstractNumId w:val="1"/>
  </w:num>
  <w:num w:numId="3" w16cid:durableId="8607668">
    <w:abstractNumId w:val="2"/>
  </w:num>
  <w:num w:numId="4" w16cid:durableId="38479450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removePersonalInformation/>
  <w:removeDateAndTime/>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45CDB"/>
    <w:rsid w:val="000010B1"/>
    <w:rsid w:val="000031E4"/>
    <w:rsid w:val="000060EA"/>
    <w:rsid w:val="00006701"/>
    <w:rsid w:val="00006954"/>
    <w:rsid w:val="00012E7B"/>
    <w:rsid w:val="00013A59"/>
    <w:rsid w:val="000226D3"/>
    <w:rsid w:val="00033EB4"/>
    <w:rsid w:val="00036E52"/>
    <w:rsid w:val="00037607"/>
    <w:rsid w:val="000412CE"/>
    <w:rsid w:val="00041B55"/>
    <w:rsid w:val="00042E18"/>
    <w:rsid w:val="000459F9"/>
    <w:rsid w:val="00047B22"/>
    <w:rsid w:val="000508D1"/>
    <w:rsid w:val="00052DA1"/>
    <w:rsid w:val="00056F42"/>
    <w:rsid w:val="00057600"/>
    <w:rsid w:val="000576F6"/>
    <w:rsid w:val="00061F70"/>
    <w:rsid w:val="00063DBC"/>
    <w:rsid w:val="00066024"/>
    <w:rsid w:val="00070B13"/>
    <w:rsid w:val="0008391F"/>
    <w:rsid w:val="0009119D"/>
    <w:rsid w:val="000959AB"/>
    <w:rsid w:val="00096278"/>
    <w:rsid w:val="000A4450"/>
    <w:rsid w:val="000B0B26"/>
    <w:rsid w:val="000B34D1"/>
    <w:rsid w:val="000B3D94"/>
    <w:rsid w:val="000B6B03"/>
    <w:rsid w:val="000C5533"/>
    <w:rsid w:val="000C56C1"/>
    <w:rsid w:val="000C7BCC"/>
    <w:rsid w:val="000C7C4A"/>
    <w:rsid w:val="000D6F69"/>
    <w:rsid w:val="000E0091"/>
    <w:rsid w:val="000E41E1"/>
    <w:rsid w:val="000E67C7"/>
    <w:rsid w:val="000E6DBE"/>
    <w:rsid w:val="000F47A7"/>
    <w:rsid w:val="000F5B4B"/>
    <w:rsid w:val="000F70E7"/>
    <w:rsid w:val="00101431"/>
    <w:rsid w:val="00114708"/>
    <w:rsid w:val="001151CB"/>
    <w:rsid w:val="001159FB"/>
    <w:rsid w:val="00127530"/>
    <w:rsid w:val="001320E4"/>
    <w:rsid w:val="00140140"/>
    <w:rsid w:val="00141B1B"/>
    <w:rsid w:val="0014276A"/>
    <w:rsid w:val="0015394D"/>
    <w:rsid w:val="00157347"/>
    <w:rsid w:val="001573B7"/>
    <w:rsid w:val="00160232"/>
    <w:rsid w:val="0016140B"/>
    <w:rsid w:val="00163FD0"/>
    <w:rsid w:val="00164195"/>
    <w:rsid w:val="00166D13"/>
    <w:rsid w:val="00170B78"/>
    <w:rsid w:val="0017296C"/>
    <w:rsid w:val="00172B47"/>
    <w:rsid w:val="00174CFF"/>
    <w:rsid w:val="00177814"/>
    <w:rsid w:val="00182D6B"/>
    <w:rsid w:val="0018354D"/>
    <w:rsid w:val="00184C7E"/>
    <w:rsid w:val="0019396D"/>
    <w:rsid w:val="00194E57"/>
    <w:rsid w:val="001A1876"/>
    <w:rsid w:val="001A27C0"/>
    <w:rsid w:val="001B2018"/>
    <w:rsid w:val="001B40A4"/>
    <w:rsid w:val="001B47A8"/>
    <w:rsid w:val="001B5971"/>
    <w:rsid w:val="001C543A"/>
    <w:rsid w:val="001D088B"/>
    <w:rsid w:val="001D76C5"/>
    <w:rsid w:val="001D773C"/>
    <w:rsid w:val="001E00D8"/>
    <w:rsid w:val="001E0375"/>
    <w:rsid w:val="001F0361"/>
    <w:rsid w:val="001F509E"/>
    <w:rsid w:val="001F5908"/>
    <w:rsid w:val="001F6361"/>
    <w:rsid w:val="00201A40"/>
    <w:rsid w:val="00204E34"/>
    <w:rsid w:val="00205692"/>
    <w:rsid w:val="00206DBF"/>
    <w:rsid w:val="00207638"/>
    <w:rsid w:val="00207991"/>
    <w:rsid w:val="00210A06"/>
    <w:rsid w:val="002124DF"/>
    <w:rsid w:val="00217C24"/>
    <w:rsid w:val="002256A5"/>
    <w:rsid w:val="00225E94"/>
    <w:rsid w:val="002272F0"/>
    <w:rsid w:val="002326A9"/>
    <w:rsid w:val="00232AE7"/>
    <w:rsid w:val="00241D43"/>
    <w:rsid w:val="0024254D"/>
    <w:rsid w:val="002435F4"/>
    <w:rsid w:val="00245CDB"/>
    <w:rsid w:val="00245F9C"/>
    <w:rsid w:val="002471B1"/>
    <w:rsid w:val="00247FAD"/>
    <w:rsid w:val="0025167B"/>
    <w:rsid w:val="00252A91"/>
    <w:rsid w:val="002532F1"/>
    <w:rsid w:val="002534D4"/>
    <w:rsid w:val="002635BE"/>
    <w:rsid w:val="00271AF1"/>
    <w:rsid w:val="002729EF"/>
    <w:rsid w:val="00277471"/>
    <w:rsid w:val="002822AD"/>
    <w:rsid w:val="00283432"/>
    <w:rsid w:val="00291559"/>
    <w:rsid w:val="00296621"/>
    <w:rsid w:val="002A2BF0"/>
    <w:rsid w:val="002A2C8E"/>
    <w:rsid w:val="002A3353"/>
    <w:rsid w:val="002A4B64"/>
    <w:rsid w:val="002B2D93"/>
    <w:rsid w:val="002B67DA"/>
    <w:rsid w:val="002D5738"/>
    <w:rsid w:val="002D6F23"/>
    <w:rsid w:val="002E1B1D"/>
    <w:rsid w:val="002E2762"/>
    <w:rsid w:val="002E2FF2"/>
    <w:rsid w:val="002E30D2"/>
    <w:rsid w:val="002F0308"/>
    <w:rsid w:val="002F0B8D"/>
    <w:rsid w:val="002F13B6"/>
    <w:rsid w:val="002F7AD7"/>
    <w:rsid w:val="00303F42"/>
    <w:rsid w:val="00307BF1"/>
    <w:rsid w:val="00307EC5"/>
    <w:rsid w:val="003116DB"/>
    <w:rsid w:val="00315950"/>
    <w:rsid w:val="00316C2C"/>
    <w:rsid w:val="00317A63"/>
    <w:rsid w:val="00320DE0"/>
    <w:rsid w:val="00321DB5"/>
    <w:rsid w:val="00324005"/>
    <w:rsid w:val="00324666"/>
    <w:rsid w:val="00325C8B"/>
    <w:rsid w:val="00327D4D"/>
    <w:rsid w:val="003328EB"/>
    <w:rsid w:val="003344FD"/>
    <w:rsid w:val="00343840"/>
    <w:rsid w:val="0035649C"/>
    <w:rsid w:val="0036104F"/>
    <w:rsid w:val="003666B4"/>
    <w:rsid w:val="00371DB9"/>
    <w:rsid w:val="003743A9"/>
    <w:rsid w:val="00376DA2"/>
    <w:rsid w:val="00377E27"/>
    <w:rsid w:val="00381FD2"/>
    <w:rsid w:val="00386747"/>
    <w:rsid w:val="0039070D"/>
    <w:rsid w:val="00393AD2"/>
    <w:rsid w:val="003977F9"/>
    <w:rsid w:val="003A5369"/>
    <w:rsid w:val="003A5ADE"/>
    <w:rsid w:val="003A7020"/>
    <w:rsid w:val="003B195A"/>
    <w:rsid w:val="003B3055"/>
    <w:rsid w:val="003B311C"/>
    <w:rsid w:val="003B34BB"/>
    <w:rsid w:val="003B602B"/>
    <w:rsid w:val="003B6743"/>
    <w:rsid w:val="003B7A28"/>
    <w:rsid w:val="003C154A"/>
    <w:rsid w:val="003C681C"/>
    <w:rsid w:val="003D7A9C"/>
    <w:rsid w:val="003E070D"/>
    <w:rsid w:val="003E0B32"/>
    <w:rsid w:val="003E1CCF"/>
    <w:rsid w:val="003E229E"/>
    <w:rsid w:val="003E2F97"/>
    <w:rsid w:val="003E4C27"/>
    <w:rsid w:val="003E6450"/>
    <w:rsid w:val="003F6498"/>
    <w:rsid w:val="004017C9"/>
    <w:rsid w:val="00406C3D"/>
    <w:rsid w:val="0041754F"/>
    <w:rsid w:val="00421F2A"/>
    <w:rsid w:val="00422329"/>
    <w:rsid w:val="00427CE3"/>
    <w:rsid w:val="00432FD8"/>
    <w:rsid w:val="00433227"/>
    <w:rsid w:val="004342F7"/>
    <w:rsid w:val="0043485A"/>
    <w:rsid w:val="004348EE"/>
    <w:rsid w:val="00434E28"/>
    <w:rsid w:val="00434F69"/>
    <w:rsid w:val="004417F4"/>
    <w:rsid w:val="00447EBC"/>
    <w:rsid w:val="00451249"/>
    <w:rsid w:val="0045186B"/>
    <w:rsid w:val="00453804"/>
    <w:rsid w:val="00461A22"/>
    <w:rsid w:val="00464BB3"/>
    <w:rsid w:val="0046575A"/>
    <w:rsid w:val="00467F57"/>
    <w:rsid w:val="0047091A"/>
    <w:rsid w:val="004911CE"/>
    <w:rsid w:val="0049154A"/>
    <w:rsid w:val="00492870"/>
    <w:rsid w:val="0049543F"/>
    <w:rsid w:val="004A1A82"/>
    <w:rsid w:val="004A2921"/>
    <w:rsid w:val="004A4C15"/>
    <w:rsid w:val="004B0429"/>
    <w:rsid w:val="004B1C2B"/>
    <w:rsid w:val="004B38DE"/>
    <w:rsid w:val="004B3D95"/>
    <w:rsid w:val="004B468A"/>
    <w:rsid w:val="004B5754"/>
    <w:rsid w:val="004B57A2"/>
    <w:rsid w:val="004B777D"/>
    <w:rsid w:val="004D19F0"/>
    <w:rsid w:val="004D2E55"/>
    <w:rsid w:val="004D3054"/>
    <w:rsid w:val="004E1EB1"/>
    <w:rsid w:val="004E38F8"/>
    <w:rsid w:val="004E5C26"/>
    <w:rsid w:val="004E6A2A"/>
    <w:rsid w:val="004F2069"/>
    <w:rsid w:val="004F52AC"/>
    <w:rsid w:val="004F7CB0"/>
    <w:rsid w:val="005008C3"/>
    <w:rsid w:val="00507277"/>
    <w:rsid w:val="0050795D"/>
    <w:rsid w:val="00511737"/>
    <w:rsid w:val="0051264C"/>
    <w:rsid w:val="005137AC"/>
    <w:rsid w:val="00517024"/>
    <w:rsid w:val="00520487"/>
    <w:rsid w:val="005225E2"/>
    <w:rsid w:val="005304EB"/>
    <w:rsid w:val="00537D9D"/>
    <w:rsid w:val="005432FA"/>
    <w:rsid w:val="00547100"/>
    <w:rsid w:val="00552F63"/>
    <w:rsid w:val="005540A5"/>
    <w:rsid w:val="005603A7"/>
    <w:rsid w:val="0056178A"/>
    <w:rsid w:val="005643DC"/>
    <w:rsid w:val="00566763"/>
    <w:rsid w:val="00571D87"/>
    <w:rsid w:val="0057241C"/>
    <w:rsid w:val="005728D9"/>
    <w:rsid w:val="00575302"/>
    <w:rsid w:val="00581E70"/>
    <w:rsid w:val="005835ED"/>
    <w:rsid w:val="005838AB"/>
    <w:rsid w:val="005921FB"/>
    <w:rsid w:val="005932B9"/>
    <w:rsid w:val="00595479"/>
    <w:rsid w:val="005957CC"/>
    <w:rsid w:val="005A4A42"/>
    <w:rsid w:val="005A698D"/>
    <w:rsid w:val="005C1119"/>
    <w:rsid w:val="005C58AE"/>
    <w:rsid w:val="005C7642"/>
    <w:rsid w:val="005D00D1"/>
    <w:rsid w:val="005D1267"/>
    <w:rsid w:val="005D1B51"/>
    <w:rsid w:val="005D6B1D"/>
    <w:rsid w:val="005D781E"/>
    <w:rsid w:val="005E641B"/>
    <w:rsid w:val="005E798B"/>
    <w:rsid w:val="005F11C7"/>
    <w:rsid w:val="005F6041"/>
    <w:rsid w:val="00601E47"/>
    <w:rsid w:val="0060204F"/>
    <w:rsid w:val="006050E7"/>
    <w:rsid w:val="00605F17"/>
    <w:rsid w:val="00612B5B"/>
    <w:rsid w:val="00613957"/>
    <w:rsid w:val="00614C98"/>
    <w:rsid w:val="006237E7"/>
    <w:rsid w:val="00623A0B"/>
    <w:rsid w:val="006277DF"/>
    <w:rsid w:val="00631F05"/>
    <w:rsid w:val="00634139"/>
    <w:rsid w:val="0063459C"/>
    <w:rsid w:val="00641766"/>
    <w:rsid w:val="00643815"/>
    <w:rsid w:val="006439A0"/>
    <w:rsid w:val="0065186B"/>
    <w:rsid w:val="00652425"/>
    <w:rsid w:val="006532EB"/>
    <w:rsid w:val="0065385D"/>
    <w:rsid w:val="00656CFD"/>
    <w:rsid w:val="00662708"/>
    <w:rsid w:val="00680B23"/>
    <w:rsid w:val="00680DC2"/>
    <w:rsid w:val="00681BFD"/>
    <w:rsid w:val="00682266"/>
    <w:rsid w:val="00682E30"/>
    <w:rsid w:val="006866C6"/>
    <w:rsid w:val="00687C86"/>
    <w:rsid w:val="00691829"/>
    <w:rsid w:val="006954BF"/>
    <w:rsid w:val="006A0A3A"/>
    <w:rsid w:val="006A36CE"/>
    <w:rsid w:val="006A6DAB"/>
    <w:rsid w:val="006A783D"/>
    <w:rsid w:val="006B028B"/>
    <w:rsid w:val="006B0763"/>
    <w:rsid w:val="006B67E9"/>
    <w:rsid w:val="006B75C2"/>
    <w:rsid w:val="006C031B"/>
    <w:rsid w:val="006C0589"/>
    <w:rsid w:val="006C2179"/>
    <w:rsid w:val="006C3C66"/>
    <w:rsid w:val="006C3D85"/>
    <w:rsid w:val="006C6CF9"/>
    <w:rsid w:val="006D2086"/>
    <w:rsid w:val="006D4715"/>
    <w:rsid w:val="006E7899"/>
    <w:rsid w:val="006F2774"/>
    <w:rsid w:val="006F5CEB"/>
    <w:rsid w:val="006F642A"/>
    <w:rsid w:val="00700DBD"/>
    <w:rsid w:val="00702DCF"/>
    <w:rsid w:val="007065B2"/>
    <w:rsid w:val="00706B15"/>
    <w:rsid w:val="00707821"/>
    <w:rsid w:val="00710F0E"/>
    <w:rsid w:val="007132DB"/>
    <w:rsid w:val="00715BE0"/>
    <w:rsid w:val="007205E5"/>
    <w:rsid w:val="00720A59"/>
    <w:rsid w:val="00741639"/>
    <w:rsid w:val="007451E0"/>
    <w:rsid w:val="00747CFB"/>
    <w:rsid w:val="0075547F"/>
    <w:rsid w:val="00757891"/>
    <w:rsid w:val="00766268"/>
    <w:rsid w:val="007668FD"/>
    <w:rsid w:val="00777303"/>
    <w:rsid w:val="00780E92"/>
    <w:rsid w:val="00781455"/>
    <w:rsid w:val="007828B5"/>
    <w:rsid w:val="00785C49"/>
    <w:rsid w:val="007912D8"/>
    <w:rsid w:val="00793608"/>
    <w:rsid w:val="007949D3"/>
    <w:rsid w:val="00797AB3"/>
    <w:rsid w:val="007A2EB7"/>
    <w:rsid w:val="007A41D9"/>
    <w:rsid w:val="007A7906"/>
    <w:rsid w:val="007B400D"/>
    <w:rsid w:val="007C47C7"/>
    <w:rsid w:val="007C5201"/>
    <w:rsid w:val="007C57BC"/>
    <w:rsid w:val="007D094E"/>
    <w:rsid w:val="007D68B6"/>
    <w:rsid w:val="007D7974"/>
    <w:rsid w:val="007E162D"/>
    <w:rsid w:val="007E5F73"/>
    <w:rsid w:val="00800422"/>
    <w:rsid w:val="0080120A"/>
    <w:rsid w:val="00814D45"/>
    <w:rsid w:val="00820D67"/>
    <w:rsid w:val="00822037"/>
    <w:rsid w:val="00831F3E"/>
    <w:rsid w:val="00841E97"/>
    <w:rsid w:val="00842EB8"/>
    <w:rsid w:val="0084367A"/>
    <w:rsid w:val="00845901"/>
    <w:rsid w:val="008472B0"/>
    <w:rsid w:val="0084772C"/>
    <w:rsid w:val="008517CC"/>
    <w:rsid w:val="00851E78"/>
    <w:rsid w:val="008522F6"/>
    <w:rsid w:val="00853BC5"/>
    <w:rsid w:val="008607FE"/>
    <w:rsid w:val="0086525B"/>
    <w:rsid w:val="008816B3"/>
    <w:rsid w:val="00882770"/>
    <w:rsid w:val="008903AB"/>
    <w:rsid w:val="00894726"/>
    <w:rsid w:val="008A5FC7"/>
    <w:rsid w:val="008B0CAA"/>
    <w:rsid w:val="008B602B"/>
    <w:rsid w:val="008C14E1"/>
    <w:rsid w:val="008C382E"/>
    <w:rsid w:val="008C3E5B"/>
    <w:rsid w:val="008C4435"/>
    <w:rsid w:val="008C5E7C"/>
    <w:rsid w:val="008D5254"/>
    <w:rsid w:val="008D60C4"/>
    <w:rsid w:val="008D67B8"/>
    <w:rsid w:val="008D6997"/>
    <w:rsid w:val="008E40A7"/>
    <w:rsid w:val="008E6CF6"/>
    <w:rsid w:val="008F0A51"/>
    <w:rsid w:val="008F388A"/>
    <w:rsid w:val="008F53A7"/>
    <w:rsid w:val="00903451"/>
    <w:rsid w:val="0090766B"/>
    <w:rsid w:val="0091575A"/>
    <w:rsid w:val="00916CA3"/>
    <w:rsid w:val="00931950"/>
    <w:rsid w:val="009326D3"/>
    <w:rsid w:val="0095535C"/>
    <w:rsid w:val="00955ED7"/>
    <w:rsid w:val="009560EA"/>
    <w:rsid w:val="00957466"/>
    <w:rsid w:val="00963EDF"/>
    <w:rsid w:val="00971516"/>
    <w:rsid w:val="00976655"/>
    <w:rsid w:val="009766DA"/>
    <w:rsid w:val="0098027D"/>
    <w:rsid w:val="00985FEE"/>
    <w:rsid w:val="009876CF"/>
    <w:rsid w:val="009934AB"/>
    <w:rsid w:val="00993C7D"/>
    <w:rsid w:val="009A0509"/>
    <w:rsid w:val="009A0A9C"/>
    <w:rsid w:val="009A2EA3"/>
    <w:rsid w:val="009A5B31"/>
    <w:rsid w:val="009B2B80"/>
    <w:rsid w:val="009B3E41"/>
    <w:rsid w:val="009B61FD"/>
    <w:rsid w:val="009C0F6B"/>
    <w:rsid w:val="009C2A50"/>
    <w:rsid w:val="009C32B4"/>
    <w:rsid w:val="009D6963"/>
    <w:rsid w:val="009E57E1"/>
    <w:rsid w:val="009F5AE0"/>
    <w:rsid w:val="009F67BA"/>
    <w:rsid w:val="00A028A8"/>
    <w:rsid w:val="00A0325D"/>
    <w:rsid w:val="00A05459"/>
    <w:rsid w:val="00A1019C"/>
    <w:rsid w:val="00A232C5"/>
    <w:rsid w:val="00A25E54"/>
    <w:rsid w:val="00A26637"/>
    <w:rsid w:val="00A30165"/>
    <w:rsid w:val="00A308D3"/>
    <w:rsid w:val="00A33FA1"/>
    <w:rsid w:val="00A37DA9"/>
    <w:rsid w:val="00A37F6D"/>
    <w:rsid w:val="00A410B1"/>
    <w:rsid w:val="00A410E0"/>
    <w:rsid w:val="00A43D7C"/>
    <w:rsid w:val="00A469AB"/>
    <w:rsid w:val="00A51343"/>
    <w:rsid w:val="00A5301E"/>
    <w:rsid w:val="00A535FA"/>
    <w:rsid w:val="00A5652D"/>
    <w:rsid w:val="00A572A6"/>
    <w:rsid w:val="00A61DF0"/>
    <w:rsid w:val="00A6200D"/>
    <w:rsid w:val="00A65548"/>
    <w:rsid w:val="00A65E69"/>
    <w:rsid w:val="00A715C9"/>
    <w:rsid w:val="00A76CA1"/>
    <w:rsid w:val="00A76DBF"/>
    <w:rsid w:val="00A847CD"/>
    <w:rsid w:val="00A85605"/>
    <w:rsid w:val="00A90814"/>
    <w:rsid w:val="00A911AA"/>
    <w:rsid w:val="00A92C22"/>
    <w:rsid w:val="00A95684"/>
    <w:rsid w:val="00AA72A8"/>
    <w:rsid w:val="00AB2D75"/>
    <w:rsid w:val="00AB4BFC"/>
    <w:rsid w:val="00AB630E"/>
    <w:rsid w:val="00AC39FA"/>
    <w:rsid w:val="00AC43FD"/>
    <w:rsid w:val="00AC631A"/>
    <w:rsid w:val="00AC6C37"/>
    <w:rsid w:val="00AD0EC7"/>
    <w:rsid w:val="00AD558F"/>
    <w:rsid w:val="00AD6B43"/>
    <w:rsid w:val="00AD7A86"/>
    <w:rsid w:val="00AE29F5"/>
    <w:rsid w:val="00AE44C0"/>
    <w:rsid w:val="00AE660C"/>
    <w:rsid w:val="00AF20AC"/>
    <w:rsid w:val="00AF241E"/>
    <w:rsid w:val="00B00F7D"/>
    <w:rsid w:val="00B0209C"/>
    <w:rsid w:val="00B02F51"/>
    <w:rsid w:val="00B0441D"/>
    <w:rsid w:val="00B13D9B"/>
    <w:rsid w:val="00B15C8E"/>
    <w:rsid w:val="00B202CC"/>
    <w:rsid w:val="00B46A73"/>
    <w:rsid w:val="00B514F4"/>
    <w:rsid w:val="00B56F81"/>
    <w:rsid w:val="00B621C8"/>
    <w:rsid w:val="00B64437"/>
    <w:rsid w:val="00B64DA7"/>
    <w:rsid w:val="00B67941"/>
    <w:rsid w:val="00B67A86"/>
    <w:rsid w:val="00B72F6B"/>
    <w:rsid w:val="00B7468F"/>
    <w:rsid w:val="00B75655"/>
    <w:rsid w:val="00B75ED7"/>
    <w:rsid w:val="00B8458C"/>
    <w:rsid w:val="00B8478C"/>
    <w:rsid w:val="00B9114E"/>
    <w:rsid w:val="00B9140D"/>
    <w:rsid w:val="00B91C48"/>
    <w:rsid w:val="00B9354B"/>
    <w:rsid w:val="00BA6014"/>
    <w:rsid w:val="00BA76CE"/>
    <w:rsid w:val="00BB416E"/>
    <w:rsid w:val="00BC0C00"/>
    <w:rsid w:val="00BC15F7"/>
    <w:rsid w:val="00BC1D74"/>
    <w:rsid w:val="00BC3844"/>
    <w:rsid w:val="00BC399E"/>
    <w:rsid w:val="00BD343C"/>
    <w:rsid w:val="00BD7678"/>
    <w:rsid w:val="00BE5F5C"/>
    <w:rsid w:val="00BE721B"/>
    <w:rsid w:val="00BE77F4"/>
    <w:rsid w:val="00BF02A0"/>
    <w:rsid w:val="00BF3162"/>
    <w:rsid w:val="00BF3B83"/>
    <w:rsid w:val="00C02458"/>
    <w:rsid w:val="00C03057"/>
    <w:rsid w:val="00C050BF"/>
    <w:rsid w:val="00C11BDC"/>
    <w:rsid w:val="00C20F55"/>
    <w:rsid w:val="00C237FA"/>
    <w:rsid w:val="00C24C2B"/>
    <w:rsid w:val="00C2767D"/>
    <w:rsid w:val="00C30136"/>
    <w:rsid w:val="00C32841"/>
    <w:rsid w:val="00C33995"/>
    <w:rsid w:val="00C40C78"/>
    <w:rsid w:val="00C4472B"/>
    <w:rsid w:val="00C44A3B"/>
    <w:rsid w:val="00C461A7"/>
    <w:rsid w:val="00C463A0"/>
    <w:rsid w:val="00C538B9"/>
    <w:rsid w:val="00C6405D"/>
    <w:rsid w:val="00C65067"/>
    <w:rsid w:val="00C65234"/>
    <w:rsid w:val="00C665C8"/>
    <w:rsid w:val="00C72CA4"/>
    <w:rsid w:val="00C74C3B"/>
    <w:rsid w:val="00C8056C"/>
    <w:rsid w:val="00C82403"/>
    <w:rsid w:val="00C82690"/>
    <w:rsid w:val="00C84A9F"/>
    <w:rsid w:val="00C84C54"/>
    <w:rsid w:val="00C85949"/>
    <w:rsid w:val="00C9228B"/>
    <w:rsid w:val="00C94049"/>
    <w:rsid w:val="00CA50B4"/>
    <w:rsid w:val="00CB0031"/>
    <w:rsid w:val="00CB1565"/>
    <w:rsid w:val="00CB532D"/>
    <w:rsid w:val="00CD68E3"/>
    <w:rsid w:val="00CE04D6"/>
    <w:rsid w:val="00CF0B2E"/>
    <w:rsid w:val="00CF3227"/>
    <w:rsid w:val="00D027C1"/>
    <w:rsid w:val="00D02A04"/>
    <w:rsid w:val="00D02E69"/>
    <w:rsid w:val="00D04171"/>
    <w:rsid w:val="00D0439A"/>
    <w:rsid w:val="00D05EC8"/>
    <w:rsid w:val="00D06350"/>
    <w:rsid w:val="00D10B3C"/>
    <w:rsid w:val="00D13699"/>
    <w:rsid w:val="00D141BB"/>
    <w:rsid w:val="00D24A46"/>
    <w:rsid w:val="00D262B0"/>
    <w:rsid w:val="00D34910"/>
    <w:rsid w:val="00D3600E"/>
    <w:rsid w:val="00D50CA9"/>
    <w:rsid w:val="00D50D94"/>
    <w:rsid w:val="00D52199"/>
    <w:rsid w:val="00D5408E"/>
    <w:rsid w:val="00D6577F"/>
    <w:rsid w:val="00D66523"/>
    <w:rsid w:val="00D74DF8"/>
    <w:rsid w:val="00D75AC4"/>
    <w:rsid w:val="00D80B75"/>
    <w:rsid w:val="00D84021"/>
    <w:rsid w:val="00D854EF"/>
    <w:rsid w:val="00D923A0"/>
    <w:rsid w:val="00D93428"/>
    <w:rsid w:val="00D935D6"/>
    <w:rsid w:val="00D9645F"/>
    <w:rsid w:val="00D9714F"/>
    <w:rsid w:val="00DA081C"/>
    <w:rsid w:val="00DA0890"/>
    <w:rsid w:val="00DA180B"/>
    <w:rsid w:val="00DB17CD"/>
    <w:rsid w:val="00DB1840"/>
    <w:rsid w:val="00DB7BAA"/>
    <w:rsid w:val="00DB7E6F"/>
    <w:rsid w:val="00DC167E"/>
    <w:rsid w:val="00DC3157"/>
    <w:rsid w:val="00DC3A49"/>
    <w:rsid w:val="00DC3EC8"/>
    <w:rsid w:val="00DC49B5"/>
    <w:rsid w:val="00DC553E"/>
    <w:rsid w:val="00DD2B29"/>
    <w:rsid w:val="00DD409A"/>
    <w:rsid w:val="00DD45A8"/>
    <w:rsid w:val="00DD52AA"/>
    <w:rsid w:val="00DD538E"/>
    <w:rsid w:val="00DE0FFA"/>
    <w:rsid w:val="00DE479C"/>
    <w:rsid w:val="00DE4C48"/>
    <w:rsid w:val="00DF07DD"/>
    <w:rsid w:val="00E011A7"/>
    <w:rsid w:val="00E034A9"/>
    <w:rsid w:val="00E045E2"/>
    <w:rsid w:val="00E04EC2"/>
    <w:rsid w:val="00E07C0D"/>
    <w:rsid w:val="00E11E43"/>
    <w:rsid w:val="00E15E4E"/>
    <w:rsid w:val="00E1676C"/>
    <w:rsid w:val="00E2457F"/>
    <w:rsid w:val="00E257B6"/>
    <w:rsid w:val="00E301D5"/>
    <w:rsid w:val="00E31E6F"/>
    <w:rsid w:val="00E45B86"/>
    <w:rsid w:val="00E46484"/>
    <w:rsid w:val="00E47782"/>
    <w:rsid w:val="00E50CA5"/>
    <w:rsid w:val="00E51D0C"/>
    <w:rsid w:val="00E53A0A"/>
    <w:rsid w:val="00E54480"/>
    <w:rsid w:val="00E54950"/>
    <w:rsid w:val="00E708E2"/>
    <w:rsid w:val="00E71EF2"/>
    <w:rsid w:val="00E776FC"/>
    <w:rsid w:val="00E8012D"/>
    <w:rsid w:val="00E86615"/>
    <w:rsid w:val="00E9500D"/>
    <w:rsid w:val="00E95B05"/>
    <w:rsid w:val="00E96D5F"/>
    <w:rsid w:val="00EA0173"/>
    <w:rsid w:val="00EA46FD"/>
    <w:rsid w:val="00EA7417"/>
    <w:rsid w:val="00EB3335"/>
    <w:rsid w:val="00EB36A6"/>
    <w:rsid w:val="00EB4C2C"/>
    <w:rsid w:val="00EB587B"/>
    <w:rsid w:val="00EE0CF6"/>
    <w:rsid w:val="00EF0DD9"/>
    <w:rsid w:val="00EF26D8"/>
    <w:rsid w:val="00F0444C"/>
    <w:rsid w:val="00F04891"/>
    <w:rsid w:val="00F16593"/>
    <w:rsid w:val="00F2082A"/>
    <w:rsid w:val="00F20E10"/>
    <w:rsid w:val="00F240B3"/>
    <w:rsid w:val="00F24555"/>
    <w:rsid w:val="00F248A4"/>
    <w:rsid w:val="00F24A8C"/>
    <w:rsid w:val="00F25ADB"/>
    <w:rsid w:val="00F315A5"/>
    <w:rsid w:val="00F36253"/>
    <w:rsid w:val="00F440A5"/>
    <w:rsid w:val="00F44895"/>
    <w:rsid w:val="00F44BB4"/>
    <w:rsid w:val="00F47D7D"/>
    <w:rsid w:val="00F55DAE"/>
    <w:rsid w:val="00F56098"/>
    <w:rsid w:val="00F64A88"/>
    <w:rsid w:val="00F6762B"/>
    <w:rsid w:val="00F67879"/>
    <w:rsid w:val="00F76DA9"/>
    <w:rsid w:val="00F80A73"/>
    <w:rsid w:val="00F837B5"/>
    <w:rsid w:val="00F868CF"/>
    <w:rsid w:val="00F90A96"/>
    <w:rsid w:val="00F96975"/>
    <w:rsid w:val="00FA6FF0"/>
    <w:rsid w:val="00FB19DF"/>
    <w:rsid w:val="00FB2C8F"/>
    <w:rsid w:val="00FB338B"/>
    <w:rsid w:val="00FB53AD"/>
    <w:rsid w:val="00FC01E9"/>
    <w:rsid w:val="00FC0266"/>
    <w:rsid w:val="00FC284E"/>
    <w:rsid w:val="00FD02ED"/>
    <w:rsid w:val="00FD1380"/>
    <w:rsid w:val="00FD3B87"/>
    <w:rsid w:val="00FE0504"/>
    <w:rsid w:val="00FE1AB9"/>
    <w:rsid w:val="00FE1BAC"/>
    <w:rsid w:val="00FE4EB7"/>
    <w:rsid w:val="00FE52BB"/>
    <w:rsid w:val="00FE7294"/>
    <w:rsid w:val="00FE7840"/>
    <w:rsid w:val="00FF0FAD"/>
    <w:rsid w:val="00FF3843"/>
    <w:rsid w:val="00FF434E"/>
    <w:rsid w:val="00FF4CA5"/>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5A7274B"/>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en-GB"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01A40"/>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45CDB"/>
    <w:pPr>
      <w:ind w:left="720"/>
      <w:contextualSpacing/>
    </w:pPr>
  </w:style>
  <w:style w:type="table" w:styleId="TableGrid">
    <w:name w:val="Table Grid"/>
    <w:basedOn w:val="TableNormal"/>
    <w:uiPriority w:val="39"/>
    <w:rsid w:val="00245CD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245CDB"/>
    <w:rPr>
      <w:sz w:val="16"/>
      <w:szCs w:val="16"/>
    </w:rPr>
  </w:style>
  <w:style w:type="paragraph" w:styleId="CommentText">
    <w:name w:val="annotation text"/>
    <w:basedOn w:val="Normal"/>
    <w:link w:val="CommentTextChar"/>
    <w:uiPriority w:val="99"/>
    <w:unhideWhenUsed/>
    <w:rsid w:val="00245CDB"/>
    <w:pPr>
      <w:spacing w:line="240" w:lineRule="auto"/>
    </w:pPr>
    <w:rPr>
      <w:sz w:val="20"/>
      <w:szCs w:val="20"/>
    </w:rPr>
  </w:style>
  <w:style w:type="character" w:customStyle="1" w:styleId="CommentTextChar">
    <w:name w:val="Comment Text Char"/>
    <w:basedOn w:val="DefaultParagraphFont"/>
    <w:link w:val="CommentText"/>
    <w:uiPriority w:val="99"/>
    <w:rsid w:val="00245CDB"/>
    <w:rPr>
      <w:sz w:val="20"/>
      <w:szCs w:val="20"/>
    </w:rPr>
  </w:style>
  <w:style w:type="paragraph" w:styleId="Header">
    <w:name w:val="header"/>
    <w:basedOn w:val="Normal"/>
    <w:link w:val="HeaderChar"/>
    <w:uiPriority w:val="99"/>
    <w:unhideWhenUsed/>
    <w:rsid w:val="009F5AE0"/>
    <w:pPr>
      <w:tabs>
        <w:tab w:val="center" w:pos="4513"/>
        <w:tab w:val="right" w:pos="9026"/>
      </w:tabs>
      <w:spacing w:after="0" w:line="240" w:lineRule="auto"/>
    </w:pPr>
  </w:style>
  <w:style w:type="character" w:customStyle="1" w:styleId="HeaderChar">
    <w:name w:val="Header Char"/>
    <w:basedOn w:val="DefaultParagraphFont"/>
    <w:link w:val="Header"/>
    <w:uiPriority w:val="99"/>
    <w:rsid w:val="009F5AE0"/>
  </w:style>
  <w:style w:type="paragraph" w:styleId="Footer">
    <w:name w:val="footer"/>
    <w:basedOn w:val="Normal"/>
    <w:link w:val="FooterChar"/>
    <w:uiPriority w:val="99"/>
    <w:unhideWhenUsed/>
    <w:rsid w:val="009F5AE0"/>
    <w:pPr>
      <w:tabs>
        <w:tab w:val="center" w:pos="4513"/>
        <w:tab w:val="right" w:pos="9026"/>
      </w:tabs>
      <w:spacing w:after="0" w:line="240" w:lineRule="auto"/>
    </w:pPr>
  </w:style>
  <w:style w:type="character" w:customStyle="1" w:styleId="FooterChar">
    <w:name w:val="Footer Char"/>
    <w:basedOn w:val="DefaultParagraphFont"/>
    <w:link w:val="Footer"/>
    <w:uiPriority w:val="99"/>
    <w:rsid w:val="009F5AE0"/>
  </w:style>
  <w:style w:type="character" w:styleId="Hyperlink">
    <w:name w:val="Hyperlink"/>
    <w:basedOn w:val="DefaultParagraphFont"/>
    <w:uiPriority w:val="99"/>
    <w:unhideWhenUsed/>
    <w:rsid w:val="00321DB5"/>
    <w:rPr>
      <w:color w:val="0563C1" w:themeColor="hyperlink"/>
      <w:u w:val="single"/>
    </w:rPr>
  </w:style>
  <w:style w:type="paragraph" w:styleId="CommentSubject">
    <w:name w:val="annotation subject"/>
    <w:basedOn w:val="CommentText"/>
    <w:next w:val="CommentText"/>
    <w:link w:val="CommentSubjectChar"/>
    <w:uiPriority w:val="99"/>
    <w:semiHidden/>
    <w:unhideWhenUsed/>
    <w:rsid w:val="00371DB9"/>
    <w:rPr>
      <w:b/>
      <w:bCs/>
    </w:rPr>
  </w:style>
  <w:style w:type="character" w:customStyle="1" w:styleId="CommentSubjectChar">
    <w:name w:val="Comment Subject Char"/>
    <w:basedOn w:val="CommentTextChar"/>
    <w:link w:val="CommentSubject"/>
    <w:uiPriority w:val="99"/>
    <w:semiHidden/>
    <w:rsid w:val="00371DB9"/>
    <w:rPr>
      <w:b/>
      <w:bCs/>
      <w:sz w:val="20"/>
      <w:szCs w:val="20"/>
    </w:rPr>
  </w:style>
  <w:style w:type="character" w:styleId="UnresolvedMention">
    <w:name w:val="Unresolved Mention"/>
    <w:basedOn w:val="DefaultParagraphFont"/>
    <w:uiPriority w:val="99"/>
    <w:semiHidden/>
    <w:unhideWhenUsed/>
    <w:rsid w:val="004B042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9494623">
      <w:bodyDiv w:val="1"/>
      <w:marLeft w:val="0"/>
      <w:marRight w:val="0"/>
      <w:marTop w:val="0"/>
      <w:marBottom w:val="0"/>
      <w:divBdr>
        <w:top w:val="none" w:sz="0" w:space="0" w:color="auto"/>
        <w:left w:val="none" w:sz="0" w:space="0" w:color="auto"/>
        <w:bottom w:val="none" w:sz="0" w:space="0" w:color="auto"/>
        <w:right w:val="none" w:sz="0" w:space="0" w:color="auto"/>
      </w:divBdr>
      <w:divsChild>
        <w:div w:id="1537695901">
          <w:marLeft w:val="360"/>
          <w:marRight w:val="0"/>
          <w:marTop w:val="200"/>
          <w:marBottom w:val="0"/>
          <w:divBdr>
            <w:top w:val="none" w:sz="0" w:space="0" w:color="auto"/>
            <w:left w:val="none" w:sz="0" w:space="0" w:color="auto"/>
            <w:bottom w:val="none" w:sz="0" w:space="0" w:color="auto"/>
            <w:right w:val="none" w:sz="0" w:space="0" w:color="auto"/>
          </w:divBdr>
        </w:div>
      </w:divsChild>
    </w:div>
    <w:div w:id="333147160">
      <w:bodyDiv w:val="1"/>
      <w:marLeft w:val="0"/>
      <w:marRight w:val="0"/>
      <w:marTop w:val="0"/>
      <w:marBottom w:val="0"/>
      <w:divBdr>
        <w:top w:val="none" w:sz="0" w:space="0" w:color="auto"/>
        <w:left w:val="none" w:sz="0" w:space="0" w:color="auto"/>
        <w:bottom w:val="none" w:sz="0" w:space="0" w:color="auto"/>
        <w:right w:val="none" w:sz="0" w:space="0" w:color="auto"/>
      </w:divBdr>
    </w:div>
    <w:div w:id="1159275344">
      <w:bodyDiv w:val="1"/>
      <w:marLeft w:val="0"/>
      <w:marRight w:val="0"/>
      <w:marTop w:val="0"/>
      <w:marBottom w:val="0"/>
      <w:divBdr>
        <w:top w:val="none" w:sz="0" w:space="0" w:color="auto"/>
        <w:left w:val="none" w:sz="0" w:space="0" w:color="auto"/>
        <w:bottom w:val="none" w:sz="0" w:space="0" w:color="auto"/>
        <w:right w:val="none" w:sz="0" w:space="0" w:color="auto"/>
      </w:divBdr>
      <w:divsChild>
        <w:div w:id="1354721185">
          <w:marLeft w:val="360"/>
          <w:marRight w:val="0"/>
          <w:marTop w:val="200"/>
          <w:marBottom w:val="0"/>
          <w:divBdr>
            <w:top w:val="none" w:sz="0" w:space="0" w:color="auto"/>
            <w:left w:val="none" w:sz="0" w:space="0" w:color="auto"/>
            <w:bottom w:val="none" w:sz="0" w:space="0" w:color="auto"/>
            <w:right w:val="none" w:sz="0" w:space="0" w:color="auto"/>
          </w:divBdr>
        </w:div>
        <w:div w:id="1454208321">
          <w:marLeft w:val="360"/>
          <w:marRight w:val="0"/>
          <w:marTop w:val="200"/>
          <w:marBottom w:val="0"/>
          <w:divBdr>
            <w:top w:val="none" w:sz="0" w:space="0" w:color="auto"/>
            <w:left w:val="none" w:sz="0" w:space="0" w:color="auto"/>
            <w:bottom w:val="none" w:sz="0" w:space="0" w:color="auto"/>
            <w:right w:val="none" w:sz="0" w:space="0" w:color="auto"/>
          </w:divBdr>
        </w:div>
        <w:div w:id="1448692474">
          <w:marLeft w:val="360"/>
          <w:marRight w:val="0"/>
          <w:marTop w:val="200"/>
          <w:marBottom w:val="0"/>
          <w:divBdr>
            <w:top w:val="none" w:sz="0" w:space="0" w:color="auto"/>
            <w:left w:val="none" w:sz="0" w:space="0" w:color="auto"/>
            <w:bottom w:val="none" w:sz="0" w:space="0" w:color="auto"/>
            <w:right w:val="none" w:sz="0" w:space="0" w:color="auto"/>
          </w:divBdr>
        </w:div>
        <w:div w:id="369184348">
          <w:marLeft w:val="360"/>
          <w:marRight w:val="0"/>
          <w:marTop w:val="200"/>
          <w:marBottom w:val="0"/>
          <w:divBdr>
            <w:top w:val="none" w:sz="0" w:space="0" w:color="auto"/>
            <w:left w:val="none" w:sz="0" w:space="0" w:color="auto"/>
            <w:bottom w:val="none" w:sz="0" w:space="0" w:color="auto"/>
            <w:right w:val="none" w:sz="0" w:space="0" w:color="auto"/>
          </w:divBdr>
        </w:div>
        <w:div w:id="438381142">
          <w:marLeft w:val="360"/>
          <w:marRight w:val="0"/>
          <w:marTop w:val="200"/>
          <w:marBottom w:val="0"/>
          <w:divBdr>
            <w:top w:val="none" w:sz="0" w:space="0" w:color="auto"/>
            <w:left w:val="none" w:sz="0" w:space="0" w:color="auto"/>
            <w:bottom w:val="none" w:sz="0" w:space="0" w:color="auto"/>
            <w:right w:val="none" w:sz="0" w:space="0" w:color="auto"/>
          </w:divBdr>
        </w:div>
      </w:divsChild>
    </w:div>
    <w:div w:id="1627078729">
      <w:bodyDiv w:val="1"/>
      <w:marLeft w:val="0"/>
      <w:marRight w:val="0"/>
      <w:marTop w:val="0"/>
      <w:marBottom w:val="0"/>
      <w:divBdr>
        <w:top w:val="none" w:sz="0" w:space="0" w:color="auto"/>
        <w:left w:val="none" w:sz="0" w:space="0" w:color="auto"/>
        <w:bottom w:val="none" w:sz="0" w:space="0" w:color="auto"/>
        <w:right w:val="none" w:sz="0" w:space="0" w:color="auto"/>
      </w:divBdr>
      <w:divsChild>
        <w:div w:id="653488138">
          <w:marLeft w:val="360"/>
          <w:marRight w:val="0"/>
          <w:marTop w:val="20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ettings" Target="settings.xml"/><Relationship Id="rId7" Type="http://schemas.openxmlformats.org/officeDocument/2006/relationships/hyperlink" Target="https://www.cipd.co.uk/Images/driving-the-new-learning-organisation_2017-how-to-unlock-the-potential-of-Land-d_tcm18-21557.pdf"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22</Pages>
  <Words>9355</Words>
  <Characters>53325</Characters>
  <Application>Microsoft Office Word</Application>
  <DocSecurity>0</DocSecurity>
  <Lines>444</Lines>
  <Paragraphs>125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62555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2024-05-02T15:16:00Z</dcterms:created>
  <dcterms:modified xsi:type="dcterms:W3CDTF">2024-06-26T10:01:00Z</dcterms:modified>
</cp:coreProperties>
</file>