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652A32" w14:textId="59F043F2" w:rsidR="00ED7016" w:rsidRDefault="00ED7016" w:rsidP="00A60CB9">
      <w:pPr>
        <w:spacing w:line="480" w:lineRule="auto"/>
        <w:jc w:val="center"/>
        <w:rPr>
          <w:rFonts w:ascii="Times New Roman" w:hAnsi="Times New Roman" w:cs="Times New Roman"/>
          <w:b/>
          <w:bCs/>
          <w:sz w:val="24"/>
          <w:szCs w:val="24"/>
          <w:lang w:val="en-US"/>
        </w:rPr>
      </w:pPr>
      <w:bookmarkStart w:id="0" w:name="_Toc149046811"/>
      <w:bookmarkStart w:id="1" w:name="_Toc149148727"/>
      <w:bookmarkStart w:id="2" w:name="_Toc149150418"/>
      <w:r w:rsidRPr="00DD0F31">
        <w:rPr>
          <w:rFonts w:ascii="Times New Roman" w:hAnsi="Times New Roman" w:cs="Times New Roman"/>
          <w:b/>
          <w:bCs/>
          <w:sz w:val="24"/>
          <w:szCs w:val="24"/>
          <w:lang w:val="en-US"/>
        </w:rPr>
        <w:t>The Conflicting Roles of Potential and Realized Capabilities in SMEs’ Digital Adoption Projects: Evidence from Six North Sea Basin Regions</w:t>
      </w:r>
    </w:p>
    <w:p w14:paraId="2210C40A" w14:textId="5980082E" w:rsidR="00ED7016" w:rsidRPr="00DD0F31" w:rsidRDefault="00ED7016" w:rsidP="00A60CB9">
      <w:pPr>
        <w:spacing w:line="480" w:lineRule="auto"/>
        <w:jc w:val="center"/>
        <w:rPr>
          <w:rFonts w:ascii="Times New Roman" w:hAnsi="Times New Roman" w:cs="Times New Roman"/>
          <w:b/>
          <w:sz w:val="24"/>
          <w:szCs w:val="24"/>
          <w:lang w:val="en-US"/>
        </w:rPr>
      </w:pPr>
      <w:r w:rsidRPr="00DD0F31">
        <w:rPr>
          <w:rFonts w:ascii="Times New Roman" w:hAnsi="Times New Roman" w:cs="Times New Roman"/>
          <w:b/>
          <w:sz w:val="24"/>
          <w:szCs w:val="24"/>
          <w:lang w:val="en-US"/>
        </w:rPr>
        <w:t>Abstract</w:t>
      </w:r>
    </w:p>
    <w:p w14:paraId="783D817B" w14:textId="0B843B82" w:rsidR="00ED7016" w:rsidRPr="00DD0F31" w:rsidRDefault="002B66E7" w:rsidP="00DD0F31">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This study investigates the role of absorptive capacity when small and medium-sized enterprises (SMEs) embark on a process of adopting digital innovations. The new data from six North Sea Basin regions fills in the gaps in empirical evidence and research. The study explores the differentiated impact of potential absorptive capacity (PAC) and realized absorptive capacity (RAC) on the adoption of digital innovations. In this study, individual SMEs received assistance in identifying and implementing a digital solution that aligns with their business objectives through tailored digital innovation adoption projects. Only 36 percent successfully completed these projects. Investigating data from 252 SMEs, our novel findings reveal conflicting impacts of PAC and RAC on the adoption of digital innovations. While RAC reduces the likelihood of successful project completion, PAC significantly increases it. This highlights a trade-off in SMEs between resources, skills, and attitudes necessary for exploiting existing knowledge (RAC) versus exploring new knowledge (PAC).</w:t>
      </w:r>
    </w:p>
    <w:p w14:paraId="6F33B89A" w14:textId="79B0AB53" w:rsidR="00C67063" w:rsidRPr="00913EA9" w:rsidRDefault="00C67063" w:rsidP="00913EA9">
      <w:pPr>
        <w:pStyle w:val="ListParagraph"/>
        <w:numPr>
          <w:ilvl w:val="0"/>
          <w:numId w:val="15"/>
        </w:numPr>
        <w:spacing w:line="480" w:lineRule="auto"/>
        <w:jc w:val="both"/>
        <w:rPr>
          <w:rFonts w:ascii="Times New Roman" w:hAnsi="Times New Roman" w:cs="Times New Roman"/>
          <w:szCs w:val="24"/>
          <w:lang w:val="en-US"/>
        </w:rPr>
      </w:pPr>
      <w:r w:rsidRPr="00913EA9">
        <w:rPr>
          <w:rFonts w:ascii="Times New Roman" w:hAnsi="Times New Roman" w:cs="Times New Roman"/>
          <w:b/>
          <w:bCs/>
          <w:szCs w:val="24"/>
          <w:lang w:val="en-US"/>
        </w:rPr>
        <w:t>Introduction</w:t>
      </w:r>
      <w:bookmarkEnd w:id="0"/>
      <w:bookmarkEnd w:id="1"/>
      <w:bookmarkEnd w:id="2"/>
    </w:p>
    <w:p w14:paraId="6E6960F3" w14:textId="77777777" w:rsidR="00CD01EB" w:rsidRDefault="00C67063" w:rsidP="00DD0F31">
      <w:pPr>
        <w:spacing w:line="480" w:lineRule="auto"/>
        <w:ind w:firstLine="567"/>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ab/>
      </w:r>
      <w:r w:rsidR="00CD01EB">
        <w:rPr>
          <w:rFonts w:ascii="Times New Roman" w:hAnsi="Times New Roman" w:cs="Times New Roman"/>
          <w:sz w:val="24"/>
          <w:szCs w:val="24"/>
          <w:lang w:val="en-US"/>
        </w:rPr>
        <w:t xml:space="preserve">While small and medium-sized enterprises (SMEs) are the backbone of major economies across the globe (Perkins, 2019), they also face extra pressures compared to their larger counterparts. This is due in part to their limited physical, financial and human resources (Lee et al., 2011), as well as their limited ability to recognize, adopt, integrate, and exploit innovations in their business processes (Audretsch, Belitski and Brush, 2023; Ebben and Johnson, 2005). Cohen &amp; Levinthal (1990) conceptualized this ability as an organization's absorptive capacity. The processes of digitalization, which address how digital technologies can be used to alter existing business processes (Li et al., 2016), may lead to the adoption of digital technologies. This is necessary for SMEs to improve their business processes (Verhoef </w:t>
      </w:r>
      <w:r w:rsidR="00CD01EB">
        <w:rPr>
          <w:rFonts w:ascii="Times New Roman" w:hAnsi="Times New Roman" w:cs="Times New Roman"/>
          <w:sz w:val="24"/>
          <w:szCs w:val="24"/>
          <w:lang w:val="en-US"/>
        </w:rPr>
        <w:lastRenderedPageBreak/>
        <w:t>et al., 2021) and enhance user experiences (Pagani &amp; Pardo, 2017). For example, allowing customers to connect transforms pre-existing modes of firm-customer interactions (Ramaswamy &amp; Ozcan, 2016). Furthermore, the adoption and integration of digital technologies into business processes necessitates the organizational capacity to adjust to ongoing transformations, implying that SMEs must develop "the ability to adapt existing skills continuously or acquire new skills to use the new capabilities afforded by change in digital technologies." (Ciarli et al., 2021)</w:t>
      </w:r>
    </w:p>
    <w:p w14:paraId="69BF583A" w14:textId="77777777" w:rsidR="00CD01EB" w:rsidRDefault="00CD01EB" w:rsidP="00DD0F31">
      <w:pPr>
        <w:spacing w:line="480" w:lineRule="auto"/>
        <w:ind w:firstLine="567"/>
        <w:jc w:val="both"/>
        <w:rPr>
          <w:rFonts w:ascii="Times New Roman" w:hAnsi="Times New Roman" w:cs="Times New Roman"/>
          <w:sz w:val="24"/>
          <w:szCs w:val="24"/>
          <w:lang w:val="en-US"/>
        </w:rPr>
      </w:pPr>
    </w:p>
    <w:p w14:paraId="184AAACE" w14:textId="77777777" w:rsidR="00CD01EB" w:rsidRDefault="00CD01EB" w:rsidP="00DD0F31">
      <w:pPr>
        <w:spacing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These dynamic capabilities encompass a collection of behavioral attitudes and learning skills that enable SMEs to adapt to the ever-evolving business environment more effectively (Gao et al., 2013; Winter, 2003; Bruno et al., 2024). This paper makes a novel contribution to the existing body of knowledge on absorptive capacity by highlighting the critical significance of these dynamic capabilities in SMEs’ digitalization processes (Verhoef et al., 2021). We achieve this by studying the role of these elements in the digital technology adoption process, which transforms organizational learning and firm absorptive capacity (Belitski et al., 2021; Lanzolla et al., 2021).</w:t>
      </w:r>
    </w:p>
    <w:p w14:paraId="78E87C2C" w14:textId="77777777" w:rsidR="00CD01EB" w:rsidRDefault="00CD01EB" w:rsidP="00DD0F31">
      <w:pPr>
        <w:spacing w:line="480" w:lineRule="auto"/>
        <w:ind w:firstLine="567"/>
        <w:jc w:val="both"/>
        <w:rPr>
          <w:rFonts w:ascii="Times New Roman" w:hAnsi="Times New Roman" w:cs="Times New Roman"/>
          <w:sz w:val="24"/>
          <w:szCs w:val="24"/>
          <w:lang w:val="en-US"/>
        </w:rPr>
      </w:pPr>
    </w:p>
    <w:p w14:paraId="2312CB52" w14:textId="77777777" w:rsidR="00CD01EB" w:rsidRDefault="00CD01EB" w:rsidP="00DD0F31">
      <w:pPr>
        <w:spacing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detail, this paper adopts Zahra &amp; George’s (2002) conceptualization of absorptive capacity with two constructs: potential absorptive capacity (PAC) and realized absorptive capacity (RAC). PAC refers to the latent potential of an organization to absorb new knowledge and information. RAC, on the other hand, refers to the current utilization of new knowledge and information within an organization. We apply these categories to investigate the outcomes of individually tailored projects supporting the adoption of digital innovation in two hundred fifty-two SMEs across six regions in the North Sea Basin, in five countries: the Netherlands, Belgium, Germany, Sweden, and the United Kingdom. Our evidence shows that PAC has a </w:t>
      </w:r>
      <w:r>
        <w:rPr>
          <w:rFonts w:ascii="Times New Roman" w:hAnsi="Times New Roman" w:cs="Times New Roman"/>
          <w:sz w:val="24"/>
          <w:szCs w:val="24"/>
          <w:lang w:val="en-US"/>
        </w:rPr>
        <w:lastRenderedPageBreak/>
        <w:t>positive and significant association with successful completion of the process of adopting new digital technologies. In contrast, RAC negatively associates with the adoption of these technologies, reducing the probability of successfully completing a tailored adoption project. We believe this is a specific feature of the adoption processes of digital technologies in the context of SMEs, illustrating how the ability and willingness to explore new relationships and knowledge, as captured by PAC, serve as key enablers for the adoption of digital solutions. On the contrary, the exploitation of already-acquired, existing capabilities, as captured by RAC, undermines the probability of success in adopting a digital innovation. Indeed, a high level of RAC could indicate a prior use of an SME's scarce resources (physical, human, and capital) to exploit already acquired innovation opportunities, which may limit the SMEs' ability to exploit and assimilate new digital technological opportunities. This tradeoff might reflect the presence of technostress, the flipside of ICT-related RAC, due to techno-overload, as identified among French small business owners in Thurik et al. (2023). Therefore, within an SME context, we focus on a clear trade-off between the available resources, skills and attitudes needed to focus on the exploitation of existing knowledge versus those required for the exploration of new knowledge. The literature on organizational ambidexterity also recognizes this trade-off, referring to an organization's ability to manage today's business demands (exploitation orientation) and adapt to environmental and contextual changes (exploration orientation). Numerous studies have documented the success of large companies in achieving ambidexterity, yet SMEs have lagged behind (Lubatkin et al., 2006). Our results on the trade-off between exploring and exploiting knowledge in small and medium-sized businesses (Buisson et al., 2021) also add to research on ambidexterity (Derbyshire, 2014) as they analyze these tradeoffs for SMEs facing digital adoptions.</w:t>
      </w:r>
    </w:p>
    <w:p w14:paraId="0ABA8774" w14:textId="77777777" w:rsidR="00CD01EB" w:rsidRDefault="00CD01EB" w:rsidP="00DD0F31">
      <w:pPr>
        <w:spacing w:line="480" w:lineRule="auto"/>
        <w:ind w:firstLine="567"/>
        <w:jc w:val="both"/>
        <w:rPr>
          <w:rFonts w:ascii="Times New Roman" w:hAnsi="Times New Roman" w:cs="Times New Roman"/>
          <w:sz w:val="24"/>
          <w:szCs w:val="24"/>
          <w:lang w:val="en-US"/>
        </w:rPr>
      </w:pPr>
    </w:p>
    <w:p w14:paraId="417C1481" w14:textId="77777777" w:rsidR="00CD01EB" w:rsidRDefault="00CD01EB" w:rsidP="00DD0F31">
      <w:pPr>
        <w:spacing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This work develops new insights into how different dimensions of a firm’s absorptive capacity may impact its underlying incentives and technological capabilities (Von Tunzelmann, 2009). While Patton (2013) found that incubation processes facilitate the transition between PAC and RAC, we examine PAC and RAC, where a team of experts assisted SMEs' managers in identifying external digital tools and skills and provided them with support in the process of their digital adoption. Drawing on the literature on SMEs digitalisation and absorptive capacity, we develop a theoretical framework to explore how digital capabilities affect the successful completion of SMEs digital adoption processes. We construct a novel dataset for SMEs located in six North Sea Basin regions during 2020–2022. This data captures the results of self-assessment questionnaires about the digital skills, attitudes, and capabilities of SMEs. For each SME, this data is subsequently merged with the individual outcomes, achieved or failed, by these SMEs, after starting a tailored project for the adoption of digital innovation. Our findings are twofold: absorptive capacity has opposing effects on the success of adoption, depending on whether it is potential or realized.</w:t>
      </w:r>
    </w:p>
    <w:p w14:paraId="2DF33407" w14:textId="77777777" w:rsidR="00CD01EB" w:rsidRDefault="00CD01EB" w:rsidP="00DD0F31">
      <w:pPr>
        <w:spacing w:line="480" w:lineRule="auto"/>
        <w:ind w:firstLine="567"/>
        <w:jc w:val="both"/>
        <w:rPr>
          <w:rFonts w:ascii="Times New Roman" w:hAnsi="Times New Roman" w:cs="Times New Roman"/>
          <w:sz w:val="24"/>
          <w:szCs w:val="24"/>
          <w:lang w:val="en-US"/>
        </w:rPr>
      </w:pPr>
    </w:p>
    <w:p w14:paraId="547A1A9A" w14:textId="77777777" w:rsidR="00CD01EB" w:rsidRDefault="00CD01EB" w:rsidP="00DD0F31">
      <w:pPr>
        <w:spacing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Our study shows that the potential absorptive capacity of SMEs, specifically their willingness to experiment, learn, and engage with their environment, positively influences the success of digitalization. Second, we show how, on the contrary, realized absorptive capacity negatively impacts this success, hence improving our understanding of the role of dynamic capabilities in the digitalization process for SMEs.</w:t>
      </w:r>
    </w:p>
    <w:p w14:paraId="2D705CEE" w14:textId="77777777" w:rsidR="00CD01EB" w:rsidRDefault="00CD01EB" w:rsidP="00DD0F31">
      <w:pPr>
        <w:spacing w:line="480" w:lineRule="auto"/>
        <w:ind w:firstLine="567"/>
        <w:jc w:val="both"/>
        <w:rPr>
          <w:rFonts w:ascii="Times New Roman" w:hAnsi="Times New Roman" w:cs="Times New Roman"/>
          <w:sz w:val="24"/>
          <w:szCs w:val="24"/>
          <w:lang w:val="en-US"/>
        </w:rPr>
      </w:pPr>
    </w:p>
    <w:p w14:paraId="2F493179" w14:textId="01061C09" w:rsidR="00C67063" w:rsidRPr="00DD0F31" w:rsidRDefault="00A60CB9" w:rsidP="00DD0F31">
      <w:pPr>
        <w:spacing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00CD01EB">
        <w:rPr>
          <w:rFonts w:ascii="Times New Roman" w:hAnsi="Times New Roman" w:cs="Times New Roman"/>
          <w:sz w:val="24"/>
          <w:szCs w:val="24"/>
          <w:lang w:val="en-US"/>
        </w:rPr>
        <w:t xml:space="preserve">he rest of the paper </w:t>
      </w:r>
      <w:r>
        <w:rPr>
          <w:rFonts w:ascii="Times New Roman" w:hAnsi="Times New Roman" w:cs="Times New Roman"/>
          <w:sz w:val="24"/>
          <w:szCs w:val="24"/>
          <w:lang w:val="en-US"/>
        </w:rPr>
        <w:t xml:space="preserve">is organized </w:t>
      </w:r>
      <w:r w:rsidR="00CD01EB">
        <w:rPr>
          <w:rFonts w:ascii="Times New Roman" w:hAnsi="Times New Roman" w:cs="Times New Roman"/>
          <w:sz w:val="24"/>
          <w:szCs w:val="24"/>
          <w:lang w:val="en-US"/>
        </w:rPr>
        <w:t xml:space="preserve">as follows: the next section provides a review of the relevant literature, leading to the development of our key research hypotheses. We then discuss the methodology, </w:t>
      </w:r>
      <w:r w:rsidR="00913EA9">
        <w:rPr>
          <w:rFonts w:ascii="Times New Roman" w:hAnsi="Times New Roman" w:cs="Times New Roman"/>
          <w:sz w:val="24"/>
          <w:szCs w:val="24"/>
          <w:lang w:val="en-US"/>
        </w:rPr>
        <w:t>considering</w:t>
      </w:r>
      <w:r w:rsidR="00CD01EB">
        <w:rPr>
          <w:rFonts w:ascii="Times New Roman" w:hAnsi="Times New Roman" w:cs="Times New Roman"/>
          <w:sz w:val="24"/>
          <w:szCs w:val="24"/>
          <w:lang w:val="en-US"/>
        </w:rPr>
        <w:t xml:space="preserve"> the data, variables, and the econometric estimation strategy. This </w:t>
      </w:r>
      <w:r w:rsidR="00CD01EB">
        <w:rPr>
          <w:rFonts w:ascii="Times New Roman" w:hAnsi="Times New Roman" w:cs="Times New Roman"/>
          <w:sz w:val="24"/>
          <w:szCs w:val="24"/>
          <w:lang w:val="en-US"/>
        </w:rPr>
        <w:lastRenderedPageBreak/>
        <w:t>is followed by the interpretation and discussion of the results. The last section provides the conclusion.</w:t>
      </w:r>
    </w:p>
    <w:p w14:paraId="44937A5F" w14:textId="68739282" w:rsidR="00512278" w:rsidRPr="00DD0F31" w:rsidRDefault="00020289" w:rsidP="00DD0F31">
      <w:pPr>
        <w:spacing w:line="480" w:lineRule="auto"/>
        <w:jc w:val="both"/>
        <w:rPr>
          <w:rFonts w:ascii="Times New Roman" w:hAnsi="Times New Roman" w:cs="Times New Roman"/>
          <w:b/>
          <w:bCs/>
          <w:sz w:val="24"/>
          <w:szCs w:val="24"/>
          <w:lang w:val="en-US"/>
        </w:rPr>
      </w:pPr>
      <w:r w:rsidRPr="00DD0F31">
        <w:rPr>
          <w:rFonts w:ascii="Times New Roman" w:hAnsi="Times New Roman" w:cs="Times New Roman"/>
          <w:b/>
          <w:bCs/>
          <w:sz w:val="24"/>
          <w:szCs w:val="24"/>
          <w:lang w:val="en-US"/>
        </w:rPr>
        <w:t xml:space="preserve">2. </w:t>
      </w:r>
      <w:bookmarkStart w:id="3" w:name="_Toc149046812"/>
      <w:bookmarkStart w:id="4" w:name="_Toc149148728"/>
      <w:bookmarkStart w:id="5" w:name="_Toc149150419"/>
      <w:r w:rsidR="00512278" w:rsidRPr="00DD0F31">
        <w:rPr>
          <w:rFonts w:ascii="Times New Roman" w:hAnsi="Times New Roman" w:cs="Times New Roman"/>
          <w:b/>
          <w:bCs/>
          <w:sz w:val="24"/>
          <w:szCs w:val="24"/>
          <w:lang w:val="en-US"/>
        </w:rPr>
        <w:t>Literature review and hypothesis development</w:t>
      </w:r>
      <w:bookmarkEnd w:id="3"/>
      <w:bookmarkEnd w:id="4"/>
      <w:bookmarkEnd w:id="5"/>
    </w:p>
    <w:p w14:paraId="69F1A001" w14:textId="77777777" w:rsidR="001C5BB0" w:rsidRDefault="001C5BB0" w:rsidP="00DD0F31">
      <w:pPr>
        <w:spacing w:line="480" w:lineRule="auto"/>
        <w:ind w:left="284" w:right="288"/>
        <w:jc w:val="both"/>
        <w:rPr>
          <w:rFonts w:ascii="Times New Roman" w:hAnsi="Times New Roman" w:cs="Times New Roman"/>
          <w:sz w:val="24"/>
          <w:szCs w:val="24"/>
          <w:lang w:val="en-US"/>
        </w:rPr>
      </w:pPr>
      <w:r>
        <w:rPr>
          <w:rFonts w:ascii="Times New Roman" w:hAnsi="Times New Roman" w:cs="Times New Roman"/>
          <w:sz w:val="24"/>
          <w:szCs w:val="24"/>
          <w:lang w:val="en-US"/>
        </w:rPr>
        <w:t>Innovations, or, more pertinently for SMEs, their adoption, rely on the absorption and combination of newly generated knowledge with existing knowledge (Cohen &amp; Levinthal, 1990; Grant, 1996). Several studies (March &amp; Simon, 1958; Mueller, 1962; Von Hippel, 1988; Wynarczyk et al., 2013) have proposed that innovation is more often a consequence of obtaining external knowledge than invention. Hence, the ability to effectively utilize external knowledge is crucial for developing innovative capabilities. Innovation theories stress how innovation is a process involving multiple actors and interactions throughout its different phases (Van de Ven et al., 2008).</w:t>
      </w:r>
    </w:p>
    <w:p w14:paraId="72D72362" w14:textId="77777777" w:rsidR="001C5BB0" w:rsidRDefault="001C5BB0" w:rsidP="00DD0F31">
      <w:pPr>
        <w:spacing w:line="480" w:lineRule="auto"/>
        <w:ind w:left="284" w:right="288"/>
        <w:jc w:val="both"/>
        <w:rPr>
          <w:rFonts w:ascii="Times New Roman" w:hAnsi="Times New Roman" w:cs="Times New Roman"/>
          <w:sz w:val="24"/>
          <w:szCs w:val="24"/>
          <w:lang w:val="en-US"/>
        </w:rPr>
      </w:pPr>
      <w:r>
        <w:rPr>
          <w:rFonts w:ascii="Times New Roman" w:hAnsi="Times New Roman" w:cs="Times New Roman"/>
          <w:sz w:val="24"/>
          <w:szCs w:val="24"/>
          <w:lang w:val="en-US"/>
        </w:rPr>
        <w:t>Similar to innovation processes, the adoption of a new digital technology by an SME follows a process with various phases. By adapting and renaming the phases identified by Van de Ven et al. (2008), we can concentrate on the following steps involved in an SME's adoption of a digital innovation: 1) Initiation: An SME initiates the adoption of a digital innovation when they identify an opportunity or problem. This necessitates the identification of digital opportunities and the early mobilization of resources. 2) Development: This refers to the process of planning and learning, which involves trial and error, testing, and refinement to address the technical and practical challenges that arise when integrating the digital opportunity into the SME's processes or products. We can break down the final phase into two distinct and non-overlapping scenarios: 3a) Implementation: This involves incorporating the digital innovation into the SME's daily business operations. 3b) Termination: when the SME abandons the implementation process without adopting the digital innovation. During each of these phases, both internal and external factors influence the adoption process.</w:t>
      </w:r>
    </w:p>
    <w:p w14:paraId="2E543C34" w14:textId="01D186A8" w:rsidR="001C5BB0" w:rsidRDefault="001C5BB0" w:rsidP="00DD0F31">
      <w:pPr>
        <w:spacing w:line="480" w:lineRule="auto"/>
        <w:ind w:left="284" w:right="288"/>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Our study focuses on data that emerged from a set of projects, whereby digital capabilities data are </w:t>
      </w:r>
      <w:r w:rsidR="00913EA9">
        <w:rPr>
          <w:rFonts w:ascii="Times New Roman" w:hAnsi="Times New Roman" w:cs="Times New Roman"/>
          <w:sz w:val="24"/>
          <w:szCs w:val="24"/>
          <w:lang w:val="en-US"/>
        </w:rPr>
        <w:t>collected,</w:t>
      </w:r>
      <w:r>
        <w:rPr>
          <w:rFonts w:ascii="Times New Roman" w:hAnsi="Times New Roman" w:cs="Times New Roman"/>
          <w:sz w:val="24"/>
          <w:szCs w:val="24"/>
          <w:lang w:val="en-US"/>
        </w:rPr>
        <w:t xml:space="preserve"> and constructs are proposed to capture realized and potential absorptive capacity.  We then utilize these data to examine their impact during the third phase of the implementation, ascertaining the probability of the third phase's result: the successful implementation of the digital technology or the failure of its adoption.</w:t>
      </w:r>
    </w:p>
    <w:p w14:paraId="5033852A" w14:textId="77169B08" w:rsidR="001C5BB0" w:rsidRDefault="001C5BB0" w:rsidP="00DD0F31">
      <w:pPr>
        <w:spacing w:line="480" w:lineRule="auto"/>
        <w:ind w:left="284" w:right="28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Absorptive capacity (Cohen &amp; Levinthal, 1990) shapes these different phases of a digital adoption process. This is because it captures the internal and external abilities SMEs employ to identify and translate external knowledge inflows into tangible benefits, as well as the means of achieving digitalization and innovation more broadly (Smith et al., 2005; Subramaniam &amp; Youndt, 2005; Wu &amp; Shanley, 2009). Firms that consistently invest resources in assimilating and exploiting new external knowledge are more likely to capitalize on changing environmental conditions by generating innovative products and meeting the needs of emerging markets (Jansen et al., 2005; Lichtenthaler, 2009; Aliasghar et al., 2023; Raymond et al., 2015). But because absorptive capacity is multidimensional, we need to look more closely at how its different parts might have effects that are at odds with each other. This is especially important when figuring out whether a process for adopting digital innovations succeeds or fails in the end. An answer to this still unresolved, question is the key contribution of this paper. Zahra </w:t>
      </w:r>
      <w:r w:rsidR="008D413D">
        <w:rPr>
          <w:rFonts w:ascii="Times New Roman" w:hAnsi="Times New Roman" w:cs="Times New Roman"/>
          <w:sz w:val="24"/>
          <w:szCs w:val="24"/>
          <w:lang w:val="en-US"/>
        </w:rPr>
        <w:t>and</w:t>
      </w:r>
      <w:r>
        <w:rPr>
          <w:rFonts w:ascii="Times New Roman" w:hAnsi="Times New Roman" w:cs="Times New Roman"/>
          <w:sz w:val="24"/>
          <w:szCs w:val="24"/>
          <w:lang w:val="en-US"/>
        </w:rPr>
        <w:t xml:space="preserve"> George (2002) identified four distinguishing stages of absorptive capacity: Acquisition: a firm's proficiency in discerning pertinent external information from the vast sea of available information; Assimilation: a firm's methods and procedures for scrutinizing, handling, comprehending, and interpreting the data obtained from external sources; Transformation: the capacity to modify and adjust external knowledge and blend it with the firm's current and internally produced knowledge; and, lastly, Exploitation: the ability </w:t>
      </w:r>
      <w:r>
        <w:rPr>
          <w:rFonts w:ascii="Times New Roman" w:hAnsi="Times New Roman" w:cs="Times New Roman"/>
          <w:sz w:val="24"/>
          <w:szCs w:val="24"/>
          <w:lang w:val="en-US"/>
        </w:rPr>
        <w:lastRenderedPageBreak/>
        <w:t>to leverage this knowledge to gain a competitive edge. We regrouped these four dimensions into two main constructs: PAC, which includes acquisition and assimilation, and RAC, which includes transformation and exploitation (Zahra &amp; George, 2002; Ghazinoory et al., 2021; Albort-Morant et al., 2018). By aligning the different elements of absorptive capacity within the different phases of the adoption process discussed above, we can see that phase 1 (initiation)  also corresponds to acquisition, the first dimension of absorptive capacity, where firms scan and recognize the potential value of external knowledge (Zahra &amp; George, 2002). Similarly, phase 2 (development) involves the second dimension, assimilation, when SMEs absorb recognized external knowledge into the organization. These two dimensions, form Zahra and George's (2002) construct of PAC. Firms with a higher level of PAC have the advantage of better acquiring and absorbing comparable pools of external knowledge, allowing them to outperform competitors in terms of innovation adoption (Lane &amp; Lubatkin, 1998). Müller et al. (2021) proposed a fundamental difference in how small and large businesses utilize absorptive capacity, arguing that large firms benefit from both PAC and RAC, while smaller firms only benefit from PAC, facing higher barriers in the adoption of digital innovations (Leahy &amp; Neary, 2007). In summary, firms with a well-developed PAC are capable of absorbing or acquiring newly generated external knowledge, combining it with their existing knowledge, and using it in the innovation process (Madhavan &amp; Grover, 1998). PAC facilitates the first two phases of digital innovation adoption, creating the potential for a successful outcome in the third phase: 3a) Implementation. Therefore, we propose:</w:t>
      </w:r>
    </w:p>
    <w:p w14:paraId="05442D77" w14:textId="77777777" w:rsidR="001C5BB0" w:rsidRPr="008D413D" w:rsidRDefault="001C5BB0" w:rsidP="00DD0F31">
      <w:pPr>
        <w:spacing w:line="480" w:lineRule="auto"/>
        <w:ind w:left="284" w:right="288"/>
        <w:jc w:val="both"/>
        <w:rPr>
          <w:rFonts w:ascii="Times New Roman" w:hAnsi="Times New Roman" w:cs="Times New Roman"/>
          <w:i/>
          <w:iCs/>
          <w:sz w:val="24"/>
          <w:szCs w:val="24"/>
          <w:lang w:val="en-US"/>
        </w:rPr>
      </w:pPr>
      <w:r w:rsidRPr="008D413D">
        <w:rPr>
          <w:rFonts w:ascii="Times New Roman" w:hAnsi="Times New Roman" w:cs="Times New Roman"/>
          <w:i/>
          <w:iCs/>
          <w:sz w:val="24"/>
          <w:szCs w:val="24"/>
          <w:lang w:val="en-US"/>
        </w:rPr>
        <w:t>Hypothesis 1: PAC has a positive impact on the adoption of digital innovations by SMEs.</w:t>
      </w:r>
    </w:p>
    <w:p w14:paraId="3775C0BA" w14:textId="77777777" w:rsidR="00A60CB9" w:rsidRDefault="00A60CB9" w:rsidP="00DD0F31">
      <w:pPr>
        <w:spacing w:line="480" w:lineRule="auto"/>
        <w:ind w:left="284" w:right="288"/>
        <w:jc w:val="both"/>
        <w:rPr>
          <w:rFonts w:ascii="Times New Roman" w:hAnsi="Times New Roman" w:cs="Times New Roman"/>
          <w:sz w:val="24"/>
          <w:szCs w:val="24"/>
          <w:lang w:val="en-US"/>
        </w:rPr>
      </w:pPr>
    </w:p>
    <w:p w14:paraId="1ED4C8B8" w14:textId="626E2B08" w:rsidR="001C5BB0" w:rsidRDefault="001C5BB0" w:rsidP="00DD0F31">
      <w:pPr>
        <w:spacing w:line="480" w:lineRule="auto"/>
        <w:ind w:left="284" w:right="288"/>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third component of absorptive capacity, transformation, is considered relevant for the implementation phase. Here, firms transform assimilated knowledge into new products or processes. Furthermore, effective knowledge transformation facilitates the internal diffusion of innovations in larger organizations. However, SMEs may adopt digital technologies differently, as internal diffusion becomes less relevant given their small size. Adding transformation could mean giving up resources needed for the first two dimensions, acquisition and assimilation. Finally, exploitation is considered relevant when organizations exploit the transformed knowledge to maintain and support innovation (Lane et al., 2006). However, this final phase is less relevant to small and medium-sized enterprises (SMEs) implementing digital technology, as it may result in trade-offs due to their limited resources and their limited capacity to identify, accept, integrate, and utilize innovations in their business processes (Audretsch, Belitski and Brush, 2023; Ebben and Johnson, 2005). Hence, RAC, which would be useful for the diffusion of innovations for larger organizations, might instead, be leading to the failure of an adoption process (phase 3b), for scarcely resourced SME. This can cause a trade-off, as discussed in the literature on ambidexterity (Lubatkin et al., 2006; O’Reilly et al., 2009; Voss &amp; Voss, 2013). In line with this literature, we focus on the possible trade-off between knowledge exploration and exploitation, as firms need the capabilities to integrate these activities into research and technological development (Lucena &amp; Roper, 2016). Innovation trajectories (Greiner, 1989) expose SMEs to this tension between exploration and exploitation (March, 1991), as they lack the ability to simultaneously explore new capabilities to prepare for the future and exploit existing competencies to achieve short- and medium-term stability (Tushman &amp; O’Reilly, 1997; Gupta et al., 2006; Raisch &amp; Birkinshaw, 2008). Similarly, Thurik et al. (2023), using data on French small businesses, talk about the possible dangers of techno-overload, which happens </w:t>
      </w:r>
      <w:r>
        <w:rPr>
          <w:rFonts w:ascii="Times New Roman" w:hAnsi="Times New Roman" w:cs="Times New Roman"/>
          <w:sz w:val="24"/>
          <w:szCs w:val="24"/>
          <w:lang w:val="en-US"/>
        </w:rPr>
        <w:lastRenderedPageBreak/>
        <w:t>when digital technologies make people work faster and for longer periods of time, causing technostress. This makes it even more important to weigh the pros and cons of different types of absorptive capacity. In our context, SMEs focusing on their ability to exploit and apply new knowledge (RAC) might suffer from a lack of resources dedicated to acquiring and assimilating knowledge from external sources (PAC), due to technostress, and become less likely to adopt digital innovations produced elsewhere. In summary, given the challenges posed by their limited resources, SMEs are more likely to encounter difficulties in balancing exploration and exploitation. Therefore, an SME's focus on RAC may hinder their ability to acquire and assimilate knowledge from external sources, potentially leading to the following:</w:t>
      </w:r>
    </w:p>
    <w:p w14:paraId="67246669" w14:textId="3DB84019" w:rsidR="00512278" w:rsidRPr="00DD0F31" w:rsidRDefault="001C5BB0" w:rsidP="00DD0F31">
      <w:pPr>
        <w:spacing w:line="480" w:lineRule="auto"/>
        <w:ind w:left="284" w:right="288"/>
        <w:jc w:val="both"/>
        <w:rPr>
          <w:rFonts w:ascii="Times New Roman" w:hAnsi="Times New Roman" w:cs="Times New Roman"/>
          <w:b/>
          <w:bCs/>
          <w:sz w:val="24"/>
          <w:szCs w:val="24"/>
          <w:lang w:val="en-US"/>
        </w:rPr>
      </w:pPr>
      <w:r w:rsidRPr="008D413D">
        <w:rPr>
          <w:rFonts w:ascii="Times New Roman" w:hAnsi="Times New Roman" w:cs="Times New Roman"/>
          <w:i/>
          <w:iCs/>
          <w:sz w:val="24"/>
          <w:szCs w:val="24"/>
          <w:lang w:val="en-US"/>
        </w:rPr>
        <w:t>Hypothesis 2: RAC has a negative impact on the adoption of digital innovations by SMEs.</w:t>
      </w:r>
    </w:p>
    <w:p w14:paraId="63586703" w14:textId="06D1FAB0" w:rsidR="00FC296B" w:rsidRPr="00F5536A" w:rsidRDefault="00FC296B" w:rsidP="00DD0F31">
      <w:pPr>
        <w:pStyle w:val="ListParagraph"/>
        <w:numPr>
          <w:ilvl w:val="0"/>
          <w:numId w:val="14"/>
        </w:numPr>
        <w:spacing w:line="480" w:lineRule="auto"/>
        <w:jc w:val="both"/>
        <w:rPr>
          <w:rFonts w:ascii="Times New Roman" w:hAnsi="Times New Roman" w:cs="Times New Roman"/>
          <w:b/>
          <w:bCs/>
          <w:szCs w:val="24"/>
          <w:lang w:val="en-US"/>
        </w:rPr>
      </w:pPr>
      <w:r w:rsidRPr="00F5536A">
        <w:rPr>
          <w:rFonts w:ascii="Times New Roman" w:hAnsi="Times New Roman" w:cs="Times New Roman"/>
          <w:b/>
          <w:bCs/>
          <w:szCs w:val="24"/>
          <w:lang w:val="en-US"/>
        </w:rPr>
        <w:t>Conceptual Framework &amp; Methodology</w:t>
      </w:r>
    </w:p>
    <w:p w14:paraId="5174B8AD" w14:textId="4D80AE52" w:rsidR="00FC296B" w:rsidRPr="00DD0F31" w:rsidRDefault="00CB1F19" w:rsidP="00DD0F31">
      <w:pPr>
        <w:spacing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To assess Hypotheses 1 and 2, we developed a conceptual framework (CF) based on two sequential stages (see Figure 1).</w:t>
      </w:r>
    </w:p>
    <w:p w14:paraId="05DDB5D8" w14:textId="77777777" w:rsidR="00FC296B" w:rsidRPr="00F5536A" w:rsidRDefault="00FC296B" w:rsidP="00DD0F31">
      <w:pPr>
        <w:pStyle w:val="Caption"/>
        <w:keepNext/>
        <w:spacing w:line="480" w:lineRule="auto"/>
        <w:jc w:val="both"/>
        <w:rPr>
          <w:rFonts w:ascii="Times New Roman" w:hAnsi="Times New Roman" w:cs="Times New Roman"/>
          <w:b/>
          <w:bCs/>
          <w:i w:val="0"/>
          <w:iCs w:val="0"/>
          <w:color w:val="000000" w:themeColor="text1"/>
          <w:szCs w:val="24"/>
          <w:lang w:val="en-US"/>
        </w:rPr>
      </w:pPr>
      <w:r w:rsidRPr="00F5536A">
        <w:rPr>
          <w:rFonts w:ascii="Times New Roman" w:hAnsi="Times New Roman" w:cs="Times New Roman"/>
          <w:b/>
          <w:bCs/>
          <w:i w:val="0"/>
          <w:iCs w:val="0"/>
          <w:color w:val="000000" w:themeColor="text1"/>
          <w:szCs w:val="24"/>
          <w:lang w:val="en-US"/>
        </w:rPr>
        <w:t>Figure 1. Conceptual Framework</w:t>
      </w:r>
    </w:p>
    <w:p w14:paraId="2595CFA6" w14:textId="77777777" w:rsidR="00FC296B" w:rsidRPr="00DD0F31" w:rsidRDefault="00FC296B" w:rsidP="00DD0F31">
      <w:pPr>
        <w:spacing w:line="480" w:lineRule="auto"/>
        <w:jc w:val="both"/>
        <w:rPr>
          <w:rFonts w:ascii="Times New Roman" w:hAnsi="Times New Roman" w:cs="Times New Roman"/>
          <w:b/>
          <w:bCs/>
          <w:sz w:val="24"/>
          <w:szCs w:val="24"/>
          <w:lang w:val="en-US"/>
        </w:rPr>
      </w:pPr>
      <w:r w:rsidRPr="00DD0F31">
        <w:rPr>
          <w:rFonts w:ascii="Times New Roman" w:hAnsi="Times New Roman" w:cs="Times New Roman"/>
          <w:sz w:val="24"/>
          <w:szCs w:val="24"/>
          <w:lang w:val="en-US"/>
        </w:rPr>
        <w:t xml:space="preserve"> </w:t>
      </w:r>
      <w:r w:rsidRPr="00DD0F31">
        <w:rPr>
          <w:rFonts w:ascii="Times New Roman" w:hAnsi="Times New Roman" w:cs="Times New Roman"/>
          <w:noProof/>
          <w:sz w:val="24"/>
          <w:szCs w:val="24"/>
        </w:rPr>
        <w:drawing>
          <wp:inline distT="0" distB="0" distL="0" distR="0" wp14:anchorId="2783B3A3" wp14:editId="4A5D93A4">
            <wp:extent cx="5403469" cy="3230479"/>
            <wp:effectExtent l="0" t="0" r="6985" b="0"/>
            <wp:docPr id="503098795" name="Picture 503098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098795"/>
                    <pic:cNvPicPr/>
                  </pic:nvPicPr>
                  <pic:blipFill>
                    <a:blip r:embed="rId8">
                      <a:extLst>
                        <a:ext uri="{28A0092B-C50C-407E-A947-70E740481C1C}">
                          <a14:useLocalDpi xmlns:a14="http://schemas.microsoft.com/office/drawing/2010/main" val="0"/>
                        </a:ext>
                      </a:extLst>
                    </a:blip>
                    <a:stretch>
                      <a:fillRect/>
                    </a:stretch>
                  </pic:blipFill>
                  <pic:spPr>
                    <a:xfrm>
                      <a:off x="0" y="0"/>
                      <a:ext cx="5403469" cy="3230479"/>
                    </a:xfrm>
                    <a:prstGeom prst="rect">
                      <a:avLst/>
                    </a:prstGeom>
                  </pic:spPr>
                </pic:pic>
              </a:graphicData>
            </a:graphic>
          </wp:inline>
        </w:drawing>
      </w:r>
    </w:p>
    <w:p w14:paraId="7F4BE546" w14:textId="05676149" w:rsidR="00FC296B" w:rsidRPr="00DD0F31" w:rsidRDefault="00CB1F19" w:rsidP="00DD0F31">
      <w:pPr>
        <w:spacing w:line="480" w:lineRule="auto"/>
        <w:ind w:firstLine="63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Our conceptual framework employs a strategy that involves multiple stages of analysis. First, we estimate new constructs for the firm's PAC and RAC based on principal component analysis to identify their most relevant constituents. Then, we use these constructs for PAC and RAC in a two-stage estimation approach to predict their impact on the probability that an SME successfully completes a project leading to the adoption of a digital innovation. This last estimation part, based on a two-stage approach, is used to control for exogenous variables such as the scope of targeting markets, an SME's approach to data collection, processing, and visualization (including data security and quality), and to address potential endogeneity affecting the constructs for PAC and RAC. In the next section, we discuss the data, its collection, properties, and evaluation.</w:t>
      </w:r>
    </w:p>
    <w:p w14:paraId="1DA7A3B2" w14:textId="77777777" w:rsidR="00FC296B" w:rsidRPr="00DD0F31" w:rsidRDefault="00FC296B" w:rsidP="00DD0F31">
      <w:pPr>
        <w:spacing w:line="480" w:lineRule="auto"/>
        <w:jc w:val="both"/>
        <w:rPr>
          <w:rFonts w:ascii="Times New Roman" w:hAnsi="Times New Roman" w:cs="Times New Roman"/>
          <w:b/>
          <w:bCs/>
          <w:sz w:val="24"/>
          <w:szCs w:val="24"/>
          <w:lang w:val="en-US"/>
        </w:rPr>
      </w:pPr>
      <w:bookmarkStart w:id="6" w:name="_Toc149150429"/>
      <w:r w:rsidRPr="00DD0F31">
        <w:rPr>
          <w:rFonts w:ascii="Times New Roman" w:hAnsi="Times New Roman" w:cs="Times New Roman"/>
          <w:b/>
          <w:bCs/>
          <w:sz w:val="24"/>
          <w:szCs w:val="24"/>
          <w:lang w:val="en-US"/>
        </w:rPr>
        <w:t xml:space="preserve">3.1 Data collection strategy </w:t>
      </w:r>
      <w:bookmarkEnd w:id="6"/>
    </w:p>
    <w:p w14:paraId="35D67689" w14:textId="77777777" w:rsidR="00CB1F19" w:rsidRDefault="00CB1F19" w:rsidP="00DD0F31">
      <w:pPr>
        <w:tabs>
          <w:tab w:val="left" w:pos="284"/>
        </w:tabs>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Our data collection took place during the COVID-19 pandemic. Many SMEs had already begun to transition to digitized information systems (Siedler et al., 2019; Ballestar et al., 2020), but the public health regulations across our five countries accelerated this process. These restrictions forced many SMEs to shift from face-to-face to virtual interaction, utilizing connectivity, data interchange, and artificial intelligence, often requiring new digital abilities (Gavrila et al., 2021).</w:t>
      </w:r>
    </w:p>
    <w:p w14:paraId="433FA17B" w14:textId="4B24D35E" w:rsidR="00FC296B" w:rsidRPr="00DD0F31" w:rsidRDefault="00CB1F19" w:rsidP="00DD0F31">
      <w:pPr>
        <w:tabs>
          <w:tab w:val="left" w:pos="284"/>
        </w:tabs>
        <w:spacing w:line="480" w:lineRule="auto"/>
        <w:jc w:val="both"/>
        <w:rPr>
          <w:rStyle w:val="CommentReference"/>
          <w:rFonts w:ascii="Times New Roman" w:eastAsiaTheme="minorEastAsia" w:hAnsi="Times New Roman" w:cs="Times New Roman"/>
          <w:sz w:val="24"/>
          <w:szCs w:val="24"/>
          <w:lang w:eastAsia="zh-CN"/>
        </w:rPr>
      </w:pPr>
      <w:r>
        <w:rPr>
          <w:rFonts w:ascii="Times New Roman" w:hAnsi="Times New Roman" w:cs="Times New Roman"/>
          <w:sz w:val="24"/>
          <w:szCs w:val="24"/>
          <w:lang w:val="en-US"/>
        </w:rPr>
        <w:t>Our goal for data collection was to investigate the factors influencing the outcomes of individually tailored digital adoption projects for 252 SMEs distributed across six European regions around the North Sea Basin. The geographical and sectoral distribution is presented in Table 1.</w:t>
      </w:r>
    </w:p>
    <w:p w14:paraId="7F28E10C" w14:textId="77777777" w:rsidR="00FC296B" w:rsidRPr="00DD0F31" w:rsidRDefault="00FC296B" w:rsidP="00DD0F31">
      <w:pPr>
        <w:spacing w:line="480" w:lineRule="auto"/>
        <w:ind w:firstLine="567"/>
        <w:jc w:val="both"/>
        <w:rPr>
          <w:rStyle w:val="CommentReference"/>
          <w:rFonts w:ascii="Times New Roman" w:eastAsiaTheme="minorEastAsia" w:hAnsi="Times New Roman" w:cs="Times New Roman"/>
          <w:sz w:val="24"/>
          <w:szCs w:val="24"/>
          <w:lang w:eastAsia="zh-CN"/>
        </w:rPr>
      </w:pPr>
    </w:p>
    <w:p w14:paraId="5E4E8B5C" w14:textId="77777777" w:rsidR="00FC296B" w:rsidRPr="00DD0F31" w:rsidRDefault="00FC296B" w:rsidP="00DD0F31">
      <w:pPr>
        <w:spacing w:line="480" w:lineRule="auto"/>
        <w:ind w:firstLine="567"/>
        <w:jc w:val="both"/>
        <w:rPr>
          <w:rFonts w:ascii="Times New Roman" w:eastAsia="Times New Roman" w:hAnsi="Times New Roman" w:cs="Times New Roman"/>
          <w:b/>
          <w:bCs/>
          <w:sz w:val="24"/>
          <w:szCs w:val="24"/>
        </w:rPr>
      </w:pPr>
      <w:r w:rsidRPr="00DD0F31">
        <w:rPr>
          <w:rFonts w:ascii="Times New Roman" w:eastAsia="Times New Roman" w:hAnsi="Times New Roman" w:cs="Times New Roman"/>
          <w:b/>
          <w:bCs/>
          <w:sz w:val="24"/>
          <w:szCs w:val="24"/>
        </w:rPr>
        <w:t>Table 1 Geographical and Sector sample distribution</w:t>
      </w:r>
    </w:p>
    <w:tbl>
      <w:tblPr>
        <w:tblStyle w:val="TableGrid"/>
        <w:tblW w:w="0" w:type="auto"/>
        <w:tblLook w:val="04A0" w:firstRow="1" w:lastRow="0" w:firstColumn="1" w:lastColumn="0" w:noHBand="0" w:noVBand="1"/>
      </w:tblPr>
      <w:tblGrid>
        <w:gridCol w:w="1778"/>
        <w:gridCol w:w="2555"/>
        <w:gridCol w:w="1109"/>
        <w:gridCol w:w="2157"/>
        <w:gridCol w:w="1417"/>
      </w:tblGrid>
      <w:tr w:rsidR="00FC296B" w:rsidRPr="00DD0F31" w14:paraId="3B6BBDEC" w14:textId="77777777" w:rsidTr="006A5525">
        <w:tc>
          <w:tcPr>
            <w:tcW w:w="1829" w:type="dxa"/>
          </w:tcPr>
          <w:p w14:paraId="064527F6" w14:textId="77777777" w:rsidR="00FC296B" w:rsidRPr="00DD0F31" w:rsidRDefault="00FC296B" w:rsidP="00A60CB9">
            <w:pPr>
              <w:spacing w:line="480" w:lineRule="auto"/>
              <w:rPr>
                <w:rFonts w:ascii="Times New Roman" w:eastAsia="Times New Roman" w:hAnsi="Times New Roman" w:cs="Times New Roman"/>
                <w:b/>
                <w:bCs/>
              </w:rPr>
            </w:pPr>
            <w:r w:rsidRPr="00DD0F31">
              <w:rPr>
                <w:rFonts w:ascii="Times New Roman" w:eastAsia="Times New Roman" w:hAnsi="Times New Roman" w:cs="Times New Roman"/>
                <w:b/>
                <w:bCs/>
              </w:rPr>
              <w:lastRenderedPageBreak/>
              <w:t>Country</w:t>
            </w:r>
          </w:p>
        </w:tc>
        <w:tc>
          <w:tcPr>
            <w:tcW w:w="2722" w:type="dxa"/>
          </w:tcPr>
          <w:p w14:paraId="261AAC2F" w14:textId="77777777" w:rsidR="00FC296B" w:rsidRPr="00DD0F31" w:rsidRDefault="00FC296B" w:rsidP="00A60CB9">
            <w:pPr>
              <w:spacing w:line="480" w:lineRule="auto"/>
              <w:rPr>
                <w:rFonts w:ascii="Times New Roman" w:eastAsia="Times New Roman" w:hAnsi="Times New Roman" w:cs="Times New Roman"/>
                <w:b/>
                <w:bCs/>
              </w:rPr>
            </w:pPr>
            <w:r w:rsidRPr="00DD0F31">
              <w:rPr>
                <w:rFonts w:ascii="Times New Roman" w:eastAsia="Times New Roman" w:hAnsi="Times New Roman" w:cs="Times New Roman"/>
                <w:b/>
                <w:bCs/>
              </w:rPr>
              <w:t>Regions</w:t>
            </w:r>
          </w:p>
        </w:tc>
        <w:tc>
          <w:tcPr>
            <w:tcW w:w="1114" w:type="dxa"/>
          </w:tcPr>
          <w:p w14:paraId="684C5A2B" w14:textId="77777777" w:rsidR="00FC296B" w:rsidRPr="00DD0F31" w:rsidRDefault="00FC296B" w:rsidP="00A60CB9">
            <w:pPr>
              <w:spacing w:line="480" w:lineRule="auto"/>
              <w:rPr>
                <w:rFonts w:ascii="Times New Roman" w:eastAsia="Times New Roman" w:hAnsi="Times New Roman" w:cs="Times New Roman"/>
                <w:b/>
                <w:bCs/>
              </w:rPr>
            </w:pPr>
            <w:r w:rsidRPr="00DD0F31">
              <w:rPr>
                <w:rFonts w:ascii="Times New Roman" w:eastAsia="Times New Roman" w:hAnsi="Times New Roman" w:cs="Times New Roman"/>
                <w:b/>
                <w:bCs/>
              </w:rPr>
              <w:t>Number of SMEs</w:t>
            </w:r>
          </w:p>
        </w:tc>
        <w:tc>
          <w:tcPr>
            <w:tcW w:w="2268" w:type="dxa"/>
          </w:tcPr>
          <w:p w14:paraId="542C0E51" w14:textId="77777777" w:rsidR="00FC296B" w:rsidRPr="00DD0F31" w:rsidRDefault="00FC296B" w:rsidP="00A60CB9">
            <w:pPr>
              <w:spacing w:line="480" w:lineRule="auto"/>
              <w:rPr>
                <w:rFonts w:ascii="Times New Roman" w:eastAsia="Times New Roman" w:hAnsi="Times New Roman" w:cs="Times New Roman"/>
                <w:b/>
                <w:bCs/>
              </w:rPr>
            </w:pPr>
            <w:r w:rsidRPr="00DD0F31">
              <w:rPr>
                <w:rFonts w:ascii="Times New Roman" w:eastAsia="Times New Roman" w:hAnsi="Times New Roman" w:cs="Times New Roman"/>
                <w:b/>
                <w:bCs/>
              </w:rPr>
              <w:t xml:space="preserve">Full-time equivalent employees (FTE) Average (Standard deviation) </w:t>
            </w:r>
          </w:p>
        </w:tc>
        <w:tc>
          <w:tcPr>
            <w:tcW w:w="1417" w:type="dxa"/>
          </w:tcPr>
          <w:p w14:paraId="392E2C71" w14:textId="77777777" w:rsidR="00FC296B" w:rsidRPr="00DD0F31" w:rsidRDefault="00FC296B" w:rsidP="00A60CB9">
            <w:pPr>
              <w:spacing w:line="480" w:lineRule="auto"/>
              <w:rPr>
                <w:rFonts w:ascii="Times New Roman" w:eastAsia="Times New Roman" w:hAnsi="Times New Roman" w:cs="Times New Roman"/>
                <w:b/>
                <w:bCs/>
              </w:rPr>
            </w:pPr>
            <w:r w:rsidRPr="00DD0F31">
              <w:rPr>
                <w:rFonts w:ascii="Times New Roman" w:eastAsia="Times New Roman" w:hAnsi="Times New Roman" w:cs="Times New Roman"/>
                <w:b/>
                <w:bCs/>
              </w:rPr>
              <w:t xml:space="preserve">Project Completion  Rate </w:t>
            </w:r>
          </w:p>
        </w:tc>
      </w:tr>
      <w:tr w:rsidR="00FC296B" w:rsidRPr="00DD0F31" w14:paraId="4D4273E3" w14:textId="77777777" w:rsidTr="006A5525">
        <w:tc>
          <w:tcPr>
            <w:tcW w:w="1829" w:type="dxa"/>
          </w:tcPr>
          <w:p w14:paraId="2F61DC87"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Netherlands</w:t>
            </w:r>
          </w:p>
        </w:tc>
        <w:tc>
          <w:tcPr>
            <w:tcW w:w="2722" w:type="dxa"/>
          </w:tcPr>
          <w:p w14:paraId="5856000E" w14:textId="77777777" w:rsidR="00FC296B" w:rsidRPr="00DD0F31" w:rsidRDefault="00FC296B" w:rsidP="00A60CB9">
            <w:pPr>
              <w:spacing w:line="480" w:lineRule="auto"/>
              <w:rPr>
                <w:rFonts w:ascii="Times New Roman" w:eastAsia="Times New Roman" w:hAnsi="Times New Roman" w:cs="Times New Roman"/>
              </w:rPr>
            </w:pPr>
            <w:r w:rsidRPr="00DD0F31">
              <w:rPr>
                <w:rFonts w:ascii="Times New Roman" w:eastAsia="Times New Roman" w:hAnsi="Times New Roman" w:cs="Times New Roman"/>
              </w:rPr>
              <w:t>Groningen and Friesland</w:t>
            </w:r>
          </w:p>
        </w:tc>
        <w:tc>
          <w:tcPr>
            <w:tcW w:w="1114" w:type="dxa"/>
          </w:tcPr>
          <w:p w14:paraId="764D1131"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65</w:t>
            </w:r>
          </w:p>
        </w:tc>
        <w:tc>
          <w:tcPr>
            <w:tcW w:w="2268" w:type="dxa"/>
          </w:tcPr>
          <w:p w14:paraId="05998B87"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9.9 (16.8)</w:t>
            </w:r>
          </w:p>
        </w:tc>
        <w:tc>
          <w:tcPr>
            <w:tcW w:w="1417" w:type="dxa"/>
          </w:tcPr>
          <w:p w14:paraId="6E8A5DEE"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0.26</w:t>
            </w:r>
          </w:p>
        </w:tc>
      </w:tr>
      <w:tr w:rsidR="00FC296B" w:rsidRPr="00DD0F31" w14:paraId="34F083E3" w14:textId="77777777" w:rsidTr="006A5525">
        <w:tc>
          <w:tcPr>
            <w:tcW w:w="1829" w:type="dxa"/>
          </w:tcPr>
          <w:p w14:paraId="0964B232"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Belgium</w:t>
            </w:r>
          </w:p>
        </w:tc>
        <w:tc>
          <w:tcPr>
            <w:tcW w:w="2722" w:type="dxa"/>
          </w:tcPr>
          <w:p w14:paraId="7714DCC3"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Antwerp</w:t>
            </w:r>
          </w:p>
        </w:tc>
        <w:tc>
          <w:tcPr>
            <w:tcW w:w="1114" w:type="dxa"/>
          </w:tcPr>
          <w:p w14:paraId="7666124F"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24</w:t>
            </w:r>
          </w:p>
        </w:tc>
        <w:tc>
          <w:tcPr>
            <w:tcW w:w="2268" w:type="dxa"/>
          </w:tcPr>
          <w:p w14:paraId="44D94913"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33.0 (50.1)</w:t>
            </w:r>
          </w:p>
        </w:tc>
        <w:tc>
          <w:tcPr>
            <w:tcW w:w="1417" w:type="dxa"/>
          </w:tcPr>
          <w:p w14:paraId="5ED538CA"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0.33</w:t>
            </w:r>
          </w:p>
        </w:tc>
      </w:tr>
      <w:tr w:rsidR="00FC296B" w:rsidRPr="00DD0F31" w14:paraId="557CD6EA" w14:textId="77777777" w:rsidTr="006A5525">
        <w:tc>
          <w:tcPr>
            <w:tcW w:w="1829" w:type="dxa"/>
          </w:tcPr>
          <w:p w14:paraId="0A006187"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Germany</w:t>
            </w:r>
          </w:p>
        </w:tc>
        <w:tc>
          <w:tcPr>
            <w:tcW w:w="2722" w:type="dxa"/>
          </w:tcPr>
          <w:p w14:paraId="4BAA2526"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North-West</w:t>
            </w:r>
          </w:p>
        </w:tc>
        <w:tc>
          <w:tcPr>
            <w:tcW w:w="1114" w:type="dxa"/>
          </w:tcPr>
          <w:p w14:paraId="596009FB"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66</w:t>
            </w:r>
          </w:p>
        </w:tc>
        <w:tc>
          <w:tcPr>
            <w:tcW w:w="2268" w:type="dxa"/>
          </w:tcPr>
          <w:p w14:paraId="546BC098"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14.5 (31.8)</w:t>
            </w:r>
          </w:p>
        </w:tc>
        <w:tc>
          <w:tcPr>
            <w:tcW w:w="1417" w:type="dxa"/>
          </w:tcPr>
          <w:p w14:paraId="44C85BF6"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0.44</w:t>
            </w:r>
          </w:p>
        </w:tc>
      </w:tr>
      <w:tr w:rsidR="00FC296B" w:rsidRPr="00DD0F31" w14:paraId="52A9D5DD" w14:textId="77777777" w:rsidTr="006A5525">
        <w:tc>
          <w:tcPr>
            <w:tcW w:w="1829" w:type="dxa"/>
          </w:tcPr>
          <w:p w14:paraId="314DB416"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United Kingdom</w:t>
            </w:r>
          </w:p>
        </w:tc>
        <w:tc>
          <w:tcPr>
            <w:tcW w:w="2722" w:type="dxa"/>
          </w:tcPr>
          <w:p w14:paraId="0D028B1C"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East of England</w:t>
            </w:r>
          </w:p>
        </w:tc>
        <w:tc>
          <w:tcPr>
            <w:tcW w:w="1114" w:type="dxa"/>
          </w:tcPr>
          <w:p w14:paraId="359F5FDA"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59</w:t>
            </w:r>
          </w:p>
        </w:tc>
        <w:tc>
          <w:tcPr>
            <w:tcW w:w="2268" w:type="dxa"/>
          </w:tcPr>
          <w:p w14:paraId="3E2D0E41"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6.2  (15.3)</w:t>
            </w:r>
          </w:p>
        </w:tc>
        <w:tc>
          <w:tcPr>
            <w:tcW w:w="1417" w:type="dxa"/>
          </w:tcPr>
          <w:p w14:paraId="6188A835"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0.44</w:t>
            </w:r>
          </w:p>
        </w:tc>
      </w:tr>
      <w:tr w:rsidR="00FC296B" w:rsidRPr="00DD0F31" w14:paraId="4F63EB4E" w14:textId="77777777" w:rsidTr="006A5525">
        <w:tc>
          <w:tcPr>
            <w:tcW w:w="1829" w:type="dxa"/>
          </w:tcPr>
          <w:p w14:paraId="587E6C9B"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Sweden</w:t>
            </w:r>
          </w:p>
        </w:tc>
        <w:tc>
          <w:tcPr>
            <w:tcW w:w="2722" w:type="dxa"/>
          </w:tcPr>
          <w:p w14:paraId="051950AD"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Halland</w:t>
            </w:r>
          </w:p>
        </w:tc>
        <w:tc>
          <w:tcPr>
            <w:tcW w:w="1114" w:type="dxa"/>
          </w:tcPr>
          <w:p w14:paraId="3738B292"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38</w:t>
            </w:r>
          </w:p>
        </w:tc>
        <w:tc>
          <w:tcPr>
            <w:tcW w:w="2268" w:type="dxa"/>
          </w:tcPr>
          <w:p w14:paraId="15276DF3"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20.3 (27.3)</w:t>
            </w:r>
          </w:p>
        </w:tc>
        <w:tc>
          <w:tcPr>
            <w:tcW w:w="1417" w:type="dxa"/>
          </w:tcPr>
          <w:p w14:paraId="24B1ADC4"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0.29</w:t>
            </w:r>
          </w:p>
        </w:tc>
      </w:tr>
      <w:tr w:rsidR="00FC296B" w:rsidRPr="00DD0F31" w14:paraId="32359E8F" w14:textId="77777777" w:rsidTr="006A5525">
        <w:tc>
          <w:tcPr>
            <w:tcW w:w="4551" w:type="dxa"/>
            <w:gridSpan w:val="2"/>
          </w:tcPr>
          <w:p w14:paraId="4746E487"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b/>
                <w:bCs/>
              </w:rPr>
              <w:t>Total</w:t>
            </w:r>
          </w:p>
        </w:tc>
        <w:tc>
          <w:tcPr>
            <w:tcW w:w="1114" w:type="dxa"/>
          </w:tcPr>
          <w:p w14:paraId="05B9FD0B"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b/>
                <w:bCs/>
              </w:rPr>
              <w:t>252</w:t>
            </w:r>
          </w:p>
        </w:tc>
        <w:tc>
          <w:tcPr>
            <w:tcW w:w="2268" w:type="dxa"/>
          </w:tcPr>
          <w:p w14:paraId="4B2D34FC" w14:textId="77777777" w:rsidR="00FC296B" w:rsidRPr="00DD0F31" w:rsidRDefault="00FC296B" w:rsidP="00DD0F31">
            <w:pPr>
              <w:keepNext/>
              <w:spacing w:line="480" w:lineRule="auto"/>
              <w:jc w:val="both"/>
              <w:rPr>
                <w:rFonts w:ascii="Times New Roman" w:eastAsia="Times New Roman" w:hAnsi="Times New Roman" w:cs="Times New Roman"/>
                <w:b/>
                <w:bCs/>
              </w:rPr>
            </w:pPr>
            <w:r w:rsidRPr="00DD0F31">
              <w:rPr>
                <w:rFonts w:ascii="Times New Roman" w:eastAsia="Times New Roman" w:hAnsi="Times New Roman" w:cs="Times New Roman"/>
                <w:b/>
                <w:bCs/>
              </w:rPr>
              <w:t>14.0 (28.1)</w:t>
            </w:r>
          </w:p>
        </w:tc>
        <w:tc>
          <w:tcPr>
            <w:tcW w:w="1417" w:type="dxa"/>
          </w:tcPr>
          <w:p w14:paraId="205684E9" w14:textId="77777777" w:rsidR="00FC296B" w:rsidRPr="00DD0F31" w:rsidRDefault="00FC296B" w:rsidP="00DD0F31">
            <w:pPr>
              <w:keepNext/>
              <w:spacing w:line="480" w:lineRule="auto"/>
              <w:jc w:val="both"/>
              <w:rPr>
                <w:rFonts w:ascii="Times New Roman" w:eastAsia="Times New Roman" w:hAnsi="Times New Roman" w:cs="Times New Roman"/>
                <w:b/>
                <w:bCs/>
              </w:rPr>
            </w:pPr>
            <w:r w:rsidRPr="00DD0F31">
              <w:rPr>
                <w:rFonts w:ascii="Times New Roman" w:eastAsia="Times New Roman" w:hAnsi="Times New Roman" w:cs="Times New Roman"/>
                <w:b/>
                <w:bCs/>
              </w:rPr>
              <w:t>0.36</w:t>
            </w:r>
          </w:p>
        </w:tc>
      </w:tr>
      <w:tr w:rsidR="00FC296B" w:rsidRPr="00DD0F31" w14:paraId="708ED410" w14:textId="77777777" w:rsidTr="006A5525">
        <w:tc>
          <w:tcPr>
            <w:tcW w:w="9350" w:type="dxa"/>
            <w:gridSpan w:val="5"/>
          </w:tcPr>
          <w:p w14:paraId="4E10AB77"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b/>
                <w:bCs/>
              </w:rPr>
              <w:t>Sector</w:t>
            </w:r>
          </w:p>
        </w:tc>
      </w:tr>
      <w:tr w:rsidR="00FC296B" w:rsidRPr="00DD0F31" w14:paraId="39AF7C97" w14:textId="77777777" w:rsidTr="006A5525">
        <w:tc>
          <w:tcPr>
            <w:tcW w:w="4551" w:type="dxa"/>
            <w:gridSpan w:val="2"/>
          </w:tcPr>
          <w:p w14:paraId="326A4FDE"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 xml:space="preserve">Agriculture, forestry, and fishing </w:t>
            </w:r>
          </w:p>
        </w:tc>
        <w:tc>
          <w:tcPr>
            <w:tcW w:w="1114" w:type="dxa"/>
          </w:tcPr>
          <w:p w14:paraId="3386BA69"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9</w:t>
            </w:r>
          </w:p>
        </w:tc>
        <w:tc>
          <w:tcPr>
            <w:tcW w:w="2268" w:type="dxa"/>
          </w:tcPr>
          <w:p w14:paraId="52AA21EA"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41.8 ( 71.5)</w:t>
            </w:r>
          </w:p>
        </w:tc>
        <w:tc>
          <w:tcPr>
            <w:tcW w:w="1417" w:type="dxa"/>
          </w:tcPr>
          <w:p w14:paraId="63E3EAB1"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0.11</w:t>
            </w:r>
          </w:p>
        </w:tc>
      </w:tr>
      <w:tr w:rsidR="00FC296B" w:rsidRPr="00DD0F31" w14:paraId="3E46824F" w14:textId="77777777" w:rsidTr="006A5525">
        <w:tc>
          <w:tcPr>
            <w:tcW w:w="4551" w:type="dxa"/>
            <w:gridSpan w:val="2"/>
          </w:tcPr>
          <w:p w14:paraId="1C4B831A"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Construction industry</w:t>
            </w:r>
          </w:p>
        </w:tc>
        <w:tc>
          <w:tcPr>
            <w:tcW w:w="1114" w:type="dxa"/>
          </w:tcPr>
          <w:p w14:paraId="17F1328C"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16</w:t>
            </w:r>
          </w:p>
        </w:tc>
        <w:tc>
          <w:tcPr>
            <w:tcW w:w="2268" w:type="dxa"/>
          </w:tcPr>
          <w:p w14:paraId="1B2CDDE2"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10.4 (6.9)</w:t>
            </w:r>
          </w:p>
        </w:tc>
        <w:tc>
          <w:tcPr>
            <w:tcW w:w="1417" w:type="dxa"/>
          </w:tcPr>
          <w:p w14:paraId="2348E359"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0.31</w:t>
            </w:r>
          </w:p>
        </w:tc>
      </w:tr>
      <w:tr w:rsidR="00FC296B" w:rsidRPr="00DD0F31" w14:paraId="0EE872C6" w14:textId="77777777" w:rsidTr="006A5525">
        <w:tc>
          <w:tcPr>
            <w:tcW w:w="4551" w:type="dxa"/>
            <w:gridSpan w:val="2"/>
          </w:tcPr>
          <w:p w14:paraId="3201D449"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 xml:space="preserve">Culture, sports, and recreation </w:t>
            </w:r>
          </w:p>
        </w:tc>
        <w:tc>
          <w:tcPr>
            <w:tcW w:w="1114" w:type="dxa"/>
          </w:tcPr>
          <w:p w14:paraId="0B39C838"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53</w:t>
            </w:r>
          </w:p>
        </w:tc>
        <w:tc>
          <w:tcPr>
            <w:tcW w:w="2268" w:type="dxa"/>
          </w:tcPr>
          <w:p w14:paraId="42C2BBB3"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8.3 (21.7)</w:t>
            </w:r>
          </w:p>
        </w:tc>
        <w:tc>
          <w:tcPr>
            <w:tcW w:w="1417" w:type="dxa"/>
          </w:tcPr>
          <w:p w14:paraId="43A79413"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0.36</w:t>
            </w:r>
          </w:p>
        </w:tc>
      </w:tr>
      <w:tr w:rsidR="00FC296B" w:rsidRPr="00DD0F31" w14:paraId="57BD90DC" w14:textId="77777777" w:rsidTr="006A5525">
        <w:tc>
          <w:tcPr>
            <w:tcW w:w="4551" w:type="dxa"/>
            <w:gridSpan w:val="2"/>
          </w:tcPr>
          <w:p w14:paraId="0687CF8E"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 xml:space="preserve">Education </w:t>
            </w:r>
          </w:p>
        </w:tc>
        <w:tc>
          <w:tcPr>
            <w:tcW w:w="1114" w:type="dxa"/>
          </w:tcPr>
          <w:p w14:paraId="233221DA"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10</w:t>
            </w:r>
          </w:p>
        </w:tc>
        <w:tc>
          <w:tcPr>
            <w:tcW w:w="2268" w:type="dxa"/>
          </w:tcPr>
          <w:p w14:paraId="55496290"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10.7 (13.5)</w:t>
            </w:r>
          </w:p>
        </w:tc>
        <w:tc>
          <w:tcPr>
            <w:tcW w:w="1417" w:type="dxa"/>
          </w:tcPr>
          <w:p w14:paraId="7B571B41"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0.30</w:t>
            </w:r>
          </w:p>
        </w:tc>
      </w:tr>
      <w:tr w:rsidR="00FC296B" w:rsidRPr="00DD0F31" w14:paraId="5E81C2CF" w14:textId="77777777" w:rsidTr="006A5525">
        <w:tc>
          <w:tcPr>
            <w:tcW w:w="4551" w:type="dxa"/>
            <w:gridSpan w:val="2"/>
          </w:tcPr>
          <w:p w14:paraId="1E6B38B1"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 xml:space="preserve">IT </w:t>
            </w:r>
          </w:p>
        </w:tc>
        <w:tc>
          <w:tcPr>
            <w:tcW w:w="1114" w:type="dxa"/>
          </w:tcPr>
          <w:p w14:paraId="126A9FF1"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10</w:t>
            </w:r>
          </w:p>
        </w:tc>
        <w:tc>
          <w:tcPr>
            <w:tcW w:w="2268" w:type="dxa"/>
          </w:tcPr>
          <w:p w14:paraId="1F869886"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25.6 (34.3)</w:t>
            </w:r>
          </w:p>
        </w:tc>
        <w:tc>
          <w:tcPr>
            <w:tcW w:w="1417" w:type="dxa"/>
          </w:tcPr>
          <w:p w14:paraId="09961A75"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0.50</w:t>
            </w:r>
          </w:p>
        </w:tc>
      </w:tr>
      <w:tr w:rsidR="00FC296B" w:rsidRPr="00DD0F31" w14:paraId="31D5025E" w14:textId="77777777" w:rsidTr="006A5525">
        <w:tc>
          <w:tcPr>
            <w:tcW w:w="4551" w:type="dxa"/>
            <w:gridSpan w:val="2"/>
          </w:tcPr>
          <w:p w14:paraId="331B63E7"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 xml:space="preserve">Health and welfare services </w:t>
            </w:r>
          </w:p>
        </w:tc>
        <w:tc>
          <w:tcPr>
            <w:tcW w:w="1114" w:type="dxa"/>
          </w:tcPr>
          <w:p w14:paraId="3CD4738E"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10</w:t>
            </w:r>
          </w:p>
        </w:tc>
        <w:tc>
          <w:tcPr>
            <w:tcW w:w="2268" w:type="dxa"/>
          </w:tcPr>
          <w:p w14:paraId="3D61D1DF"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6.8 (10.7)</w:t>
            </w:r>
          </w:p>
        </w:tc>
        <w:tc>
          <w:tcPr>
            <w:tcW w:w="1417" w:type="dxa"/>
          </w:tcPr>
          <w:p w14:paraId="6CBD3632"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0.50</w:t>
            </w:r>
          </w:p>
        </w:tc>
      </w:tr>
      <w:tr w:rsidR="00FC296B" w:rsidRPr="00DD0F31" w14:paraId="03C38F7F" w14:textId="77777777" w:rsidTr="006A5525">
        <w:tc>
          <w:tcPr>
            <w:tcW w:w="4551" w:type="dxa"/>
            <w:gridSpan w:val="2"/>
          </w:tcPr>
          <w:p w14:paraId="53C8A0B2"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 xml:space="preserve">Other services </w:t>
            </w:r>
          </w:p>
        </w:tc>
        <w:tc>
          <w:tcPr>
            <w:tcW w:w="1114" w:type="dxa"/>
          </w:tcPr>
          <w:p w14:paraId="52C9B09E"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91</w:t>
            </w:r>
          </w:p>
        </w:tc>
        <w:tc>
          <w:tcPr>
            <w:tcW w:w="2268" w:type="dxa"/>
          </w:tcPr>
          <w:p w14:paraId="1E898314"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12.6 (24.0)</w:t>
            </w:r>
          </w:p>
        </w:tc>
        <w:tc>
          <w:tcPr>
            <w:tcW w:w="1417" w:type="dxa"/>
          </w:tcPr>
          <w:p w14:paraId="1C765C67"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0.30</w:t>
            </w:r>
          </w:p>
        </w:tc>
      </w:tr>
      <w:tr w:rsidR="00FC296B" w:rsidRPr="00DD0F31" w14:paraId="0057696F" w14:textId="77777777" w:rsidTr="006A5525">
        <w:tc>
          <w:tcPr>
            <w:tcW w:w="4551" w:type="dxa"/>
            <w:gridSpan w:val="2"/>
          </w:tcPr>
          <w:p w14:paraId="0064B7D5"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Real Estate</w:t>
            </w:r>
          </w:p>
        </w:tc>
        <w:tc>
          <w:tcPr>
            <w:tcW w:w="1114" w:type="dxa"/>
          </w:tcPr>
          <w:p w14:paraId="32ED1ECD"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1</w:t>
            </w:r>
          </w:p>
        </w:tc>
        <w:tc>
          <w:tcPr>
            <w:tcW w:w="2268" w:type="dxa"/>
          </w:tcPr>
          <w:p w14:paraId="4DC36FB2"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47 (.)</w:t>
            </w:r>
          </w:p>
        </w:tc>
        <w:tc>
          <w:tcPr>
            <w:tcW w:w="1417" w:type="dxa"/>
          </w:tcPr>
          <w:p w14:paraId="5DA0E3FE"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0</w:t>
            </w:r>
          </w:p>
        </w:tc>
      </w:tr>
      <w:tr w:rsidR="00FC296B" w:rsidRPr="00DD0F31" w14:paraId="5171766B" w14:textId="77777777" w:rsidTr="006A5525">
        <w:tc>
          <w:tcPr>
            <w:tcW w:w="4551" w:type="dxa"/>
            <w:gridSpan w:val="2"/>
          </w:tcPr>
          <w:p w14:paraId="347478DA"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Transport and storage</w:t>
            </w:r>
          </w:p>
        </w:tc>
        <w:tc>
          <w:tcPr>
            <w:tcW w:w="1114" w:type="dxa"/>
          </w:tcPr>
          <w:p w14:paraId="734D1F81"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11</w:t>
            </w:r>
          </w:p>
        </w:tc>
        <w:tc>
          <w:tcPr>
            <w:tcW w:w="2268" w:type="dxa"/>
          </w:tcPr>
          <w:p w14:paraId="70BE9E0F"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29.8 (47.6)</w:t>
            </w:r>
          </w:p>
        </w:tc>
        <w:tc>
          <w:tcPr>
            <w:tcW w:w="1417" w:type="dxa"/>
          </w:tcPr>
          <w:p w14:paraId="5BC28B93"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0.36</w:t>
            </w:r>
          </w:p>
        </w:tc>
      </w:tr>
      <w:tr w:rsidR="00FC296B" w:rsidRPr="00DD0F31" w14:paraId="6460FE36" w14:textId="77777777" w:rsidTr="006A5525">
        <w:tc>
          <w:tcPr>
            <w:tcW w:w="4551" w:type="dxa"/>
            <w:gridSpan w:val="2"/>
          </w:tcPr>
          <w:p w14:paraId="08D8D5EB" w14:textId="77777777" w:rsidR="00FC296B" w:rsidRPr="00DD0F31" w:rsidRDefault="00FC296B" w:rsidP="00DD0F31">
            <w:pPr>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lastRenderedPageBreak/>
              <w:t>Wholesale and retail</w:t>
            </w:r>
          </w:p>
        </w:tc>
        <w:tc>
          <w:tcPr>
            <w:tcW w:w="1114" w:type="dxa"/>
          </w:tcPr>
          <w:p w14:paraId="01935332"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41</w:t>
            </w:r>
          </w:p>
        </w:tc>
        <w:tc>
          <w:tcPr>
            <w:tcW w:w="2268" w:type="dxa"/>
          </w:tcPr>
          <w:p w14:paraId="0BEB48D5"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14.4 (27.4)</w:t>
            </w:r>
          </w:p>
        </w:tc>
        <w:tc>
          <w:tcPr>
            <w:tcW w:w="1417" w:type="dxa"/>
          </w:tcPr>
          <w:p w14:paraId="5C55D88A" w14:textId="77777777" w:rsidR="00FC296B" w:rsidRPr="00DD0F31" w:rsidRDefault="00FC296B" w:rsidP="00DD0F31">
            <w:pPr>
              <w:keepNext/>
              <w:spacing w:line="480" w:lineRule="auto"/>
              <w:jc w:val="both"/>
              <w:rPr>
                <w:rFonts w:ascii="Times New Roman" w:eastAsia="Times New Roman" w:hAnsi="Times New Roman" w:cs="Times New Roman"/>
              </w:rPr>
            </w:pPr>
            <w:r w:rsidRPr="00DD0F31">
              <w:rPr>
                <w:rFonts w:ascii="Times New Roman" w:eastAsia="Times New Roman" w:hAnsi="Times New Roman" w:cs="Times New Roman"/>
              </w:rPr>
              <w:t>0.54</w:t>
            </w:r>
          </w:p>
        </w:tc>
      </w:tr>
      <w:tr w:rsidR="00FC296B" w:rsidRPr="00DD0F31" w14:paraId="00F78461" w14:textId="77777777" w:rsidTr="006A5525">
        <w:tc>
          <w:tcPr>
            <w:tcW w:w="4551" w:type="dxa"/>
            <w:gridSpan w:val="2"/>
          </w:tcPr>
          <w:p w14:paraId="78053821" w14:textId="77777777" w:rsidR="00FC296B" w:rsidRPr="00DD0F31" w:rsidRDefault="00FC296B" w:rsidP="00DD0F31">
            <w:pPr>
              <w:spacing w:line="480" w:lineRule="auto"/>
              <w:jc w:val="both"/>
              <w:rPr>
                <w:rFonts w:ascii="Times New Roman" w:eastAsia="Times New Roman" w:hAnsi="Times New Roman" w:cs="Times New Roman"/>
                <w:b/>
                <w:bCs/>
              </w:rPr>
            </w:pPr>
            <w:r w:rsidRPr="00DD0F31">
              <w:rPr>
                <w:rFonts w:ascii="Times New Roman" w:eastAsia="Times New Roman" w:hAnsi="Times New Roman" w:cs="Times New Roman"/>
                <w:b/>
                <w:bCs/>
              </w:rPr>
              <w:t>Total</w:t>
            </w:r>
          </w:p>
        </w:tc>
        <w:tc>
          <w:tcPr>
            <w:tcW w:w="1114" w:type="dxa"/>
          </w:tcPr>
          <w:p w14:paraId="7B473402" w14:textId="77777777" w:rsidR="00FC296B" w:rsidRPr="00DD0F31" w:rsidRDefault="00FC296B" w:rsidP="00DD0F31">
            <w:pPr>
              <w:keepNext/>
              <w:spacing w:line="480" w:lineRule="auto"/>
              <w:jc w:val="both"/>
              <w:rPr>
                <w:rFonts w:ascii="Times New Roman" w:eastAsia="Times New Roman" w:hAnsi="Times New Roman" w:cs="Times New Roman"/>
                <w:b/>
                <w:bCs/>
              </w:rPr>
            </w:pPr>
            <w:r w:rsidRPr="00DD0F31">
              <w:rPr>
                <w:rFonts w:ascii="Times New Roman" w:eastAsia="Times New Roman" w:hAnsi="Times New Roman" w:cs="Times New Roman"/>
                <w:b/>
                <w:bCs/>
              </w:rPr>
              <w:t>252</w:t>
            </w:r>
          </w:p>
        </w:tc>
        <w:tc>
          <w:tcPr>
            <w:tcW w:w="2268" w:type="dxa"/>
          </w:tcPr>
          <w:p w14:paraId="75A331D3" w14:textId="77777777" w:rsidR="00FC296B" w:rsidRPr="00DD0F31" w:rsidRDefault="00FC296B" w:rsidP="00DD0F31">
            <w:pPr>
              <w:keepNext/>
              <w:spacing w:line="480" w:lineRule="auto"/>
              <w:jc w:val="both"/>
              <w:rPr>
                <w:rFonts w:ascii="Times New Roman" w:eastAsia="Times New Roman" w:hAnsi="Times New Roman" w:cs="Times New Roman"/>
                <w:b/>
                <w:bCs/>
              </w:rPr>
            </w:pPr>
            <w:r w:rsidRPr="00DD0F31">
              <w:rPr>
                <w:rFonts w:ascii="Times New Roman" w:eastAsia="Times New Roman" w:hAnsi="Times New Roman" w:cs="Times New Roman"/>
                <w:b/>
                <w:bCs/>
              </w:rPr>
              <w:t>14.0 (28.1)</w:t>
            </w:r>
          </w:p>
        </w:tc>
        <w:tc>
          <w:tcPr>
            <w:tcW w:w="1417" w:type="dxa"/>
          </w:tcPr>
          <w:p w14:paraId="10BB6AA9" w14:textId="77777777" w:rsidR="00FC296B" w:rsidRPr="00DD0F31" w:rsidRDefault="00FC296B" w:rsidP="00DD0F31">
            <w:pPr>
              <w:keepNext/>
              <w:spacing w:line="480" w:lineRule="auto"/>
              <w:jc w:val="both"/>
              <w:rPr>
                <w:rFonts w:ascii="Times New Roman" w:eastAsia="Times New Roman" w:hAnsi="Times New Roman" w:cs="Times New Roman"/>
                <w:b/>
                <w:bCs/>
              </w:rPr>
            </w:pPr>
            <w:r w:rsidRPr="00DD0F31">
              <w:rPr>
                <w:rFonts w:ascii="Times New Roman" w:eastAsia="Times New Roman" w:hAnsi="Times New Roman" w:cs="Times New Roman"/>
                <w:b/>
                <w:bCs/>
              </w:rPr>
              <w:t>0.36</w:t>
            </w:r>
          </w:p>
        </w:tc>
      </w:tr>
    </w:tbl>
    <w:p w14:paraId="329E2C72" w14:textId="77777777" w:rsidR="00FC296B" w:rsidRPr="00DD0F31" w:rsidRDefault="00FC296B" w:rsidP="00DD0F31">
      <w:pPr>
        <w:spacing w:line="480" w:lineRule="auto"/>
        <w:ind w:firstLine="567"/>
        <w:jc w:val="both"/>
        <w:rPr>
          <w:rFonts w:ascii="Times New Roman" w:hAnsi="Times New Roman" w:cs="Times New Roman"/>
          <w:sz w:val="24"/>
          <w:szCs w:val="24"/>
          <w:lang w:val="en-US"/>
        </w:rPr>
      </w:pPr>
    </w:p>
    <w:p w14:paraId="1B412923" w14:textId="7DBBCEC8" w:rsidR="002F6CDB" w:rsidRDefault="002F6CDB" w:rsidP="00DD0F31">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Data was collected within “Futures By Design," an EU-Interreg funded project. This project imposed strict guidelines for engaging with SMEs. As we provided each involved SME with technical assistance to adopt relevant digital innovations, thereby enhancing growth, innovation, and profitability, adherence to Article 107 of the Treaty on the Functioning of the European Union (TFEU) was crucial, as it prohibits state aid. State aid, defined as any advantage provided by national public authorities to undertakings on a selective basis, mandated that our support actions be openly advertised to all enterprises. Therefore, in order to comply with Article 107 of the TFEU and avoid direct selection of SMEs by the project team, we implemented a quota sampling strategy. This strategy dictated that SMEs selected for participation had to meet three criteria: being an SME, located in one of the North Sea regions specified above, and not being directly chosen but responding to an open invitation. Given these regulatory constraints, it's crucial to recognize that self-selection bias could potentially influence this process, drawing in SMEs with more time or specific incentives to participate. To deal with this specific bias, we chose the individual SME’s project completion as the key binary dependent variable. This allowed us to avoid participation bias, as both </w:t>
      </w:r>
      <w:r w:rsidR="00913EA9">
        <w:rPr>
          <w:rFonts w:ascii="Times New Roman" w:hAnsi="Times New Roman" w:cs="Times New Roman"/>
          <w:sz w:val="24"/>
          <w:szCs w:val="24"/>
          <w:lang w:val="en-US"/>
        </w:rPr>
        <w:t>completing,</w:t>
      </w:r>
      <w:r>
        <w:rPr>
          <w:rFonts w:ascii="Times New Roman" w:hAnsi="Times New Roman" w:cs="Times New Roman"/>
          <w:sz w:val="24"/>
          <w:szCs w:val="24"/>
          <w:lang w:val="en-US"/>
        </w:rPr>
        <w:t xml:space="preserve"> and not-completing SMEs had self-selected themselves in response to our open calls to participate.</w:t>
      </w:r>
    </w:p>
    <w:p w14:paraId="58DDAF38" w14:textId="47D6F0E3" w:rsidR="003F11A8" w:rsidRPr="00DD0F31" w:rsidRDefault="002F6CDB" w:rsidP="00DD0F31">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Each SME completed the Data Jumpstart Questionnaire (Future by Design, 2023) before planning the specific adoption projects. This questionnaire, which consists of 40 questions, assesses an SME's key variables for our absorptive capacity constructs (PAC and RAC), information on their digital infrastructure, and other key organizational variables. The results from these individual questionnaires were used in meetings with SMEs to define tailored and </w:t>
      </w:r>
      <w:r>
        <w:rPr>
          <w:rFonts w:ascii="Times New Roman" w:hAnsi="Times New Roman" w:cs="Times New Roman"/>
          <w:sz w:val="24"/>
          <w:szCs w:val="24"/>
          <w:lang w:val="en-US"/>
        </w:rPr>
        <w:lastRenderedPageBreak/>
        <w:t>feasible data projects aimed at supporting each SME in adopting a digital innovation, relevant to addressing its business priorities and digital needs.</w:t>
      </w:r>
      <w:r w:rsidR="008D413D">
        <w:rPr>
          <w:rFonts w:ascii="Times New Roman" w:hAnsi="Times New Roman" w:cs="Times New Roman"/>
          <w:sz w:val="24"/>
          <w:szCs w:val="24"/>
          <w:lang w:val="en-US"/>
        </w:rPr>
        <w:t xml:space="preserve"> </w:t>
      </w:r>
    </w:p>
    <w:p w14:paraId="4B97D8D3" w14:textId="77777777" w:rsidR="003F11A8" w:rsidRPr="00DD0F31" w:rsidRDefault="003F11A8" w:rsidP="00DD0F31">
      <w:pPr>
        <w:spacing w:line="480" w:lineRule="auto"/>
        <w:jc w:val="both"/>
        <w:rPr>
          <w:rFonts w:ascii="Times New Roman" w:hAnsi="Times New Roman" w:cs="Times New Roman"/>
          <w:sz w:val="24"/>
          <w:szCs w:val="24"/>
          <w:lang w:val="en-US"/>
        </w:rPr>
      </w:pPr>
      <w:r w:rsidRPr="00DD0F31">
        <w:rPr>
          <w:rFonts w:ascii="Times New Roman" w:hAnsi="Times New Roman" w:cs="Times New Roman"/>
          <w:b/>
          <w:bCs/>
          <w:sz w:val="24"/>
          <w:szCs w:val="24"/>
          <w:lang w:val="en-US"/>
        </w:rPr>
        <w:t>3.2 The dependent variable: project completion</w:t>
      </w:r>
    </w:p>
    <w:p w14:paraId="3296AEA0" w14:textId="39346C4B" w:rsidR="003F11A8" w:rsidRPr="00DD0F31" w:rsidRDefault="002F6CDB" w:rsidP="00DD0F31">
      <w:pPr>
        <w:spacing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To capture the completion of these tailored projects, we constructed a dummy variable indicating whether a firm had brought its agreed-upon digital innovation project to completion. An SME’s project completion consists of the successful adoption of a digital innovation. Each project, regardless of the specific area of business, involved working with an SME to introduce new ways of improving the company's activities through the adoption and implementation of specific business solutions based on digital technologies. Moreover, post-survey data has shown that the completion of data projects led SMEs to introduce products and/or service updates or innovations, as well as to the SME’s growth and/or increase in productivity. Therefore, the outcome, in terms of the success or failure of the project completion, also provides an indicator for the success of digital adoption by an SME.</w:t>
      </w:r>
    </w:p>
    <w:p w14:paraId="59B5FE33" w14:textId="77777777" w:rsidR="003F11A8" w:rsidRPr="00DD0F31" w:rsidRDefault="003F11A8" w:rsidP="00DD0F31">
      <w:pPr>
        <w:spacing w:line="480" w:lineRule="auto"/>
        <w:jc w:val="both"/>
        <w:rPr>
          <w:rFonts w:ascii="Times New Roman" w:hAnsi="Times New Roman" w:cs="Times New Roman"/>
          <w:sz w:val="24"/>
          <w:szCs w:val="24"/>
          <w:lang w:val="en-US"/>
        </w:rPr>
      </w:pPr>
      <w:r w:rsidRPr="005736C2">
        <w:rPr>
          <w:rFonts w:ascii="Times New Roman" w:hAnsi="Times New Roman" w:cs="Times New Roman"/>
          <w:b/>
          <w:bCs/>
          <w:sz w:val="24"/>
          <w:szCs w:val="24"/>
          <w:lang w:val="en-US"/>
        </w:rPr>
        <w:t>3.3 The key independent variables: PAC and RAC</w:t>
      </w:r>
    </w:p>
    <w:p w14:paraId="35E5CEB5" w14:textId="7D8FB695" w:rsidR="003F11A8" w:rsidRPr="00DD0F31" w:rsidRDefault="002F6CDB" w:rsidP="00DD0F31">
      <w:pPr>
        <w:spacing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We need to construct appropriate proxies for PAC and RAC based on contributions from a large body of literature (Jansen et al., 2005; Szulanski, 1996; Zahra &amp; George, 2002). This validated research enabled us to identify the relevant questions on which to focus. We measured the intensity of PAC using four questions from the Data Jumpstart Questionnaires, which captured an SME's efforts in acquiring and assimilating new external knowledge about data and digital innovations. Instead, we measured RAC using five questions that evaluated firms' ability to transform and utilize external digital and technological knowledge in connection with the adoption of digital technologies. In Table 2, you can see how we mapped specific questions from our main source of data, the Data Jumpstart Questionnaire, to the main parts of PAC and RAC that were found in the literature. This is shown in the Items column.</w:t>
      </w:r>
    </w:p>
    <w:p w14:paraId="5B503ADC" w14:textId="77777777" w:rsidR="000D1F70" w:rsidRPr="00DD0F31" w:rsidRDefault="000D1F70" w:rsidP="00DD0F31">
      <w:pPr>
        <w:spacing w:line="480" w:lineRule="auto"/>
        <w:ind w:firstLine="567"/>
        <w:jc w:val="both"/>
        <w:rPr>
          <w:rFonts w:ascii="Times New Roman" w:hAnsi="Times New Roman" w:cs="Times New Roman"/>
          <w:sz w:val="24"/>
          <w:szCs w:val="24"/>
          <w:lang w:val="en-US"/>
        </w:rPr>
      </w:pPr>
    </w:p>
    <w:p w14:paraId="4C37C9F9" w14:textId="77777777" w:rsidR="003F11A8" w:rsidRPr="00F5536A" w:rsidRDefault="003F11A8" w:rsidP="00DD0F31">
      <w:pPr>
        <w:pStyle w:val="Caption"/>
        <w:keepNext/>
        <w:spacing w:line="480" w:lineRule="auto"/>
        <w:jc w:val="both"/>
        <w:rPr>
          <w:rFonts w:ascii="Times New Roman" w:hAnsi="Times New Roman" w:cs="Times New Roman"/>
          <w:b/>
          <w:i w:val="0"/>
          <w:color w:val="000000" w:themeColor="text1"/>
          <w:szCs w:val="24"/>
          <w:lang w:val="en-US"/>
        </w:rPr>
      </w:pPr>
      <w:r w:rsidRPr="00F5536A">
        <w:rPr>
          <w:rFonts w:ascii="Times New Roman" w:hAnsi="Times New Roman" w:cs="Times New Roman"/>
          <w:b/>
          <w:i w:val="0"/>
          <w:color w:val="000000" w:themeColor="text1"/>
          <w:szCs w:val="24"/>
          <w:lang w:val="en-US"/>
        </w:rPr>
        <w:lastRenderedPageBreak/>
        <w:t>Table 2. Mapping Data Jumpstart Questionnaires items with PAC and RAC</w:t>
      </w:r>
    </w:p>
    <w:tbl>
      <w:tblPr>
        <w:tblStyle w:val="GridTable1Light-Accent11"/>
        <w:tblW w:w="9016" w:type="dxa"/>
        <w:tblLayout w:type="fixed"/>
        <w:tblLook w:val="0400" w:firstRow="0" w:lastRow="0" w:firstColumn="0" w:lastColumn="0" w:noHBand="0" w:noVBand="1"/>
      </w:tblPr>
      <w:tblGrid>
        <w:gridCol w:w="1129"/>
        <w:gridCol w:w="3828"/>
        <w:gridCol w:w="4059"/>
      </w:tblGrid>
      <w:tr w:rsidR="003F11A8" w:rsidRPr="00DD0F31" w14:paraId="5C4BD931" w14:textId="77777777" w:rsidTr="006A5525">
        <w:trPr>
          <w:trHeight w:val="20"/>
        </w:trPr>
        <w:tc>
          <w:tcPr>
            <w:tcW w:w="1129" w:type="dxa"/>
          </w:tcPr>
          <w:p w14:paraId="134C3598" w14:textId="77777777" w:rsidR="003F11A8" w:rsidRPr="00DD0F31" w:rsidRDefault="003F11A8" w:rsidP="00DD0F31">
            <w:pPr>
              <w:spacing w:line="480" w:lineRule="auto"/>
              <w:jc w:val="both"/>
              <w:rPr>
                <w:rFonts w:ascii="Times New Roman" w:eastAsia="Times New Roman" w:hAnsi="Times New Roman" w:cs="Times New Roman"/>
                <w:lang w:val="en-US"/>
              </w:rPr>
            </w:pPr>
            <w:r w:rsidRPr="00DD0F31">
              <w:rPr>
                <w:rFonts w:ascii="Times New Roman" w:eastAsia="Times New Roman" w:hAnsi="Times New Roman" w:cs="Times New Roman"/>
                <w:color w:val="000000"/>
                <w:lang w:val="en-US"/>
              </w:rPr>
              <w:t>Number</w:t>
            </w:r>
          </w:p>
        </w:tc>
        <w:tc>
          <w:tcPr>
            <w:tcW w:w="3828" w:type="dxa"/>
          </w:tcPr>
          <w:p w14:paraId="6DB0BD6A" w14:textId="77777777" w:rsidR="003F11A8" w:rsidRPr="00DD0F31" w:rsidRDefault="003F11A8" w:rsidP="00DD0F31">
            <w:pPr>
              <w:spacing w:line="480" w:lineRule="auto"/>
              <w:ind w:firstLine="340"/>
              <w:jc w:val="both"/>
              <w:rPr>
                <w:rFonts w:ascii="Times New Roman" w:eastAsia="Times New Roman" w:hAnsi="Times New Roman" w:cs="Times New Roman"/>
                <w:lang w:val="en-US"/>
              </w:rPr>
            </w:pPr>
            <w:r w:rsidRPr="00DD0F31">
              <w:rPr>
                <w:rFonts w:ascii="Times New Roman" w:eastAsia="Times New Roman" w:hAnsi="Times New Roman" w:cs="Times New Roman"/>
                <w:color w:val="000000"/>
                <w:lang w:val="en-US"/>
              </w:rPr>
              <w:t>Items</w:t>
            </w:r>
          </w:p>
        </w:tc>
        <w:tc>
          <w:tcPr>
            <w:tcW w:w="4059" w:type="dxa"/>
          </w:tcPr>
          <w:p w14:paraId="305F8A5D" w14:textId="77777777" w:rsidR="003F11A8" w:rsidRPr="00DD0F31" w:rsidRDefault="003F11A8" w:rsidP="00A60CB9">
            <w:pPr>
              <w:spacing w:line="480" w:lineRule="auto"/>
              <w:rPr>
                <w:rFonts w:ascii="Times New Roman" w:eastAsia="Times New Roman" w:hAnsi="Times New Roman" w:cs="Times New Roman"/>
                <w:lang w:val="en-US"/>
              </w:rPr>
            </w:pPr>
            <w:r w:rsidRPr="00DD0F31">
              <w:rPr>
                <w:rFonts w:ascii="Times New Roman" w:eastAsia="Times New Roman" w:hAnsi="Times New Roman" w:cs="Times New Roman"/>
                <w:color w:val="000000"/>
                <w:lang w:val="en-US"/>
              </w:rPr>
              <w:t>Matched Jumpstart Questionnaire</w:t>
            </w:r>
            <w:r w:rsidRPr="00DD0F31" w:rsidDel="00683522">
              <w:rPr>
                <w:rFonts w:ascii="Times New Roman" w:eastAsia="Times New Roman" w:hAnsi="Times New Roman" w:cs="Times New Roman"/>
                <w:color w:val="000000"/>
                <w:lang w:val="en-US"/>
              </w:rPr>
              <w:t xml:space="preserve"> </w:t>
            </w:r>
            <w:r w:rsidRPr="00DD0F31">
              <w:rPr>
                <w:rFonts w:ascii="Times New Roman" w:eastAsia="Times New Roman" w:hAnsi="Times New Roman" w:cs="Times New Roman"/>
                <w:color w:val="000000"/>
                <w:lang w:val="en-US"/>
              </w:rPr>
              <w:t>Questions</w:t>
            </w:r>
          </w:p>
        </w:tc>
      </w:tr>
      <w:tr w:rsidR="003F11A8" w:rsidRPr="00DD0F31" w14:paraId="4F1BEC65" w14:textId="77777777" w:rsidTr="006A5525">
        <w:trPr>
          <w:trHeight w:val="199"/>
        </w:trPr>
        <w:tc>
          <w:tcPr>
            <w:tcW w:w="9016" w:type="dxa"/>
            <w:gridSpan w:val="3"/>
          </w:tcPr>
          <w:p w14:paraId="64D80A9C" w14:textId="77777777" w:rsidR="003F11A8" w:rsidRPr="00DD0F31" w:rsidRDefault="003F11A8" w:rsidP="00A60CB9">
            <w:pPr>
              <w:spacing w:before="240" w:line="480" w:lineRule="auto"/>
              <w:ind w:firstLine="340"/>
              <w:rPr>
                <w:rFonts w:ascii="Times New Roman" w:eastAsia="Times New Roman" w:hAnsi="Times New Roman" w:cs="Times New Roman"/>
                <w:lang w:val="en-US"/>
              </w:rPr>
            </w:pPr>
            <w:r w:rsidRPr="00DD0F31">
              <w:rPr>
                <w:rFonts w:ascii="Times New Roman" w:eastAsia="Times New Roman" w:hAnsi="Times New Roman" w:cs="Times New Roman"/>
                <w:b/>
                <w:color w:val="000000"/>
                <w:lang w:val="en-US"/>
              </w:rPr>
              <w:t>Potential Absorptive Capacity (PAC)</w:t>
            </w:r>
          </w:p>
        </w:tc>
      </w:tr>
      <w:tr w:rsidR="003F11A8" w:rsidRPr="00DD0F31" w14:paraId="02E144D3" w14:textId="77777777" w:rsidTr="006A5525">
        <w:trPr>
          <w:trHeight w:val="20"/>
        </w:trPr>
        <w:tc>
          <w:tcPr>
            <w:tcW w:w="1129" w:type="dxa"/>
          </w:tcPr>
          <w:p w14:paraId="7D48C3D7" w14:textId="77777777" w:rsidR="003F11A8" w:rsidRPr="00DD0F31" w:rsidRDefault="003F11A8" w:rsidP="00DD0F31">
            <w:pPr>
              <w:spacing w:line="480" w:lineRule="auto"/>
              <w:jc w:val="both"/>
              <w:rPr>
                <w:rFonts w:ascii="Times New Roman" w:eastAsia="Times New Roman" w:hAnsi="Times New Roman" w:cs="Times New Roman"/>
                <w:lang w:val="en-US"/>
              </w:rPr>
            </w:pPr>
            <w:r w:rsidRPr="00DD0F31">
              <w:rPr>
                <w:rFonts w:ascii="Times New Roman" w:eastAsia="Times New Roman" w:hAnsi="Times New Roman" w:cs="Times New Roman"/>
                <w:color w:val="000000"/>
                <w:lang w:val="en-US"/>
              </w:rPr>
              <w:t>1</w:t>
            </w:r>
          </w:p>
        </w:tc>
        <w:tc>
          <w:tcPr>
            <w:tcW w:w="3828" w:type="dxa"/>
          </w:tcPr>
          <w:p w14:paraId="6B8E178C" w14:textId="77777777" w:rsidR="003F11A8" w:rsidRPr="00DD0F31" w:rsidRDefault="003F11A8" w:rsidP="00A60CB9">
            <w:pPr>
              <w:spacing w:line="480" w:lineRule="auto"/>
              <w:rPr>
                <w:rFonts w:ascii="Times New Roman" w:eastAsia="Times New Roman" w:hAnsi="Times New Roman" w:cs="Times New Roman"/>
                <w:lang w:val="en-US"/>
              </w:rPr>
            </w:pPr>
            <w:r w:rsidRPr="00DD0F31">
              <w:rPr>
                <w:rFonts w:ascii="Times New Roman" w:eastAsia="Times New Roman" w:hAnsi="Times New Roman" w:cs="Times New Roman"/>
                <w:color w:val="000000"/>
                <w:lang w:val="en-US"/>
              </w:rPr>
              <w:t>New opportunities to serve our clients are understood rapidly.</w:t>
            </w:r>
          </w:p>
        </w:tc>
        <w:tc>
          <w:tcPr>
            <w:tcW w:w="4059" w:type="dxa"/>
          </w:tcPr>
          <w:p w14:paraId="452A4D38" w14:textId="77777777" w:rsidR="003F11A8" w:rsidRPr="00DD0F31" w:rsidRDefault="003F11A8" w:rsidP="00A60CB9">
            <w:pPr>
              <w:spacing w:line="480" w:lineRule="auto"/>
              <w:rPr>
                <w:rFonts w:ascii="Times New Roman" w:eastAsia="Times New Roman" w:hAnsi="Times New Roman" w:cs="Times New Roman"/>
                <w:lang w:val="en-US"/>
              </w:rPr>
            </w:pPr>
            <w:r w:rsidRPr="00DD0F31">
              <w:rPr>
                <w:rFonts w:ascii="Times New Roman" w:eastAsia="Times New Roman" w:hAnsi="Times New Roman" w:cs="Times New Roman"/>
                <w:i/>
                <w:iCs/>
                <w:color w:val="000000" w:themeColor="text1"/>
                <w:lang w:val="en-US"/>
              </w:rPr>
              <w:t xml:space="preserve">Q19.1 My colleagues often bring new ideas and developments </w:t>
            </w:r>
            <w:bookmarkStart w:id="7" w:name="_Int_3WABjf2E"/>
            <w:r w:rsidRPr="00DD0F31">
              <w:rPr>
                <w:rFonts w:ascii="Times New Roman" w:eastAsia="Times New Roman" w:hAnsi="Times New Roman" w:cs="Times New Roman"/>
                <w:i/>
                <w:iCs/>
                <w:color w:val="000000" w:themeColor="text1"/>
                <w:lang w:val="en-US"/>
              </w:rPr>
              <w:t>with regard to</w:t>
            </w:r>
            <w:bookmarkEnd w:id="7"/>
            <w:r w:rsidRPr="00DD0F31">
              <w:rPr>
                <w:rFonts w:ascii="Times New Roman" w:eastAsia="Times New Roman" w:hAnsi="Times New Roman" w:cs="Times New Roman"/>
                <w:i/>
                <w:iCs/>
                <w:color w:val="000000" w:themeColor="text1"/>
                <w:lang w:val="en-US"/>
              </w:rPr>
              <w:t xml:space="preserve"> data to the table.</w:t>
            </w:r>
          </w:p>
        </w:tc>
      </w:tr>
      <w:tr w:rsidR="003F11A8" w:rsidRPr="00DD0F31" w14:paraId="3691DA86" w14:textId="77777777" w:rsidTr="006A5525">
        <w:trPr>
          <w:trHeight w:val="20"/>
        </w:trPr>
        <w:tc>
          <w:tcPr>
            <w:tcW w:w="1129" w:type="dxa"/>
          </w:tcPr>
          <w:p w14:paraId="171A0036" w14:textId="77777777" w:rsidR="003F11A8" w:rsidRPr="00DD0F31" w:rsidRDefault="003F11A8" w:rsidP="00DD0F31">
            <w:pPr>
              <w:spacing w:line="480" w:lineRule="auto"/>
              <w:jc w:val="both"/>
              <w:rPr>
                <w:rFonts w:ascii="Times New Roman" w:eastAsia="Times New Roman" w:hAnsi="Times New Roman" w:cs="Times New Roman"/>
                <w:lang w:val="en-US"/>
              </w:rPr>
            </w:pPr>
            <w:r w:rsidRPr="00DD0F31">
              <w:rPr>
                <w:rFonts w:ascii="Times New Roman" w:eastAsia="Times New Roman" w:hAnsi="Times New Roman" w:cs="Times New Roman"/>
                <w:color w:val="000000"/>
                <w:lang w:val="en-US"/>
              </w:rPr>
              <w:t>2</w:t>
            </w:r>
          </w:p>
        </w:tc>
        <w:tc>
          <w:tcPr>
            <w:tcW w:w="3828" w:type="dxa"/>
          </w:tcPr>
          <w:p w14:paraId="5B86DBE1" w14:textId="77777777" w:rsidR="003F11A8" w:rsidRPr="00DD0F31" w:rsidRDefault="003F11A8" w:rsidP="00A60CB9">
            <w:pPr>
              <w:spacing w:line="480" w:lineRule="auto"/>
              <w:rPr>
                <w:rFonts w:ascii="Times New Roman" w:eastAsia="Times New Roman" w:hAnsi="Times New Roman" w:cs="Times New Roman"/>
                <w:lang w:val="en-US"/>
              </w:rPr>
            </w:pPr>
            <w:r w:rsidRPr="00DD0F31">
              <w:rPr>
                <w:rFonts w:ascii="Times New Roman" w:eastAsia="Times New Roman" w:hAnsi="Times New Roman" w:cs="Times New Roman"/>
                <w:color w:val="000000"/>
                <w:lang w:val="en-US"/>
              </w:rPr>
              <w:t>We analyze and interpret changing market demands promptly.</w:t>
            </w:r>
          </w:p>
        </w:tc>
        <w:tc>
          <w:tcPr>
            <w:tcW w:w="4059" w:type="dxa"/>
          </w:tcPr>
          <w:p w14:paraId="5FAE236C" w14:textId="77777777" w:rsidR="003F11A8" w:rsidRPr="00DD0F31" w:rsidRDefault="003F11A8" w:rsidP="00A60CB9">
            <w:pPr>
              <w:spacing w:line="480" w:lineRule="auto"/>
              <w:rPr>
                <w:rFonts w:ascii="Times New Roman" w:eastAsia="Times New Roman" w:hAnsi="Times New Roman" w:cs="Times New Roman"/>
                <w:lang w:val="en-US"/>
              </w:rPr>
            </w:pPr>
            <w:r w:rsidRPr="00DD0F31">
              <w:rPr>
                <w:rFonts w:ascii="Times New Roman" w:eastAsia="Times New Roman" w:hAnsi="Times New Roman" w:cs="Times New Roman"/>
                <w:i/>
                <w:color w:val="000000"/>
                <w:lang w:val="en-US"/>
              </w:rPr>
              <w:t>Q19.3 My organization strives for fast adoption of innovations in the field of data.</w:t>
            </w:r>
          </w:p>
        </w:tc>
      </w:tr>
      <w:tr w:rsidR="003F11A8" w:rsidRPr="00DD0F31" w14:paraId="4942BC77" w14:textId="77777777" w:rsidTr="006A5525">
        <w:trPr>
          <w:trHeight w:val="20"/>
        </w:trPr>
        <w:tc>
          <w:tcPr>
            <w:tcW w:w="1129" w:type="dxa"/>
          </w:tcPr>
          <w:p w14:paraId="14791CED" w14:textId="77777777" w:rsidR="003F11A8" w:rsidRPr="00DD0F31" w:rsidRDefault="003F11A8" w:rsidP="00DD0F31">
            <w:pPr>
              <w:spacing w:line="480" w:lineRule="auto"/>
              <w:jc w:val="both"/>
              <w:rPr>
                <w:rFonts w:ascii="Times New Roman" w:eastAsia="Times New Roman" w:hAnsi="Times New Roman" w:cs="Times New Roman"/>
                <w:lang w:val="en-US"/>
              </w:rPr>
            </w:pPr>
            <w:r w:rsidRPr="00DD0F31">
              <w:rPr>
                <w:rFonts w:ascii="Times New Roman" w:eastAsia="Times New Roman" w:hAnsi="Times New Roman" w:cs="Times New Roman"/>
                <w:color w:val="000000"/>
                <w:lang w:val="en-US"/>
              </w:rPr>
              <w:t>3</w:t>
            </w:r>
          </w:p>
        </w:tc>
        <w:tc>
          <w:tcPr>
            <w:tcW w:w="3828" w:type="dxa"/>
          </w:tcPr>
          <w:p w14:paraId="05576633" w14:textId="77777777" w:rsidR="003F11A8" w:rsidRPr="00DD0F31" w:rsidRDefault="003F11A8" w:rsidP="00A60CB9">
            <w:pPr>
              <w:spacing w:line="480" w:lineRule="auto"/>
              <w:rPr>
                <w:rFonts w:ascii="Times New Roman" w:eastAsia="Times New Roman" w:hAnsi="Times New Roman" w:cs="Times New Roman"/>
                <w:lang w:val="en-US"/>
              </w:rPr>
            </w:pPr>
            <w:r w:rsidRPr="00DD0F31">
              <w:rPr>
                <w:rFonts w:ascii="Times New Roman" w:eastAsia="Times New Roman" w:hAnsi="Times New Roman" w:cs="Times New Roman"/>
                <w:color w:val="000000"/>
                <w:lang w:val="en-US"/>
              </w:rPr>
              <w:t>Employees record and store newly acquired knowledge for future reference.</w:t>
            </w:r>
          </w:p>
        </w:tc>
        <w:tc>
          <w:tcPr>
            <w:tcW w:w="4059" w:type="dxa"/>
          </w:tcPr>
          <w:p w14:paraId="04F86B8D" w14:textId="77777777" w:rsidR="003F11A8" w:rsidRPr="00DD0F31" w:rsidRDefault="003F11A8" w:rsidP="00A60CB9">
            <w:pPr>
              <w:spacing w:line="480" w:lineRule="auto"/>
              <w:rPr>
                <w:rFonts w:ascii="Times New Roman" w:eastAsia="Times New Roman" w:hAnsi="Times New Roman" w:cs="Times New Roman"/>
                <w:lang w:val="en-US"/>
              </w:rPr>
            </w:pPr>
            <w:r w:rsidRPr="00DD0F31">
              <w:rPr>
                <w:rFonts w:ascii="Times New Roman" w:eastAsia="Times New Roman" w:hAnsi="Times New Roman" w:cs="Times New Roman"/>
                <w:i/>
                <w:color w:val="000000"/>
                <w:lang w:val="en-US"/>
              </w:rPr>
              <w:t>Q20.1 My organization is aware of the possibilities of working with data.</w:t>
            </w:r>
          </w:p>
        </w:tc>
      </w:tr>
      <w:tr w:rsidR="003F11A8" w:rsidRPr="00DD0F31" w14:paraId="65787701" w14:textId="77777777" w:rsidTr="006A5525">
        <w:trPr>
          <w:trHeight w:val="20"/>
        </w:trPr>
        <w:tc>
          <w:tcPr>
            <w:tcW w:w="1129" w:type="dxa"/>
          </w:tcPr>
          <w:p w14:paraId="2044FC92" w14:textId="77777777" w:rsidR="003F11A8" w:rsidRPr="00DD0F31" w:rsidRDefault="003F11A8" w:rsidP="00DD0F31">
            <w:pPr>
              <w:spacing w:line="480" w:lineRule="auto"/>
              <w:jc w:val="both"/>
              <w:rPr>
                <w:rFonts w:ascii="Times New Roman" w:eastAsia="Times New Roman" w:hAnsi="Times New Roman" w:cs="Times New Roman"/>
                <w:lang w:val="en-US"/>
              </w:rPr>
            </w:pPr>
            <w:r w:rsidRPr="00DD0F31">
              <w:rPr>
                <w:rFonts w:ascii="Times New Roman" w:eastAsia="Times New Roman" w:hAnsi="Times New Roman" w:cs="Times New Roman"/>
                <w:color w:val="000000"/>
                <w:lang w:val="en-US"/>
              </w:rPr>
              <w:t>4</w:t>
            </w:r>
          </w:p>
        </w:tc>
        <w:tc>
          <w:tcPr>
            <w:tcW w:w="3828" w:type="dxa"/>
          </w:tcPr>
          <w:p w14:paraId="119A30A1" w14:textId="77777777" w:rsidR="003F11A8" w:rsidRPr="00DD0F31" w:rsidRDefault="003F11A8" w:rsidP="00A60CB9">
            <w:pPr>
              <w:spacing w:line="480" w:lineRule="auto"/>
              <w:rPr>
                <w:rFonts w:ascii="Times New Roman" w:eastAsia="Times New Roman" w:hAnsi="Times New Roman" w:cs="Times New Roman"/>
                <w:lang w:val="en-US"/>
              </w:rPr>
            </w:pPr>
            <w:r w:rsidRPr="00DD0F31">
              <w:rPr>
                <w:rFonts w:ascii="Times New Roman" w:eastAsia="Times New Roman" w:hAnsi="Times New Roman" w:cs="Times New Roman"/>
                <w:color w:val="000000"/>
                <w:lang w:val="en-US"/>
              </w:rPr>
              <w:t>We quickly recognize the usefulness of new external knowledge to existing knowledge.</w:t>
            </w:r>
          </w:p>
        </w:tc>
        <w:tc>
          <w:tcPr>
            <w:tcW w:w="4059" w:type="dxa"/>
          </w:tcPr>
          <w:p w14:paraId="63483DD1" w14:textId="77777777" w:rsidR="003F11A8" w:rsidRPr="00DD0F31" w:rsidRDefault="003F11A8" w:rsidP="00A60CB9">
            <w:pPr>
              <w:spacing w:line="480" w:lineRule="auto"/>
              <w:rPr>
                <w:rFonts w:ascii="Times New Roman" w:eastAsia="Times New Roman" w:hAnsi="Times New Roman" w:cs="Times New Roman"/>
                <w:lang w:val="en-US"/>
              </w:rPr>
            </w:pPr>
            <w:r w:rsidRPr="00DD0F31">
              <w:rPr>
                <w:rFonts w:ascii="Times New Roman" w:eastAsia="Times New Roman" w:hAnsi="Times New Roman" w:cs="Times New Roman"/>
                <w:i/>
                <w:color w:val="000000"/>
                <w:lang w:val="en-US"/>
              </w:rPr>
              <w:t>Q20.4 My organization often takes part in events with data as one of the main topics.</w:t>
            </w:r>
          </w:p>
        </w:tc>
      </w:tr>
      <w:tr w:rsidR="003F11A8" w:rsidRPr="00DD0F31" w14:paraId="45D2D6CC" w14:textId="77777777" w:rsidTr="006A5525">
        <w:trPr>
          <w:trHeight w:val="20"/>
        </w:trPr>
        <w:tc>
          <w:tcPr>
            <w:tcW w:w="9016" w:type="dxa"/>
            <w:gridSpan w:val="3"/>
          </w:tcPr>
          <w:p w14:paraId="597A59C6" w14:textId="77777777" w:rsidR="003F11A8" w:rsidRPr="00DD0F31" w:rsidRDefault="003F11A8" w:rsidP="00A60CB9">
            <w:pPr>
              <w:spacing w:before="240" w:line="480" w:lineRule="auto"/>
              <w:ind w:firstLine="340"/>
              <w:rPr>
                <w:rFonts w:ascii="Times New Roman" w:eastAsia="Times New Roman" w:hAnsi="Times New Roman" w:cs="Times New Roman"/>
                <w:lang w:val="en-US"/>
              </w:rPr>
            </w:pPr>
            <w:r w:rsidRPr="00DD0F31">
              <w:rPr>
                <w:rFonts w:ascii="Times New Roman" w:eastAsia="Times New Roman" w:hAnsi="Times New Roman" w:cs="Times New Roman"/>
                <w:b/>
                <w:color w:val="000000"/>
                <w:lang w:val="en-US"/>
              </w:rPr>
              <w:t>Realized Absorptive Capacity (RAC)</w:t>
            </w:r>
          </w:p>
        </w:tc>
      </w:tr>
      <w:tr w:rsidR="003F11A8" w:rsidRPr="00DD0F31" w14:paraId="4B5195F9" w14:textId="77777777" w:rsidTr="006A5525">
        <w:trPr>
          <w:trHeight w:val="20"/>
        </w:trPr>
        <w:tc>
          <w:tcPr>
            <w:tcW w:w="1129" w:type="dxa"/>
          </w:tcPr>
          <w:p w14:paraId="44873018" w14:textId="77777777" w:rsidR="003F11A8" w:rsidRPr="00DD0F31" w:rsidRDefault="003F11A8" w:rsidP="00DD0F31">
            <w:pPr>
              <w:spacing w:line="480" w:lineRule="auto"/>
              <w:jc w:val="both"/>
              <w:rPr>
                <w:rFonts w:ascii="Times New Roman" w:eastAsia="Times New Roman" w:hAnsi="Times New Roman" w:cs="Times New Roman"/>
                <w:lang w:val="en-US"/>
              </w:rPr>
            </w:pPr>
            <w:r w:rsidRPr="00DD0F31">
              <w:rPr>
                <w:rFonts w:ascii="Times New Roman" w:eastAsia="Times New Roman" w:hAnsi="Times New Roman" w:cs="Times New Roman"/>
                <w:color w:val="000000"/>
                <w:lang w:val="en-US"/>
              </w:rPr>
              <w:t>1</w:t>
            </w:r>
          </w:p>
        </w:tc>
        <w:tc>
          <w:tcPr>
            <w:tcW w:w="3828" w:type="dxa"/>
          </w:tcPr>
          <w:p w14:paraId="114CD659" w14:textId="77777777" w:rsidR="003F11A8" w:rsidRPr="00DD0F31" w:rsidRDefault="003F11A8" w:rsidP="00A60CB9">
            <w:pPr>
              <w:spacing w:line="480" w:lineRule="auto"/>
              <w:rPr>
                <w:rFonts w:ascii="Times New Roman" w:eastAsia="Times New Roman" w:hAnsi="Times New Roman" w:cs="Times New Roman"/>
                <w:lang w:val="en-US"/>
              </w:rPr>
            </w:pPr>
            <w:r w:rsidRPr="00DD0F31">
              <w:rPr>
                <w:rFonts w:ascii="Times New Roman" w:eastAsia="Times New Roman" w:hAnsi="Times New Roman" w:cs="Times New Roman"/>
                <w:color w:val="000000"/>
                <w:lang w:val="en-US"/>
              </w:rPr>
              <w:t>We incorporate external technological knowledge into our firm.</w:t>
            </w:r>
          </w:p>
        </w:tc>
        <w:tc>
          <w:tcPr>
            <w:tcW w:w="4059" w:type="dxa"/>
          </w:tcPr>
          <w:p w14:paraId="4BC7CEB3" w14:textId="77777777" w:rsidR="003F11A8" w:rsidRPr="00DD0F31" w:rsidRDefault="003F11A8" w:rsidP="00A60CB9">
            <w:pPr>
              <w:spacing w:line="480" w:lineRule="auto"/>
              <w:rPr>
                <w:rFonts w:ascii="Times New Roman" w:eastAsia="Times New Roman" w:hAnsi="Times New Roman" w:cs="Times New Roman"/>
                <w:lang w:val="en-US"/>
              </w:rPr>
            </w:pPr>
            <w:r w:rsidRPr="00DD0F31">
              <w:rPr>
                <w:rFonts w:ascii="Times New Roman" w:eastAsia="Times New Roman" w:hAnsi="Times New Roman" w:cs="Times New Roman"/>
                <w:i/>
                <w:color w:val="000000"/>
                <w:lang w:val="en-US"/>
              </w:rPr>
              <w:t>Q20.2 My organization likes to work with external parties when it comes to data gathering and analysis.</w:t>
            </w:r>
          </w:p>
        </w:tc>
      </w:tr>
      <w:tr w:rsidR="003F11A8" w:rsidRPr="00DD0F31" w14:paraId="62B0A98A" w14:textId="77777777" w:rsidTr="006A5525">
        <w:trPr>
          <w:trHeight w:val="20"/>
        </w:trPr>
        <w:tc>
          <w:tcPr>
            <w:tcW w:w="1129" w:type="dxa"/>
          </w:tcPr>
          <w:p w14:paraId="13F34F58" w14:textId="77777777" w:rsidR="003F11A8" w:rsidRPr="00DD0F31" w:rsidRDefault="003F11A8" w:rsidP="00DD0F31">
            <w:pPr>
              <w:spacing w:line="480" w:lineRule="auto"/>
              <w:jc w:val="both"/>
              <w:rPr>
                <w:rFonts w:ascii="Times New Roman" w:eastAsia="Times New Roman" w:hAnsi="Times New Roman" w:cs="Times New Roman"/>
                <w:lang w:val="en-US"/>
              </w:rPr>
            </w:pPr>
            <w:r w:rsidRPr="00DD0F31">
              <w:rPr>
                <w:rFonts w:ascii="Times New Roman" w:eastAsia="Times New Roman" w:hAnsi="Times New Roman" w:cs="Times New Roman"/>
                <w:color w:val="000000"/>
                <w:lang w:val="en-US"/>
              </w:rPr>
              <w:t>2</w:t>
            </w:r>
          </w:p>
        </w:tc>
        <w:tc>
          <w:tcPr>
            <w:tcW w:w="3828" w:type="dxa"/>
          </w:tcPr>
          <w:p w14:paraId="7837AD4B" w14:textId="77777777" w:rsidR="003F11A8" w:rsidRPr="00DD0F31" w:rsidRDefault="003F11A8" w:rsidP="00A60CB9">
            <w:pPr>
              <w:spacing w:line="480" w:lineRule="auto"/>
              <w:rPr>
                <w:rFonts w:ascii="Times New Roman" w:eastAsia="Times New Roman" w:hAnsi="Times New Roman" w:cs="Times New Roman"/>
                <w:lang w:val="en-US"/>
              </w:rPr>
            </w:pPr>
            <w:r w:rsidRPr="00DD0F31">
              <w:rPr>
                <w:rFonts w:ascii="Times New Roman" w:eastAsia="Times New Roman" w:hAnsi="Times New Roman" w:cs="Times New Roman"/>
                <w:color w:val="000000"/>
                <w:lang w:val="en-US"/>
              </w:rPr>
              <w:t>We thoroughly grasp the opportunities new external knowledge offers our firm.</w:t>
            </w:r>
          </w:p>
        </w:tc>
        <w:tc>
          <w:tcPr>
            <w:tcW w:w="4059" w:type="dxa"/>
          </w:tcPr>
          <w:p w14:paraId="1E7DFF1C" w14:textId="1D9942F9" w:rsidR="003F11A8" w:rsidRPr="00DD0F31" w:rsidRDefault="003F11A8" w:rsidP="00A60CB9">
            <w:pPr>
              <w:spacing w:line="480" w:lineRule="auto"/>
              <w:rPr>
                <w:rFonts w:ascii="Times New Roman" w:eastAsia="Times New Roman" w:hAnsi="Times New Roman" w:cs="Times New Roman"/>
                <w:lang w:val="en-US"/>
              </w:rPr>
            </w:pPr>
            <w:r w:rsidRPr="00DD0F31">
              <w:rPr>
                <w:rFonts w:ascii="Times New Roman" w:eastAsia="Times New Roman" w:hAnsi="Times New Roman" w:cs="Times New Roman"/>
                <w:i/>
                <w:color w:val="000000"/>
                <w:lang w:val="en-US"/>
              </w:rPr>
              <w:t>Q20.6 When new data becomes available, I use this to review my opinion.</w:t>
            </w:r>
          </w:p>
        </w:tc>
      </w:tr>
      <w:tr w:rsidR="003F11A8" w:rsidRPr="00DD0F31" w14:paraId="0EFFFB4A" w14:textId="77777777" w:rsidTr="006A5525">
        <w:trPr>
          <w:trHeight w:val="20"/>
        </w:trPr>
        <w:tc>
          <w:tcPr>
            <w:tcW w:w="1129" w:type="dxa"/>
          </w:tcPr>
          <w:p w14:paraId="2E650134" w14:textId="77777777" w:rsidR="003F11A8" w:rsidRPr="00DD0F31" w:rsidRDefault="003F11A8" w:rsidP="00DD0F31">
            <w:pPr>
              <w:spacing w:line="480" w:lineRule="auto"/>
              <w:jc w:val="both"/>
              <w:rPr>
                <w:rFonts w:ascii="Times New Roman" w:eastAsia="Times New Roman" w:hAnsi="Times New Roman" w:cs="Times New Roman"/>
                <w:lang w:val="en-US"/>
              </w:rPr>
            </w:pPr>
            <w:r w:rsidRPr="00DD0F31">
              <w:rPr>
                <w:rFonts w:ascii="Times New Roman" w:eastAsia="Times New Roman" w:hAnsi="Times New Roman" w:cs="Times New Roman"/>
                <w:color w:val="000000"/>
                <w:lang w:val="en-US"/>
              </w:rPr>
              <w:lastRenderedPageBreak/>
              <w:t>3</w:t>
            </w:r>
          </w:p>
        </w:tc>
        <w:tc>
          <w:tcPr>
            <w:tcW w:w="3828" w:type="dxa"/>
          </w:tcPr>
          <w:p w14:paraId="73EBFB35" w14:textId="77777777" w:rsidR="003F11A8" w:rsidRPr="00DD0F31" w:rsidRDefault="003F11A8" w:rsidP="00A60CB9">
            <w:pPr>
              <w:spacing w:line="480" w:lineRule="auto"/>
              <w:rPr>
                <w:rFonts w:ascii="Times New Roman" w:eastAsia="Times New Roman" w:hAnsi="Times New Roman" w:cs="Times New Roman"/>
                <w:lang w:val="en-US"/>
              </w:rPr>
            </w:pPr>
            <w:r w:rsidRPr="00DD0F31">
              <w:rPr>
                <w:rFonts w:ascii="Times New Roman" w:eastAsia="Times New Roman" w:hAnsi="Times New Roman" w:cs="Times New Roman"/>
                <w:color w:val="000000"/>
                <w:lang w:val="en-US"/>
              </w:rPr>
              <w:t>We periodically meet to discuss the consequences of market trends and new product development.</w:t>
            </w:r>
          </w:p>
        </w:tc>
        <w:tc>
          <w:tcPr>
            <w:tcW w:w="4059" w:type="dxa"/>
          </w:tcPr>
          <w:p w14:paraId="3F111FDB" w14:textId="77777777" w:rsidR="003F11A8" w:rsidRPr="00DD0F31" w:rsidRDefault="003F11A8" w:rsidP="00A60CB9">
            <w:pPr>
              <w:spacing w:line="480" w:lineRule="auto"/>
              <w:rPr>
                <w:rFonts w:ascii="Times New Roman" w:eastAsia="Times New Roman" w:hAnsi="Times New Roman" w:cs="Times New Roman"/>
                <w:lang w:val="en-US"/>
              </w:rPr>
            </w:pPr>
            <w:r w:rsidRPr="00DD0F31">
              <w:rPr>
                <w:rFonts w:ascii="Times New Roman" w:eastAsia="Times New Roman" w:hAnsi="Times New Roman" w:cs="Times New Roman"/>
                <w:i/>
                <w:color w:val="000000"/>
                <w:lang w:val="en-US"/>
              </w:rPr>
              <w:t>Q19.2 My colleagues in general know their way around new data-related technologies.</w:t>
            </w:r>
          </w:p>
        </w:tc>
      </w:tr>
      <w:tr w:rsidR="003F11A8" w:rsidRPr="00DD0F31" w14:paraId="5C01AD71" w14:textId="77777777" w:rsidTr="006A5525">
        <w:trPr>
          <w:trHeight w:val="20"/>
        </w:trPr>
        <w:tc>
          <w:tcPr>
            <w:tcW w:w="1129" w:type="dxa"/>
          </w:tcPr>
          <w:p w14:paraId="0D57FA7C" w14:textId="77777777" w:rsidR="003F11A8" w:rsidRPr="00DD0F31" w:rsidRDefault="003F11A8" w:rsidP="00DD0F31">
            <w:pPr>
              <w:spacing w:line="480" w:lineRule="auto"/>
              <w:jc w:val="both"/>
              <w:rPr>
                <w:rFonts w:ascii="Times New Roman" w:eastAsia="Times New Roman" w:hAnsi="Times New Roman" w:cs="Times New Roman"/>
                <w:lang w:val="en-US"/>
              </w:rPr>
            </w:pPr>
            <w:r w:rsidRPr="00DD0F31">
              <w:rPr>
                <w:rFonts w:ascii="Times New Roman" w:eastAsia="Times New Roman" w:hAnsi="Times New Roman" w:cs="Times New Roman"/>
                <w:color w:val="000000"/>
                <w:lang w:val="en-US"/>
              </w:rPr>
              <w:t>4</w:t>
            </w:r>
          </w:p>
        </w:tc>
        <w:tc>
          <w:tcPr>
            <w:tcW w:w="3828" w:type="dxa"/>
          </w:tcPr>
          <w:p w14:paraId="03312E28" w14:textId="77777777" w:rsidR="003F11A8" w:rsidRPr="00DD0F31" w:rsidRDefault="003F11A8" w:rsidP="00A60CB9">
            <w:pPr>
              <w:spacing w:line="480" w:lineRule="auto"/>
              <w:rPr>
                <w:rFonts w:ascii="Times New Roman" w:eastAsia="Times New Roman" w:hAnsi="Times New Roman" w:cs="Times New Roman"/>
                <w:lang w:val="en-US"/>
              </w:rPr>
            </w:pPr>
            <w:r w:rsidRPr="00DD0F31">
              <w:rPr>
                <w:rFonts w:ascii="Times New Roman" w:eastAsia="Times New Roman" w:hAnsi="Times New Roman" w:cs="Times New Roman"/>
                <w:color w:val="000000"/>
                <w:lang w:val="en-US"/>
              </w:rPr>
              <w:t>Employees are clearly aware of how the firm's innovation activities should be performed.</w:t>
            </w:r>
          </w:p>
        </w:tc>
        <w:tc>
          <w:tcPr>
            <w:tcW w:w="4059" w:type="dxa"/>
          </w:tcPr>
          <w:p w14:paraId="10C47679" w14:textId="77777777" w:rsidR="003F11A8" w:rsidRPr="00DD0F31" w:rsidRDefault="003F11A8" w:rsidP="00A60CB9">
            <w:pPr>
              <w:spacing w:line="480" w:lineRule="auto"/>
              <w:rPr>
                <w:rFonts w:ascii="Times New Roman" w:eastAsia="Times New Roman" w:hAnsi="Times New Roman" w:cs="Times New Roman"/>
                <w:lang w:val="en-US"/>
              </w:rPr>
            </w:pPr>
            <w:r w:rsidRPr="00DD0F31">
              <w:rPr>
                <w:rFonts w:ascii="Times New Roman" w:eastAsia="Times New Roman" w:hAnsi="Times New Roman" w:cs="Times New Roman"/>
                <w:i/>
                <w:color w:val="000000"/>
                <w:lang w:val="en-US"/>
              </w:rPr>
              <w:t>Q19.6 I am confident that the data within my organization is up to date.</w:t>
            </w:r>
          </w:p>
        </w:tc>
      </w:tr>
      <w:tr w:rsidR="003F11A8" w:rsidRPr="00DD0F31" w14:paraId="5C8A561F" w14:textId="77777777" w:rsidTr="006A5525">
        <w:trPr>
          <w:trHeight w:val="20"/>
        </w:trPr>
        <w:tc>
          <w:tcPr>
            <w:tcW w:w="1129" w:type="dxa"/>
          </w:tcPr>
          <w:p w14:paraId="47679C58" w14:textId="77777777" w:rsidR="003F11A8" w:rsidRPr="00DD0F31" w:rsidRDefault="003F11A8" w:rsidP="00DD0F31">
            <w:pPr>
              <w:spacing w:line="480" w:lineRule="auto"/>
              <w:jc w:val="both"/>
              <w:rPr>
                <w:rFonts w:ascii="Times New Roman" w:eastAsia="Times New Roman" w:hAnsi="Times New Roman" w:cs="Times New Roman"/>
                <w:lang w:val="en-US"/>
              </w:rPr>
            </w:pPr>
            <w:r w:rsidRPr="00DD0F31">
              <w:rPr>
                <w:rFonts w:ascii="Times New Roman" w:eastAsia="Times New Roman" w:hAnsi="Times New Roman" w:cs="Times New Roman"/>
                <w:color w:val="000000"/>
                <w:lang w:val="en-US"/>
              </w:rPr>
              <w:t>5</w:t>
            </w:r>
          </w:p>
        </w:tc>
        <w:tc>
          <w:tcPr>
            <w:tcW w:w="3828" w:type="dxa"/>
          </w:tcPr>
          <w:p w14:paraId="6CE5C311" w14:textId="77777777" w:rsidR="003F11A8" w:rsidRPr="00DD0F31" w:rsidRDefault="003F11A8" w:rsidP="00A60CB9">
            <w:pPr>
              <w:spacing w:line="480" w:lineRule="auto"/>
              <w:rPr>
                <w:rFonts w:ascii="Times New Roman" w:eastAsia="Times New Roman" w:hAnsi="Times New Roman" w:cs="Times New Roman"/>
                <w:lang w:val="en-US"/>
              </w:rPr>
            </w:pPr>
            <w:r w:rsidRPr="00DD0F31">
              <w:rPr>
                <w:rFonts w:ascii="Times New Roman" w:eastAsia="Times New Roman" w:hAnsi="Times New Roman" w:cs="Times New Roman"/>
                <w:color w:val="000000"/>
                <w:lang w:val="en-US"/>
              </w:rPr>
              <w:t>We are constantly reviewing how to better exploit external knowledge.</w:t>
            </w:r>
          </w:p>
        </w:tc>
        <w:tc>
          <w:tcPr>
            <w:tcW w:w="4059" w:type="dxa"/>
          </w:tcPr>
          <w:p w14:paraId="457960FB" w14:textId="77777777" w:rsidR="003F11A8" w:rsidRPr="00DD0F31" w:rsidRDefault="003F11A8" w:rsidP="00A60CB9">
            <w:pPr>
              <w:spacing w:line="480" w:lineRule="auto"/>
              <w:rPr>
                <w:rFonts w:ascii="Times New Roman" w:eastAsia="Times New Roman" w:hAnsi="Times New Roman" w:cs="Times New Roman"/>
                <w:lang w:val="en-US"/>
              </w:rPr>
            </w:pPr>
            <w:r w:rsidRPr="00DD0F31">
              <w:rPr>
                <w:rFonts w:ascii="Times New Roman" w:eastAsia="Times New Roman" w:hAnsi="Times New Roman" w:cs="Times New Roman"/>
                <w:i/>
                <w:color w:val="000000"/>
                <w:lang w:val="en-US"/>
              </w:rPr>
              <w:t>Q19.4 When it comes to data, my organization has the means and opportunities to implement new developments quickly.</w:t>
            </w:r>
          </w:p>
        </w:tc>
      </w:tr>
    </w:tbl>
    <w:p w14:paraId="4216D467" w14:textId="77777777" w:rsidR="003F11A8" w:rsidRPr="00F5536A" w:rsidRDefault="003F11A8" w:rsidP="00DD0F31">
      <w:pPr>
        <w:spacing w:line="480" w:lineRule="auto"/>
        <w:jc w:val="both"/>
        <w:rPr>
          <w:rStyle w:val="Heading4Char"/>
          <w:b/>
          <w:bCs/>
          <w:i/>
          <w:iCs w:val="0"/>
          <w:kern w:val="2"/>
          <w:lang w:val="en-US" w:eastAsia="en-US"/>
          <w14:ligatures w14:val="standardContextual"/>
        </w:rPr>
      </w:pPr>
    </w:p>
    <w:p w14:paraId="00DF57E7" w14:textId="77777777" w:rsidR="003F11A8" w:rsidRPr="00DD0F31" w:rsidRDefault="003F11A8" w:rsidP="00DD0F31">
      <w:pPr>
        <w:spacing w:line="480" w:lineRule="auto"/>
        <w:jc w:val="both"/>
        <w:rPr>
          <w:rFonts w:ascii="Times New Roman" w:hAnsi="Times New Roman" w:cs="Times New Roman"/>
          <w:sz w:val="24"/>
          <w:szCs w:val="24"/>
          <w:lang w:val="en-US"/>
        </w:rPr>
      </w:pPr>
      <w:r w:rsidRPr="00F5536A">
        <w:rPr>
          <w:rStyle w:val="Heading4Char"/>
          <w:b/>
          <w:bCs/>
          <w:kern w:val="2"/>
          <w:lang w:val="en-US" w:eastAsia="en-US"/>
          <w14:ligatures w14:val="standardContextual"/>
        </w:rPr>
        <w:t xml:space="preserve">3.3.1 Principal Component Analysis </w:t>
      </w:r>
      <w:r w:rsidRPr="00DD0F31">
        <w:rPr>
          <w:rFonts w:ascii="Times New Roman" w:hAnsi="Times New Roman" w:cs="Times New Roman"/>
          <w:b/>
          <w:bCs/>
          <w:i/>
          <w:sz w:val="24"/>
          <w:szCs w:val="24"/>
          <w:lang w:val="en-US"/>
        </w:rPr>
        <w:t xml:space="preserve"> </w:t>
      </w:r>
    </w:p>
    <w:p w14:paraId="133BDC4A" w14:textId="593D0E69" w:rsidR="003F11A8" w:rsidRPr="00DD0F31" w:rsidRDefault="002F6CDB" w:rsidP="00DD0F31">
      <w:pPr>
        <w:spacing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Our next step in the analysis of project completion drivers required the creation of two operational constructs with clear semantic interpretability. These two constructs were created with a principal component analysis (PCA) on the different items related to the dimensions of PAC and RAC reported in Table 2 (above). The PCA provides insights into the importance of the original variables in explaining the overall variability in the data (Rabe-Hesketh and Everitt, 2007). Loadings, or coefficients, measure each variable's contribution to each principal component. Table 3 presents the PCA results. Panels A and B present the factor loading (i.e., unique variance) of PAC and RAC, respectively. A linear combination of items in a factor accounts for a portion of the total variance of a correlation matrix, as indicated by the eigenvalues.</w:t>
      </w:r>
    </w:p>
    <w:p w14:paraId="7A7EAC2B" w14:textId="77777777" w:rsidR="003F11A8" w:rsidRPr="00DD0F31" w:rsidRDefault="003F11A8" w:rsidP="00DD0F31">
      <w:pPr>
        <w:spacing w:line="480" w:lineRule="auto"/>
        <w:jc w:val="both"/>
        <w:rPr>
          <w:rFonts w:ascii="Times New Roman" w:hAnsi="Times New Roman" w:cs="Times New Roman"/>
          <w:b/>
          <w:sz w:val="24"/>
          <w:szCs w:val="24"/>
          <w:lang w:val="en-US"/>
        </w:rPr>
      </w:pPr>
      <w:bookmarkStart w:id="8" w:name="_Ref149145326"/>
      <w:r w:rsidRPr="00DD0F31">
        <w:rPr>
          <w:rFonts w:ascii="Times New Roman" w:hAnsi="Times New Roman" w:cs="Times New Roman"/>
          <w:b/>
          <w:sz w:val="24"/>
          <w:szCs w:val="24"/>
          <w:lang w:val="en-US"/>
        </w:rPr>
        <w:t>Table</w:t>
      </w:r>
      <w:bookmarkEnd w:id="8"/>
      <w:r w:rsidRPr="00DD0F31">
        <w:rPr>
          <w:rFonts w:ascii="Times New Roman" w:hAnsi="Times New Roman" w:cs="Times New Roman"/>
          <w:b/>
          <w:sz w:val="24"/>
          <w:szCs w:val="24"/>
          <w:lang w:val="en-US"/>
        </w:rPr>
        <w:t xml:space="preserve"> 3. Principal Component Analysis</w:t>
      </w:r>
    </w:p>
    <w:p w14:paraId="689FD62E" w14:textId="77777777" w:rsidR="003F11A8" w:rsidRPr="00DD0F31" w:rsidRDefault="003F11A8" w:rsidP="00DD0F31">
      <w:pPr>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Panel A: PCA results on PAC.</w:t>
      </w:r>
    </w:p>
    <w:p w14:paraId="56E8A22A" w14:textId="052C836A" w:rsidR="003F11A8" w:rsidRPr="00DD0F31" w:rsidRDefault="003F11A8" w:rsidP="00DD0F31">
      <w:pPr>
        <w:widowControl w:val="0"/>
        <w:autoSpaceDE w:val="0"/>
        <w:autoSpaceDN w:val="0"/>
        <w:adjustRightInd w:val="0"/>
        <w:spacing w:line="480" w:lineRule="auto"/>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Factor analysis/correlation                        Number of obs.        250</w:t>
      </w:r>
      <w:r w:rsidRPr="00DD0F31">
        <w:rPr>
          <w:rFonts w:ascii="Times New Roman" w:hAnsi="Times New Roman" w:cs="Times New Roman"/>
          <w:sz w:val="24"/>
          <w:szCs w:val="24"/>
        </w:rPr>
        <w:br/>
      </w:r>
      <w:r w:rsidRPr="00DD0F31">
        <w:rPr>
          <w:rFonts w:ascii="Times New Roman" w:hAnsi="Times New Roman" w:cs="Times New Roman"/>
          <w:sz w:val="24"/>
          <w:szCs w:val="24"/>
          <w:lang w:val="en-US"/>
        </w:rPr>
        <w:lastRenderedPageBreak/>
        <w:t>Method: principal-component factors                      Retained factors            1</w:t>
      </w:r>
      <w:r w:rsidRPr="00DD0F31">
        <w:rPr>
          <w:rFonts w:ascii="Times New Roman" w:hAnsi="Times New Roman" w:cs="Times New Roman"/>
          <w:sz w:val="24"/>
          <w:szCs w:val="24"/>
        </w:rPr>
        <w:br/>
      </w:r>
      <w:r w:rsidRPr="00DD0F31">
        <w:rPr>
          <w:rFonts w:ascii="Times New Roman" w:hAnsi="Times New Roman" w:cs="Times New Roman"/>
          <w:sz w:val="24"/>
          <w:szCs w:val="24"/>
          <w:lang w:val="en-US"/>
        </w:rPr>
        <w:t>Rotation: (unrotated).                                                                 Number of params                       4</w:t>
      </w:r>
    </w:p>
    <w:p w14:paraId="35A1FDF9" w14:textId="77777777" w:rsidR="003F11A8" w:rsidRPr="00DD0F31" w:rsidRDefault="003F11A8" w:rsidP="00DD0F31">
      <w:pPr>
        <w:spacing w:line="480" w:lineRule="auto"/>
        <w:jc w:val="both"/>
        <w:rPr>
          <w:rFonts w:ascii="Times New Roman" w:hAnsi="Times New Roman" w:cs="Times New Roman"/>
          <w:b/>
          <w:sz w:val="24"/>
          <w:szCs w:val="24"/>
          <w:lang w:val="en-US"/>
        </w:rPr>
      </w:pPr>
    </w:p>
    <w:tbl>
      <w:tblPr>
        <w:tblW w:w="5000" w:type="pct"/>
        <w:tblLayout w:type="fixed"/>
        <w:tblLook w:val="0000" w:firstRow="0" w:lastRow="0" w:firstColumn="0" w:lastColumn="0" w:noHBand="0" w:noVBand="0"/>
      </w:tblPr>
      <w:tblGrid>
        <w:gridCol w:w="1806"/>
        <w:gridCol w:w="105"/>
        <w:gridCol w:w="1700"/>
        <w:gridCol w:w="209"/>
        <w:gridCol w:w="1596"/>
        <w:gridCol w:w="314"/>
        <w:gridCol w:w="1491"/>
        <w:gridCol w:w="1805"/>
      </w:tblGrid>
      <w:tr w:rsidR="003F11A8" w:rsidRPr="00DD0F31" w14:paraId="65E21824" w14:textId="77777777" w:rsidTr="006A5525">
        <w:trPr>
          <w:trHeight w:val="20"/>
        </w:trPr>
        <w:tc>
          <w:tcPr>
            <w:tcW w:w="5000" w:type="pct"/>
            <w:gridSpan w:val="8"/>
            <w:tcBorders>
              <w:top w:val="single" w:sz="4" w:space="0" w:color="auto"/>
              <w:left w:val="nil"/>
              <w:bottom w:val="single" w:sz="10" w:space="0" w:color="auto"/>
              <w:right w:val="nil"/>
            </w:tcBorders>
          </w:tcPr>
          <w:p w14:paraId="229915B2" w14:textId="77777777" w:rsidR="003F11A8" w:rsidRPr="00DD0F31" w:rsidRDefault="003F11A8" w:rsidP="00DD0F31">
            <w:pPr>
              <w:widowControl w:val="0"/>
              <w:autoSpaceDE w:val="0"/>
              <w:autoSpaceDN w:val="0"/>
              <w:adjustRightInd w:val="0"/>
              <w:spacing w:line="480" w:lineRule="auto"/>
              <w:contextualSpacing/>
              <w:jc w:val="both"/>
              <w:rPr>
                <w:rFonts w:ascii="Times New Roman" w:hAnsi="Times New Roman" w:cs="Times New Roman"/>
                <w:sz w:val="24"/>
                <w:szCs w:val="24"/>
                <w:lang w:val="en-US"/>
              </w:rPr>
            </w:pPr>
          </w:p>
        </w:tc>
      </w:tr>
      <w:tr w:rsidR="003F11A8" w:rsidRPr="00DD0F31" w14:paraId="0FB21DF2" w14:textId="77777777" w:rsidTr="006A5525">
        <w:trPr>
          <w:trHeight w:val="20"/>
        </w:trPr>
        <w:tc>
          <w:tcPr>
            <w:tcW w:w="1000" w:type="pct"/>
            <w:tcBorders>
              <w:top w:val="single" w:sz="4" w:space="0" w:color="auto"/>
              <w:left w:val="nil"/>
              <w:bottom w:val="single" w:sz="10" w:space="0" w:color="auto"/>
              <w:right w:val="nil"/>
            </w:tcBorders>
          </w:tcPr>
          <w:p w14:paraId="2DC50C0C" w14:textId="77777777" w:rsidR="003F11A8" w:rsidRPr="00DD0F31" w:rsidRDefault="003F11A8" w:rsidP="00DD0F31">
            <w:pPr>
              <w:widowControl w:val="0"/>
              <w:autoSpaceDE w:val="0"/>
              <w:autoSpaceDN w:val="0"/>
              <w:adjustRightInd w:val="0"/>
              <w:spacing w:line="480" w:lineRule="auto"/>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Factor  </w:t>
            </w:r>
          </w:p>
        </w:tc>
        <w:tc>
          <w:tcPr>
            <w:tcW w:w="1000" w:type="pct"/>
            <w:gridSpan w:val="2"/>
            <w:tcBorders>
              <w:top w:val="single" w:sz="4" w:space="0" w:color="auto"/>
              <w:left w:val="nil"/>
              <w:bottom w:val="single" w:sz="10" w:space="0" w:color="auto"/>
              <w:right w:val="nil"/>
            </w:tcBorders>
          </w:tcPr>
          <w:p w14:paraId="7B6C0292" w14:textId="77777777" w:rsidR="003F11A8" w:rsidRPr="00DD0F31" w:rsidRDefault="003F11A8" w:rsidP="00DD0F31">
            <w:pPr>
              <w:widowControl w:val="0"/>
              <w:autoSpaceDE w:val="0"/>
              <w:autoSpaceDN w:val="0"/>
              <w:adjustRightInd w:val="0"/>
              <w:spacing w:line="480" w:lineRule="auto"/>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Eigenvalue</w:t>
            </w:r>
          </w:p>
        </w:tc>
        <w:tc>
          <w:tcPr>
            <w:tcW w:w="1000" w:type="pct"/>
            <w:gridSpan w:val="2"/>
            <w:tcBorders>
              <w:top w:val="single" w:sz="4" w:space="0" w:color="auto"/>
              <w:left w:val="nil"/>
              <w:bottom w:val="single" w:sz="10" w:space="0" w:color="auto"/>
              <w:right w:val="nil"/>
            </w:tcBorders>
          </w:tcPr>
          <w:p w14:paraId="79AB8F8D" w14:textId="77777777" w:rsidR="003F11A8" w:rsidRPr="00DD0F31" w:rsidRDefault="003F11A8" w:rsidP="00DD0F31">
            <w:pPr>
              <w:widowControl w:val="0"/>
              <w:autoSpaceDE w:val="0"/>
              <w:autoSpaceDN w:val="0"/>
              <w:adjustRightInd w:val="0"/>
              <w:spacing w:line="480" w:lineRule="auto"/>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Difference</w:t>
            </w:r>
          </w:p>
        </w:tc>
        <w:tc>
          <w:tcPr>
            <w:tcW w:w="1000" w:type="pct"/>
            <w:gridSpan w:val="2"/>
            <w:tcBorders>
              <w:top w:val="single" w:sz="4" w:space="0" w:color="auto"/>
              <w:left w:val="nil"/>
              <w:bottom w:val="single" w:sz="10" w:space="0" w:color="auto"/>
              <w:right w:val="nil"/>
            </w:tcBorders>
          </w:tcPr>
          <w:p w14:paraId="45AEFF72" w14:textId="77777777" w:rsidR="003F11A8" w:rsidRPr="00DD0F31" w:rsidRDefault="003F11A8" w:rsidP="00DD0F31">
            <w:pPr>
              <w:widowControl w:val="0"/>
              <w:autoSpaceDE w:val="0"/>
              <w:autoSpaceDN w:val="0"/>
              <w:adjustRightInd w:val="0"/>
              <w:spacing w:line="480" w:lineRule="auto"/>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Proportion</w:t>
            </w:r>
          </w:p>
        </w:tc>
        <w:tc>
          <w:tcPr>
            <w:tcW w:w="1000" w:type="pct"/>
            <w:tcBorders>
              <w:top w:val="single" w:sz="4" w:space="0" w:color="auto"/>
              <w:left w:val="nil"/>
              <w:bottom w:val="single" w:sz="10" w:space="0" w:color="auto"/>
              <w:right w:val="nil"/>
            </w:tcBorders>
          </w:tcPr>
          <w:p w14:paraId="658A8F8E" w14:textId="77777777" w:rsidR="003F11A8" w:rsidRPr="00DD0F31" w:rsidRDefault="003F11A8" w:rsidP="00DD0F31">
            <w:pPr>
              <w:widowControl w:val="0"/>
              <w:autoSpaceDE w:val="0"/>
              <w:autoSpaceDN w:val="0"/>
              <w:adjustRightInd w:val="0"/>
              <w:spacing w:line="480" w:lineRule="auto"/>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Cumulative</w:t>
            </w:r>
          </w:p>
        </w:tc>
      </w:tr>
      <w:tr w:rsidR="003F11A8" w:rsidRPr="00DD0F31" w14:paraId="6CBBEA81" w14:textId="77777777" w:rsidTr="006A5525">
        <w:trPr>
          <w:trHeight w:val="20"/>
        </w:trPr>
        <w:tc>
          <w:tcPr>
            <w:tcW w:w="1000" w:type="pct"/>
            <w:tcBorders>
              <w:top w:val="nil"/>
              <w:left w:val="nil"/>
              <w:bottom w:val="nil"/>
              <w:right w:val="nil"/>
            </w:tcBorders>
          </w:tcPr>
          <w:p w14:paraId="3F337AD8"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Factor1  </w:t>
            </w:r>
          </w:p>
        </w:tc>
        <w:tc>
          <w:tcPr>
            <w:tcW w:w="1000" w:type="pct"/>
            <w:gridSpan w:val="2"/>
            <w:tcBorders>
              <w:top w:val="nil"/>
              <w:left w:val="nil"/>
              <w:bottom w:val="nil"/>
              <w:right w:val="nil"/>
            </w:tcBorders>
          </w:tcPr>
          <w:p w14:paraId="34FC9792"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2.356</w:t>
            </w:r>
          </w:p>
        </w:tc>
        <w:tc>
          <w:tcPr>
            <w:tcW w:w="1000" w:type="pct"/>
            <w:gridSpan w:val="2"/>
            <w:tcBorders>
              <w:top w:val="nil"/>
              <w:left w:val="nil"/>
              <w:bottom w:val="nil"/>
              <w:right w:val="nil"/>
            </w:tcBorders>
          </w:tcPr>
          <w:p w14:paraId="594F937B"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1.704</w:t>
            </w:r>
          </w:p>
        </w:tc>
        <w:tc>
          <w:tcPr>
            <w:tcW w:w="1000" w:type="pct"/>
            <w:gridSpan w:val="2"/>
            <w:tcBorders>
              <w:top w:val="nil"/>
              <w:left w:val="nil"/>
              <w:bottom w:val="nil"/>
              <w:right w:val="nil"/>
            </w:tcBorders>
          </w:tcPr>
          <w:p w14:paraId="5CD9AE8C"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0.589</w:t>
            </w:r>
          </w:p>
        </w:tc>
        <w:tc>
          <w:tcPr>
            <w:tcW w:w="1000" w:type="pct"/>
            <w:tcBorders>
              <w:top w:val="nil"/>
              <w:left w:val="nil"/>
              <w:bottom w:val="nil"/>
              <w:right w:val="nil"/>
            </w:tcBorders>
          </w:tcPr>
          <w:p w14:paraId="260A1B09"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0.589</w:t>
            </w:r>
          </w:p>
        </w:tc>
      </w:tr>
      <w:tr w:rsidR="003F11A8" w:rsidRPr="00DD0F31" w14:paraId="3D59CEB4" w14:textId="77777777" w:rsidTr="006A5525">
        <w:trPr>
          <w:trHeight w:val="20"/>
        </w:trPr>
        <w:tc>
          <w:tcPr>
            <w:tcW w:w="1000" w:type="pct"/>
            <w:tcBorders>
              <w:top w:val="nil"/>
              <w:left w:val="nil"/>
              <w:right w:val="nil"/>
            </w:tcBorders>
          </w:tcPr>
          <w:p w14:paraId="00204696"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Factor2  </w:t>
            </w:r>
          </w:p>
        </w:tc>
        <w:tc>
          <w:tcPr>
            <w:tcW w:w="1000" w:type="pct"/>
            <w:gridSpan w:val="2"/>
            <w:tcBorders>
              <w:top w:val="nil"/>
              <w:left w:val="nil"/>
              <w:right w:val="nil"/>
            </w:tcBorders>
          </w:tcPr>
          <w:p w14:paraId="7140955F"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0.651</w:t>
            </w:r>
          </w:p>
        </w:tc>
        <w:tc>
          <w:tcPr>
            <w:tcW w:w="1000" w:type="pct"/>
            <w:gridSpan w:val="2"/>
            <w:tcBorders>
              <w:top w:val="nil"/>
              <w:left w:val="nil"/>
              <w:right w:val="nil"/>
            </w:tcBorders>
          </w:tcPr>
          <w:p w14:paraId="55AF5626"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0.037</w:t>
            </w:r>
          </w:p>
        </w:tc>
        <w:tc>
          <w:tcPr>
            <w:tcW w:w="1000" w:type="pct"/>
            <w:gridSpan w:val="2"/>
            <w:tcBorders>
              <w:top w:val="nil"/>
              <w:left w:val="nil"/>
              <w:right w:val="nil"/>
            </w:tcBorders>
          </w:tcPr>
          <w:p w14:paraId="4288C29A"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0.163</w:t>
            </w:r>
          </w:p>
        </w:tc>
        <w:tc>
          <w:tcPr>
            <w:tcW w:w="1000" w:type="pct"/>
            <w:tcBorders>
              <w:top w:val="nil"/>
              <w:left w:val="nil"/>
              <w:right w:val="nil"/>
            </w:tcBorders>
          </w:tcPr>
          <w:p w14:paraId="139E5CC6"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0.751</w:t>
            </w:r>
          </w:p>
        </w:tc>
      </w:tr>
      <w:tr w:rsidR="003F11A8" w:rsidRPr="00DD0F31" w14:paraId="53756C32" w14:textId="77777777" w:rsidTr="006A5525">
        <w:trPr>
          <w:trHeight w:val="20"/>
        </w:trPr>
        <w:tc>
          <w:tcPr>
            <w:tcW w:w="1000" w:type="pct"/>
            <w:tcBorders>
              <w:top w:val="nil"/>
              <w:left w:val="nil"/>
              <w:bottom w:val="nil"/>
              <w:right w:val="nil"/>
            </w:tcBorders>
          </w:tcPr>
          <w:p w14:paraId="395BA0C3"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Factor3  </w:t>
            </w:r>
          </w:p>
        </w:tc>
        <w:tc>
          <w:tcPr>
            <w:tcW w:w="1000" w:type="pct"/>
            <w:gridSpan w:val="2"/>
            <w:tcBorders>
              <w:top w:val="nil"/>
              <w:left w:val="nil"/>
              <w:bottom w:val="nil"/>
              <w:right w:val="nil"/>
            </w:tcBorders>
          </w:tcPr>
          <w:p w14:paraId="0B333CB9"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0.615</w:t>
            </w:r>
          </w:p>
        </w:tc>
        <w:tc>
          <w:tcPr>
            <w:tcW w:w="1000" w:type="pct"/>
            <w:gridSpan w:val="2"/>
            <w:tcBorders>
              <w:top w:val="nil"/>
              <w:left w:val="nil"/>
              <w:bottom w:val="nil"/>
              <w:right w:val="nil"/>
            </w:tcBorders>
          </w:tcPr>
          <w:p w14:paraId="47AD3D8E"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0.237</w:t>
            </w:r>
          </w:p>
        </w:tc>
        <w:tc>
          <w:tcPr>
            <w:tcW w:w="1000" w:type="pct"/>
            <w:gridSpan w:val="2"/>
            <w:tcBorders>
              <w:top w:val="nil"/>
              <w:left w:val="nil"/>
              <w:bottom w:val="nil"/>
              <w:right w:val="nil"/>
            </w:tcBorders>
          </w:tcPr>
          <w:p w14:paraId="5C1F3AD7"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0.157</w:t>
            </w:r>
          </w:p>
        </w:tc>
        <w:tc>
          <w:tcPr>
            <w:tcW w:w="1000" w:type="pct"/>
            <w:tcBorders>
              <w:top w:val="nil"/>
              <w:left w:val="nil"/>
              <w:bottom w:val="nil"/>
              <w:right w:val="nil"/>
            </w:tcBorders>
          </w:tcPr>
          <w:p w14:paraId="3521242C"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0.906</w:t>
            </w:r>
          </w:p>
        </w:tc>
      </w:tr>
      <w:tr w:rsidR="003F11A8" w:rsidRPr="00DD0F31" w14:paraId="0BEED508" w14:textId="77777777" w:rsidTr="006A5525">
        <w:trPr>
          <w:trHeight w:val="20"/>
        </w:trPr>
        <w:tc>
          <w:tcPr>
            <w:tcW w:w="1000" w:type="pct"/>
            <w:tcBorders>
              <w:top w:val="nil"/>
              <w:left w:val="nil"/>
              <w:bottom w:val="single" w:sz="4" w:space="0" w:color="auto"/>
              <w:right w:val="nil"/>
            </w:tcBorders>
          </w:tcPr>
          <w:p w14:paraId="5AC4AD8D"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Factor4  </w:t>
            </w:r>
          </w:p>
        </w:tc>
        <w:tc>
          <w:tcPr>
            <w:tcW w:w="1000" w:type="pct"/>
            <w:gridSpan w:val="2"/>
            <w:tcBorders>
              <w:top w:val="nil"/>
              <w:left w:val="nil"/>
              <w:bottom w:val="single" w:sz="4" w:space="0" w:color="auto"/>
              <w:right w:val="nil"/>
            </w:tcBorders>
          </w:tcPr>
          <w:p w14:paraId="4642EFEF"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0.378</w:t>
            </w:r>
          </w:p>
        </w:tc>
        <w:tc>
          <w:tcPr>
            <w:tcW w:w="1000" w:type="pct"/>
            <w:gridSpan w:val="2"/>
            <w:tcBorders>
              <w:top w:val="nil"/>
              <w:left w:val="nil"/>
              <w:bottom w:val="single" w:sz="4" w:space="0" w:color="auto"/>
              <w:right w:val="nil"/>
            </w:tcBorders>
          </w:tcPr>
          <w:p w14:paraId="10FB8B61"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p>
        </w:tc>
        <w:tc>
          <w:tcPr>
            <w:tcW w:w="1000" w:type="pct"/>
            <w:gridSpan w:val="2"/>
            <w:tcBorders>
              <w:top w:val="nil"/>
              <w:left w:val="nil"/>
              <w:bottom w:val="single" w:sz="4" w:space="0" w:color="auto"/>
              <w:right w:val="nil"/>
            </w:tcBorders>
          </w:tcPr>
          <w:p w14:paraId="1D1EBCC4"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0.095</w:t>
            </w:r>
          </w:p>
        </w:tc>
        <w:tc>
          <w:tcPr>
            <w:tcW w:w="1000" w:type="pct"/>
            <w:tcBorders>
              <w:top w:val="nil"/>
              <w:left w:val="nil"/>
              <w:bottom w:val="single" w:sz="4" w:space="0" w:color="auto"/>
              <w:right w:val="nil"/>
            </w:tcBorders>
          </w:tcPr>
          <w:p w14:paraId="3F3C6B58"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1.000</w:t>
            </w:r>
          </w:p>
        </w:tc>
      </w:tr>
      <w:tr w:rsidR="003F11A8" w:rsidRPr="00DD0F31" w14:paraId="1B1DF745" w14:textId="77777777" w:rsidTr="006A5525">
        <w:trPr>
          <w:trHeight w:val="20"/>
        </w:trPr>
        <w:tc>
          <w:tcPr>
            <w:tcW w:w="5000" w:type="pct"/>
            <w:gridSpan w:val="8"/>
            <w:tcBorders>
              <w:top w:val="single" w:sz="4" w:space="0" w:color="auto"/>
              <w:left w:val="nil"/>
              <w:bottom w:val="single" w:sz="4" w:space="0" w:color="auto"/>
            </w:tcBorders>
          </w:tcPr>
          <w:p w14:paraId="646F4103"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LR test: independent vs. saturated:  chi2(6) = 279.12 Prob&gt;</w:t>
            </w:r>
            <w:r w:rsidRPr="00DD0F31">
              <w:rPr>
                <w:rFonts w:ascii="Times New Roman" w:hAnsi="Times New Roman" w:cs="Times New Roman"/>
                <w:i/>
                <w:sz w:val="24"/>
                <w:szCs w:val="24"/>
                <w:lang w:val="en-US"/>
              </w:rPr>
              <w:t>chi2</w:t>
            </w:r>
            <w:r w:rsidRPr="00DD0F31">
              <w:rPr>
                <w:rFonts w:ascii="Times New Roman" w:hAnsi="Times New Roman" w:cs="Times New Roman"/>
                <w:sz w:val="24"/>
                <w:szCs w:val="24"/>
                <w:lang w:val="en-US"/>
              </w:rPr>
              <w:t xml:space="preserve"> = 0.0000</w:t>
            </w:r>
          </w:p>
        </w:tc>
      </w:tr>
      <w:tr w:rsidR="003F11A8" w:rsidRPr="00DD0F31" w14:paraId="118D8F48" w14:textId="77777777" w:rsidTr="006A5525">
        <w:trPr>
          <w:trHeight w:val="20"/>
        </w:trPr>
        <w:tc>
          <w:tcPr>
            <w:tcW w:w="5000" w:type="pct"/>
            <w:gridSpan w:val="8"/>
            <w:tcBorders>
              <w:top w:val="nil"/>
              <w:left w:val="nil"/>
              <w:bottom w:val="single" w:sz="4" w:space="0" w:color="auto"/>
            </w:tcBorders>
          </w:tcPr>
          <w:p w14:paraId="67A3CA1C"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b/>
                <w:sz w:val="24"/>
                <w:szCs w:val="24"/>
                <w:lang w:val="en-US"/>
              </w:rPr>
            </w:pPr>
            <w:r w:rsidRPr="00DD0F31">
              <w:rPr>
                <w:rFonts w:ascii="Times New Roman" w:hAnsi="Times New Roman" w:cs="Times New Roman"/>
                <w:b/>
                <w:sz w:val="24"/>
                <w:szCs w:val="24"/>
                <w:lang w:val="en-US"/>
              </w:rPr>
              <w:t>Factor loadings (pattern matrix) and unique variances</w:t>
            </w:r>
          </w:p>
        </w:tc>
      </w:tr>
      <w:tr w:rsidR="003F11A8" w:rsidRPr="00DD0F31" w14:paraId="64E6BBED" w14:textId="77777777" w:rsidTr="006A5525">
        <w:trPr>
          <w:gridAfter w:val="2"/>
          <w:wAfter w:w="1826" w:type="pct"/>
          <w:trHeight w:val="20"/>
        </w:trPr>
        <w:tc>
          <w:tcPr>
            <w:tcW w:w="1058" w:type="pct"/>
            <w:gridSpan w:val="2"/>
            <w:tcBorders>
              <w:top w:val="single" w:sz="4" w:space="0" w:color="auto"/>
              <w:left w:val="nil"/>
              <w:bottom w:val="single" w:sz="10" w:space="0" w:color="auto"/>
              <w:right w:val="nil"/>
            </w:tcBorders>
          </w:tcPr>
          <w:p w14:paraId="7EBE8156"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Variable </w:t>
            </w:r>
          </w:p>
        </w:tc>
        <w:tc>
          <w:tcPr>
            <w:tcW w:w="1058" w:type="pct"/>
            <w:gridSpan w:val="2"/>
            <w:tcBorders>
              <w:top w:val="single" w:sz="4" w:space="0" w:color="auto"/>
              <w:left w:val="nil"/>
              <w:bottom w:val="single" w:sz="10" w:space="0" w:color="auto"/>
              <w:right w:val="nil"/>
            </w:tcBorders>
          </w:tcPr>
          <w:p w14:paraId="6D74CBAE"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Factor 1</w:t>
            </w:r>
          </w:p>
        </w:tc>
        <w:tc>
          <w:tcPr>
            <w:tcW w:w="1058" w:type="pct"/>
            <w:gridSpan w:val="2"/>
            <w:tcBorders>
              <w:top w:val="single" w:sz="4" w:space="0" w:color="auto"/>
              <w:left w:val="nil"/>
              <w:bottom w:val="single" w:sz="10" w:space="0" w:color="auto"/>
              <w:right w:val="nil"/>
            </w:tcBorders>
          </w:tcPr>
          <w:p w14:paraId="34B6D3C3"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Uniqueness</w:t>
            </w:r>
          </w:p>
        </w:tc>
      </w:tr>
      <w:tr w:rsidR="003F11A8" w:rsidRPr="00DD0F31" w14:paraId="79003BD2" w14:textId="77777777" w:rsidTr="006A5525">
        <w:trPr>
          <w:gridAfter w:val="2"/>
          <w:wAfter w:w="1826" w:type="pct"/>
          <w:trHeight w:val="20"/>
        </w:trPr>
        <w:tc>
          <w:tcPr>
            <w:tcW w:w="1058" w:type="pct"/>
            <w:gridSpan w:val="2"/>
            <w:tcBorders>
              <w:top w:val="nil"/>
              <w:left w:val="nil"/>
              <w:bottom w:val="nil"/>
              <w:right w:val="nil"/>
            </w:tcBorders>
          </w:tcPr>
          <w:p w14:paraId="02C45602"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Q19.1 </w:t>
            </w:r>
          </w:p>
        </w:tc>
        <w:tc>
          <w:tcPr>
            <w:tcW w:w="1058" w:type="pct"/>
            <w:gridSpan w:val="2"/>
            <w:tcBorders>
              <w:top w:val="nil"/>
              <w:left w:val="nil"/>
              <w:bottom w:val="nil"/>
              <w:right w:val="nil"/>
            </w:tcBorders>
          </w:tcPr>
          <w:p w14:paraId="41243536"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0.806</w:t>
            </w:r>
          </w:p>
        </w:tc>
        <w:tc>
          <w:tcPr>
            <w:tcW w:w="1058" w:type="pct"/>
            <w:gridSpan w:val="2"/>
            <w:tcBorders>
              <w:top w:val="nil"/>
              <w:left w:val="nil"/>
              <w:bottom w:val="nil"/>
              <w:right w:val="nil"/>
            </w:tcBorders>
          </w:tcPr>
          <w:p w14:paraId="251A3216"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0.351</w:t>
            </w:r>
          </w:p>
        </w:tc>
      </w:tr>
      <w:tr w:rsidR="003F11A8" w:rsidRPr="00DD0F31" w14:paraId="6B59F8F5" w14:textId="77777777" w:rsidTr="006A5525">
        <w:trPr>
          <w:gridAfter w:val="2"/>
          <w:wAfter w:w="1826" w:type="pct"/>
          <w:trHeight w:val="20"/>
        </w:trPr>
        <w:tc>
          <w:tcPr>
            <w:tcW w:w="1058" w:type="pct"/>
            <w:gridSpan w:val="2"/>
            <w:tcBorders>
              <w:top w:val="nil"/>
              <w:left w:val="nil"/>
              <w:bottom w:val="nil"/>
              <w:right w:val="nil"/>
            </w:tcBorders>
          </w:tcPr>
          <w:p w14:paraId="1903F295"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Q19.3 </w:t>
            </w:r>
          </w:p>
        </w:tc>
        <w:tc>
          <w:tcPr>
            <w:tcW w:w="1058" w:type="pct"/>
            <w:gridSpan w:val="2"/>
            <w:tcBorders>
              <w:top w:val="nil"/>
              <w:left w:val="nil"/>
              <w:bottom w:val="nil"/>
              <w:right w:val="nil"/>
            </w:tcBorders>
          </w:tcPr>
          <w:p w14:paraId="477E0B61"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0.832</w:t>
            </w:r>
          </w:p>
        </w:tc>
        <w:tc>
          <w:tcPr>
            <w:tcW w:w="1058" w:type="pct"/>
            <w:gridSpan w:val="2"/>
            <w:tcBorders>
              <w:top w:val="nil"/>
              <w:left w:val="nil"/>
              <w:bottom w:val="nil"/>
              <w:right w:val="nil"/>
            </w:tcBorders>
          </w:tcPr>
          <w:p w14:paraId="49876C7E"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0.310</w:t>
            </w:r>
          </w:p>
        </w:tc>
      </w:tr>
      <w:tr w:rsidR="003F11A8" w:rsidRPr="00DD0F31" w14:paraId="68D9A562" w14:textId="77777777" w:rsidTr="006A5525">
        <w:trPr>
          <w:gridAfter w:val="2"/>
          <w:wAfter w:w="1826" w:type="pct"/>
          <w:trHeight w:val="20"/>
        </w:trPr>
        <w:tc>
          <w:tcPr>
            <w:tcW w:w="1058" w:type="pct"/>
            <w:gridSpan w:val="2"/>
            <w:tcBorders>
              <w:top w:val="nil"/>
              <w:left w:val="nil"/>
              <w:bottom w:val="nil"/>
              <w:right w:val="nil"/>
            </w:tcBorders>
          </w:tcPr>
          <w:p w14:paraId="75B0D160"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Q20.1 </w:t>
            </w:r>
          </w:p>
        </w:tc>
        <w:tc>
          <w:tcPr>
            <w:tcW w:w="1058" w:type="pct"/>
            <w:gridSpan w:val="2"/>
            <w:tcBorders>
              <w:top w:val="nil"/>
              <w:left w:val="nil"/>
              <w:bottom w:val="nil"/>
              <w:right w:val="nil"/>
            </w:tcBorders>
          </w:tcPr>
          <w:p w14:paraId="1B5D522E"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0.713</w:t>
            </w:r>
          </w:p>
        </w:tc>
        <w:tc>
          <w:tcPr>
            <w:tcW w:w="1058" w:type="pct"/>
            <w:gridSpan w:val="2"/>
            <w:tcBorders>
              <w:top w:val="nil"/>
              <w:left w:val="nil"/>
              <w:bottom w:val="nil"/>
              <w:right w:val="nil"/>
            </w:tcBorders>
          </w:tcPr>
          <w:p w14:paraId="66265D64"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0.491</w:t>
            </w:r>
          </w:p>
        </w:tc>
      </w:tr>
      <w:tr w:rsidR="003F11A8" w:rsidRPr="00DD0F31" w14:paraId="720F6CEE" w14:textId="77777777" w:rsidTr="006A5525">
        <w:trPr>
          <w:gridAfter w:val="2"/>
          <w:wAfter w:w="1826" w:type="pct"/>
          <w:trHeight w:val="20"/>
        </w:trPr>
        <w:tc>
          <w:tcPr>
            <w:tcW w:w="1058" w:type="pct"/>
            <w:gridSpan w:val="2"/>
            <w:tcBorders>
              <w:top w:val="nil"/>
              <w:left w:val="nil"/>
              <w:bottom w:val="single" w:sz="4" w:space="0" w:color="auto"/>
              <w:right w:val="nil"/>
            </w:tcBorders>
          </w:tcPr>
          <w:p w14:paraId="00AA9B90"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Q20.4 </w:t>
            </w:r>
          </w:p>
        </w:tc>
        <w:tc>
          <w:tcPr>
            <w:tcW w:w="1058" w:type="pct"/>
            <w:gridSpan w:val="2"/>
            <w:tcBorders>
              <w:top w:val="nil"/>
              <w:left w:val="nil"/>
              <w:bottom w:val="single" w:sz="4" w:space="0" w:color="auto"/>
              <w:right w:val="nil"/>
            </w:tcBorders>
          </w:tcPr>
          <w:p w14:paraId="2C1E9990"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0.711</w:t>
            </w:r>
          </w:p>
        </w:tc>
        <w:tc>
          <w:tcPr>
            <w:tcW w:w="1058" w:type="pct"/>
            <w:gridSpan w:val="2"/>
            <w:tcBorders>
              <w:top w:val="nil"/>
              <w:left w:val="nil"/>
              <w:bottom w:val="single" w:sz="4" w:space="0" w:color="auto"/>
              <w:right w:val="nil"/>
            </w:tcBorders>
          </w:tcPr>
          <w:p w14:paraId="2CF5F046" w14:textId="77777777" w:rsidR="003F11A8" w:rsidRPr="00DD0F31" w:rsidRDefault="003F11A8" w:rsidP="00DD0F31">
            <w:pPr>
              <w:widowControl w:val="0"/>
              <w:autoSpaceDE w:val="0"/>
              <w:autoSpaceDN w:val="0"/>
              <w:adjustRightInd w:val="0"/>
              <w:spacing w:line="480" w:lineRule="auto"/>
              <w:ind w:firstLine="340"/>
              <w:contextualSpacing/>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0.494</w:t>
            </w:r>
          </w:p>
        </w:tc>
      </w:tr>
    </w:tbl>
    <w:p w14:paraId="54D2D132" w14:textId="77777777" w:rsidR="003F11A8" w:rsidRPr="00DD0F31" w:rsidRDefault="003F11A8" w:rsidP="00DD0F31">
      <w:pPr>
        <w:pStyle w:val="NormalWeb"/>
        <w:shd w:val="clear" w:color="auto" w:fill="FFFFFF" w:themeFill="background1"/>
        <w:spacing w:before="0" w:beforeAutospacing="0" w:line="480" w:lineRule="auto"/>
        <w:jc w:val="both"/>
        <w:rPr>
          <w:rFonts w:ascii="Times New Roman" w:hAnsi="Times New Roman" w:cs="Times New Roman"/>
          <w:sz w:val="24"/>
          <w:szCs w:val="24"/>
          <w:lang w:val="en-US"/>
        </w:rPr>
      </w:pPr>
    </w:p>
    <w:p w14:paraId="36B04E98" w14:textId="77777777" w:rsidR="003F11A8" w:rsidRPr="00DD0F31" w:rsidRDefault="003F11A8" w:rsidP="00DD0F31">
      <w:pPr>
        <w:pStyle w:val="NormalWeb"/>
        <w:pBdr>
          <w:top w:val="single" w:sz="4" w:space="1" w:color="auto"/>
        </w:pBdr>
        <w:shd w:val="clear" w:color="auto" w:fill="FFFFFF" w:themeFill="background1"/>
        <w:spacing w:before="0" w:beforeAutospacing="0"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Panel B:</w:t>
      </w:r>
      <w:r w:rsidRPr="00DD0F31">
        <w:rPr>
          <w:rFonts w:ascii="Times New Roman" w:hAnsi="Times New Roman" w:cs="Times New Roman"/>
          <w:b/>
          <w:sz w:val="24"/>
          <w:szCs w:val="24"/>
          <w:lang w:val="en-US"/>
        </w:rPr>
        <w:t xml:space="preserve"> </w:t>
      </w:r>
      <w:r w:rsidRPr="00DD0F31">
        <w:rPr>
          <w:rFonts w:ascii="Times New Roman" w:hAnsi="Times New Roman" w:cs="Times New Roman"/>
          <w:sz w:val="24"/>
          <w:szCs w:val="24"/>
          <w:lang w:val="en-US"/>
        </w:rPr>
        <w:t>PCA results on RAC.</w:t>
      </w:r>
    </w:p>
    <w:p w14:paraId="24C3F87C" w14:textId="2A749273"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Factor analysis/correlation                                                                    Number of obs.                249</w:t>
      </w:r>
      <w:r w:rsidRPr="00DD0F31">
        <w:rPr>
          <w:rFonts w:ascii="Times New Roman" w:hAnsi="Times New Roman" w:cs="Times New Roman"/>
          <w:sz w:val="24"/>
          <w:szCs w:val="24"/>
          <w:lang w:val="en-US"/>
        </w:rPr>
        <w:br/>
        <w:t>Method: principal-component factors                                                   Retained factors                   1</w:t>
      </w:r>
      <w:r w:rsidRPr="00DD0F31">
        <w:rPr>
          <w:rFonts w:ascii="Times New Roman" w:hAnsi="Times New Roman" w:cs="Times New Roman"/>
          <w:sz w:val="24"/>
          <w:szCs w:val="24"/>
          <w:lang w:val="en-US"/>
        </w:rPr>
        <w:br/>
        <w:t xml:space="preserve">Rotation: (unrotated)                        </w:t>
      </w:r>
      <w:r w:rsidRPr="00DD0F31">
        <w:rPr>
          <w:rFonts w:ascii="Times New Roman" w:hAnsi="Times New Roman" w:cs="Times New Roman"/>
          <w:sz w:val="24"/>
          <w:szCs w:val="24"/>
          <w:lang w:val="en-US"/>
        </w:rPr>
        <w:tab/>
        <w:t xml:space="preserve">                                             Number of params                5</w:t>
      </w:r>
      <w:r w:rsidRPr="00DD0F31">
        <w:rPr>
          <w:rFonts w:ascii="Times New Roman" w:hAnsi="Times New Roman" w:cs="Times New Roman"/>
          <w:sz w:val="24"/>
          <w:szCs w:val="24"/>
          <w:lang w:val="en-US"/>
        </w:rPr>
        <w:br/>
      </w:r>
    </w:p>
    <w:tbl>
      <w:tblPr>
        <w:tblW w:w="0" w:type="auto"/>
        <w:tblLayout w:type="fixed"/>
        <w:tblLook w:val="0000" w:firstRow="0" w:lastRow="0" w:firstColumn="0" w:lastColumn="0" w:noHBand="0" w:noVBand="0"/>
      </w:tblPr>
      <w:tblGrid>
        <w:gridCol w:w="2108"/>
        <w:gridCol w:w="900"/>
        <w:gridCol w:w="700"/>
        <w:gridCol w:w="1600"/>
        <w:gridCol w:w="200"/>
        <w:gridCol w:w="1400"/>
        <w:gridCol w:w="1100"/>
        <w:gridCol w:w="500"/>
      </w:tblGrid>
      <w:tr w:rsidR="003F11A8" w:rsidRPr="00DD0F31" w14:paraId="6D079BA5" w14:textId="77777777" w:rsidTr="006A5525">
        <w:tc>
          <w:tcPr>
            <w:tcW w:w="2108" w:type="dxa"/>
            <w:tcBorders>
              <w:top w:val="single" w:sz="4" w:space="0" w:color="auto"/>
              <w:left w:val="nil"/>
              <w:bottom w:val="single" w:sz="10" w:space="0" w:color="auto"/>
              <w:right w:val="nil"/>
            </w:tcBorders>
          </w:tcPr>
          <w:p w14:paraId="0D2069AB"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Factor  </w:t>
            </w:r>
          </w:p>
        </w:tc>
        <w:tc>
          <w:tcPr>
            <w:tcW w:w="1600" w:type="dxa"/>
            <w:gridSpan w:val="2"/>
            <w:tcBorders>
              <w:top w:val="single" w:sz="4" w:space="0" w:color="auto"/>
              <w:left w:val="nil"/>
              <w:bottom w:val="single" w:sz="10" w:space="0" w:color="auto"/>
              <w:right w:val="nil"/>
            </w:tcBorders>
          </w:tcPr>
          <w:p w14:paraId="2F827693"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Eigenvalue</w:t>
            </w:r>
          </w:p>
        </w:tc>
        <w:tc>
          <w:tcPr>
            <w:tcW w:w="1600" w:type="dxa"/>
            <w:tcBorders>
              <w:top w:val="single" w:sz="4" w:space="0" w:color="auto"/>
              <w:left w:val="nil"/>
              <w:bottom w:val="single" w:sz="10" w:space="0" w:color="auto"/>
              <w:right w:val="nil"/>
            </w:tcBorders>
          </w:tcPr>
          <w:p w14:paraId="3B0BBABF"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Difference</w:t>
            </w:r>
          </w:p>
        </w:tc>
        <w:tc>
          <w:tcPr>
            <w:tcW w:w="1600" w:type="dxa"/>
            <w:gridSpan w:val="2"/>
            <w:tcBorders>
              <w:top w:val="single" w:sz="4" w:space="0" w:color="auto"/>
              <w:left w:val="nil"/>
              <w:bottom w:val="single" w:sz="10" w:space="0" w:color="auto"/>
              <w:right w:val="nil"/>
            </w:tcBorders>
          </w:tcPr>
          <w:p w14:paraId="4C0806F4"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Proportion</w:t>
            </w:r>
          </w:p>
        </w:tc>
        <w:tc>
          <w:tcPr>
            <w:tcW w:w="1600" w:type="dxa"/>
            <w:gridSpan w:val="2"/>
            <w:tcBorders>
              <w:top w:val="single" w:sz="4" w:space="0" w:color="auto"/>
              <w:left w:val="nil"/>
              <w:bottom w:val="single" w:sz="10" w:space="0" w:color="auto"/>
              <w:right w:val="nil"/>
            </w:tcBorders>
          </w:tcPr>
          <w:p w14:paraId="6AFFA91D"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Cumulative</w:t>
            </w:r>
          </w:p>
        </w:tc>
      </w:tr>
      <w:tr w:rsidR="003F11A8" w:rsidRPr="00DD0F31" w14:paraId="0FAE70CC" w14:textId="77777777" w:rsidTr="006A5525">
        <w:tc>
          <w:tcPr>
            <w:tcW w:w="2108" w:type="dxa"/>
            <w:tcBorders>
              <w:top w:val="nil"/>
              <w:left w:val="nil"/>
              <w:bottom w:val="nil"/>
              <w:right w:val="nil"/>
            </w:tcBorders>
          </w:tcPr>
          <w:p w14:paraId="57EAE82D"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lastRenderedPageBreak/>
              <w:t xml:space="preserve">Factor1  </w:t>
            </w:r>
          </w:p>
        </w:tc>
        <w:tc>
          <w:tcPr>
            <w:tcW w:w="1600" w:type="dxa"/>
            <w:gridSpan w:val="2"/>
            <w:tcBorders>
              <w:top w:val="nil"/>
              <w:left w:val="nil"/>
              <w:bottom w:val="nil"/>
              <w:right w:val="nil"/>
            </w:tcBorders>
          </w:tcPr>
          <w:p w14:paraId="69D9DB17"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2.405</w:t>
            </w:r>
          </w:p>
        </w:tc>
        <w:tc>
          <w:tcPr>
            <w:tcW w:w="1600" w:type="dxa"/>
            <w:tcBorders>
              <w:top w:val="nil"/>
              <w:left w:val="nil"/>
              <w:bottom w:val="nil"/>
              <w:right w:val="nil"/>
            </w:tcBorders>
          </w:tcPr>
          <w:p w14:paraId="65B6EBE7"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1.477</w:t>
            </w:r>
          </w:p>
        </w:tc>
        <w:tc>
          <w:tcPr>
            <w:tcW w:w="1600" w:type="dxa"/>
            <w:gridSpan w:val="2"/>
            <w:tcBorders>
              <w:top w:val="nil"/>
              <w:left w:val="nil"/>
              <w:bottom w:val="nil"/>
              <w:right w:val="nil"/>
            </w:tcBorders>
          </w:tcPr>
          <w:p w14:paraId="3584E1FF"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0.481</w:t>
            </w:r>
          </w:p>
        </w:tc>
        <w:tc>
          <w:tcPr>
            <w:tcW w:w="1600" w:type="dxa"/>
            <w:gridSpan w:val="2"/>
            <w:tcBorders>
              <w:top w:val="nil"/>
              <w:left w:val="nil"/>
              <w:bottom w:val="nil"/>
              <w:right w:val="nil"/>
            </w:tcBorders>
          </w:tcPr>
          <w:p w14:paraId="45DECEC0"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0.481</w:t>
            </w:r>
          </w:p>
        </w:tc>
      </w:tr>
      <w:tr w:rsidR="003F11A8" w:rsidRPr="00DD0F31" w14:paraId="19AA2A1C" w14:textId="77777777" w:rsidTr="006A5525">
        <w:tc>
          <w:tcPr>
            <w:tcW w:w="2108" w:type="dxa"/>
            <w:tcBorders>
              <w:top w:val="nil"/>
              <w:left w:val="nil"/>
              <w:bottom w:val="nil"/>
              <w:right w:val="nil"/>
            </w:tcBorders>
          </w:tcPr>
          <w:p w14:paraId="3229FBCE"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Factor2  </w:t>
            </w:r>
          </w:p>
        </w:tc>
        <w:tc>
          <w:tcPr>
            <w:tcW w:w="1600" w:type="dxa"/>
            <w:gridSpan w:val="2"/>
            <w:tcBorders>
              <w:top w:val="nil"/>
              <w:left w:val="nil"/>
              <w:bottom w:val="nil"/>
              <w:right w:val="nil"/>
            </w:tcBorders>
          </w:tcPr>
          <w:p w14:paraId="0FADE26F"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0.928</w:t>
            </w:r>
          </w:p>
        </w:tc>
        <w:tc>
          <w:tcPr>
            <w:tcW w:w="1600" w:type="dxa"/>
            <w:tcBorders>
              <w:top w:val="nil"/>
              <w:left w:val="nil"/>
              <w:bottom w:val="nil"/>
              <w:right w:val="nil"/>
            </w:tcBorders>
          </w:tcPr>
          <w:p w14:paraId="1CD47293"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0.308</w:t>
            </w:r>
          </w:p>
        </w:tc>
        <w:tc>
          <w:tcPr>
            <w:tcW w:w="1600" w:type="dxa"/>
            <w:gridSpan w:val="2"/>
            <w:tcBorders>
              <w:top w:val="nil"/>
              <w:left w:val="nil"/>
              <w:bottom w:val="nil"/>
              <w:right w:val="nil"/>
            </w:tcBorders>
          </w:tcPr>
          <w:p w14:paraId="1D3C385D"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0.186</w:t>
            </w:r>
          </w:p>
        </w:tc>
        <w:tc>
          <w:tcPr>
            <w:tcW w:w="1600" w:type="dxa"/>
            <w:gridSpan w:val="2"/>
            <w:tcBorders>
              <w:top w:val="nil"/>
              <w:left w:val="nil"/>
              <w:bottom w:val="nil"/>
              <w:right w:val="nil"/>
            </w:tcBorders>
          </w:tcPr>
          <w:p w14:paraId="2A4AFBC9"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0.667</w:t>
            </w:r>
          </w:p>
        </w:tc>
      </w:tr>
      <w:tr w:rsidR="003F11A8" w:rsidRPr="00DD0F31" w14:paraId="5F8E315D" w14:textId="77777777" w:rsidTr="006A5525">
        <w:tc>
          <w:tcPr>
            <w:tcW w:w="2108" w:type="dxa"/>
            <w:tcBorders>
              <w:top w:val="nil"/>
              <w:left w:val="nil"/>
              <w:bottom w:val="nil"/>
              <w:right w:val="nil"/>
            </w:tcBorders>
          </w:tcPr>
          <w:p w14:paraId="301E30B7"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Factor3  </w:t>
            </w:r>
          </w:p>
        </w:tc>
        <w:tc>
          <w:tcPr>
            <w:tcW w:w="1600" w:type="dxa"/>
            <w:gridSpan w:val="2"/>
            <w:tcBorders>
              <w:top w:val="nil"/>
              <w:left w:val="nil"/>
              <w:bottom w:val="nil"/>
              <w:right w:val="nil"/>
            </w:tcBorders>
          </w:tcPr>
          <w:p w14:paraId="113FAD55"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0.620</w:t>
            </w:r>
          </w:p>
        </w:tc>
        <w:tc>
          <w:tcPr>
            <w:tcW w:w="1600" w:type="dxa"/>
            <w:tcBorders>
              <w:top w:val="nil"/>
              <w:left w:val="nil"/>
              <w:bottom w:val="nil"/>
              <w:right w:val="nil"/>
            </w:tcBorders>
          </w:tcPr>
          <w:p w14:paraId="52E948FB"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0.041</w:t>
            </w:r>
          </w:p>
        </w:tc>
        <w:tc>
          <w:tcPr>
            <w:tcW w:w="1600" w:type="dxa"/>
            <w:gridSpan w:val="2"/>
            <w:tcBorders>
              <w:top w:val="nil"/>
              <w:left w:val="nil"/>
              <w:bottom w:val="nil"/>
              <w:right w:val="nil"/>
            </w:tcBorders>
          </w:tcPr>
          <w:p w14:paraId="5AA19A60"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0.124</w:t>
            </w:r>
          </w:p>
        </w:tc>
        <w:tc>
          <w:tcPr>
            <w:tcW w:w="1600" w:type="dxa"/>
            <w:gridSpan w:val="2"/>
            <w:tcBorders>
              <w:top w:val="nil"/>
              <w:left w:val="nil"/>
              <w:bottom w:val="nil"/>
              <w:right w:val="nil"/>
            </w:tcBorders>
          </w:tcPr>
          <w:p w14:paraId="04AC42E0"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0.791</w:t>
            </w:r>
          </w:p>
        </w:tc>
      </w:tr>
      <w:tr w:rsidR="003F11A8" w:rsidRPr="00DD0F31" w14:paraId="5A05E9D3" w14:textId="77777777" w:rsidTr="006A5525">
        <w:tc>
          <w:tcPr>
            <w:tcW w:w="2108" w:type="dxa"/>
            <w:tcBorders>
              <w:top w:val="nil"/>
              <w:left w:val="nil"/>
              <w:bottom w:val="nil"/>
              <w:right w:val="nil"/>
            </w:tcBorders>
          </w:tcPr>
          <w:p w14:paraId="6D089A25"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Factor4  </w:t>
            </w:r>
          </w:p>
        </w:tc>
        <w:tc>
          <w:tcPr>
            <w:tcW w:w="1600" w:type="dxa"/>
            <w:gridSpan w:val="2"/>
            <w:tcBorders>
              <w:top w:val="nil"/>
              <w:left w:val="nil"/>
              <w:bottom w:val="nil"/>
              <w:right w:val="nil"/>
            </w:tcBorders>
          </w:tcPr>
          <w:p w14:paraId="7E0E63B7"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0.579</w:t>
            </w:r>
          </w:p>
        </w:tc>
        <w:tc>
          <w:tcPr>
            <w:tcW w:w="1600" w:type="dxa"/>
            <w:tcBorders>
              <w:top w:val="nil"/>
              <w:left w:val="nil"/>
              <w:bottom w:val="nil"/>
              <w:right w:val="nil"/>
            </w:tcBorders>
          </w:tcPr>
          <w:p w14:paraId="09146170"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0.113</w:t>
            </w:r>
          </w:p>
        </w:tc>
        <w:tc>
          <w:tcPr>
            <w:tcW w:w="1600" w:type="dxa"/>
            <w:gridSpan w:val="2"/>
            <w:tcBorders>
              <w:top w:val="nil"/>
              <w:left w:val="nil"/>
              <w:bottom w:val="nil"/>
              <w:right w:val="nil"/>
            </w:tcBorders>
          </w:tcPr>
          <w:p w14:paraId="6DEAC633"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0.116</w:t>
            </w:r>
          </w:p>
        </w:tc>
        <w:tc>
          <w:tcPr>
            <w:tcW w:w="1600" w:type="dxa"/>
            <w:gridSpan w:val="2"/>
            <w:tcBorders>
              <w:top w:val="nil"/>
              <w:left w:val="nil"/>
              <w:bottom w:val="nil"/>
              <w:right w:val="nil"/>
            </w:tcBorders>
          </w:tcPr>
          <w:p w14:paraId="62C27B6D"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0.907</w:t>
            </w:r>
          </w:p>
        </w:tc>
      </w:tr>
      <w:tr w:rsidR="003F11A8" w:rsidRPr="00DD0F31" w14:paraId="1FA2D8D0" w14:textId="77777777" w:rsidTr="006A5525">
        <w:tc>
          <w:tcPr>
            <w:tcW w:w="2108" w:type="dxa"/>
            <w:tcBorders>
              <w:top w:val="nil"/>
              <w:left w:val="nil"/>
              <w:bottom w:val="single" w:sz="4" w:space="0" w:color="auto"/>
              <w:right w:val="nil"/>
            </w:tcBorders>
          </w:tcPr>
          <w:p w14:paraId="2FE82CB4"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Factor5  </w:t>
            </w:r>
          </w:p>
        </w:tc>
        <w:tc>
          <w:tcPr>
            <w:tcW w:w="1600" w:type="dxa"/>
            <w:gridSpan w:val="2"/>
            <w:tcBorders>
              <w:top w:val="nil"/>
              <w:left w:val="nil"/>
              <w:bottom w:val="single" w:sz="4" w:space="0" w:color="auto"/>
              <w:right w:val="nil"/>
            </w:tcBorders>
          </w:tcPr>
          <w:p w14:paraId="7907C230"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0.467</w:t>
            </w:r>
          </w:p>
        </w:tc>
        <w:tc>
          <w:tcPr>
            <w:tcW w:w="1600" w:type="dxa"/>
            <w:tcBorders>
              <w:top w:val="nil"/>
              <w:left w:val="nil"/>
              <w:bottom w:val="single" w:sz="4" w:space="0" w:color="auto"/>
              <w:right w:val="nil"/>
            </w:tcBorders>
          </w:tcPr>
          <w:p w14:paraId="39B1B29C"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w:t>
            </w:r>
          </w:p>
        </w:tc>
        <w:tc>
          <w:tcPr>
            <w:tcW w:w="1600" w:type="dxa"/>
            <w:gridSpan w:val="2"/>
            <w:tcBorders>
              <w:top w:val="nil"/>
              <w:left w:val="nil"/>
              <w:bottom w:val="single" w:sz="4" w:space="0" w:color="auto"/>
              <w:right w:val="nil"/>
            </w:tcBorders>
          </w:tcPr>
          <w:p w14:paraId="711DD838"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0.093</w:t>
            </w:r>
          </w:p>
        </w:tc>
        <w:tc>
          <w:tcPr>
            <w:tcW w:w="1600" w:type="dxa"/>
            <w:gridSpan w:val="2"/>
            <w:tcBorders>
              <w:top w:val="nil"/>
              <w:left w:val="nil"/>
              <w:bottom w:val="single" w:sz="4" w:space="0" w:color="auto"/>
              <w:right w:val="nil"/>
            </w:tcBorders>
          </w:tcPr>
          <w:p w14:paraId="20FCDC79"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1.000</w:t>
            </w:r>
          </w:p>
        </w:tc>
      </w:tr>
      <w:tr w:rsidR="003F11A8" w:rsidRPr="00DD0F31" w14:paraId="380F6DEA" w14:textId="77777777" w:rsidTr="006A5525">
        <w:tc>
          <w:tcPr>
            <w:tcW w:w="8508" w:type="dxa"/>
            <w:gridSpan w:val="8"/>
            <w:tcBorders>
              <w:top w:val="single" w:sz="4" w:space="0" w:color="auto"/>
              <w:left w:val="nil"/>
              <w:bottom w:val="single" w:sz="6" w:space="0" w:color="auto"/>
              <w:right w:val="nil"/>
            </w:tcBorders>
          </w:tcPr>
          <w:p w14:paraId="456468A5"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LR test: independent vs. saturated:  chi2(10) = 241.97 Prob&gt;chi2 = 0.0000</w:t>
            </w:r>
          </w:p>
        </w:tc>
      </w:tr>
      <w:tr w:rsidR="003F11A8" w:rsidRPr="00DD0F31" w14:paraId="516E5E72" w14:textId="77777777" w:rsidTr="006A5525">
        <w:tc>
          <w:tcPr>
            <w:tcW w:w="8508" w:type="dxa"/>
            <w:gridSpan w:val="8"/>
            <w:tcBorders>
              <w:top w:val="nil"/>
              <w:left w:val="nil"/>
              <w:bottom w:val="single" w:sz="6" w:space="0" w:color="auto"/>
              <w:right w:val="nil"/>
            </w:tcBorders>
          </w:tcPr>
          <w:p w14:paraId="42F87A08"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b/>
                <w:bCs/>
                <w:sz w:val="24"/>
                <w:szCs w:val="24"/>
                <w:lang w:val="en-US"/>
              </w:rPr>
            </w:pPr>
            <w:r w:rsidRPr="00DD0F31">
              <w:rPr>
                <w:rFonts w:ascii="Times New Roman" w:hAnsi="Times New Roman" w:cs="Times New Roman"/>
                <w:b/>
                <w:bCs/>
                <w:sz w:val="24"/>
                <w:szCs w:val="24"/>
                <w:lang w:val="en-US"/>
              </w:rPr>
              <w:t>Factor loadings (pattern matrix) and unique variances</w:t>
            </w:r>
          </w:p>
        </w:tc>
      </w:tr>
      <w:tr w:rsidR="003F11A8" w:rsidRPr="00DD0F31" w14:paraId="086B2429" w14:textId="77777777" w:rsidTr="006A5525">
        <w:trPr>
          <w:gridAfter w:val="1"/>
          <w:wAfter w:w="500" w:type="dxa"/>
        </w:trPr>
        <w:tc>
          <w:tcPr>
            <w:tcW w:w="3008" w:type="dxa"/>
            <w:gridSpan w:val="2"/>
            <w:tcBorders>
              <w:top w:val="single" w:sz="4" w:space="0" w:color="auto"/>
              <w:left w:val="nil"/>
              <w:bottom w:val="single" w:sz="10" w:space="0" w:color="auto"/>
              <w:right w:val="nil"/>
            </w:tcBorders>
          </w:tcPr>
          <w:p w14:paraId="122A1794"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Variable </w:t>
            </w:r>
          </w:p>
        </w:tc>
        <w:tc>
          <w:tcPr>
            <w:tcW w:w="2500" w:type="dxa"/>
            <w:gridSpan w:val="3"/>
            <w:tcBorders>
              <w:top w:val="single" w:sz="4" w:space="0" w:color="auto"/>
              <w:left w:val="nil"/>
              <w:bottom w:val="single" w:sz="10" w:space="0" w:color="auto"/>
              <w:right w:val="nil"/>
            </w:tcBorders>
          </w:tcPr>
          <w:p w14:paraId="73D74C46"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Factor1</w:t>
            </w:r>
          </w:p>
        </w:tc>
        <w:tc>
          <w:tcPr>
            <w:tcW w:w="2500" w:type="dxa"/>
            <w:gridSpan w:val="2"/>
            <w:tcBorders>
              <w:top w:val="single" w:sz="4" w:space="0" w:color="auto"/>
              <w:left w:val="nil"/>
              <w:bottom w:val="single" w:sz="10" w:space="0" w:color="auto"/>
              <w:right w:val="nil"/>
            </w:tcBorders>
          </w:tcPr>
          <w:p w14:paraId="25960C85"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Uniqueness</w:t>
            </w:r>
          </w:p>
        </w:tc>
      </w:tr>
      <w:tr w:rsidR="003F11A8" w:rsidRPr="00DD0F31" w14:paraId="7458EB5A" w14:textId="77777777" w:rsidTr="006A5525">
        <w:trPr>
          <w:gridAfter w:val="1"/>
          <w:wAfter w:w="500" w:type="dxa"/>
        </w:trPr>
        <w:tc>
          <w:tcPr>
            <w:tcW w:w="3008" w:type="dxa"/>
            <w:gridSpan w:val="2"/>
            <w:tcBorders>
              <w:top w:val="nil"/>
              <w:left w:val="nil"/>
              <w:bottom w:val="nil"/>
              <w:right w:val="nil"/>
            </w:tcBorders>
          </w:tcPr>
          <w:p w14:paraId="1156E435"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Q20.2</w:t>
            </w:r>
          </w:p>
        </w:tc>
        <w:tc>
          <w:tcPr>
            <w:tcW w:w="2500" w:type="dxa"/>
            <w:gridSpan w:val="3"/>
            <w:tcBorders>
              <w:top w:val="nil"/>
              <w:left w:val="nil"/>
              <w:bottom w:val="nil"/>
              <w:right w:val="nil"/>
            </w:tcBorders>
          </w:tcPr>
          <w:p w14:paraId="4D7D7848"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0.627</w:t>
            </w:r>
          </w:p>
        </w:tc>
        <w:tc>
          <w:tcPr>
            <w:tcW w:w="2500" w:type="dxa"/>
            <w:gridSpan w:val="2"/>
            <w:tcBorders>
              <w:top w:val="nil"/>
              <w:left w:val="nil"/>
              <w:bottom w:val="nil"/>
              <w:right w:val="nil"/>
            </w:tcBorders>
          </w:tcPr>
          <w:p w14:paraId="617C3061"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0.607</w:t>
            </w:r>
          </w:p>
        </w:tc>
      </w:tr>
      <w:tr w:rsidR="003F11A8" w:rsidRPr="00DD0F31" w14:paraId="6663155C" w14:textId="77777777" w:rsidTr="006A5525">
        <w:trPr>
          <w:gridAfter w:val="1"/>
          <w:wAfter w:w="500" w:type="dxa"/>
        </w:trPr>
        <w:tc>
          <w:tcPr>
            <w:tcW w:w="3008" w:type="dxa"/>
            <w:gridSpan w:val="2"/>
            <w:tcBorders>
              <w:top w:val="nil"/>
              <w:left w:val="nil"/>
              <w:bottom w:val="nil"/>
              <w:right w:val="nil"/>
            </w:tcBorders>
          </w:tcPr>
          <w:p w14:paraId="1249CE0A"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Q20.6 </w:t>
            </w:r>
          </w:p>
        </w:tc>
        <w:tc>
          <w:tcPr>
            <w:tcW w:w="2500" w:type="dxa"/>
            <w:gridSpan w:val="3"/>
            <w:tcBorders>
              <w:top w:val="nil"/>
              <w:left w:val="nil"/>
              <w:bottom w:val="nil"/>
              <w:right w:val="nil"/>
            </w:tcBorders>
          </w:tcPr>
          <w:p w14:paraId="3472104D"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0.697</w:t>
            </w:r>
          </w:p>
        </w:tc>
        <w:tc>
          <w:tcPr>
            <w:tcW w:w="2500" w:type="dxa"/>
            <w:gridSpan w:val="2"/>
            <w:tcBorders>
              <w:top w:val="nil"/>
              <w:left w:val="nil"/>
              <w:bottom w:val="nil"/>
              <w:right w:val="nil"/>
            </w:tcBorders>
          </w:tcPr>
          <w:p w14:paraId="16E83C6E"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0.514</w:t>
            </w:r>
          </w:p>
        </w:tc>
      </w:tr>
      <w:tr w:rsidR="003F11A8" w:rsidRPr="00DD0F31" w14:paraId="25B0D1D0" w14:textId="77777777" w:rsidTr="006A5525">
        <w:trPr>
          <w:gridAfter w:val="1"/>
          <w:wAfter w:w="500" w:type="dxa"/>
        </w:trPr>
        <w:tc>
          <w:tcPr>
            <w:tcW w:w="3008" w:type="dxa"/>
            <w:gridSpan w:val="2"/>
            <w:tcBorders>
              <w:top w:val="nil"/>
              <w:left w:val="nil"/>
              <w:bottom w:val="nil"/>
              <w:right w:val="nil"/>
            </w:tcBorders>
          </w:tcPr>
          <w:p w14:paraId="02375C9E"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Q19.2 </w:t>
            </w:r>
          </w:p>
        </w:tc>
        <w:tc>
          <w:tcPr>
            <w:tcW w:w="2500" w:type="dxa"/>
            <w:gridSpan w:val="3"/>
            <w:tcBorders>
              <w:top w:val="nil"/>
              <w:left w:val="nil"/>
              <w:bottom w:val="nil"/>
              <w:right w:val="nil"/>
            </w:tcBorders>
          </w:tcPr>
          <w:p w14:paraId="20E8C5FC"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0.750</w:t>
            </w:r>
          </w:p>
        </w:tc>
        <w:tc>
          <w:tcPr>
            <w:tcW w:w="2500" w:type="dxa"/>
            <w:gridSpan w:val="2"/>
            <w:tcBorders>
              <w:top w:val="nil"/>
              <w:left w:val="nil"/>
              <w:bottom w:val="nil"/>
              <w:right w:val="nil"/>
            </w:tcBorders>
          </w:tcPr>
          <w:p w14:paraId="1D000AF3"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0.437</w:t>
            </w:r>
          </w:p>
        </w:tc>
      </w:tr>
      <w:tr w:rsidR="003F11A8" w:rsidRPr="00DD0F31" w14:paraId="30D24232" w14:textId="77777777" w:rsidTr="006A5525">
        <w:trPr>
          <w:gridAfter w:val="1"/>
          <w:wAfter w:w="500" w:type="dxa"/>
        </w:trPr>
        <w:tc>
          <w:tcPr>
            <w:tcW w:w="3008" w:type="dxa"/>
            <w:gridSpan w:val="2"/>
            <w:tcBorders>
              <w:top w:val="nil"/>
              <w:left w:val="nil"/>
              <w:bottom w:val="nil"/>
              <w:right w:val="nil"/>
            </w:tcBorders>
          </w:tcPr>
          <w:p w14:paraId="0B6DE19F"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Q19.6 </w:t>
            </w:r>
          </w:p>
        </w:tc>
        <w:tc>
          <w:tcPr>
            <w:tcW w:w="2500" w:type="dxa"/>
            <w:gridSpan w:val="3"/>
            <w:tcBorders>
              <w:top w:val="nil"/>
              <w:left w:val="nil"/>
              <w:bottom w:val="nil"/>
              <w:right w:val="nil"/>
            </w:tcBorders>
          </w:tcPr>
          <w:p w14:paraId="11754810"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0.587</w:t>
            </w:r>
          </w:p>
        </w:tc>
        <w:tc>
          <w:tcPr>
            <w:tcW w:w="2500" w:type="dxa"/>
            <w:gridSpan w:val="2"/>
            <w:tcBorders>
              <w:top w:val="nil"/>
              <w:left w:val="nil"/>
              <w:bottom w:val="nil"/>
              <w:right w:val="nil"/>
            </w:tcBorders>
          </w:tcPr>
          <w:p w14:paraId="5B5A433C"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0.656</w:t>
            </w:r>
          </w:p>
        </w:tc>
      </w:tr>
      <w:tr w:rsidR="003F11A8" w:rsidRPr="00DD0F31" w14:paraId="3C8B8A15" w14:textId="77777777" w:rsidTr="006A5525">
        <w:trPr>
          <w:gridAfter w:val="1"/>
          <w:wAfter w:w="500" w:type="dxa"/>
        </w:trPr>
        <w:tc>
          <w:tcPr>
            <w:tcW w:w="3008" w:type="dxa"/>
            <w:gridSpan w:val="2"/>
            <w:tcBorders>
              <w:top w:val="nil"/>
              <w:left w:val="nil"/>
              <w:bottom w:val="nil"/>
              <w:right w:val="nil"/>
            </w:tcBorders>
          </w:tcPr>
          <w:p w14:paraId="0D423323"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Q19.4 </w:t>
            </w:r>
          </w:p>
        </w:tc>
        <w:tc>
          <w:tcPr>
            <w:tcW w:w="2500" w:type="dxa"/>
            <w:gridSpan w:val="3"/>
            <w:tcBorders>
              <w:top w:val="nil"/>
              <w:left w:val="nil"/>
              <w:bottom w:val="nil"/>
              <w:right w:val="nil"/>
            </w:tcBorders>
          </w:tcPr>
          <w:p w14:paraId="3FB07751"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0.787</w:t>
            </w:r>
          </w:p>
        </w:tc>
        <w:tc>
          <w:tcPr>
            <w:tcW w:w="2500" w:type="dxa"/>
            <w:gridSpan w:val="2"/>
            <w:tcBorders>
              <w:top w:val="nil"/>
              <w:left w:val="nil"/>
              <w:bottom w:val="nil"/>
              <w:right w:val="nil"/>
            </w:tcBorders>
          </w:tcPr>
          <w:p w14:paraId="6FDE41B4" w14:textId="77777777" w:rsidR="003F11A8" w:rsidRPr="00DD0F31" w:rsidRDefault="003F11A8" w:rsidP="00DD0F31">
            <w:pPr>
              <w:widowControl w:val="0"/>
              <w:autoSpaceDE w:val="0"/>
              <w:autoSpaceDN w:val="0"/>
              <w:adjustRightInd w:val="0"/>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    0.381</w:t>
            </w:r>
          </w:p>
        </w:tc>
      </w:tr>
    </w:tbl>
    <w:p w14:paraId="503D0C7D" w14:textId="6B0ADE7B" w:rsidR="003F11A8" w:rsidRPr="00DD0F31" w:rsidRDefault="003F11A8" w:rsidP="00DD0F31">
      <w:pPr>
        <w:pStyle w:val="NormalWeb"/>
        <w:pBdr>
          <w:top w:val="single" w:sz="4" w:space="1" w:color="auto"/>
        </w:pBdr>
        <w:shd w:val="clear" w:color="auto" w:fill="FFFFFF" w:themeFill="background1"/>
        <w:spacing w:before="0" w:beforeAutospacing="0" w:line="480" w:lineRule="auto"/>
        <w:jc w:val="both"/>
        <w:rPr>
          <w:rFonts w:ascii="Times New Roman" w:hAnsi="Times New Roman" w:cs="Times New Roman"/>
          <w:sz w:val="24"/>
          <w:szCs w:val="24"/>
          <w:highlight w:val="yellow"/>
          <w:lang w:val="en-US"/>
        </w:rPr>
      </w:pPr>
    </w:p>
    <w:p w14:paraId="1A2CCA8F" w14:textId="0686026F" w:rsidR="003F11A8" w:rsidRPr="00DD0F31" w:rsidRDefault="002F6CDB" w:rsidP="00DD0F31">
      <w:pPr>
        <w:pStyle w:val="NormalWeb"/>
        <w:shd w:val="clear" w:color="auto" w:fill="FFFFFF" w:themeFill="background1"/>
        <w:spacing w:before="0" w:beforeAutospacing="0"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Before we used PCA to get combined measures for PAC and RAC from the original variables, we checked to see if the items mapped with PAC (RAC) were sufficiently correlated to run factor analysis. The results of Bartlett’s test of sphericity (p = 0.000) indicate there are adequate intercorrelations between these items. The Kaiser Mayor Oakland test (KMO) provides an overall measure of the shared variance between pairs of variables, which further verifies the sampling adequacy. The value of KMO 0.747 (0.757) is above 0.5, indicating that these items for PAC (RAC) have adequate shared variance but do not hinder the analysis due to multicollinearity. The next stages of the estimation strategy utilized these constructs for PAC and RAC as key explanatory variables to analyze the success or failure of project completions.</w:t>
      </w:r>
    </w:p>
    <w:p w14:paraId="2B0D9AB5" w14:textId="77777777" w:rsidR="003F11A8" w:rsidRPr="009F3E00" w:rsidRDefault="003F11A8" w:rsidP="00DD0F31">
      <w:pPr>
        <w:spacing w:line="480" w:lineRule="auto"/>
        <w:jc w:val="both"/>
        <w:rPr>
          <w:rFonts w:ascii="Times New Roman" w:hAnsi="Times New Roman" w:cs="Times New Roman"/>
          <w:sz w:val="24"/>
          <w:szCs w:val="24"/>
          <w:lang w:val="en-US"/>
        </w:rPr>
      </w:pPr>
      <w:bookmarkStart w:id="9" w:name="_Toc121936248"/>
      <w:r w:rsidRPr="008D413D">
        <w:rPr>
          <w:rFonts w:ascii="Times New Roman" w:hAnsi="Times New Roman" w:cs="Times New Roman"/>
          <w:b/>
          <w:bCs/>
          <w:sz w:val="24"/>
          <w:szCs w:val="24"/>
          <w:lang w:val="en-US"/>
        </w:rPr>
        <w:t>3.3.2 Additional control variables</w:t>
      </w:r>
      <w:bookmarkEnd w:id="9"/>
    </w:p>
    <w:p w14:paraId="43F4EA2B" w14:textId="7A58BA90" w:rsidR="003F11A8" w:rsidRPr="009F3E00" w:rsidRDefault="009F3E00" w:rsidP="00DD0F31">
      <w:pPr>
        <w:spacing w:line="480" w:lineRule="auto"/>
        <w:ind w:firstLine="567"/>
        <w:jc w:val="both"/>
        <w:rPr>
          <w:rFonts w:ascii="Times New Roman" w:eastAsia="Arial" w:hAnsi="Times New Roman" w:cs="Times New Roman"/>
          <w:sz w:val="24"/>
          <w:szCs w:val="24"/>
          <w:lang w:val="en-US"/>
        </w:rPr>
      </w:pPr>
      <w:r w:rsidRPr="008D413D">
        <w:rPr>
          <w:rFonts w:ascii="Times New Roman" w:eastAsia="Times New Roman" w:hAnsi="Times New Roman" w:cs="Times New Roman"/>
          <w:color w:val="000000"/>
          <w:sz w:val="24"/>
          <w:szCs w:val="24"/>
          <w:lang w:val="en-US"/>
        </w:rPr>
        <w:lastRenderedPageBreak/>
        <w:t>The target market of a firm affects the potential for acquiring knowledge via networks, which is often a primary avenue for SMEs to enhance competitiveness (Gibb et al., 2017) and achieve a competitive advantage (Tarifa-Fernandez et al., 2019). This process, however, requires strong inter-organizational networks (Achcaoucaou et al., 2014) to absorb such innovation-relevant knowledge. Therefore, internationalization becomes relevant in evaluating whether SMEs can benefit from the process of accessing external knowledge (Yu, 2013; Brink, 2017). For these learning processes from interorganizational activities to take place and affect innovation performance, there must be knowledge spillovers and the necessary absorptive capacity to capture them (Aldieri et al., 2022; Filippetti et al., 2017; Giovannetti and Piga, 2023).</w:t>
      </w:r>
    </w:p>
    <w:p w14:paraId="3A2C0852" w14:textId="77777777" w:rsidR="009F3E00" w:rsidRPr="008D413D" w:rsidRDefault="009F3E00" w:rsidP="00DD0F31">
      <w:pPr>
        <w:spacing w:line="480" w:lineRule="auto"/>
        <w:ind w:firstLine="567"/>
        <w:jc w:val="both"/>
        <w:rPr>
          <w:rFonts w:ascii="Times New Roman" w:hAnsi="Times New Roman" w:cs="Times New Roman"/>
          <w:sz w:val="24"/>
          <w:szCs w:val="24"/>
          <w:lang w:val="en-US"/>
        </w:rPr>
      </w:pPr>
      <w:r w:rsidRPr="009F3E00">
        <w:rPr>
          <w:rFonts w:ascii="Times New Roman" w:hAnsi="Times New Roman" w:cs="Times New Roman"/>
          <w:i/>
          <w:iCs/>
          <w:sz w:val="24"/>
          <w:szCs w:val="24"/>
          <w:lang w:val="en-US"/>
        </w:rPr>
        <w:t>Previous innovations</w:t>
      </w:r>
      <w:r w:rsidRPr="008D413D">
        <w:rPr>
          <w:rFonts w:ascii="Times New Roman" w:hAnsi="Times New Roman" w:cs="Times New Roman"/>
          <w:sz w:val="24"/>
          <w:szCs w:val="24"/>
          <w:lang w:val="en-US"/>
        </w:rPr>
        <w:t>. A large body of innovation literature has focused on innovation data regularly collected within the Community Innovation Surveys (CIS) (Eurostat, 2023). Iammarino et al. (2012) and Zoia et al. (2018) identified the affirmative responses to the questions about introducing product and process innovations as indicators of businesses' technological capabilities. Similarly, these authors viewed negative responses to these same questions, matched with investment in innovative activities, as indicating firms having technological competencies but lacking the capacity to transform their competencies into innovations. In this paper, we consider these factors by including SMEs’ answers on previously introduced innovations as proxies for our firms’ technological capabilities (Von Tunzelman, 2009).</w:t>
      </w:r>
    </w:p>
    <w:p w14:paraId="2717A949" w14:textId="6EE90C7A" w:rsidR="007F4A02" w:rsidRPr="009F3E00" w:rsidRDefault="009F3E00" w:rsidP="00DD0F31">
      <w:pPr>
        <w:spacing w:line="480" w:lineRule="auto"/>
        <w:ind w:firstLine="567"/>
        <w:jc w:val="both"/>
        <w:rPr>
          <w:rFonts w:ascii="Times New Roman" w:hAnsi="Times New Roman" w:cs="Times New Roman"/>
          <w:sz w:val="24"/>
          <w:szCs w:val="24"/>
          <w:lang w:val="en-US"/>
        </w:rPr>
      </w:pPr>
      <w:r w:rsidRPr="009F3E00">
        <w:rPr>
          <w:rFonts w:ascii="Times New Roman" w:hAnsi="Times New Roman" w:cs="Times New Roman"/>
          <w:i/>
          <w:iCs/>
          <w:sz w:val="24"/>
          <w:szCs w:val="24"/>
          <w:lang w:val="en-US"/>
        </w:rPr>
        <w:t>Data availability</w:t>
      </w:r>
      <w:r w:rsidRPr="008D413D">
        <w:rPr>
          <w:rFonts w:ascii="Times New Roman" w:hAnsi="Times New Roman" w:cs="Times New Roman"/>
          <w:sz w:val="24"/>
          <w:szCs w:val="24"/>
          <w:lang w:val="en-US"/>
        </w:rPr>
        <w:t xml:space="preserve">. Data availability also plays a critical role in facilitating the implementation of data innovation processes (Huber et al., 2020). However, a strong emphasis on available data may also introduce a trade-off with the time and attention required to focus on applying new knowledge to innovate and grow. We control for the awareness of digital tools. SMEs that are aware of the advantages of digital tools, such as reinforcement learning, </w:t>
      </w:r>
      <w:r w:rsidRPr="008D413D">
        <w:rPr>
          <w:rFonts w:ascii="Times New Roman" w:hAnsi="Times New Roman" w:cs="Times New Roman"/>
          <w:sz w:val="24"/>
          <w:szCs w:val="24"/>
          <w:lang w:val="en-US"/>
        </w:rPr>
        <w:lastRenderedPageBreak/>
        <w:t>frequently favor greater technological integration and adoption of new technologies (Garzoni et al., 2020).</w:t>
      </w:r>
    </w:p>
    <w:p w14:paraId="33A05582" w14:textId="77777777" w:rsidR="009F3E00" w:rsidRDefault="009F3E00" w:rsidP="009F3E00">
      <w:pPr>
        <w:spacing w:line="480" w:lineRule="auto"/>
        <w:ind w:firstLine="567"/>
        <w:rPr>
          <w:rFonts w:ascii="Times New Roman" w:hAnsi="Times New Roman" w:cs="Times New Roman"/>
          <w:sz w:val="24"/>
          <w:szCs w:val="24"/>
          <w:lang w:val="en-US"/>
        </w:rPr>
      </w:pPr>
      <w:r>
        <w:rPr>
          <w:rFonts w:ascii="Times New Roman" w:hAnsi="Times New Roman" w:cs="Times New Roman"/>
          <w:sz w:val="24"/>
          <w:szCs w:val="24"/>
          <w:lang w:val="en-US"/>
        </w:rPr>
        <w:t>Finally, we also control for the level of awareness of data security and compliance, since new strategies and methods of data collection to support, for example, new digital marketing strategies may pose significant questions about user privacy and, therefore, slow the adoption of digital innovations (Arya et al., 2019; Saura et al., 2021; Zuboff, 2015).</w:t>
      </w:r>
    </w:p>
    <w:p w14:paraId="2722D1C8" w14:textId="2C13C8CA" w:rsidR="003F11A8" w:rsidRPr="00DD0F31" w:rsidRDefault="009F3E00" w:rsidP="008D413D">
      <w:pPr>
        <w:spacing w:line="480" w:lineRule="auto"/>
        <w:ind w:firstLine="567"/>
        <w:rPr>
          <w:rFonts w:ascii="Times New Roman" w:hAnsi="Times New Roman" w:cs="Times New Roman"/>
          <w:sz w:val="24"/>
          <w:szCs w:val="24"/>
          <w:lang w:val="en-US"/>
        </w:rPr>
      </w:pPr>
      <w:r>
        <w:rPr>
          <w:rFonts w:ascii="Times New Roman" w:hAnsi="Times New Roman" w:cs="Times New Roman"/>
          <w:sz w:val="24"/>
          <w:szCs w:val="24"/>
          <w:lang w:val="en-US"/>
        </w:rPr>
        <w:t>Table 4 summarizes the possible answers to each of the additional questions in the Data Jumpstart Questionnaire.</w:t>
      </w:r>
    </w:p>
    <w:p w14:paraId="65CC01F4" w14:textId="77777777" w:rsidR="003F11A8" w:rsidRPr="00DD0F31" w:rsidRDefault="003F11A8" w:rsidP="00DD0F31">
      <w:pPr>
        <w:spacing w:line="480" w:lineRule="auto"/>
        <w:ind w:firstLine="567"/>
        <w:jc w:val="both"/>
        <w:rPr>
          <w:rFonts w:ascii="Times New Roman" w:hAnsi="Times New Roman" w:cs="Times New Roman"/>
          <w:sz w:val="24"/>
          <w:szCs w:val="24"/>
          <w:lang w:val="en-US"/>
        </w:rPr>
      </w:pPr>
    </w:p>
    <w:p w14:paraId="7DD6B97F" w14:textId="77777777" w:rsidR="003F11A8" w:rsidRPr="00DD0F31" w:rsidRDefault="003F11A8" w:rsidP="00DD0F31">
      <w:pPr>
        <w:spacing w:line="480" w:lineRule="auto"/>
        <w:jc w:val="both"/>
        <w:rPr>
          <w:rFonts w:ascii="Times New Roman" w:hAnsi="Times New Roman" w:cs="Times New Roman"/>
          <w:sz w:val="24"/>
          <w:szCs w:val="24"/>
          <w:lang w:val="en-US"/>
        </w:rPr>
      </w:pPr>
      <w:r w:rsidRPr="00DD0F31">
        <w:rPr>
          <w:rFonts w:ascii="Times New Roman" w:hAnsi="Times New Roman" w:cs="Times New Roman"/>
          <w:b/>
          <w:color w:val="000000" w:themeColor="text1"/>
          <w:sz w:val="24"/>
          <w:szCs w:val="24"/>
          <w:lang w:val="en-US"/>
        </w:rPr>
        <w:t>Table 4. Control Variables</w:t>
      </w:r>
    </w:p>
    <w:tbl>
      <w:tblPr>
        <w:tblStyle w:val="GridTable1Light"/>
        <w:tblpPr w:leftFromText="180" w:rightFromText="180" w:vertAnchor="text" w:tblpXSpec="center" w:tblpY="122"/>
        <w:tblW w:w="0" w:type="auto"/>
        <w:tblLayout w:type="fixed"/>
        <w:tblLook w:val="04A0" w:firstRow="1" w:lastRow="0" w:firstColumn="1" w:lastColumn="0" w:noHBand="0" w:noVBand="1"/>
      </w:tblPr>
      <w:tblGrid>
        <w:gridCol w:w="2547"/>
        <w:gridCol w:w="6453"/>
      </w:tblGrid>
      <w:tr w:rsidR="003F11A8" w:rsidRPr="00DD0F31" w14:paraId="52D3E09A" w14:textId="77777777" w:rsidTr="006A5525">
        <w:trPr>
          <w:cnfStyle w:val="100000000000" w:firstRow="1" w:lastRow="0" w:firstColumn="0" w:lastColumn="0" w:oddVBand="0" w:evenVBand="0" w:oddHBand="0"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2547" w:type="dxa"/>
          </w:tcPr>
          <w:p w14:paraId="31974728" w14:textId="77777777" w:rsidR="003F11A8" w:rsidRPr="00DD0F31" w:rsidRDefault="003F11A8" w:rsidP="000D166D">
            <w:pPr>
              <w:pStyle w:val="Caption"/>
              <w:keepNext/>
              <w:spacing w:line="480" w:lineRule="auto"/>
              <w:rPr>
                <w:rFonts w:ascii="Times New Roman" w:hAnsi="Times New Roman" w:cs="Times New Roman"/>
                <w:b w:val="0"/>
                <w:i w:val="0"/>
                <w:iCs w:val="0"/>
                <w:color w:val="000000" w:themeColor="text1"/>
                <w:szCs w:val="24"/>
                <w:lang w:val="en-US"/>
              </w:rPr>
            </w:pPr>
            <w:r w:rsidRPr="00DD0F31">
              <w:rPr>
                <w:rFonts w:ascii="Times New Roman" w:hAnsi="Times New Roman" w:cs="Times New Roman"/>
                <w:i w:val="0"/>
                <w:iCs w:val="0"/>
                <w:color w:val="000000" w:themeColor="text1"/>
                <w:szCs w:val="24"/>
                <w:lang w:val="en-US"/>
              </w:rPr>
              <w:t xml:space="preserve">Control Variables </w:t>
            </w:r>
          </w:p>
        </w:tc>
        <w:tc>
          <w:tcPr>
            <w:tcW w:w="6453" w:type="dxa"/>
          </w:tcPr>
          <w:p w14:paraId="1391937D" w14:textId="77777777" w:rsidR="003F11A8" w:rsidRPr="00DD0F31" w:rsidRDefault="003F11A8" w:rsidP="00DD0F31">
            <w:pPr>
              <w:pStyle w:val="Caption"/>
              <w:keepNext/>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 w:val="0"/>
                <w:iCs w:val="0"/>
                <w:color w:val="000000" w:themeColor="text1"/>
                <w:szCs w:val="24"/>
                <w:lang w:val="en-US"/>
              </w:rPr>
            </w:pPr>
            <w:r w:rsidRPr="00DD0F31">
              <w:rPr>
                <w:rFonts w:ascii="Times New Roman" w:hAnsi="Times New Roman" w:cs="Times New Roman"/>
                <w:i w:val="0"/>
                <w:iCs w:val="0"/>
                <w:color w:val="000000" w:themeColor="text1"/>
                <w:szCs w:val="24"/>
                <w:lang w:val="en-US"/>
              </w:rPr>
              <w:t>Components</w:t>
            </w:r>
          </w:p>
        </w:tc>
      </w:tr>
      <w:tr w:rsidR="003F11A8" w:rsidRPr="00DD0F31" w14:paraId="39238E08" w14:textId="77777777" w:rsidTr="006A5525">
        <w:trPr>
          <w:trHeight w:val="15"/>
        </w:trPr>
        <w:tc>
          <w:tcPr>
            <w:cnfStyle w:val="001000000000" w:firstRow="0" w:lastRow="0" w:firstColumn="1" w:lastColumn="0" w:oddVBand="0" w:evenVBand="0" w:oddHBand="0" w:evenHBand="0" w:firstRowFirstColumn="0" w:firstRowLastColumn="0" w:lastRowFirstColumn="0" w:lastRowLastColumn="0"/>
            <w:tcW w:w="2547" w:type="dxa"/>
          </w:tcPr>
          <w:p w14:paraId="255C44A5" w14:textId="77777777" w:rsidR="003F11A8" w:rsidRPr="00DD0F31" w:rsidRDefault="003F11A8" w:rsidP="000D166D">
            <w:pPr>
              <w:pStyle w:val="Caption"/>
              <w:keepNext/>
              <w:spacing w:line="480" w:lineRule="auto"/>
              <w:rPr>
                <w:rFonts w:ascii="Times New Roman" w:hAnsi="Times New Roman" w:cs="Times New Roman"/>
                <w:bCs w:val="0"/>
                <w:i w:val="0"/>
                <w:iCs w:val="0"/>
                <w:color w:val="000000" w:themeColor="text1"/>
                <w:szCs w:val="24"/>
                <w:lang w:val="en-US"/>
              </w:rPr>
            </w:pPr>
            <w:r w:rsidRPr="00DD0F31">
              <w:rPr>
                <w:rFonts w:ascii="Times New Roman" w:hAnsi="Times New Roman" w:cs="Times New Roman"/>
                <w:i w:val="0"/>
                <w:iCs w:val="0"/>
                <w:color w:val="000000" w:themeColor="text1"/>
                <w:szCs w:val="24"/>
                <w:lang w:val="en-US"/>
              </w:rPr>
              <w:t xml:space="preserve">Target market  </w:t>
            </w:r>
          </w:p>
        </w:tc>
        <w:tc>
          <w:tcPr>
            <w:tcW w:w="6453" w:type="dxa"/>
          </w:tcPr>
          <w:p w14:paraId="5FC23978" w14:textId="77777777" w:rsidR="003F11A8" w:rsidRPr="00DD0F31" w:rsidRDefault="003F11A8" w:rsidP="00DD0F31">
            <w:pPr>
              <w:pStyle w:val="Caption"/>
              <w:keepNext/>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val="0"/>
                <w:iCs w:val="0"/>
                <w:color w:val="000000" w:themeColor="text1"/>
                <w:szCs w:val="24"/>
                <w:lang w:val="en-US"/>
              </w:rPr>
            </w:pPr>
            <w:r w:rsidRPr="00DD0F31">
              <w:rPr>
                <w:rFonts w:ascii="Times New Roman" w:hAnsi="Times New Roman" w:cs="Times New Roman"/>
                <w:bCs/>
                <w:i w:val="0"/>
                <w:iCs w:val="0"/>
                <w:color w:val="000000" w:themeColor="text1"/>
                <w:szCs w:val="24"/>
                <w:lang w:val="en-US"/>
              </w:rPr>
              <w:t>Local |Regional |National |EU Wide |Worldwide </w:t>
            </w:r>
          </w:p>
        </w:tc>
      </w:tr>
      <w:tr w:rsidR="003F11A8" w:rsidRPr="00DD0F31" w14:paraId="23D1B181" w14:textId="77777777" w:rsidTr="006A5525">
        <w:trPr>
          <w:trHeight w:val="15"/>
        </w:trPr>
        <w:tc>
          <w:tcPr>
            <w:cnfStyle w:val="001000000000" w:firstRow="0" w:lastRow="0" w:firstColumn="1" w:lastColumn="0" w:oddVBand="0" w:evenVBand="0" w:oddHBand="0" w:evenHBand="0" w:firstRowFirstColumn="0" w:firstRowLastColumn="0" w:lastRowFirstColumn="0" w:lastRowLastColumn="0"/>
            <w:tcW w:w="2547" w:type="dxa"/>
          </w:tcPr>
          <w:p w14:paraId="240C8FCA" w14:textId="77777777" w:rsidR="003F11A8" w:rsidRPr="00DD0F31" w:rsidRDefault="003F11A8" w:rsidP="000D166D">
            <w:pPr>
              <w:pStyle w:val="Caption"/>
              <w:keepNext/>
              <w:spacing w:line="480" w:lineRule="auto"/>
              <w:rPr>
                <w:rFonts w:ascii="Times New Roman" w:hAnsi="Times New Roman" w:cs="Times New Roman"/>
                <w:bCs w:val="0"/>
                <w:i w:val="0"/>
                <w:iCs w:val="0"/>
                <w:color w:val="000000" w:themeColor="text1"/>
                <w:szCs w:val="24"/>
                <w:lang w:val="en-US"/>
              </w:rPr>
            </w:pPr>
            <w:r w:rsidRPr="00DD0F31">
              <w:rPr>
                <w:rFonts w:ascii="Times New Roman" w:hAnsi="Times New Roman" w:cs="Times New Roman"/>
                <w:i w:val="0"/>
                <w:iCs w:val="0"/>
                <w:color w:val="000000" w:themeColor="text1"/>
                <w:szCs w:val="24"/>
                <w:lang w:val="en-US"/>
              </w:rPr>
              <w:t xml:space="preserve">Awareness about digital tools  </w:t>
            </w:r>
          </w:p>
        </w:tc>
        <w:tc>
          <w:tcPr>
            <w:tcW w:w="6453" w:type="dxa"/>
          </w:tcPr>
          <w:p w14:paraId="10F50BC8" w14:textId="77777777" w:rsidR="003F11A8" w:rsidRPr="00DD0F31" w:rsidRDefault="003F11A8" w:rsidP="00DD0F31">
            <w:pPr>
              <w:pStyle w:val="Caption"/>
              <w:keepNext/>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val="0"/>
                <w:iCs w:val="0"/>
                <w:color w:val="000000" w:themeColor="text1"/>
                <w:szCs w:val="24"/>
                <w:lang w:val="en-US"/>
              </w:rPr>
            </w:pPr>
            <w:r w:rsidRPr="00DD0F31">
              <w:rPr>
                <w:rFonts w:ascii="Times New Roman" w:hAnsi="Times New Roman" w:cs="Times New Roman"/>
                <w:bCs/>
                <w:i w:val="0"/>
                <w:iCs w:val="0"/>
                <w:color w:val="000000" w:themeColor="text1"/>
                <w:szCs w:val="24"/>
                <w:lang w:val="en-US"/>
              </w:rPr>
              <w:t>Spreadsheets |SQL |Visualization | Application Program Interface (API) |Reinforcement Learning </w:t>
            </w:r>
          </w:p>
        </w:tc>
      </w:tr>
      <w:tr w:rsidR="003F11A8" w:rsidRPr="00DD0F31" w14:paraId="1454C481" w14:textId="77777777" w:rsidTr="006A5525">
        <w:trPr>
          <w:trHeight w:val="15"/>
        </w:trPr>
        <w:tc>
          <w:tcPr>
            <w:cnfStyle w:val="001000000000" w:firstRow="0" w:lastRow="0" w:firstColumn="1" w:lastColumn="0" w:oddVBand="0" w:evenVBand="0" w:oddHBand="0" w:evenHBand="0" w:firstRowFirstColumn="0" w:firstRowLastColumn="0" w:lastRowFirstColumn="0" w:lastRowLastColumn="0"/>
            <w:tcW w:w="2547" w:type="dxa"/>
          </w:tcPr>
          <w:p w14:paraId="3E935E08" w14:textId="77777777" w:rsidR="003F11A8" w:rsidRPr="00DD0F31" w:rsidRDefault="003F11A8" w:rsidP="000D166D">
            <w:pPr>
              <w:pStyle w:val="Caption"/>
              <w:keepNext/>
              <w:spacing w:line="480" w:lineRule="auto"/>
              <w:rPr>
                <w:rFonts w:ascii="Times New Roman" w:hAnsi="Times New Roman" w:cs="Times New Roman"/>
                <w:bCs w:val="0"/>
                <w:i w:val="0"/>
                <w:iCs w:val="0"/>
                <w:color w:val="000000" w:themeColor="text1"/>
                <w:szCs w:val="24"/>
                <w:lang w:val="en-US"/>
              </w:rPr>
            </w:pPr>
            <w:r w:rsidRPr="00DD0F31">
              <w:rPr>
                <w:rFonts w:ascii="Times New Roman" w:hAnsi="Times New Roman" w:cs="Times New Roman"/>
                <w:i w:val="0"/>
                <w:iCs w:val="0"/>
                <w:color w:val="000000" w:themeColor="text1"/>
                <w:szCs w:val="24"/>
                <w:lang w:val="en-US"/>
              </w:rPr>
              <w:t xml:space="preserve">Types of data availability </w:t>
            </w:r>
          </w:p>
        </w:tc>
        <w:tc>
          <w:tcPr>
            <w:tcW w:w="6453" w:type="dxa"/>
          </w:tcPr>
          <w:p w14:paraId="368B2D47" w14:textId="77777777" w:rsidR="003F11A8" w:rsidRPr="00DD0F31" w:rsidRDefault="003F11A8" w:rsidP="00DD0F31">
            <w:pPr>
              <w:pStyle w:val="Caption"/>
              <w:keepNext/>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val="0"/>
                <w:iCs w:val="0"/>
                <w:color w:val="000000" w:themeColor="text1"/>
                <w:szCs w:val="24"/>
                <w:lang w:val="en-US"/>
              </w:rPr>
            </w:pPr>
            <w:r w:rsidRPr="00DD0F31">
              <w:rPr>
                <w:rFonts w:ascii="Times New Roman" w:hAnsi="Times New Roman" w:cs="Times New Roman"/>
                <w:bCs/>
                <w:i w:val="0"/>
                <w:iCs w:val="0"/>
                <w:color w:val="000000" w:themeColor="text1"/>
                <w:szCs w:val="24"/>
                <w:lang w:val="en-US"/>
              </w:rPr>
              <w:t>Product Data |Financial Data |Customer Data |Employee Data </w:t>
            </w:r>
          </w:p>
        </w:tc>
      </w:tr>
      <w:tr w:rsidR="003F11A8" w:rsidRPr="00DD0F31" w14:paraId="64E62BB1" w14:textId="77777777" w:rsidTr="006A5525">
        <w:trPr>
          <w:trHeight w:val="630"/>
        </w:trPr>
        <w:tc>
          <w:tcPr>
            <w:cnfStyle w:val="001000000000" w:firstRow="0" w:lastRow="0" w:firstColumn="1" w:lastColumn="0" w:oddVBand="0" w:evenVBand="0" w:oddHBand="0" w:evenHBand="0" w:firstRowFirstColumn="0" w:firstRowLastColumn="0" w:lastRowFirstColumn="0" w:lastRowLastColumn="0"/>
            <w:tcW w:w="2547" w:type="dxa"/>
          </w:tcPr>
          <w:p w14:paraId="130335D3" w14:textId="77777777" w:rsidR="003F11A8" w:rsidRPr="00DD0F31" w:rsidRDefault="003F11A8" w:rsidP="000D166D">
            <w:pPr>
              <w:pStyle w:val="Caption"/>
              <w:keepNext/>
              <w:spacing w:line="480" w:lineRule="auto"/>
              <w:rPr>
                <w:rFonts w:ascii="Times New Roman" w:hAnsi="Times New Roman" w:cs="Times New Roman"/>
                <w:bCs w:val="0"/>
                <w:i w:val="0"/>
                <w:iCs w:val="0"/>
                <w:color w:val="000000" w:themeColor="text1"/>
                <w:szCs w:val="24"/>
                <w:lang w:val="en-US"/>
              </w:rPr>
            </w:pPr>
            <w:r w:rsidRPr="00DD0F31">
              <w:rPr>
                <w:rFonts w:ascii="Times New Roman" w:hAnsi="Times New Roman" w:cs="Times New Roman"/>
                <w:i w:val="0"/>
                <w:iCs w:val="0"/>
                <w:color w:val="000000" w:themeColor="text1"/>
                <w:szCs w:val="24"/>
                <w:lang w:val="en-US"/>
              </w:rPr>
              <w:t>Experience of innovation</w:t>
            </w:r>
          </w:p>
        </w:tc>
        <w:tc>
          <w:tcPr>
            <w:tcW w:w="6453" w:type="dxa"/>
          </w:tcPr>
          <w:p w14:paraId="7D349286" w14:textId="77777777" w:rsidR="003F11A8" w:rsidRPr="00DD0F31" w:rsidRDefault="003F11A8" w:rsidP="00DD0F31">
            <w:pPr>
              <w:pStyle w:val="Caption"/>
              <w:keepNext/>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val="0"/>
                <w:iCs w:val="0"/>
                <w:color w:val="000000" w:themeColor="text1"/>
                <w:szCs w:val="24"/>
                <w:lang w:val="en-US"/>
              </w:rPr>
            </w:pPr>
            <w:r w:rsidRPr="00DD0F31">
              <w:rPr>
                <w:rFonts w:ascii="Times New Roman" w:hAnsi="Times New Roman" w:cs="Times New Roman"/>
                <w:bCs/>
                <w:i w:val="0"/>
                <w:iCs w:val="0"/>
                <w:color w:val="000000" w:themeColor="text1"/>
                <w:szCs w:val="24"/>
                <w:lang w:val="en-US"/>
              </w:rPr>
              <w:t>Producing goods |Logistics |Supporting |Organizing</w:t>
            </w:r>
          </w:p>
        </w:tc>
      </w:tr>
      <w:tr w:rsidR="003F11A8" w:rsidRPr="00DD0F31" w14:paraId="3398CC9F" w14:textId="77777777" w:rsidTr="006A5525">
        <w:trPr>
          <w:trHeight w:val="15"/>
        </w:trPr>
        <w:tc>
          <w:tcPr>
            <w:cnfStyle w:val="001000000000" w:firstRow="0" w:lastRow="0" w:firstColumn="1" w:lastColumn="0" w:oddVBand="0" w:evenVBand="0" w:oddHBand="0" w:evenHBand="0" w:firstRowFirstColumn="0" w:firstRowLastColumn="0" w:lastRowFirstColumn="0" w:lastRowLastColumn="0"/>
            <w:tcW w:w="2547" w:type="dxa"/>
          </w:tcPr>
          <w:p w14:paraId="6D271FCE" w14:textId="77777777" w:rsidR="003F11A8" w:rsidRPr="00DD0F31" w:rsidRDefault="003F11A8" w:rsidP="000D166D">
            <w:pPr>
              <w:pStyle w:val="Caption"/>
              <w:keepNext/>
              <w:spacing w:line="480" w:lineRule="auto"/>
              <w:rPr>
                <w:rFonts w:ascii="Times New Roman" w:hAnsi="Times New Roman" w:cs="Times New Roman"/>
                <w:bCs w:val="0"/>
                <w:i w:val="0"/>
                <w:iCs w:val="0"/>
                <w:color w:val="000000" w:themeColor="text1"/>
                <w:szCs w:val="24"/>
                <w:lang w:val="en-US"/>
              </w:rPr>
            </w:pPr>
            <w:r w:rsidRPr="00DD0F31">
              <w:rPr>
                <w:rFonts w:ascii="Times New Roman" w:hAnsi="Times New Roman" w:cs="Times New Roman"/>
                <w:i w:val="0"/>
                <w:iCs w:val="0"/>
                <w:color w:val="000000" w:themeColor="text1"/>
                <w:szCs w:val="24"/>
                <w:lang w:val="en-US"/>
              </w:rPr>
              <w:t xml:space="preserve">Time allocation across data processes  </w:t>
            </w:r>
          </w:p>
        </w:tc>
        <w:tc>
          <w:tcPr>
            <w:tcW w:w="6453" w:type="dxa"/>
          </w:tcPr>
          <w:p w14:paraId="10FC215E" w14:textId="77777777" w:rsidR="003F11A8" w:rsidRPr="00DD0F31" w:rsidRDefault="003F11A8" w:rsidP="00DD0F31">
            <w:pPr>
              <w:pStyle w:val="Caption"/>
              <w:keepNext/>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val="0"/>
                <w:iCs w:val="0"/>
                <w:color w:val="000000" w:themeColor="text1"/>
                <w:szCs w:val="24"/>
                <w:lang w:val="en-US"/>
              </w:rPr>
            </w:pPr>
            <w:r w:rsidRPr="00DD0F31">
              <w:rPr>
                <w:rFonts w:ascii="Times New Roman" w:hAnsi="Times New Roman" w:cs="Times New Roman"/>
                <w:bCs/>
                <w:i w:val="0"/>
                <w:iCs w:val="0"/>
                <w:color w:val="000000" w:themeColor="text1"/>
                <w:szCs w:val="24"/>
                <w:lang w:val="en-US"/>
              </w:rPr>
              <w:t>Gathering Data |Managing Data |Analyzing Data |Visualizing Data </w:t>
            </w:r>
          </w:p>
        </w:tc>
      </w:tr>
      <w:tr w:rsidR="003F11A8" w:rsidRPr="00DD0F31" w14:paraId="710F2CF2" w14:textId="77777777" w:rsidTr="006A5525">
        <w:trPr>
          <w:trHeight w:val="630"/>
        </w:trPr>
        <w:tc>
          <w:tcPr>
            <w:cnfStyle w:val="001000000000" w:firstRow="0" w:lastRow="0" w:firstColumn="1" w:lastColumn="0" w:oddVBand="0" w:evenVBand="0" w:oddHBand="0" w:evenHBand="0" w:firstRowFirstColumn="0" w:firstRowLastColumn="0" w:lastRowFirstColumn="0" w:lastRowLastColumn="0"/>
            <w:tcW w:w="2547" w:type="dxa"/>
          </w:tcPr>
          <w:p w14:paraId="07EEAF74" w14:textId="77777777" w:rsidR="003F11A8" w:rsidRPr="00DD0F31" w:rsidRDefault="003F11A8" w:rsidP="000D166D">
            <w:pPr>
              <w:pStyle w:val="Caption"/>
              <w:keepNext/>
              <w:spacing w:line="480" w:lineRule="auto"/>
              <w:rPr>
                <w:rFonts w:ascii="Times New Roman" w:hAnsi="Times New Roman" w:cs="Times New Roman"/>
                <w:bCs w:val="0"/>
                <w:i w:val="0"/>
                <w:iCs w:val="0"/>
                <w:color w:val="000000" w:themeColor="text1"/>
                <w:szCs w:val="24"/>
                <w:lang w:val="en-US"/>
              </w:rPr>
            </w:pPr>
            <w:r w:rsidRPr="00DD0F31">
              <w:rPr>
                <w:rFonts w:ascii="Times New Roman" w:hAnsi="Times New Roman" w:cs="Times New Roman"/>
                <w:i w:val="0"/>
                <w:iCs w:val="0"/>
                <w:color w:val="000000" w:themeColor="text1"/>
                <w:szCs w:val="24"/>
                <w:lang w:val="en-US"/>
              </w:rPr>
              <w:t xml:space="preserve">Security and compliance </w:t>
            </w:r>
          </w:p>
        </w:tc>
        <w:tc>
          <w:tcPr>
            <w:tcW w:w="6453" w:type="dxa"/>
          </w:tcPr>
          <w:p w14:paraId="6ACDB7C0" w14:textId="77777777" w:rsidR="003F11A8" w:rsidRPr="00DD0F31" w:rsidRDefault="003F11A8" w:rsidP="00DD0F31">
            <w:pPr>
              <w:pStyle w:val="Caption"/>
              <w:keepNext/>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val="0"/>
                <w:iCs w:val="0"/>
                <w:color w:val="000000" w:themeColor="text1"/>
                <w:szCs w:val="24"/>
                <w:lang w:val="en-US"/>
              </w:rPr>
            </w:pPr>
            <w:r w:rsidRPr="00DD0F31">
              <w:rPr>
                <w:rFonts w:ascii="Times New Roman" w:hAnsi="Times New Roman" w:cs="Times New Roman"/>
                <w:bCs/>
                <w:i w:val="0"/>
                <w:iCs w:val="0"/>
                <w:color w:val="000000" w:themeColor="text1"/>
                <w:szCs w:val="24"/>
                <w:lang w:val="en-US"/>
              </w:rPr>
              <w:t>Overall Data Security Importance | Software Consistency | Regulatory Awareness |Regulation Compliance </w:t>
            </w:r>
          </w:p>
        </w:tc>
      </w:tr>
      <w:tr w:rsidR="003F11A8" w:rsidRPr="00DD0F31" w14:paraId="7EBF5A2B" w14:textId="77777777" w:rsidTr="006A5525">
        <w:trPr>
          <w:trHeight w:val="660"/>
        </w:trPr>
        <w:tc>
          <w:tcPr>
            <w:cnfStyle w:val="001000000000" w:firstRow="0" w:lastRow="0" w:firstColumn="1" w:lastColumn="0" w:oddVBand="0" w:evenVBand="0" w:oddHBand="0" w:evenHBand="0" w:firstRowFirstColumn="0" w:firstRowLastColumn="0" w:lastRowFirstColumn="0" w:lastRowLastColumn="0"/>
            <w:tcW w:w="2547" w:type="dxa"/>
          </w:tcPr>
          <w:p w14:paraId="6E3C24D7" w14:textId="77777777" w:rsidR="003F11A8" w:rsidRPr="00DD0F31" w:rsidRDefault="003F11A8" w:rsidP="00DD0F31">
            <w:pPr>
              <w:pStyle w:val="Caption"/>
              <w:keepNext/>
              <w:spacing w:line="480" w:lineRule="auto"/>
              <w:jc w:val="both"/>
              <w:rPr>
                <w:rFonts w:ascii="Times New Roman" w:hAnsi="Times New Roman" w:cs="Times New Roman"/>
                <w:bCs w:val="0"/>
                <w:i w:val="0"/>
                <w:iCs w:val="0"/>
                <w:color w:val="000000" w:themeColor="text1"/>
                <w:szCs w:val="24"/>
                <w:lang w:val="en-US"/>
              </w:rPr>
            </w:pPr>
            <w:r w:rsidRPr="00DD0F31">
              <w:rPr>
                <w:rFonts w:ascii="Times New Roman" w:hAnsi="Times New Roman" w:cs="Times New Roman"/>
                <w:i w:val="0"/>
                <w:iCs w:val="0"/>
                <w:color w:val="000000" w:themeColor="text1"/>
                <w:szCs w:val="24"/>
                <w:lang w:val="en-US"/>
              </w:rPr>
              <w:lastRenderedPageBreak/>
              <w:t xml:space="preserve">Data infrastructure </w:t>
            </w:r>
          </w:p>
        </w:tc>
        <w:tc>
          <w:tcPr>
            <w:tcW w:w="6453" w:type="dxa"/>
          </w:tcPr>
          <w:p w14:paraId="145E3FB9" w14:textId="77777777" w:rsidR="003F11A8" w:rsidRPr="00DD0F31" w:rsidRDefault="003F11A8" w:rsidP="00DD0F31">
            <w:pPr>
              <w:pStyle w:val="Caption"/>
              <w:keepNext/>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val="0"/>
                <w:iCs w:val="0"/>
                <w:color w:val="000000" w:themeColor="text1"/>
                <w:szCs w:val="24"/>
                <w:lang w:val="en-US"/>
              </w:rPr>
            </w:pPr>
            <w:r w:rsidRPr="00DD0F31">
              <w:rPr>
                <w:rFonts w:ascii="Times New Roman" w:hAnsi="Times New Roman" w:cs="Times New Roman"/>
                <w:bCs/>
                <w:i w:val="0"/>
                <w:iCs w:val="0"/>
                <w:color w:val="000000" w:themeColor="text1"/>
                <w:szCs w:val="24"/>
                <w:lang w:val="en-US"/>
              </w:rPr>
              <w:t>Data Warehouse |Spreadsheets |Cloud | External |Visualization |Statistical</w:t>
            </w:r>
          </w:p>
        </w:tc>
      </w:tr>
      <w:tr w:rsidR="003F11A8" w:rsidRPr="00DD0F31" w14:paraId="75291E25" w14:textId="77777777" w:rsidTr="006A5525">
        <w:trPr>
          <w:trHeight w:val="15"/>
        </w:trPr>
        <w:tc>
          <w:tcPr>
            <w:cnfStyle w:val="001000000000" w:firstRow="0" w:lastRow="0" w:firstColumn="1" w:lastColumn="0" w:oddVBand="0" w:evenVBand="0" w:oddHBand="0" w:evenHBand="0" w:firstRowFirstColumn="0" w:firstRowLastColumn="0" w:lastRowFirstColumn="0" w:lastRowLastColumn="0"/>
            <w:tcW w:w="2547" w:type="dxa"/>
          </w:tcPr>
          <w:p w14:paraId="0DF32C25" w14:textId="77777777" w:rsidR="003F11A8" w:rsidRPr="00DD0F31" w:rsidRDefault="003F11A8" w:rsidP="00DD0F31">
            <w:pPr>
              <w:pStyle w:val="Caption"/>
              <w:keepNext/>
              <w:spacing w:line="480" w:lineRule="auto"/>
              <w:jc w:val="both"/>
              <w:rPr>
                <w:rFonts w:ascii="Times New Roman" w:hAnsi="Times New Roman" w:cs="Times New Roman"/>
                <w:bCs w:val="0"/>
                <w:i w:val="0"/>
                <w:iCs w:val="0"/>
                <w:color w:val="000000" w:themeColor="text1"/>
                <w:szCs w:val="24"/>
                <w:lang w:val="en-US"/>
              </w:rPr>
            </w:pPr>
            <w:r w:rsidRPr="00DD0F31">
              <w:rPr>
                <w:rFonts w:ascii="Times New Roman" w:hAnsi="Times New Roman" w:cs="Times New Roman"/>
                <w:i w:val="0"/>
                <w:iCs w:val="0"/>
                <w:color w:val="000000" w:themeColor="text1"/>
                <w:szCs w:val="24"/>
                <w:lang w:val="en-US"/>
              </w:rPr>
              <w:t xml:space="preserve">Data quality  </w:t>
            </w:r>
          </w:p>
        </w:tc>
        <w:tc>
          <w:tcPr>
            <w:tcW w:w="6453" w:type="dxa"/>
          </w:tcPr>
          <w:p w14:paraId="44F1391E" w14:textId="77777777" w:rsidR="003F11A8" w:rsidRPr="00DD0F31" w:rsidRDefault="003F11A8" w:rsidP="00DD0F31">
            <w:pPr>
              <w:pStyle w:val="Caption"/>
              <w:keepNext/>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val="0"/>
                <w:iCs w:val="0"/>
                <w:color w:val="000000" w:themeColor="text1"/>
                <w:szCs w:val="24"/>
                <w:lang w:val="en-US"/>
              </w:rPr>
            </w:pPr>
            <w:r w:rsidRPr="00DD0F31">
              <w:rPr>
                <w:rFonts w:ascii="Times New Roman" w:hAnsi="Times New Roman" w:cs="Times New Roman"/>
                <w:bCs/>
                <w:i w:val="0"/>
                <w:iCs w:val="0"/>
                <w:color w:val="000000" w:themeColor="text1"/>
                <w:szCs w:val="24"/>
                <w:lang w:val="en-US"/>
              </w:rPr>
              <w:t>Synthetic Measure of SME Data Quality </w:t>
            </w:r>
          </w:p>
        </w:tc>
      </w:tr>
      <w:tr w:rsidR="003F11A8" w:rsidRPr="00DD0F31" w14:paraId="33C8A492" w14:textId="77777777" w:rsidTr="006A5525">
        <w:trPr>
          <w:trHeight w:val="15"/>
        </w:trPr>
        <w:tc>
          <w:tcPr>
            <w:cnfStyle w:val="001000000000" w:firstRow="0" w:lastRow="0" w:firstColumn="1" w:lastColumn="0" w:oddVBand="0" w:evenVBand="0" w:oddHBand="0" w:evenHBand="0" w:firstRowFirstColumn="0" w:firstRowLastColumn="0" w:lastRowFirstColumn="0" w:lastRowLastColumn="0"/>
            <w:tcW w:w="2547" w:type="dxa"/>
          </w:tcPr>
          <w:p w14:paraId="45766102" w14:textId="77777777" w:rsidR="003F11A8" w:rsidRPr="00DD0F31" w:rsidRDefault="003F11A8" w:rsidP="00DD0F31">
            <w:pPr>
              <w:pStyle w:val="Caption"/>
              <w:keepNext/>
              <w:spacing w:line="480" w:lineRule="auto"/>
              <w:jc w:val="both"/>
              <w:rPr>
                <w:rFonts w:ascii="Times New Roman" w:hAnsi="Times New Roman" w:cs="Times New Roman"/>
                <w:bCs w:val="0"/>
                <w:i w:val="0"/>
                <w:iCs w:val="0"/>
                <w:color w:val="000000" w:themeColor="text1"/>
                <w:szCs w:val="24"/>
                <w:lang w:val="en-US"/>
              </w:rPr>
            </w:pPr>
            <w:r w:rsidRPr="00DD0F31">
              <w:rPr>
                <w:rFonts w:ascii="Times New Roman" w:hAnsi="Times New Roman" w:cs="Times New Roman"/>
                <w:i w:val="0"/>
                <w:iCs w:val="0"/>
                <w:color w:val="000000" w:themeColor="text1"/>
                <w:szCs w:val="24"/>
                <w:lang w:val="en-US"/>
              </w:rPr>
              <w:t xml:space="preserve">Full time employees  </w:t>
            </w:r>
          </w:p>
        </w:tc>
        <w:tc>
          <w:tcPr>
            <w:tcW w:w="6453" w:type="dxa"/>
          </w:tcPr>
          <w:p w14:paraId="69747565" w14:textId="77777777" w:rsidR="003F11A8" w:rsidRPr="00DD0F31" w:rsidRDefault="003F11A8" w:rsidP="00DD0F31">
            <w:pPr>
              <w:pStyle w:val="Caption"/>
              <w:keepNext/>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val="0"/>
                <w:iCs w:val="0"/>
                <w:color w:val="000000" w:themeColor="text1"/>
                <w:szCs w:val="24"/>
                <w:lang w:val="en-US"/>
              </w:rPr>
            </w:pPr>
            <w:r w:rsidRPr="00DD0F31">
              <w:rPr>
                <w:rFonts w:ascii="Times New Roman" w:hAnsi="Times New Roman" w:cs="Times New Roman"/>
                <w:bCs/>
                <w:i w:val="0"/>
                <w:iCs w:val="0"/>
                <w:color w:val="000000" w:themeColor="text1"/>
                <w:szCs w:val="24"/>
                <w:lang w:val="en-US"/>
              </w:rPr>
              <w:t>Number of full-time employees in a firm at time of questionnaire completion date.</w:t>
            </w:r>
          </w:p>
        </w:tc>
      </w:tr>
      <w:tr w:rsidR="003F11A8" w:rsidRPr="00DD0F31" w14:paraId="089128E7" w14:textId="77777777" w:rsidTr="006A5525">
        <w:trPr>
          <w:trHeight w:val="15"/>
        </w:trPr>
        <w:tc>
          <w:tcPr>
            <w:cnfStyle w:val="001000000000" w:firstRow="0" w:lastRow="0" w:firstColumn="1" w:lastColumn="0" w:oddVBand="0" w:evenVBand="0" w:oddHBand="0" w:evenHBand="0" w:firstRowFirstColumn="0" w:firstRowLastColumn="0" w:lastRowFirstColumn="0" w:lastRowLastColumn="0"/>
            <w:tcW w:w="2547" w:type="dxa"/>
          </w:tcPr>
          <w:p w14:paraId="335E38B3" w14:textId="77777777" w:rsidR="003F11A8" w:rsidRPr="00DD0F31" w:rsidRDefault="003F11A8" w:rsidP="00DD0F31">
            <w:pPr>
              <w:pStyle w:val="Caption"/>
              <w:keepNext/>
              <w:spacing w:line="480" w:lineRule="auto"/>
              <w:jc w:val="both"/>
              <w:rPr>
                <w:rFonts w:ascii="Times New Roman" w:hAnsi="Times New Roman" w:cs="Times New Roman"/>
                <w:bCs w:val="0"/>
                <w:i w:val="0"/>
                <w:iCs w:val="0"/>
                <w:color w:val="000000" w:themeColor="text1"/>
                <w:szCs w:val="24"/>
                <w:lang w:val="en-US"/>
              </w:rPr>
            </w:pPr>
            <w:r w:rsidRPr="00DD0F31">
              <w:rPr>
                <w:rFonts w:ascii="Times New Roman" w:hAnsi="Times New Roman" w:cs="Times New Roman"/>
                <w:i w:val="0"/>
                <w:iCs w:val="0"/>
                <w:color w:val="000000" w:themeColor="text1"/>
                <w:szCs w:val="24"/>
                <w:lang w:val="en-US"/>
              </w:rPr>
              <w:t xml:space="preserve">Firm age  </w:t>
            </w:r>
          </w:p>
        </w:tc>
        <w:tc>
          <w:tcPr>
            <w:tcW w:w="6453" w:type="dxa"/>
          </w:tcPr>
          <w:p w14:paraId="40B205B1" w14:textId="77777777" w:rsidR="003F11A8" w:rsidRPr="00DD0F31" w:rsidRDefault="003F11A8" w:rsidP="00DD0F31">
            <w:pPr>
              <w:pStyle w:val="Caption"/>
              <w:keepNext/>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val="0"/>
                <w:iCs w:val="0"/>
                <w:color w:val="000000" w:themeColor="text1"/>
                <w:szCs w:val="24"/>
                <w:lang w:val="en-US"/>
              </w:rPr>
            </w:pPr>
            <w:r w:rsidRPr="00DD0F31">
              <w:rPr>
                <w:rFonts w:ascii="Times New Roman" w:hAnsi="Times New Roman" w:cs="Times New Roman"/>
                <w:bCs/>
                <w:i w:val="0"/>
                <w:iCs w:val="0"/>
                <w:color w:val="000000" w:themeColor="text1"/>
                <w:szCs w:val="24"/>
                <w:lang w:val="en-US"/>
              </w:rPr>
              <w:t>Number of years since a firm was founded up to the date of questionnaire completion.</w:t>
            </w:r>
          </w:p>
        </w:tc>
      </w:tr>
    </w:tbl>
    <w:p w14:paraId="43DAD1FA" w14:textId="77777777" w:rsidR="003F11A8" w:rsidRPr="00DD0F31" w:rsidRDefault="003F11A8" w:rsidP="00DD0F31">
      <w:pPr>
        <w:spacing w:line="480" w:lineRule="auto"/>
        <w:jc w:val="both"/>
        <w:rPr>
          <w:rFonts w:ascii="Times New Roman" w:hAnsi="Times New Roman" w:cs="Times New Roman"/>
          <w:b/>
          <w:bCs/>
          <w:sz w:val="24"/>
          <w:szCs w:val="24"/>
          <w:lang w:val="en-US"/>
        </w:rPr>
      </w:pPr>
      <w:bookmarkStart w:id="10" w:name="_Toc121936249"/>
    </w:p>
    <w:p w14:paraId="3CB6362B" w14:textId="6B81E1D5" w:rsidR="003F11A8" w:rsidRPr="00A36FE8" w:rsidRDefault="003F11A8" w:rsidP="00A36FE8">
      <w:pPr>
        <w:pStyle w:val="ListParagraph"/>
        <w:numPr>
          <w:ilvl w:val="1"/>
          <w:numId w:val="14"/>
        </w:numPr>
        <w:spacing w:line="480" w:lineRule="auto"/>
        <w:jc w:val="both"/>
        <w:rPr>
          <w:rFonts w:ascii="Times New Roman" w:hAnsi="Times New Roman" w:cs="Times New Roman"/>
          <w:b/>
          <w:bCs/>
          <w:szCs w:val="24"/>
          <w:lang w:val="en-US"/>
        </w:rPr>
      </w:pPr>
      <w:r w:rsidRPr="00A36FE8">
        <w:rPr>
          <w:rFonts w:ascii="Times New Roman" w:hAnsi="Times New Roman" w:cs="Times New Roman"/>
          <w:b/>
          <w:bCs/>
          <w:szCs w:val="24"/>
          <w:lang w:val="en-US"/>
        </w:rPr>
        <w:t>Identification and estimation strategy</w:t>
      </w:r>
      <w:bookmarkEnd w:id="10"/>
    </w:p>
    <w:p w14:paraId="72DB4C82" w14:textId="77777777" w:rsidR="00A36FE8" w:rsidRPr="00DD0F31" w:rsidRDefault="00A36FE8" w:rsidP="00A36FE8">
      <w:pPr>
        <w:spacing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We used the Instrumental Variable Probit Regression (IVPR) method to separately estimate how PAC and RAC affect the likelihood of an SME finishing their individual FBD data project. This helped us test Hypotheses 1 and 2. An IVPR is the appropriate modeling approach when there is a plausible reason to believe that one or more of the explanatory variables are endogenous, i.e., they are correlated not only with the dependent variable, as hypothesized, but also with other possible variables not included in the model that still affect the dependent variables (omitted variables being part of the error term). This is essential in our case when using our survey data to assess the impact of different factors on the probability of completing a project in situations that are far from ideal, controlled experimental ones. Therefore, we developed IVPR in two distinct estimation steps, as illustrated by Equations (1) and (2) below:</w:t>
      </w:r>
    </w:p>
    <w:p w14:paraId="62130F69" w14:textId="77777777" w:rsidR="00A36FE8" w:rsidRPr="00DD0F31" w:rsidRDefault="00F720F8" w:rsidP="00A36FE8">
      <w:pPr>
        <w:spacing w:line="480" w:lineRule="auto"/>
        <w:ind w:firstLine="340"/>
        <w:jc w:val="both"/>
        <w:rPr>
          <w:rFonts w:ascii="Times New Roman" w:hAnsi="Times New Roman" w:cs="Times New Roman"/>
          <w:sz w:val="24"/>
          <w:szCs w:val="24"/>
          <w:lang w:val="en-US"/>
        </w:rPr>
      </w:pPr>
      <m:oMathPara>
        <m:oMath>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y</m:t>
              </m:r>
            </m:e>
            <m:sub>
              <m:r>
                <w:rPr>
                  <w:rFonts w:ascii="Cambria Math" w:hAnsi="Cambria Math" w:cs="Times New Roman"/>
                  <w:sz w:val="24"/>
                  <w:szCs w:val="24"/>
                  <w:lang w:val="en-US"/>
                </w:rPr>
                <m:t>1i</m:t>
              </m:r>
            </m:sub>
            <m:sup>
              <m:r>
                <w:rPr>
                  <w:rFonts w:ascii="Cambria Math" w:hAnsi="Cambria Math" w:cs="Times New Roman"/>
                  <w:sz w:val="24"/>
                  <w:szCs w:val="24"/>
                  <w:lang w:val="en-US"/>
                </w:rPr>
                <m:t>*</m:t>
              </m:r>
            </m:sup>
          </m:sSubSup>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w:rPr>
                  <w:rFonts w:ascii="Cambria Math" w:hAnsi="Cambria Math" w:cs="Times New Roman"/>
                  <w:sz w:val="24"/>
                  <w:szCs w:val="24"/>
                  <w:lang w:val="en-US"/>
                </w:rPr>
                <m:t>2i</m:t>
              </m:r>
            </m:sub>
          </m:sSub>
          <m:r>
            <w:rPr>
              <w:rFonts w:ascii="Cambria Math" w:hAnsi="Cambria Math" w:cs="Times New Roman"/>
              <w:sz w:val="24"/>
              <w:szCs w:val="24"/>
              <w:lang w:val="en-US"/>
            </w:rPr>
            <m:t>β+</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x</m:t>
              </m:r>
            </m:e>
            <m:sub>
              <m:r>
                <w:rPr>
                  <w:rFonts w:ascii="Cambria Math" w:hAnsi="Cambria Math" w:cs="Times New Roman"/>
                  <w:sz w:val="24"/>
                  <w:szCs w:val="24"/>
                  <w:lang w:val="en-US"/>
                </w:rPr>
                <m:t>1i</m:t>
              </m:r>
            </m:sub>
          </m:sSub>
          <m:r>
            <w:rPr>
              <w:rFonts w:ascii="Cambria Math" w:hAnsi="Cambria Math" w:cs="Times New Roman"/>
              <w:sz w:val="24"/>
              <w:szCs w:val="24"/>
              <w:lang w:val="en-US"/>
            </w:rPr>
            <m:t>γ+</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μ</m:t>
              </m:r>
            </m:e>
            <m:sub>
              <m:r>
                <w:rPr>
                  <w:rFonts w:ascii="Cambria Math" w:hAnsi="Cambria Math" w:cs="Times New Roman"/>
                  <w:sz w:val="24"/>
                  <w:szCs w:val="24"/>
                  <w:lang w:val="en-US"/>
                </w:rPr>
                <m:t>i</m:t>
              </m:r>
            </m:sub>
          </m:sSub>
          <m:r>
            <w:rPr>
              <w:rFonts w:ascii="Cambria Math" w:hAnsi="Cambria Math" w:cs="Times New Roman"/>
              <w:sz w:val="24"/>
              <w:szCs w:val="24"/>
              <w:lang w:val="en-US"/>
            </w:rPr>
            <m:t xml:space="preserve">             </m:t>
          </m:r>
          <m:d>
            <m:dPr>
              <m:ctrlPr>
                <w:rPr>
                  <w:rFonts w:ascii="Cambria Math" w:hAnsi="Cambria Math" w:cs="Times New Roman"/>
                  <w:i/>
                  <w:sz w:val="24"/>
                  <w:szCs w:val="24"/>
                  <w:lang w:val="en-US"/>
                </w:rPr>
              </m:ctrlPr>
            </m:dPr>
            <m:e>
              <m:r>
                <w:rPr>
                  <w:rFonts w:ascii="Cambria Math" w:hAnsi="Cambria Math" w:cs="Times New Roman"/>
                  <w:sz w:val="24"/>
                  <w:szCs w:val="24"/>
                  <w:lang w:val="en-US"/>
                </w:rPr>
                <m:t>1</m:t>
              </m:r>
            </m:e>
          </m:d>
        </m:oMath>
      </m:oMathPara>
    </w:p>
    <w:p w14:paraId="10431679" w14:textId="77777777" w:rsidR="00A36FE8" w:rsidRPr="00DD0F31" w:rsidRDefault="00F720F8" w:rsidP="00A36FE8">
      <w:pPr>
        <w:spacing w:line="480" w:lineRule="auto"/>
        <w:ind w:firstLine="340"/>
        <w:jc w:val="both"/>
        <w:rPr>
          <w:rFonts w:ascii="Times New Roman" w:hAnsi="Times New Roman" w:cs="Times New Roman"/>
          <w:sz w:val="24"/>
          <w:szCs w:val="24"/>
          <w:lang w:val="en-US"/>
        </w:rPr>
      </w:pPr>
      <m:oMathPara>
        <m:oMath>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y</m:t>
              </m:r>
            </m:e>
            <m:sub>
              <m:r>
                <w:rPr>
                  <w:rFonts w:ascii="Cambria Math" w:hAnsi="Cambria Math" w:cs="Times New Roman"/>
                  <w:sz w:val="24"/>
                  <w:szCs w:val="24"/>
                  <w:lang w:val="en-US"/>
                </w:rPr>
                <m:t>2i</m:t>
              </m:r>
            </m:sub>
            <m:sup>
              <m:r>
                <w:rPr>
                  <w:rFonts w:ascii="Cambria Math" w:hAnsi="Cambria Math" w:cs="Times New Roman"/>
                  <w:sz w:val="24"/>
                  <w:szCs w:val="24"/>
                  <w:lang w:val="en-US"/>
                </w:rPr>
                <m:t>*</m:t>
              </m:r>
            </m:sup>
          </m:sSubSup>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x</m:t>
              </m:r>
            </m:e>
            <m:sub>
              <m:r>
                <w:rPr>
                  <w:rFonts w:ascii="Cambria Math" w:hAnsi="Cambria Math" w:cs="Times New Roman"/>
                  <w:sz w:val="24"/>
                  <w:szCs w:val="24"/>
                  <w:lang w:val="en-US"/>
                </w:rPr>
                <m:t>1i</m:t>
              </m:r>
            </m:sub>
          </m:sSub>
          <m:sSub>
            <m:sSubPr>
              <m:ctrlPr>
                <w:rPr>
                  <w:rFonts w:ascii="Cambria Math" w:hAnsi="Cambria Math" w:cs="Times New Roman"/>
                  <w:i/>
                  <w:sz w:val="24"/>
                  <w:szCs w:val="24"/>
                  <w:lang w:val="en-US"/>
                </w:rPr>
              </m:ctrlPr>
            </m:sSubPr>
            <m:e>
              <m:r>
                <m:rPr>
                  <m:sty m:val="p"/>
                </m:rPr>
                <w:rPr>
                  <w:rFonts w:ascii="Cambria Math" w:hAnsi="Cambria Math" w:cs="Times New Roman"/>
                  <w:sz w:val="24"/>
                  <w:szCs w:val="24"/>
                  <w:lang w:val="en-US"/>
                </w:rPr>
                <m:t>Φ</m:t>
              </m:r>
            </m:e>
            <m:sub>
              <m:r>
                <w:rPr>
                  <w:rFonts w:ascii="Cambria Math" w:hAnsi="Cambria Math" w:cs="Times New Roman"/>
                  <w:sz w:val="24"/>
                  <w:szCs w:val="24"/>
                  <w:lang w:val="en-US"/>
                </w:rPr>
                <m:t>1</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x</m:t>
              </m:r>
            </m:e>
            <m:sub>
              <m:r>
                <w:rPr>
                  <w:rFonts w:ascii="Cambria Math" w:hAnsi="Cambria Math" w:cs="Times New Roman"/>
                  <w:sz w:val="24"/>
                  <w:szCs w:val="24"/>
                  <w:lang w:val="en-US"/>
                </w:rPr>
                <m:t>2i</m:t>
              </m:r>
            </m:sub>
          </m:sSub>
          <m:sSub>
            <m:sSubPr>
              <m:ctrlPr>
                <w:rPr>
                  <w:rFonts w:ascii="Cambria Math" w:hAnsi="Cambria Math" w:cs="Times New Roman"/>
                  <w:i/>
                  <w:sz w:val="24"/>
                  <w:szCs w:val="24"/>
                  <w:lang w:val="en-US"/>
                </w:rPr>
              </m:ctrlPr>
            </m:sSubPr>
            <m:e>
              <m:r>
                <m:rPr>
                  <m:sty m:val="p"/>
                </m:rPr>
                <w:rPr>
                  <w:rFonts w:ascii="Cambria Math" w:hAnsi="Cambria Math" w:cs="Times New Roman"/>
                  <w:sz w:val="24"/>
                  <w:szCs w:val="24"/>
                  <w:lang w:val="en-US"/>
                </w:rPr>
                <m:t>Φ</m:t>
              </m:r>
            </m:e>
            <m:sub>
              <m:r>
                <w:rPr>
                  <w:rFonts w:ascii="Cambria Math" w:hAnsi="Cambria Math" w:cs="Times New Roman"/>
                  <w:sz w:val="24"/>
                  <w:szCs w:val="24"/>
                  <w:lang w:val="en-US"/>
                </w:rPr>
                <m:t>2</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ν</m:t>
              </m:r>
            </m:e>
            <m:sub>
              <m:r>
                <w:rPr>
                  <w:rFonts w:ascii="Cambria Math" w:hAnsi="Cambria Math" w:cs="Times New Roman"/>
                  <w:sz w:val="24"/>
                  <w:szCs w:val="24"/>
                  <w:lang w:val="en-US"/>
                </w:rPr>
                <m:t>i</m:t>
              </m:r>
            </m:sub>
          </m:sSub>
          <m:r>
            <w:rPr>
              <w:rFonts w:ascii="Cambria Math" w:hAnsi="Cambria Math" w:cs="Times New Roman"/>
              <w:sz w:val="24"/>
              <w:szCs w:val="24"/>
              <w:lang w:val="en-US"/>
            </w:rPr>
            <m:t xml:space="preserve">        (2)</m:t>
          </m:r>
        </m:oMath>
      </m:oMathPara>
    </w:p>
    <w:p w14:paraId="78C1E5F0" w14:textId="77777777" w:rsidR="00A36FE8" w:rsidRPr="00DD0F31" w:rsidRDefault="00A36FE8" w:rsidP="00A36FE8">
      <w:pPr>
        <w:spacing w:line="480" w:lineRule="auto"/>
        <w:ind w:firstLine="340"/>
        <w:jc w:val="both"/>
        <w:rPr>
          <w:rFonts w:ascii="Times New Roman" w:hAnsi="Times New Roman" w:cs="Times New Roman"/>
          <w:sz w:val="24"/>
          <w:szCs w:val="24"/>
          <w:lang w:val="en-US"/>
        </w:rPr>
      </w:pPr>
    </w:p>
    <w:p w14:paraId="419F1B0E" w14:textId="77777777" w:rsidR="00A36FE8" w:rsidRPr="00DD0F31" w:rsidRDefault="00A36FE8" w:rsidP="00A36FE8">
      <w:pPr>
        <w:spacing w:line="480" w:lineRule="auto"/>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lastRenderedPageBreak/>
        <w:t xml:space="preserve">Where </w:t>
      </w:r>
      <w:r w:rsidRPr="00DD0F31">
        <w:rPr>
          <w:rFonts w:ascii="Times New Roman" w:hAnsi="Times New Roman" w:cs="Times New Roman"/>
          <w:i/>
          <w:sz w:val="24"/>
          <w:szCs w:val="24"/>
          <w:lang w:val="en-US"/>
        </w:rPr>
        <w:t>i</w:t>
      </w:r>
      <w:r w:rsidRPr="00DD0F31">
        <w:rPr>
          <w:rFonts w:ascii="Times New Roman" w:hAnsi="Times New Roman" w:cs="Times New Roman"/>
          <w:sz w:val="24"/>
          <w:szCs w:val="24"/>
          <w:lang w:val="en-US"/>
        </w:rPr>
        <w:t>, (</w:t>
      </w:r>
      <w:r w:rsidRPr="00DD0F31">
        <w:rPr>
          <w:rFonts w:ascii="Times New Roman" w:hAnsi="Times New Roman" w:cs="Times New Roman"/>
          <w:i/>
          <w:iCs/>
          <w:sz w:val="24"/>
          <w:szCs w:val="24"/>
          <w:lang w:val="en-US"/>
        </w:rPr>
        <w:t>1,…,N</w:t>
      </w:r>
      <w:r w:rsidRPr="00DD0F31">
        <w:rPr>
          <w:rFonts w:ascii="Times New Roman" w:hAnsi="Times New Roman" w:cs="Times New Roman"/>
          <w:sz w:val="24"/>
          <w:szCs w:val="24"/>
          <w:lang w:val="en-US"/>
        </w:rPr>
        <w:t xml:space="preserve">) denotes an observed SME and N is the number of SMEs in our sample. Concerning the dependent variable capturing project completion, we do not observe the continuous latent variables leading to project completion, </w:t>
      </w:r>
      <m:oMath>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y</m:t>
            </m:r>
          </m:e>
          <m:sub>
            <m:r>
              <w:rPr>
                <w:rFonts w:ascii="Cambria Math" w:hAnsi="Cambria Math" w:cs="Times New Roman"/>
                <w:sz w:val="24"/>
                <w:szCs w:val="24"/>
                <w:lang w:val="en-US"/>
              </w:rPr>
              <m:t>1i</m:t>
            </m:r>
          </m:sub>
          <m:sup>
            <m:r>
              <w:rPr>
                <w:rFonts w:ascii="Cambria Math" w:hAnsi="Cambria Math" w:cs="Times New Roman"/>
                <w:sz w:val="24"/>
                <w:szCs w:val="24"/>
                <w:lang w:val="en-US"/>
              </w:rPr>
              <m:t>*</m:t>
            </m:r>
          </m:sup>
        </m:sSubSup>
      </m:oMath>
      <w:r w:rsidRPr="00DD0F31">
        <w:rPr>
          <w:rFonts w:ascii="Times New Roman" w:hAnsi="Times New Roman" w:cs="Times New Roman"/>
          <w:sz w:val="24"/>
          <w:szCs w:val="24"/>
          <w:lang w:val="en-US"/>
        </w:rPr>
        <w:t xml:space="preserve">; instead, we only observe a binary variable,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w:rPr>
                <w:rFonts w:ascii="Cambria Math" w:hAnsi="Cambria Math" w:cs="Times New Roman"/>
                <w:sz w:val="24"/>
                <w:szCs w:val="24"/>
                <w:lang w:val="en-US"/>
              </w:rPr>
              <m:t>1i</m:t>
            </m:r>
          </m:sub>
        </m:sSub>
        <m:r>
          <w:rPr>
            <w:rFonts w:ascii="Cambria Math" w:hAnsi="Cambria Math" w:cs="Times New Roman"/>
            <w:sz w:val="24"/>
            <w:szCs w:val="24"/>
            <w:lang w:val="en-US"/>
          </w:rPr>
          <m:t>,</m:t>
        </m:r>
      </m:oMath>
      <w:r w:rsidRPr="00DD0F31">
        <w:rPr>
          <w:rFonts w:ascii="Times New Roman" w:hAnsi="Times New Roman" w:cs="Times New Roman"/>
          <w:sz w:val="24"/>
          <w:szCs w:val="24"/>
          <w:lang w:val="en-US"/>
        </w:rPr>
        <w:t xml:space="preserve"> describing whether a project was completed. Hence, we estimate these binary variables,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w:rPr>
                <w:rFonts w:ascii="Cambria Math" w:hAnsi="Cambria Math" w:cs="Times New Roman"/>
                <w:sz w:val="24"/>
                <w:szCs w:val="24"/>
                <w:lang w:val="en-US"/>
              </w:rPr>
              <m:t>1i</m:t>
            </m:r>
          </m:sub>
        </m:sSub>
      </m:oMath>
      <w:r w:rsidRPr="00DD0F31">
        <w:rPr>
          <w:rFonts w:ascii="Times New Roman" w:hAnsi="Times New Roman" w:cs="Times New Roman"/>
          <w:sz w:val="24"/>
          <w:szCs w:val="24"/>
          <w:lang w:val="en-US"/>
        </w:rPr>
        <w:t>, through the Probit approach:</w:t>
      </w:r>
    </w:p>
    <w:p w14:paraId="0FDDAD19" w14:textId="77777777" w:rsidR="00A36FE8" w:rsidRPr="00DD0F31" w:rsidRDefault="00F720F8" w:rsidP="00A36FE8">
      <w:pPr>
        <w:spacing w:line="480" w:lineRule="auto"/>
        <w:ind w:firstLine="284"/>
        <w:jc w:val="both"/>
        <w:rPr>
          <w:rFonts w:ascii="Times New Roman" w:hAnsi="Times New Roman" w:cs="Times New Roman"/>
          <w:sz w:val="24"/>
          <w:szCs w:val="24"/>
          <w:lang w:val="en-US"/>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w:rPr>
                  <w:rFonts w:ascii="Cambria Math" w:hAnsi="Cambria Math" w:cs="Times New Roman"/>
                  <w:sz w:val="24"/>
                  <w:szCs w:val="24"/>
                  <w:lang w:val="en-US"/>
                </w:rPr>
                <m:t>1i</m:t>
              </m:r>
            </m:sub>
          </m:sSub>
          <m:r>
            <w:rPr>
              <w:rFonts w:ascii="Cambria Math" w:hAnsi="Cambria Math" w:cs="Times New Roman"/>
              <w:sz w:val="24"/>
              <w:szCs w:val="24"/>
              <w:lang w:val="en-US"/>
            </w:rPr>
            <m:t>=</m:t>
          </m:r>
          <m:d>
            <m:dPr>
              <m:begChr m:val="{"/>
              <m:endChr m:val=""/>
              <m:ctrlPr>
                <w:rPr>
                  <w:rFonts w:ascii="Cambria Math" w:hAnsi="Cambria Math" w:cs="Times New Roman"/>
                  <w:i/>
                  <w:sz w:val="24"/>
                  <w:szCs w:val="24"/>
                  <w:lang w:val="en-US"/>
                </w:rPr>
              </m:ctrlPr>
            </m:dPr>
            <m:e>
              <m:eqArr>
                <m:eqArrPr>
                  <m:ctrlPr>
                    <w:rPr>
                      <w:rFonts w:ascii="Cambria Math" w:hAnsi="Cambria Math" w:cs="Times New Roman"/>
                      <w:i/>
                      <w:sz w:val="24"/>
                      <w:szCs w:val="24"/>
                      <w:lang w:val="en-US"/>
                    </w:rPr>
                  </m:ctrlPr>
                </m:eqArrPr>
                <m:e>
                  <m:r>
                    <w:rPr>
                      <w:rFonts w:ascii="Cambria Math" w:hAnsi="Cambria Math" w:cs="Times New Roman"/>
                      <w:sz w:val="24"/>
                      <w:szCs w:val="24"/>
                      <w:lang w:val="en-US"/>
                    </w:rPr>
                    <m:t xml:space="preserve">0   </m:t>
                  </m:r>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y</m:t>
                      </m:r>
                    </m:e>
                    <m:sub>
                      <m:r>
                        <w:rPr>
                          <w:rFonts w:ascii="Cambria Math" w:hAnsi="Cambria Math" w:cs="Times New Roman"/>
                          <w:sz w:val="24"/>
                          <w:szCs w:val="24"/>
                          <w:lang w:val="en-US"/>
                        </w:rPr>
                        <m:t>1i</m:t>
                      </m:r>
                    </m:sub>
                    <m:sup>
                      <m:r>
                        <w:rPr>
                          <w:rFonts w:ascii="Cambria Math" w:hAnsi="Cambria Math" w:cs="Times New Roman"/>
                          <w:sz w:val="24"/>
                          <w:szCs w:val="24"/>
                          <w:lang w:val="en-US"/>
                        </w:rPr>
                        <m:t>*</m:t>
                      </m:r>
                    </m:sup>
                  </m:sSubSup>
                  <m:r>
                    <w:rPr>
                      <w:rFonts w:ascii="Cambria Math" w:hAnsi="Cambria Math" w:cs="Times New Roman"/>
                      <w:sz w:val="24"/>
                      <w:szCs w:val="24"/>
                      <w:lang w:val="en-US"/>
                    </w:rPr>
                    <m:t xml:space="preserve">&lt;0 </m:t>
                  </m:r>
                </m:e>
                <m:e>
                  <m:r>
                    <w:rPr>
                      <w:rFonts w:ascii="Cambria Math" w:hAnsi="Cambria Math" w:cs="Times New Roman"/>
                      <w:sz w:val="24"/>
                      <w:szCs w:val="24"/>
                      <w:lang w:val="en-US"/>
                    </w:rPr>
                    <m:t xml:space="preserve">1   </m:t>
                  </m:r>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y</m:t>
                      </m:r>
                    </m:e>
                    <m:sub>
                      <m:r>
                        <w:rPr>
                          <w:rFonts w:ascii="Cambria Math" w:hAnsi="Cambria Math" w:cs="Times New Roman"/>
                          <w:sz w:val="24"/>
                          <w:szCs w:val="24"/>
                          <w:lang w:val="en-US"/>
                        </w:rPr>
                        <m:t>1i</m:t>
                      </m:r>
                    </m:sub>
                    <m:sup>
                      <m:r>
                        <w:rPr>
                          <w:rFonts w:ascii="Cambria Math" w:hAnsi="Cambria Math" w:cs="Times New Roman"/>
                          <w:sz w:val="24"/>
                          <w:szCs w:val="24"/>
                          <w:lang w:val="en-US"/>
                        </w:rPr>
                        <m:t>*</m:t>
                      </m:r>
                    </m:sup>
                  </m:sSubSup>
                  <m:r>
                    <w:rPr>
                      <w:rFonts w:ascii="Cambria Math" w:hAnsi="Cambria Math" w:cs="Times New Roman"/>
                      <w:sz w:val="24"/>
                      <w:szCs w:val="24"/>
                      <w:lang w:val="en-US"/>
                    </w:rPr>
                    <m:t>≥0</m:t>
                  </m:r>
                </m:e>
              </m:eqArr>
            </m:e>
          </m:d>
          <m:r>
            <w:rPr>
              <w:rFonts w:ascii="Cambria Math" w:hAnsi="Cambria Math" w:cs="Times New Roman"/>
              <w:sz w:val="24"/>
              <w:szCs w:val="24"/>
              <w:lang w:val="en-US"/>
            </w:rPr>
            <m:t xml:space="preserve">           (3)</m:t>
          </m:r>
        </m:oMath>
      </m:oMathPara>
    </w:p>
    <w:p w14:paraId="464656B9" w14:textId="77777777" w:rsidR="00A36FE8" w:rsidRPr="00DD0F31" w:rsidRDefault="00A36FE8" w:rsidP="00A36FE8">
      <w:pPr>
        <w:spacing w:line="480" w:lineRule="auto"/>
        <w:ind w:firstLine="567"/>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Our focus is on estimating the effects of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w:rPr>
                <w:rFonts w:ascii="Cambria Math" w:hAnsi="Cambria Math" w:cs="Times New Roman"/>
                <w:sz w:val="24"/>
                <w:szCs w:val="24"/>
                <w:lang w:val="en-US"/>
              </w:rPr>
              <m:t>2i</m:t>
            </m:r>
          </m:sub>
        </m:sSub>
      </m:oMath>
      <w:r w:rsidRPr="00DD0F31">
        <w:rPr>
          <w:rFonts w:ascii="Times New Roman" w:hAnsi="Times New Roman" w:cs="Times New Roman"/>
          <w:sz w:val="24"/>
          <w:szCs w:val="24"/>
          <w:lang w:val="en-US"/>
        </w:rPr>
        <w:t>, a 1</w:t>
      </w:r>
      <m:oMath>
        <m:r>
          <w:rPr>
            <w:rFonts w:ascii="Cambria Math" w:hAnsi="Cambria Math" w:cs="Times New Roman"/>
            <w:sz w:val="24"/>
            <w:szCs w:val="24"/>
            <w:lang w:val="en-US"/>
          </w:rPr>
          <m:t>×p</m:t>
        </m:r>
      </m:oMath>
      <w:r w:rsidRPr="00DD0F31">
        <w:rPr>
          <w:rFonts w:ascii="Times New Roman" w:hAnsi="Times New Roman" w:cs="Times New Roman"/>
          <w:sz w:val="24"/>
          <w:szCs w:val="24"/>
          <w:lang w:val="en-US"/>
        </w:rPr>
        <w:t xml:space="preserve"> vector of potentially endogenous variables; in our case, PAC, and RAC, considering the effects of </w:t>
      </w:r>
      <w:r w:rsidRPr="00DD0F31">
        <w:rPr>
          <w:rFonts w:ascii="Times New Roman" w:hAnsi="Times New Roman" w:cs="Times New Roman"/>
          <w:i/>
          <w:iCs/>
          <w:sz w:val="24"/>
          <w:szCs w:val="24"/>
          <w:lang w:val="en-US"/>
        </w:rPr>
        <w:t xml:space="preserv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x</m:t>
            </m:r>
          </m:e>
          <m:sub>
            <m:r>
              <w:rPr>
                <w:rFonts w:ascii="Cambria Math" w:hAnsi="Cambria Math" w:cs="Times New Roman"/>
                <w:sz w:val="24"/>
                <w:szCs w:val="24"/>
                <w:lang w:val="en-US"/>
              </w:rPr>
              <m:t>1i</m:t>
            </m:r>
          </m:sub>
        </m:sSub>
      </m:oMath>
      <w:r w:rsidRPr="00DD0F31">
        <w:rPr>
          <w:rFonts w:ascii="Times New Roman" w:eastAsiaTheme="minorEastAsia" w:hAnsi="Times New Roman" w:cs="Times New Roman"/>
          <w:sz w:val="24"/>
          <w:szCs w:val="24"/>
          <w:lang w:val="en-US"/>
        </w:rPr>
        <w:t xml:space="preserve">, </w:t>
      </w:r>
      <w:r w:rsidRPr="00DD0F31">
        <w:rPr>
          <w:rFonts w:ascii="Times New Roman" w:hAnsi="Times New Roman" w:cs="Times New Roman"/>
          <w:sz w:val="24"/>
          <w:szCs w:val="24"/>
          <w:lang w:val="en-US"/>
        </w:rPr>
        <w:t xml:space="preserve">a </w:t>
      </w:r>
      <w:r w:rsidRPr="00DD0F31">
        <w:rPr>
          <w:rFonts w:ascii="Times New Roman" w:hAnsi="Times New Roman" w:cs="Times New Roman"/>
          <w:i/>
          <w:iCs/>
          <w:sz w:val="24"/>
          <w:szCs w:val="24"/>
          <w:lang w:val="en-US"/>
        </w:rPr>
        <w:t>1</w:t>
      </w:r>
      <m:oMath>
        <m:r>
          <w:rPr>
            <w:rFonts w:ascii="Cambria Math" w:hAnsi="Cambria Math" w:cs="Times New Roman"/>
            <w:sz w:val="24"/>
            <w:szCs w:val="24"/>
            <w:lang w:val="en-US"/>
          </w:rPr>
          <m:t>×</m:t>
        </m:r>
        <m:sSub>
          <m:sSubPr>
            <m:ctrlPr>
              <w:rPr>
                <w:rFonts w:ascii="Cambria Math" w:hAnsi="Cambria Math" w:cs="Times New Roman"/>
                <w:i/>
                <w:iCs/>
                <w:sz w:val="24"/>
                <w:szCs w:val="24"/>
                <w:lang w:val="en-US"/>
              </w:rPr>
            </m:ctrlPr>
          </m:sSubPr>
          <m:e>
            <m:r>
              <w:rPr>
                <w:rFonts w:ascii="Cambria Math" w:hAnsi="Cambria Math" w:cs="Times New Roman"/>
                <w:sz w:val="24"/>
                <w:szCs w:val="24"/>
                <w:lang w:val="en-US"/>
              </w:rPr>
              <m:t>k</m:t>
            </m:r>
          </m:e>
          <m:sub>
            <m:r>
              <w:rPr>
                <w:rFonts w:ascii="Cambria Math" w:hAnsi="Cambria Math" w:cs="Times New Roman"/>
                <w:sz w:val="24"/>
                <w:szCs w:val="24"/>
                <w:lang w:val="en-US"/>
              </w:rPr>
              <m:t>1</m:t>
            </m:r>
          </m:sub>
        </m:sSub>
      </m:oMath>
      <w:r w:rsidRPr="00DD0F31">
        <w:rPr>
          <w:rFonts w:ascii="Times New Roman" w:hAnsi="Times New Roman" w:cs="Times New Roman"/>
          <w:sz w:val="24"/>
          <w:szCs w:val="24"/>
          <w:lang w:val="en-US"/>
        </w:rPr>
        <w:t xml:space="preserve"> vector of exogenous variables capturing the exogenous controls for SMEs discussed above. </w:t>
      </w:r>
    </w:p>
    <w:p w14:paraId="1379CB5B" w14:textId="77777777" w:rsidR="00A36FE8" w:rsidRPr="00DD0F31" w:rsidRDefault="00A36FE8" w:rsidP="00A36FE8">
      <w:pPr>
        <w:spacing w:line="480" w:lineRule="auto"/>
        <w:ind w:firstLine="567"/>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Finally, in Equation (1), </w:t>
      </w:r>
      <m:oMath>
        <m:r>
          <w:rPr>
            <w:rFonts w:ascii="Cambria Math" w:hAnsi="Cambria Math" w:cs="Times New Roman"/>
            <w:sz w:val="24"/>
            <w:szCs w:val="24"/>
            <w:lang w:val="en-US"/>
          </w:rPr>
          <m:t>β</m:t>
        </m:r>
      </m:oMath>
      <w:r w:rsidRPr="00DD0F31">
        <w:rPr>
          <w:rFonts w:ascii="Times New Roman" w:hAnsi="Times New Roman" w:cs="Times New Roman"/>
          <w:sz w:val="24"/>
          <w:szCs w:val="24"/>
          <w:lang w:val="en-US"/>
        </w:rPr>
        <w:t xml:space="preserve"> and </w:t>
      </w:r>
      <m:oMath>
        <m:r>
          <w:rPr>
            <w:rFonts w:ascii="Cambria Math" w:hAnsi="Cambria Math" w:cs="Times New Roman"/>
            <w:sz w:val="24"/>
            <w:szCs w:val="24"/>
            <w:lang w:val="en-US"/>
          </w:rPr>
          <m:t>γ</m:t>
        </m:r>
      </m:oMath>
      <w:r w:rsidRPr="00DD0F31">
        <w:rPr>
          <w:rFonts w:ascii="Times New Roman" w:hAnsi="Times New Roman" w:cs="Times New Roman"/>
          <w:sz w:val="24"/>
          <w:szCs w:val="24"/>
          <w:lang w:val="en-US"/>
        </w:rPr>
        <w:t xml:space="preserve"> are vectors of structural parameters that capture the effects of the endogenous and the exogenous variables, respectively. In Equation (2), estimating the endogenous variables </w:t>
      </w:r>
      <m:oMath>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y</m:t>
            </m:r>
          </m:e>
          <m:sub>
            <m:r>
              <w:rPr>
                <w:rFonts w:ascii="Cambria Math" w:hAnsi="Cambria Math" w:cs="Times New Roman"/>
                <w:sz w:val="24"/>
                <w:szCs w:val="24"/>
                <w:lang w:val="en-US"/>
              </w:rPr>
              <m:t>2i</m:t>
            </m:r>
          </m:sub>
          <m:sup>
            <m:r>
              <w:rPr>
                <w:rFonts w:ascii="Cambria Math" w:hAnsi="Cambria Math" w:cs="Times New Roman"/>
                <w:sz w:val="24"/>
                <w:szCs w:val="24"/>
                <w:lang w:val="en-US"/>
              </w:rPr>
              <m:t>*</m:t>
            </m:r>
          </m:sup>
        </m:sSubSup>
        <m:r>
          <w:rPr>
            <w:rFonts w:ascii="Cambria Math" w:hAnsi="Cambria Math" w:cs="Times New Roman"/>
            <w:sz w:val="24"/>
            <w:szCs w:val="24"/>
            <w:lang w:val="en-US"/>
          </w:rPr>
          <m:t xml:space="preserve">,   </m:t>
        </m:r>
        <m:sSub>
          <m:sSubPr>
            <m:ctrlPr>
              <w:rPr>
                <w:rFonts w:ascii="Cambria Math" w:hAnsi="Cambria Math" w:cs="Times New Roman"/>
                <w:i/>
                <w:sz w:val="24"/>
                <w:szCs w:val="24"/>
                <w:lang w:val="en-US"/>
              </w:rPr>
            </m:ctrlPr>
          </m:sSubPr>
          <m:e>
            <m:r>
              <m:rPr>
                <m:sty m:val="p"/>
              </m:rPr>
              <w:rPr>
                <w:rFonts w:ascii="Cambria Math" w:hAnsi="Cambria Math" w:cs="Times New Roman"/>
                <w:sz w:val="24"/>
                <w:szCs w:val="24"/>
                <w:lang w:val="en-US"/>
              </w:rPr>
              <m:t>Φ</m:t>
            </m:r>
          </m:e>
          <m:sub>
            <m:r>
              <w:rPr>
                <w:rFonts w:ascii="Cambria Math" w:hAnsi="Cambria Math" w:cs="Times New Roman"/>
                <w:sz w:val="24"/>
                <w:szCs w:val="24"/>
                <w:lang w:val="en-US"/>
              </w:rPr>
              <m:t>1</m:t>
            </m:r>
          </m:sub>
        </m:sSub>
      </m:oMath>
      <w:r w:rsidRPr="00DD0F31">
        <w:rPr>
          <w:rFonts w:ascii="Times New Roman" w:eastAsiaTheme="minorEastAsia" w:hAnsi="Times New Roman" w:cs="Times New Roman"/>
          <w:sz w:val="24"/>
          <w:szCs w:val="24"/>
          <w:lang w:val="en-US"/>
        </w:rPr>
        <w:t xml:space="preserve"> </w:t>
      </w:r>
      <w:r w:rsidRPr="00DD0F31">
        <w:rPr>
          <w:rFonts w:ascii="Times New Roman" w:hAnsi="Times New Roman" w:cs="Times New Roman"/>
          <w:sz w:val="24"/>
          <w:szCs w:val="24"/>
          <w:lang w:val="en-US"/>
        </w:rPr>
        <w:t xml:space="preserve">and </w:t>
      </w:r>
      <m:oMath>
        <m:sSub>
          <m:sSubPr>
            <m:ctrlPr>
              <w:rPr>
                <w:rFonts w:ascii="Cambria Math" w:hAnsi="Cambria Math" w:cs="Times New Roman"/>
                <w:i/>
                <w:sz w:val="24"/>
                <w:szCs w:val="24"/>
                <w:lang w:val="en-US"/>
              </w:rPr>
            </m:ctrlPr>
          </m:sSubPr>
          <m:e>
            <m:r>
              <m:rPr>
                <m:sty m:val="p"/>
              </m:rPr>
              <w:rPr>
                <w:rFonts w:ascii="Cambria Math" w:hAnsi="Cambria Math" w:cs="Times New Roman"/>
                <w:sz w:val="24"/>
                <w:szCs w:val="24"/>
                <w:lang w:val="en-US"/>
              </w:rPr>
              <m:t>Φ</m:t>
            </m:r>
          </m:e>
          <m:sub>
            <m:r>
              <w:rPr>
                <w:rFonts w:ascii="Cambria Math" w:hAnsi="Cambria Math" w:cs="Times New Roman"/>
                <w:sz w:val="24"/>
                <w:szCs w:val="24"/>
                <w:lang w:val="en-US"/>
              </w:rPr>
              <m:t>2</m:t>
            </m:r>
          </m:sub>
        </m:sSub>
      </m:oMath>
      <w:r w:rsidRPr="00DD0F31">
        <w:rPr>
          <w:rFonts w:ascii="Times New Roman" w:hAnsi="Times New Roman" w:cs="Times New Roman"/>
          <w:sz w:val="24"/>
          <w:szCs w:val="24"/>
          <w:lang w:val="en-US"/>
        </w:rPr>
        <w:t xml:space="preserve"> are matrices of reduced-form parameters for the other exogenous variables,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x</m:t>
            </m:r>
          </m:e>
          <m:sub>
            <m:r>
              <w:rPr>
                <w:rFonts w:ascii="Cambria Math" w:hAnsi="Cambria Math" w:cs="Times New Roman"/>
                <w:sz w:val="24"/>
                <w:szCs w:val="24"/>
                <w:lang w:val="en-US"/>
              </w:rPr>
              <m:t>1i</m:t>
            </m:r>
          </m:sub>
        </m:sSub>
        <m:r>
          <w:rPr>
            <w:rFonts w:ascii="Cambria Math" w:hAnsi="Cambria Math" w:cs="Times New Roman"/>
            <w:sz w:val="24"/>
            <w:szCs w:val="24"/>
            <w:lang w:val="en-US"/>
          </w:rPr>
          <m:t xml:space="preserve">, </m:t>
        </m:r>
      </m:oMath>
      <w:r w:rsidRPr="00DD0F31">
        <w:rPr>
          <w:rFonts w:ascii="Times New Roman" w:hAnsi="Times New Roman" w:cs="Times New Roman"/>
          <w:sz w:val="24"/>
          <w:szCs w:val="24"/>
          <w:lang w:val="en-US"/>
        </w:rPr>
        <w:t xml:space="preserve"> and for the instruments,</w:t>
      </w:r>
      <w:r w:rsidRPr="00DD0F31">
        <w:rPr>
          <w:rFonts w:ascii="Times New Roman" w:hAnsi="Times New Roman" w:cs="Times New Roman"/>
          <w:i/>
          <w:sz w:val="24"/>
          <w:szCs w:val="24"/>
          <w:lang w:val="en-US"/>
        </w:rPr>
        <w:t xml:space="preserv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x</m:t>
            </m:r>
          </m:e>
          <m:sub>
            <m:r>
              <w:rPr>
                <w:rFonts w:ascii="Cambria Math" w:hAnsi="Cambria Math" w:cs="Times New Roman"/>
                <w:sz w:val="24"/>
                <w:szCs w:val="24"/>
                <w:lang w:val="en-US"/>
              </w:rPr>
              <m:t>2i</m:t>
            </m:r>
          </m:sub>
        </m:sSub>
      </m:oMath>
      <w:r w:rsidRPr="00DD0F31">
        <w:rPr>
          <w:rFonts w:ascii="Times New Roman" w:hAnsi="Times New Roman" w:cs="Times New Roman"/>
          <w:sz w:val="24"/>
          <w:szCs w:val="24"/>
          <w:lang w:val="en-US"/>
        </w:rPr>
        <w:t xml:space="preserve">. a </w:t>
      </w:r>
      <w:r w:rsidRPr="00DD0F31">
        <w:rPr>
          <w:rFonts w:ascii="Times New Roman" w:hAnsi="Times New Roman" w:cs="Times New Roman"/>
          <w:i/>
          <w:sz w:val="24"/>
          <w:szCs w:val="24"/>
          <w:lang w:val="en-US"/>
        </w:rPr>
        <w:t>1</w:t>
      </w:r>
      <m:oMath>
        <m:r>
          <w:rPr>
            <w:rFonts w:ascii="Cambria Math" w:hAnsi="Cambria Math" w:cs="Times New Roman"/>
            <w:sz w:val="24"/>
            <w:szCs w:val="24"/>
            <w:lang w:val="en-US"/>
          </w:rPr>
          <m:t>×</m:t>
        </m:r>
        <m:sSub>
          <m:sSubPr>
            <m:ctrlPr>
              <w:rPr>
                <w:rFonts w:ascii="Cambria Math" w:hAnsi="Cambria Math" w:cs="Times New Roman"/>
                <w:i/>
                <w:iCs/>
                <w:sz w:val="24"/>
                <w:szCs w:val="24"/>
                <w:lang w:val="en-US"/>
              </w:rPr>
            </m:ctrlPr>
          </m:sSubPr>
          <m:e>
            <m:r>
              <w:rPr>
                <w:rFonts w:ascii="Cambria Math" w:hAnsi="Cambria Math" w:cs="Times New Roman"/>
                <w:sz w:val="24"/>
                <w:szCs w:val="24"/>
                <w:lang w:val="en-US"/>
              </w:rPr>
              <m:t>k</m:t>
            </m:r>
          </m:e>
          <m:sub>
            <m:r>
              <w:rPr>
                <w:rFonts w:ascii="Cambria Math" w:hAnsi="Cambria Math" w:cs="Times New Roman"/>
                <w:sz w:val="24"/>
                <w:szCs w:val="24"/>
                <w:lang w:val="en-US"/>
              </w:rPr>
              <m:t>2</m:t>
            </m:r>
          </m:sub>
        </m:sSub>
      </m:oMath>
      <w:r w:rsidRPr="00DD0F31">
        <w:rPr>
          <w:rFonts w:ascii="Times New Roman" w:hAnsi="Times New Roman" w:cs="Times New Roman"/>
          <w:sz w:val="24"/>
          <w:szCs w:val="24"/>
          <w:lang w:val="en-US"/>
        </w:rPr>
        <w:t xml:space="preserve"> vector of additional instruments capturing the firm’s regions</w:t>
      </w:r>
      <w:r w:rsidRPr="00DD0F31">
        <w:rPr>
          <w:rStyle w:val="FootnoteReference"/>
          <w:rFonts w:ascii="Times New Roman" w:hAnsi="Times New Roman" w:cs="Times New Roman"/>
          <w:sz w:val="24"/>
          <w:szCs w:val="24"/>
          <w:lang w:val="en-US"/>
        </w:rPr>
        <w:footnoteReference w:id="2"/>
      </w:r>
      <w:r w:rsidRPr="00DD0F31">
        <w:rPr>
          <w:rFonts w:ascii="Times New Roman" w:hAnsi="Times New Roman" w:cs="Times New Roman"/>
          <w:sz w:val="24"/>
          <w:szCs w:val="24"/>
          <w:lang w:val="en-US"/>
        </w:rPr>
        <w:t xml:space="preserve">. The IVPR is a recursive model;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w:rPr>
                <w:rFonts w:ascii="Cambria Math" w:hAnsi="Cambria Math" w:cs="Times New Roman"/>
                <w:sz w:val="24"/>
                <w:szCs w:val="24"/>
                <w:lang w:val="en-US"/>
              </w:rPr>
              <m:t>2i</m:t>
            </m:r>
          </m:sub>
        </m:sSub>
      </m:oMath>
      <w:r w:rsidRPr="00DD0F31">
        <w:rPr>
          <w:rFonts w:ascii="Times New Roman" w:hAnsi="Times New Roman" w:cs="Times New Roman"/>
          <w:sz w:val="24"/>
          <w:szCs w:val="24"/>
          <w:lang w:val="en-US"/>
        </w:rPr>
        <w:t xml:space="preserve"> appears in the equation for </w:t>
      </w:r>
      <m:oMath>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y</m:t>
            </m:r>
          </m:e>
          <m:sub>
            <m:r>
              <w:rPr>
                <w:rFonts w:ascii="Cambria Math" w:hAnsi="Cambria Math" w:cs="Times New Roman"/>
                <w:sz w:val="24"/>
                <w:szCs w:val="24"/>
                <w:lang w:val="en-US"/>
              </w:rPr>
              <m:t>1i</m:t>
            </m:r>
          </m:sub>
          <m:sup>
            <m:r>
              <w:rPr>
                <w:rFonts w:ascii="Cambria Math" w:hAnsi="Cambria Math" w:cs="Times New Roman"/>
                <w:sz w:val="24"/>
                <w:szCs w:val="24"/>
                <w:lang w:val="en-US"/>
              </w:rPr>
              <m:t>*</m:t>
            </m:r>
          </m:sup>
        </m:sSubSup>
      </m:oMath>
      <w:r w:rsidRPr="00DD0F31">
        <w:rPr>
          <w:rFonts w:ascii="Times New Roman" w:hAnsi="Times New Roman" w:cs="Times New Roman"/>
          <w:sz w:val="24"/>
          <w:szCs w:val="24"/>
          <w:lang w:val="en-US"/>
        </w:rPr>
        <w:t xml:space="preserve">, but </w:t>
      </w:r>
      <m:oMath>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y</m:t>
            </m:r>
          </m:e>
          <m:sub>
            <m:r>
              <w:rPr>
                <w:rFonts w:ascii="Cambria Math" w:hAnsi="Cambria Math" w:cs="Times New Roman"/>
                <w:sz w:val="24"/>
                <w:szCs w:val="24"/>
                <w:lang w:val="en-US"/>
              </w:rPr>
              <m:t>1i</m:t>
            </m:r>
          </m:sub>
          <m:sup>
            <m:r>
              <w:rPr>
                <w:rFonts w:ascii="Cambria Math" w:hAnsi="Cambria Math" w:cs="Times New Roman"/>
                <w:sz w:val="24"/>
                <w:szCs w:val="24"/>
                <w:lang w:val="en-US"/>
              </w:rPr>
              <m:t>*</m:t>
            </m:r>
          </m:sup>
        </m:sSubSup>
      </m:oMath>
      <w:r w:rsidRPr="00DD0F31">
        <w:rPr>
          <w:rFonts w:ascii="Times New Roman" w:hAnsi="Times New Roman" w:cs="Times New Roman"/>
          <w:sz w:val="24"/>
          <w:szCs w:val="24"/>
          <w:lang w:val="en-US"/>
        </w:rPr>
        <w:t xml:space="preserve"> does not appear in the equation for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w:rPr>
                <w:rFonts w:ascii="Cambria Math" w:hAnsi="Cambria Math" w:cs="Times New Roman"/>
                <w:sz w:val="24"/>
                <w:szCs w:val="24"/>
                <w:lang w:val="en-US"/>
              </w:rPr>
              <m:t>2i</m:t>
            </m:r>
          </m:sub>
        </m:sSub>
      </m:oMath>
      <w:r w:rsidRPr="00DD0F31">
        <w:rPr>
          <w:rFonts w:ascii="Times New Roman" w:hAnsi="Times New Roman" w:cs="Times New Roman"/>
          <w:sz w:val="24"/>
          <w:szCs w:val="24"/>
          <w:lang w:val="en-US"/>
        </w:rPr>
        <w:t xml:space="preserve">, hence the estimated values for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w:rPr>
                <w:rFonts w:ascii="Cambria Math" w:hAnsi="Cambria Math" w:cs="Times New Roman"/>
                <w:sz w:val="24"/>
                <w:szCs w:val="24"/>
                <w:lang w:val="en-US"/>
              </w:rPr>
              <m:t>2i</m:t>
            </m:r>
          </m:sub>
        </m:sSub>
      </m:oMath>
      <w:r w:rsidRPr="00DD0F31">
        <w:rPr>
          <w:rFonts w:ascii="Times New Roman" w:hAnsi="Times New Roman" w:cs="Times New Roman"/>
          <w:sz w:val="24"/>
          <w:szCs w:val="24"/>
          <w:lang w:val="en-US"/>
        </w:rPr>
        <w:t xml:space="preserve"> are not correlated with the error term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μ</m:t>
            </m:r>
          </m:e>
          <m:sub>
            <m:r>
              <w:rPr>
                <w:rFonts w:ascii="Cambria Math" w:hAnsi="Cambria Math" w:cs="Times New Roman"/>
                <w:sz w:val="24"/>
                <w:szCs w:val="24"/>
                <w:lang w:val="en-US"/>
              </w:rPr>
              <m:t>i</m:t>
            </m:r>
          </m:sub>
        </m:sSub>
      </m:oMath>
      <w:r w:rsidRPr="00DD0F31">
        <w:rPr>
          <w:rFonts w:ascii="Times New Roman" w:hAnsi="Times New Roman" w:cs="Times New Roman"/>
          <w:sz w:val="24"/>
          <w:szCs w:val="24"/>
          <w:lang w:val="en-US"/>
        </w:rPr>
        <w:t xml:space="preserve"> addressing the original endogeneity problems</w:t>
      </w:r>
      <w:r w:rsidRPr="00DD0F31">
        <w:rPr>
          <w:rStyle w:val="FootnoteReference"/>
          <w:rFonts w:ascii="Times New Roman" w:hAnsi="Times New Roman" w:cs="Times New Roman"/>
          <w:sz w:val="24"/>
          <w:szCs w:val="24"/>
          <w:lang w:val="en-US"/>
        </w:rPr>
        <w:footnoteReference w:id="3"/>
      </w:r>
      <w:r w:rsidRPr="00DD0F31">
        <w:rPr>
          <w:rFonts w:ascii="Times New Roman" w:hAnsi="Times New Roman" w:cs="Times New Roman"/>
          <w:sz w:val="24"/>
          <w:szCs w:val="24"/>
          <w:lang w:val="en-US"/>
        </w:rPr>
        <w:t>.</w:t>
      </w:r>
    </w:p>
    <w:p w14:paraId="427B14DC" w14:textId="77777777" w:rsidR="00A36FE8" w:rsidRPr="00DD0F31" w:rsidRDefault="00A36FE8" w:rsidP="00A36FE8">
      <w:pPr>
        <w:spacing w:before="240"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We use a Probit regression for the binary variable: SME’s data project’s completion, with the exogenous variables, detailed in Table 4. At this stage, we also consider the endogenous variables, capturing our constructs for PAC and RAC. These are separately recursively estimated using additional instruments based on regional dummies to reduce/eliminate potential endogeneity.</w:t>
      </w:r>
    </w:p>
    <w:p w14:paraId="6A86B4B1" w14:textId="77777777" w:rsidR="00A36FE8" w:rsidRPr="00A36FE8" w:rsidRDefault="00A36FE8" w:rsidP="00A36FE8">
      <w:pPr>
        <w:spacing w:line="480" w:lineRule="auto"/>
        <w:jc w:val="both"/>
        <w:rPr>
          <w:rFonts w:ascii="Times New Roman" w:hAnsi="Times New Roman" w:cs="Times New Roman"/>
          <w:szCs w:val="24"/>
          <w:lang w:val="en-US"/>
        </w:rPr>
      </w:pPr>
    </w:p>
    <w:p w14:paraId="5E7F8BBD" w14:textId="284E16D1" w:rsidR="00FC296B" w:rsidRPr="00F5536A" w:rsidRDefault="00FC296B" w:rsidP="00DD0F31">
      <w:pPr>
        <w:pStyle w:val="ListParagraph"/>
        <w:numPr>
          <w:ilvl w:val="1"/>
          <w:numId w:val="14"/>
        </w:numPr>
        <w:spacing w:line="480" w:lineRule="auto"/>
        <w:jc w:val="both"/>
        <w:rPr>
          <w:rFonts w:ascii="Times New Roman" w:hAnsi="Times New Roman" w:cs="Times New Roman"/>
          <w:b/>
          <w:bCs/>
          <w:szCs w:val="24"/>
          <w:lang w:val="en-US"/>
        </w:rPr>
      </w:pPr>
      <w:r w:rsidRPr="00F5536A">
        <w:rPr>
          <w:rFonts w:ascii="Times New Roman" w:hAnsi="Times New Roman" w:cs="Times New Roman"/>
          <w:b/>
          <w:bCs/>
          <w:szCs w:val="24"/>
          <w:lang w:val="en-US"/>
        </w:rPr>
        <w:t xml:space="preserve">Estimation Results </w:t>
      </w:r>
    </w:p>
    <w:p w14:paraId="5E20CB91" w14:textId="4E1CCAEE" w:rsidR="00FC296B" w:rsidRPr="00DD0F31" w:rsidRDefault="00A0127E" w:rsidP="00DD0F31">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Table 5 presents the empirical results obtained through our IVPR models. This table consists of two columns presenting two separate estimations, the first on the impact of PAC and the second on the impact of RAC on the probability of project completion.</w:t>
      </w:r>
    </w:p>
    <w:p w14:paraId="2B2E67D2" w14:textId="77777777" w:rsidR="00FC296B" w:rsidRPr="00DD0F31" w:rsidRDefault="00FC296B" w:rsidP="00DD0F31">
      <w:pPr>
        <w:spacing w:line="480" w:lineRule="auto"/>
        <w:jc w:val="both"/>
        <w:rPr>
          <w:rFonts w:ascii="Times New Roman" w:hAnsi="Times New Roman" w:cs="Times New Roman"/>
          <w:b/>
          <w:bCs/>
          <w:sz w:val="24"/>
          <w:szCs w:val="24"/>
          <w:lang w:val="en-US"/>
        </w:rPr>
      </w:pPr>
      <w:bookmarkStart w:id="11" w:name="_Ref149145188"/>
      <w:r w:rsidRPr="00DD0F31">
        <w:rPr>
          <w:rFonts w:ascii="Times New Roman" w:hAnsi="Times New Roman" w:cs="Times New Roman"/>
          <w:b/>
          <w:sz w:val="24"/>
          <w:szCs w:val="24"/>
          <w:lang w:val="en-US"/>
        </w:rPr>
        <w:t>Table 5.  Th</w:t>
      </w:r>
      <w:r w:rsidRPr="00DD0F31">
        <w:rPr>
          <w:rFonts w:ascii="Times New Roman" w:hAnsi="Times New Roman" w:cs="Times New Roman"/>
          <w:b/>
          <w:bCs/>
          <w:sz w:val="24"/>
          <w:szCs w:val="24"/>
          <w:lang w:val="en-US"/>
        </w:rPr>
        <w:t>e impact of PAC/RAC on project completion</w:t>
      </w:r>
      <w:bookmarkEnd w:id="11"/>
    </w:p>
    <w:tbl>
      <w:tblPr>
        <w:tblStyle w:val="TableGrid"/>
        <w:tblW w:w="5005" w:type="pct"/>
        <w:tblLayout w:type="fixed"/>
        <w:tblLook w:val="0000" w:firstRow="0" w:lastRow="0" w:firstColumn="0" w:lastColumn="0" w:noHBand="0" w:noVBand="0"/>
      </w:tblPr>
      <w:tblGrid>
        <w:gridCol w:w="3850"/>
        <w:gridCol w:w="2657"/>
        <w:gridCol w:w="2518"/>
      </w:tblGrid>
      <w:tr w:rsidR="00FC296B" w:rsidRPr="00DD0F31" w14:paraId="10E2ABE3" w14:textId="77777777" w:rsidTr="006A5525">
        <w:tc>
          <w:tcPr>
            <w:tcW w:w="5000" w:type="pct"/>
            <w:gridSpan w:val="3"/>
          </w:tcPr>
          <w:p w14:paraId="2E51BD94"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b/>
                <w:bCs/>
                <w:lang w:val="en-US"/>
              </w:rPr>
              <w:t>Dependent variable: Project Completion</w:t>
            </w:r>
          </w:p>
        </w:tc>
      </w:tr>
      <w:tr w:rsidR="00FC296B" w:rsidRPr="00DD0F31" w14:paraId="65BFD9FE" w14:textId="77777777" w:rsidTr="006A5525">
        <w:tc>
          <w:tcPr>
            <w:tcW w:w="2133" w:type="pct"/>
          </w:tcPr>
          <w:p w14:paraId="62E8E420" w14:textId="77777777" w:rsidR="00FC296B" w:rsidRPr="00DD0F31" w:rsidRDefault="00FC296B" w:rsidP="00DD0F31">
            <w:pPr>
              <w:widowControl w:val="0"/>
              <w:autoSpaceDE w:val="0"/>
              <w:autoSpaceDN w:val="0"/>
              <w:adjustRightInd w:val="0"/>
              <w:spacing w:after="160" w:line="480" w:lineRule="auto"/>
              <w:jc w:val="both"/>
              <w:rPr>
                <w:rFonts w:ascii="Times New Roman" w:hAnsi="Times New Roman" w:cs="Times New Roman"/>
                <w:b/>
                <w:lang w:val="en-US"/>
              </w:rPr>
            </w:pPr>
          </w:p>
        </w:tc>
        <w:tc>
          <w:tcPr>
            <w:tcW w:w="1472" w:type="pct"/>
          </w:tcPr>
          <w:p w14:paraId="1B849677" w14:textId="77777777" w:rsidR="00FC296B" w:rsidRPr="00DD0F31" w:rsidRDefault="00FC296B" w:rsidP="00DD0F31">
            <w:pPr>
              <w:widowControl w:val="0"/>
              <w:autoSpaceDE w:val="0"/>
              <w:autoSpaceDN w:val="0"/>
              <w:adjustRightInd w:val="0"/>
              <w:spacing w:after="160" w:line="480" w:lineRule="auto"/>
              <w:jc w:val="both"/>
              <w:rPr>
                <w:rFonts w:ascii="Times New Roman" w:hAnsi="Times New Roman" w:cs="Times New Roman"/>
                <w:b/>
                <w:lang w:val="en-US"/>
              </w:rPr>
            </w:pPr>
            <w:r w:rsidRPr="00DD0F31">
              <w:rPr>
                <w:rFonts w:ascii="Times New Roman" w:hAnsi="Times New Roman" w:cs="Times New Roman"/>
                <w:b/>
                <w:lang w:val="en-US"/>
              </w:rPr>
              <w:t xml:space="preserve">   PAC</w:t>
            </w:r>
          </w:p>
        </w:tc>
        <w:tc>
          <w:tcPr>
            <w:tcW w:w="1395" w:type="pct"/>
          </w:tcPr>
          <w:p w14:paraId="488D09DA" w14:textId="77777777" w:rsidR="00FC296B" w:rsidRPr="00DD0F31" w:rsidRDefault="00FC296B" w:rsidP="00DD0F31">
            <w:pPr>
              <w:widowControl w:val="0"/>
              <w:autoSpaceDE w:val="0"/>
              <w:autoSpaceDN w:val="0"/>
              <w:adjustRightInd w:val="0"/>
              <w:spacing w:after="160" w:line="480" w:lineRule="auto"/>
              <w:jc w:val="both"/>
              <w:rPr>
                <w:rFonts w:ascii="Times New Roman" w:hAnsi="Times New Roman" w:cs="Times New Roman"/>
                <w:b/>
                <w:lang w:val="en-US"/>
              </w:rPr>
            </w:pPr>
            <w:r w:rsidRPr="00DD0F31">
              <w:rPr>
                <w:rFonts w:ascii="Times New Roman" w:hAnsi="Times New Roman" w:cs="Times New Roman"/>
                <w:b/>
                <w:lang w:val="en-US"/>
              </w:rPr>
              <w:t>RAC</w:t>
            </w:r>
          </w:p>
        </w:tc>
      </w:tr>
      <w:tr w:rsidR="00FC296B" w:rsidRPr="00DD0F31" w14:paraId="7DA510B7" w14:textId="77777777" w:rsidTr="006A5525">
        <w:tc>
          <w:tcPr>
            <w:tcW w:w="2133" w:type="pct"/>
          </w:tcPr>
          <w:p w14:paraId="0C1AD166"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 xml:space="preserve"> </w:t>
            </w:r>
            <w:r w:rsidRPr="00DD0F31">
              <w:rPr>
                <w:rFonts w:ascii="Times New Roman" w:eastAsia="Times New Roman" w:hAnsi="Times New Roman" w:cs="Times New Roman"/>
                <w:i/>
                <w:lang w:val="en-US"/>
              </w:rPr>
              <w:t>Potential Absorptive Capacity</w:t>
            </w:r>
          </w:p>
        </w:tc>
        <w:tc>
          <w:tcPr>
            <w:tcW w:w="1472" w:type="pct"/>
          </w:tcPr>
          <w:p w14:paraId="7BDFEDA6"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1.516***</w:t>
            </w:r>
          </w:p>
        </w:tc>
        <w:tc>
          <w:tcPr>
            <w:tcW w:w="1395" w:type="pct"/>
          </w:tcPr>
          <w:p w14:paraId="58ACF0F7"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r>
      <w:tr w:rsidR="00FC296B" w:rsidRPr="00DD0F31" w14:paraId="5E2D7664" w14:textId="77777777" w:rsidTr="006A5525">
        <w:tc>
          <w:tcPr>
            <w:tcW w:w="2133" w:type="pct"/>
          </w:tcPr>
          <w:p w14:paraId="407F2648"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 xml:space="preserve">  </w:t>
            </w:r>
          </w:p>
        </w:tc>
        <w:tc>
          <w:tcPr>
            <w:tcW w:w="1472" w:type="pct"/>
          </w:tcPr>
          <w:p w14:paraId="68EC5DEA"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(.198)</w:t>
            </w:r>
          </w:p>
        </w:tc>
        <w:tc>
          <w:tcPr>
            <w:tcW w:w="1395" w:type="pct"/>
          </w:tcPr>
          <w:p w14:paraId="4EDBB7F8"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r>
      <w:tr w:rsidR="00FC296B" w:rsidRPr="00DD0F31" w14:paraId="1B4B30C2" w14:textId="77777777" w:rsidTr="006A5525">
        <w:tc>
          <w:tcPr>
            <w:tcW w:w="2133" w:type="pct"/>
          </w:tcPr>
          <w:p w14:paraId="1123B73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Realized Absorptive Capacity</w:t>
            </w:r>
          </w:p>
        </w:tc>
        <w:tc>
          <w:tcPr>
            <w:tcW w:w="1472" w:type="pct"/>
          </w:tcPr>
          <w:p w14:paraId="223981F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395" w:type="pct"/>
          </w:tcPr>
          <w:p w14:paraId="133CB728"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-1.562***</w:t>
            </w:r>
          </w:p>
        </w:tc>
      </w:tr>
      <w:tr w:rsidR="00FC296B" w:rsidRPr="00DD0F31" w14:paraId="4479EBEE" w14:textId="77777777" w:rsidTr="006A5525">
        <w:tc>
          <w:tcPr>
            <w:tcW w:w="2133" w:type="pct"/>
          </w:tcPr>
          <w:p w14:paraId="2E9A30EF"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 xml:space="preserve">  </w:t>
            </w:r>
          </w:p>
        </w:tc>
        <w:tc>
          <w:tcPr>
            <w:tcW w:w="1472" w:type="pct"/>
          </w:tcPr>
          <w:p w14:paraId="6C540BFA"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395" w:type="pct"/>
          </w:tcPr>
          <w:p w14:paraId="6F5C56C6"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(.224)</w:t>
            </w:r>
          </w:p>
        </w:tc>
      </w:tr>
      <w:tr w:rsidR="00FC296B" w:rsidRPr="00DD0F31" w14:paraId="3CB0A384" w14:textId="77777777" w:rsidTr="006A5525">
        <w:tc>
          <w:tcPr>
            <w:tcW w:w="2133" w:type="pct"/>
          </w:tcPr>
          <w:p w14:paraId="145CE8FF"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Q7 - Geographic - Local</w:t>
            </w:r>
          </w:p>
        </w:tc>
        <w:tc>
          <w:tcPr>
            <w:tcW w:w="1472" w:type="pct"/>
          </w:tcPr>
          <w:p w14:paraId="4B6348D1"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.35**</w:t>
            </w:r>
          </w:p>
        </w:tc>
        <w:tc>
          <w:tcPr>
            <w:tcW w:w="1395" w:type="pct"/>
          </w:tcPr>
          <w:p w14:paraId="3AED4D06"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-.186</w:t>
            </w:r>
          </w:p>
        </w:tc>
      </w:tr>
      <w:tr w:rsidR="00FC296B" w:rsidRPr="00DD0F31" w14:paraId="73DAEBF3" w14:textId="77777777" w:rsidTr="006A5525">
        <w:tc>
          <w:tcPr>
            <w:tcW w:w="2133" w:type="pct"/>
          </w:tcPr>
          <w:p w14:paraId="5F7DCB9A"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 xml:space="preserve">  </w:t>
            </w:r>
          </w:p>
        </w:tc>
        <w:tc>
          <w:tcPr>
            <w:tcW w:w="1472" w:type="pct"/>
          </w:tcPr>
          <w:p w14:paraId="77F8CC2D"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(.173)</w:t>
            </w:r>
          </w:p>
        </w:tc>
        <w:tc>
          <w:tcPr>
            <w:tcW w:w="1395" w:type="pct"/>
          </w:tcPr>
          <w:p w14:paraId="1EBDD682"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(.175)</w:t>
            </w:r>
          </w:p>
        </w:tc>
      </w:tr>
      <w:tr w:rsidR="00FC296B" w:rsidRPr="00DD0F31" w14:paraId="59838FF6" w14:textId="77777777" w:rsidTr="006A5525">
        <w:tc>
          <w:tcPr>
            <w:tcW w:w="2133" w:type="pct"/>
          </w:tcPr>
          <w:p w14:paraId="309AC85B"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 xml:space="preserve"> </w:t>
            </w:r>
            <w:r w:rsidRPr="00DD0F31">
              <w:rPr>
                <w:rFonts w:ascii="Times New Roman" w:eastAsia="Times New Roman" w:hAnsi="Times New Roman" w:cs="Times New Roman"/>
                <w:i/>
                <w:lang w:val="en-US"/>
              </w:rPr>
              <w:t>Q7 - Geographic - Regional</w:t>
            </w:r>
          </w:p>
        </w:tc>
        <w:tc>
          <w:tcPr>
            <w:tcW w:w="1472" w:type="pct"/>
          </w:tcPr>
          <w:p w14:paraId="3D05274C"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-.263</w:t>
            </w:r>
          </w:p>
        </w:tc>
        <w:tc>
          <w:tcPr>
            <w:tcW w:w="1395" w:type="pct"/>
          </w:tcPr>
          <w:p w14:paraId="09C15917"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-.032</w:t>
            </w:r>
          </w:p>
        </w:tc>
      </w:tr>
      <w:tr w:rsidR="00FC296B" w:rsidRPr="00DD0F31" w14:paraId="256487CD" w14:textId="77777777" w:rsidTr="006A5525">
        <w:tc>
          <w:tcPr>
            <w:tcW w:w="2133" w:type="pct"/>
          </w:tcPr>
          <w:p w14:paraId="2736AA95"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 xml:space="preserve">  </w:t>
            </w:r>
          </w:p>
        </w:tc>
        <w:tc>
          <w:tcPr>
            <w:tcW w:w="1472" w:type="pct"/>
          </w:tcPr>
          <w:p w14:paraId="773AE447"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(.176)</w:t>
            </w:r>
          </w:p>
        </w:tc>
        <w:tc>
          <w:tcPr>
            <w:tcW w:w="1395" w:type="pct"/>
          </w:tcPr>
          <w:p w14:paraId="295462F1"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(.184)</w:t>
            </w:r>
          </w:p>
        </w:tc>
      </w:tr>
      <w:tr w:rsidR="00FC296B" w:rsidRPr="00DD0F31" w14:paraId="0C028E1C" w14:textId="77777777" w:rsidTr="006A5525">
        <w:tc>
          <w:tcPr>
            <w:tcW w:w="2133" w:type="pct"/>
          </w:tcPr>
          <w:p w14:paraId="1CBA8B8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Q7 - Geographic - National</w:t>
            </w:r>
          </w:p>
        </w:tc>
        <w:tc>
          <w:tcPr>
            <w:tcW w:w="1472" w:type="pct"/>
          </w:tcPr>
          <w:p w14:paraId="3B889663"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-.438***</w:t>
            </w:r>
          </w:p>
        </w:tc>
        <w:tc>
          <w:tcPr>
            <w:tcW w:w="1395" w:type="pct"/>
          </w:tcPr>
          <w:p w14:paraId="01FE189A"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.098</w:t>
            </w:r>
          </w:p>
        </w:tc>
      </w:tr>
      <w:tr w:rsidR="00FC296B" w:rsidRPr="00DD0F31" w14:paraId="76EEC970" w14:textId="77777777" w:rsidTr="006A5525">
        <w:tc>
          <w:tcPr>
            <w:tcW w:w="2133" w:type="pct"/>
          </w:tcPr>
          <w:p w14:paraId="59128A8F"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375A7E3C"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(.164)</w:t>
            </w:r>
          </w:p>
        </w:tc>
        <w:tc>
          <w:tcPr>
            <w:tcW w:w="1395" w:type="pct"/>
          </w:tcPr>
          <w:p w14:paraId="25A99CBD"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(.188)</w:t>
            </w:r>
          </w:p>
        </w:tc>
      </w:tr>
      <w:tr w:rsidR="00FC296B" w:rsidRPr="00DD0F31" w14:paraId="5C6BDFEB" w14:textId="77777777" w:rsidTr="006A5525">
        <w:tc>
          <w:tcPr>
            <w:tcW w:w="2133" w:type="pct"/>
          </w:tcPr>
          <w:p w14:paraId="41B2B22B"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Q7 - Geographic - EU-wide</w:t>
            </w:r>
          </w:p>
        </w:tc>
        <w:tc>
          <w:tcPr>
            <w:tcW w:w="1472" w:type="pct"/>
          </w:tcPr>
          <w:p w14:paraId="7F69E56C"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.332</w:t>
            </w:r>
          </w:p>
        </w:tc>
        <w:tc>
          <w:tcPr>
            <w:tcW w:w="1395" w:type="pct"/>
          </w:tcPr>
          <w:p w14:paraId="1C935D38"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.056</w:t>
            </w:r>
          </w:p>
        </w:tc>
      </w:tr>
      <w:tr w:rsidR="00FC296B" w:rsidRPr="00DD0F31" w14:paraId="5F913FB7" w14:textId="77777777" w:rsidTr="006A5525">
        <w:tc>
          <w:tcPr>
            <w:tcW w:w="2133" w:type="pct"/>
          </w:tcPr>
          <w:p w14:paraId="317A2B84"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36E42512"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(.26)</w:t>
            </w:r>
          </w:p>
        </w:tc>
        <w:tc>
          <w:tcPr>
            <w:tcW w:w="1395" w:type="pct"/>
          </w:tcPr>
          <w:p w14:paraId="696EED44"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(.288)</w:t>
            </w:r>
          </w:p>
        </w:tc>
      </w:tr>
      <w:tr w:rsidR="00FC296B" w:rsidRPr="00DD0F31" w14:paraId="063B92ED" w14:textId="77777777" w:rsidTr="006A5525">
        <w:tc>
          <w:tcPr>
            <w:tcW w:w="2133" w:type="pct"/>
          </w:tcPr>
          <w:p w14:paraId="62462C8A"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Q7 - Geographic - Worldwide</w:t>
            </w:r>
          </w:p>
        </w:tc>
        <w:tc>
          <w:tcPr>
            <w:tcW w:w="1472" w:type="pct"/>
          </w:tcPr>
          <w:p w14:paraId="39279AE7"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-.135</w:t>
            </w:r>
          </w:p>
        </w:tc>
        <w:tc>
          <w:tcPr>
            <w:tcW w:w="1395" w:type="pct"/>
          </w:tcPr>
          <w:p w14:paraId="3F6E518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.093</w:t>
            </w:r>
          </w:p>
        </w:tc>
      </w:tr>
      <w:tr w:rsidR="00FC296B" w:rsidRPr="00DD0F31" w14:paraId="7713EAD3" w14:textId="77777777" w:rsidTr="006A5525">
        <w:tc>
          <w:tcPr>
            <w:tcW w:w="2133" w:type="pct"/>
          </w:tcPr>
          <w:p w14:paraId="36803583"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6F91AAE5"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(.236)</w:t>
            </w:r>
          </w:p>
        </w:tc>
        <w:tc>
          <w:tcPr>
            <w:tcW w:w="1395" w:type="pct"/>
          </w:tcPr>
          <w:p w14:paraId="4255F7E5"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(.234)</w:t>
            </w:r>
          </w:p>
        </w:tc>
      </w:tr>
      <w:tr w:rsidR="00FC296B" w:rsidRPr="00DD0F31" w14:paraId="62E2FEA0" w14:textId="77777777" w:rsidTr="006A5525">
        <w:tc>
          <w:tcPr>
            <w:tcW w:w="2133" w:type="pct"/>
          </w:tcPr>
          <w:p w14:paraId="52248A4D"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Q15.1 - Tools - Spreadsheets</w:t>
            </w:r>
          </w:p>
        </w:tc>
        <w:tc>
          <w:tcPr>
            <w:tcW w:w="1472" w:type="pct"/>
          </w:tcPr>
          <w:p w14:paraId="5EDA8A4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-.025</w:t>
            </w:r>
          </w:p>
        </w:tc>
        <w:tc>
          <w:tcPr>
            <w:tcW w:w="1395" w:type="pct"/>
          </w:tcPr>
          <w:p w14:paraId="00F8C67B"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.143</w:t>
            </w:r>
          </w:p>
        </w:tc>
      </w:tr>
      <w:tr w:rsidR="00FC296B" w:rsidRPr="00DD0F31" w14:paraId="01E56C1A" w14:textId="77777777" w:rsidTr="006A5525">
        <w:tc>
          <w:tcPr>
            <w:tcW w:w="2133" w:type="pct"/>
          </w:tcPr>
          <w:p w14:paraId="394F24D5"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2C44C31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(.096)</w:t>
            </w:r>
          </w:p>
        </w:tc>
        <w:tc>
          <w:tcPr>
            <w:tcW w:w="1395" w:type="pct"/>
          </w:tcPr>
          <w:p w14:paraId="64FE112A"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(.089)</w:t>
            </w:r>
          </w:p>
        </w:tc>
      </w:tr>
      <w:tr w:rsidR="00FC296B" w:rsidRPr="00DD0F31" w14:paraId="17AAC973" w14:textId="77777777" w:rsidTr="006A5525">
        <w:tc>
          <w:tcPr>
            <w:tcW w:w="2133" w:type="pct"/>
          </w:tcPr>
          <w:p w14:paraId="5970CDE0"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Q15.2 - Tools – SQL</w:t>
            </w:r>
          </w:p>
        </w:tc>
        <w:tc>
          <w:tcPr>
            <w:tcW w:w="1472" w:type="pct"/>
          </w:tcPr>
          <w:p w14:paraId="5796FF90"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-.008</w:t>
            </w:r>
          </w:p>
        </w:tc>
        <w:tc>
          <w:tcPr>
            <w:tcW w:w="1395" w:type="pct"/>
          </w:tcPr>
          <w:p w14:paraId="56D72B73"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-.017</w:t>
            </w:r>
          </w:p>
        </w:tc>
      </w:tr>
      <w:tr w:rsidR="00FC296B" w:rsidRPr="00DD0F31" w14:paraId="06C73646" w14:textId="77777777" w:rsidTr="006A5525">
        <w:tc>
          <w:tcPr>
            <w:tcW w:w="2133" w:type="pct"/>
          </w:tcPr>
          <w:p w14:paraId="0DFEFF1F"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0A8E0089"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(.093)</w:t>
            </w:r>
          </w:p>
        </w:tc>
        <w:tc>
          <w:tcPr>
            <w:tcW w:w="1395" w:type="pct"/>
          </w:tcPr>
          <w:p w14:paraId="04B74B0F"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(.093)</w:t>
            </w:r>
          </w:p>
        </w:tc>
      </w:tr>
      <w:tr w:rsidR="00FC296B" w:rsidRPr="00DD0F31" w14:paraId="3A9B3797" w14:textId="77777777" w:rsidTr="006A5525">
        <w:tc>
          <w:tcPr>
            <w:tcW w:w="2133" w:type="pct"/>
          </w:tcPr>
          <w:p w14:paraId="2379DB45"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Q15.3 - Tools - Visualization</w:t>
            </w:r>
          </w:p>
        </w:tc>
        <w:tc>
          <w:tcPr>
            <w:tcW w:w="1472" w:type="pct"/>
          </w:tcPr>
          <w:p w14:paraId="14DDB69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-.105</w:t>
            </w:r>
          </w:p>
        </w:tc>
        <w:tc>
          <w:tcPr>
            <w:tcW w:w="1395" w:type="pct"/>
          </w:tcPr>
          <w:p w14:paraId="18B388F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-.083</w:t>
            </w:r>
          </w:p>
        </w:tc>
      </w:tr>
      <w:tr w:rsidR="00FC296B" w:rsidRPr="00DD0F31" w14:paraId="56E5129E" w14:textId="77777777" w:rsidTr="006A5525">
        <w:tc>
          <w:tcPr>
            <w:tcW w:w="2133" w:type="pct"/>
          </w:tcPr>
          <w:p w14:paraId="6FB061FC"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5CAC0159"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(.099)</w:t>
            </w:r>
          </w:p>
        </w:tc>
        <w:tc>
          <w:tcPr>
            <w:tcW w:w="1395" w:type="pct"/>
          </w:tcPr>
          <w:p w14:paraId="4DBC9676"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(.099)</w:t>
            </w:r>
          </w:p>
        </w:tc>
      </w:tr>
      <w:tr w:rsidR="00FC296B" w:rsidRPr="00DD0F31" w14:paraId="7E075F22" w14:textId="77777777" w:rsidTr="006A5525">
        <w:tc>
          <w:tcPr>
            <w:tcW w:w="2133" w:type="pct"/>
          </w:tcPr>
          <w:p w14:paraId="2D082ADD"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Q15.4 - Tools – API</w:t>
            </w:r>
          </w:p>
        </w:tc>
        <w:tc>
          <w:tcPr>
            <w:tcW w:w="1472" w:type="pct"/>
          </w:tcPr>
          <w:p w14:paraId="2D61369B"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-.076</w:t>
            </w:r>
          </w:p>
        </w:tc>
        <w:tc>
          <w:tcPr>
            <w:tcW w:w="1395" w:type="pct"/>
          </w:tcPr>
          <w:p w14:paraId="05789561"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.15*</w:t>
            </w:r>
          </w:p>
        </w:tc>
      </w:tr>
      <w:tr w:rsidR="00FC296B" w:rsidRPr="00DD0F31" w14:paraId="21A5B7E0" w14:textId="77777777" w:rsidTr="006A5525">
        <w:tc>
          <w:tcPr>
            <w:tcW w:w="2133" w:type="pct"/>
          </w:tcPr>
          <w:p w14:paraId="7BD9A4B1"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6790188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(.091)</w:t>
            </w:r>
          </w:p>
        </w:tc>
        <w:tc>
          <w:tcPr>
            <w:tcW w:w="1395" w:type="pct"/>
          </w:tcPr>
          <w:p w14:paraId="1E0ADBFA"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(.088)</w:t>
            </w:r>
          </w:p>
        </w:tc>
      </w:tr>
      <w:tr w:rsidR="00FC296B" w:rsidRPr="00DD0F31" w14:paraId="37C3ED7A" w14:textId="77777777" w:rsidTr="006A5525">
        <w:tc>
          <w:tcPr>
            <w:tcW w:w="2133" w:type="pct"/>
          </w:tcPr>
          <w:p w14:paraId="6D8BCCBC"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Q15.5 - Tools – Reinf. Learning</w:t>
            </w:r>
          </w:p>
        </w:tc>
        <w:tc>
          <w:tcPr>
            <w:tcW w:w="1472" w:type="pct"/>
          </w:tcPr>
          <w:p w14:paraId="273A49A0"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.054</w:t>
            </w:r>
          </w:p>
        </w:tc>
        <w:tc>
          <w:tcPr>
            <w:tcW w:w="1395" w:type="pct"/>
          </w:tcPr>
          <w:p w14:paraId="02274663"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.237***</w:t>
            </w:r>
          </w:p>
        </w:tc>
      </w:tr>
      <w:tr w:rsidR="00FC296B" w:rsidRPr="00DD0F31" w14:paraId="0B63C12F" w14:textId="77777777" w:rsidTr="006A5525">
        <w:tc>
          <w:tcPr>
            <w:tcW w:w="2133" w:type="pct"/>
          </w:tcPr>
          <w:p w14:paraId="727A2CEC"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541A5524"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(.099)</w:t>
            </w:r>
          </w:p>
        </w:tc>
        <w:tc>
          <w:tcPr>
            <w:tcW w:w="1395" w:type="pct"/>
          </w:tcPr>
          <w:p w14:paraId="11412637"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(.091)</w:t>
            </w:r>
          </w:p>
        </w:tc>
      </w:tr>
      <w:tr w:rsidR="00FC296B" w:rsidRPr="00DD0F31" w14:paraId="485F09C7" w14:textId="77777777" w:rsidTr="006A5525">
        <w:tc>
          <w:tcPr>
            <w:tcW w:w="2133" w:type="pct"/>
          </w:tcPr>
          <w:p w14:paraId="0CF6DA34"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Q16.1 - Analysis – Product data</w:t>
            </w:r>
          </w:p>
        </w:tc>
        <w:tc>
          <w:tcPr>
            <w:tcW w:w="1472" w:type="pct"/>
          </w:tcPr>
          <w:p w14:paraId="751DC438"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-.084</w:t>
            </w:r>
          </w:p>
        </w:tc>
        <w:tc>
          <w:tcPr>
            <w:tcW w:w="1395" w:type="pct"/>
          </w:tcPr>
          <w:p w14:paraId="11FD958D"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.052</w:t>
            </w:r>
          </w:p>
        </w:tc>
      </w:tr>
      <w:tr w:rsidR="00FC296B" w:rsidRPr="00DD0F31" w14:paraId="32F76D39" w14:textId="77777777" w:rsidTr="006A5525">
        <w:tc>
          <w:tcPr>
            <w:tcW w:w="2133" w:type="pct"/>
          </w:tcPr>
          <w:p w14:paraId="0107030B"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050C781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(.079)</w:t>
            </w:r>
          </w:p>
        </w:tc>
        <w:tc>
          <w:tcPr>
            <w:tcW w:w="1395" w:type="pct"/>
          </w:tcPr>
          <w:p w14:paraId="4A68D670"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(.086)</w:t>
            </w:r>
          </w:p>
        </w:tc>
      </w:tr>
      <w:tr w:rsidR="00FC296B" w:rsidRPr="00DD0F31" w14:paraId="7C9CD28F" w14:textId="77777777" w:rsidTr="006A5525">
        <w:tc>
          <w:tcPr>
            <w:tcW w:w="2133" w:type="pct"/>
          </w:tcPr>
          <w:p w14:paraId="5925F8D3"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Q16.2 - Analysis - Financial data</w:t>
            </w:r>
          </w:p>
        </w:tc>
        <w:tc>
          <w:tcPr>
            <w:tcW w:w="1472" w:type="pct"/>
          </w:tcPr>
          <w:p w14:paraId="20C79DA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.118</w:t>
            </w:r>
          </w:p>
        </w:tc>
        <w:tc>
          <w:tcPr>
            <w:tcW w:w="1395" w:type="pct"/>
          </w:tcPr>
          <w:p w14:paraId="24F8ECB0"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.134</w:t>
            </w:r>
          </w:p>
        </w:tc>
      </w:tr>
      <w:tr w:rsidR="00FC296B" w:rsidRPr="00DD0F31" w14:paraId="1C709FBD" w14:textId="77777777" w:rsidTr="006A5525">
        <w:tc>
          <w:tcPr>
            <w:tcW w:w="2133" w:type="pct"/>
          </w:tcPr>
          <w:p w14:paraId="2746A1C0"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 xml:space="preserve">  </w:t>
            </w:r>
          </w:p>
        </w:tc>
        <w:tc>
          <w:tcPr>
            <w:tcW w:w="1472" w:type="pct"/>
          </w:tcPr>
          <w:p w14:paraId="5BB80882"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(.084)</w:t>
            </w:r>
          </w:p>
        </w:tc>
        <w:tc>
          <w:tcPr>
            <w:tcW w:w="1395" w:type="pct"/>
          </w:tcPr>
          <w:p w14:paraId="3E2B4130"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(.085)</w:t>
            </w:r>
          </w:p>
        </w:tc>
      </w:tr>
      <w:tr w:rsidR="00FC296B" w:rsidRPr="00DD0F31" w14:paraId="0CC2599A" w14:textId="77777777" w:rsidTr="006A5525">
        <w:tc>
          <w:tcPr>
            <w:tcW w:w="2133" w:type="pct"/>
          </w:tcPr>
          <w:p w14:paraId="27ACCC36"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Q16.3 – Customer data</w:t>
            </w:r>
          </w:p>
        </w:tc>
        <w:tc>
          <w:tcPr>
            <w:tcW w:w="1472" w:type="pct"/>
          </w:tcPr>
          <w:p w14:paraId="2B22F016"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-.026</w:t>
            </w:r>
          </w:p>
        </w:tc>
        <w:tc>
          <w:tcPr>
            <w:tcW w:w="1395" w:type="pct"/>
          </w:tcPr>
          <w:p w14:paraId="766145D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-.122</w:t>
            </w:r>
          </w:p>
        </w:tc>
      </w:tr>
      <w:tr w:rsidR="00FC296B" w:rsidRPr="00DD0F31" w14:paraId="227D7C54" w14:textId="77777777" w:rsidTr="006A5525">
        <w:tc>
          <w:tcPr>
            <w:tcW w:w="2133" w:type="pct"/>
          </w:tcPr>
          <w:p w14:paraId="16F4177B"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2D357571"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(.089)</w:t>
            </w:r>
          </w:p>
        </w:tc>
        <w:tc>
          <w:tcPr>
            <w:tcW w:w="1395" w:type="pct"/>
          </w:tcPr>
          <w:p w14:paraId="76E74CE2"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(.089)</w:t>
            </w:r>
          </w:p>
        </w:tc>
      </w:tr>
      <w:tr w:rsidR="00FC296B" w:rsidRPr="00DD0F31" w14:paraId="3F49E1D2" w14:textId="77777777" w:rsidTr="006A5525">
        <w:tc>
          <w:tcPr>
            <w:tcW w:w="2133" w:type="pct"/>
          </w:tcPr>
          <w:p w14:paraId="431770AA"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Q16.4 – Employee data</w:t>
            </w:r>
          </w:p>
        </w:tc>
        <w:tc>
          <w:tcPr>
            <w:tcW w:w="1472" w:type="pct"/>
          </w:tcPr>
          <w:p w14:paraId="754A14E7"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-.288***</w:t>
            </w:r>
          </w:p>
        </w:tc>
        <w:tc>
          <w:tcPr>
            <w:tcW w:w="1395" w:type="pct"/>
          </w:tcPr>
          <w:p w14:paraId="3610D861"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.208**</w:t>
            </w:r>
          </w:p>
        </w:tc>
      </w:tr>
      <w:tr w:rsidR="00FC296B" w:rsidRPr="00DD0F31" w14:paraId="23D0ED3D" w14:textId="77777777" w:rsidTr="006A5525">
        <w:tc>
          <w:tcPr>
            <w:tcW w:w="2133" w:type="pct"/>
          </w:tcPr>
          <w:p w14:paraId="1069144D"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2A3C8DBD"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(.079)</w:t>
            </w:r>
          </w:p>
        </w:tc>
        <w:tc>
          <w:tcPr>
            <w:tcW w:w="1395" w:type="pct"/>
          </w:tcPr>
          <w:p w14:paraId="7016553D"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(.098)</w:t>
            </w:r>
          </w:p>
        </w:tc>
      </w:tr>
      <w:tr w:rsidR="00FC296B" w:rsidRPr="00DD0F31" w14:paraId="363F8603" w14:textId="77777777" w:rsidTr="006A5525">
        <w:tc>
          <w:tcPr>
            <w:tcW w:w="2133" w:type="pct"/>
          </w:tcPr>
          <w:p w14:paraId="2129FC2D"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Q18.1 - Time - Gathering data</w:t>
            </w:r>
          </w:p>
        </w:tc>
        <w:tc>
          <w:tcPr>
            <w:tcW w:w="1472" w:type="pct"/>
          </w:tcPr>
          <w:p w14:paraId="62BC1AF8"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-.252***</w:t>
            </w:r>
          </w:p>
        </w:tc>
        <w:tc>
          <w:tcPr>
            <w:tcW w:w="1395" w:type="pct"/>
          </w:tcPr>
          <w:p w14:paraId="65638704"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.152</w:t>
            </w:r>
          </w:p>
        </w:tc>
      </w:tr>
      <w:tr w:rsidR="00FC296B" w:rsidRPr="00DD0F31" w14:paraId="17913DF0" w14:textId="77777777" w:rsidTr="006A5525">
        <w:tc>
          <w:tcPr>
            <w:tcW w:w="2133" w:type="pct"/>
          </w:tcPr>
          <w:p w14:paraId="3E04E799"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5D35AF7F"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(.097)</w:t>
            </w:r>
          </w:p>
        </w:tc>
        <w:tc>
          <w:tcPr>
            <w:tcW w:w="1395" w:type="pct"/>
          </w:tcPr>
          <w:p w14:paraId="6F9A8FF3"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(.105)</w:t>
            </w:r>
          </w:p>
        </w:tc>
      </w:tr>
      <w:tr w:rsidR="00FC296B" w:rsidRPr="00DD0F31" w14:paraId="6F948F3F" w14:textId="77777777" w:rsidTr="006A5525">
        <w:tc>
          <w:tcPr>
            <w:tcW w:w="2133" w:type="pct"/>
          </w:tcPr>
          <w:p w14:paraId="3A01DFF4"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Q18.2 - Time - Managing data</w:t>
            </w:r>
          </w:p>
        </w:tc>
        <w:tc>
          <w:tcPr>
            <w:tcW w:w="1472" w:type="pct"/>
          </w:tcPr>
          <w:p w14:paraId="74F95D38"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w:t>
            </w:r>
          </w:p>
        </w:tc>
        <w:tc>
          <w:tcPr>
            <w:tcW w:w="1395" w:type="pct"/>
          </w:tcPr>
          <w:p w14:paraId="1D7A156C"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.123</w:t>
            </w:r>
          </w:p>
        </w:tc>
      </w:tr>
      <w:tr w:rsidR="00FC296B" w:rsidRPr="00DD0F31" w14:paraId="58139F1C" w14:textId="77777777" w:rsidTr="006A5525">
        <w:tc>
          <w:tcPr>
            <w:tcW w:w="2133" w:type="pct"/>
          </w:tcPr>
          <w:p w14:paraId="31485AE0"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3FD307EF"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(.091)</w:t>
            </w:r>
          </w:p>
        </w:tc>
        <w:tc>
          <w:tcPr>
            <w:tcW w:w="1395" w:type="pct"/>
          </w:tcPr>
          <w:p w14:paraId="1DE43D62"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(.088)</w:t>
            </w:r>
          </w:p>
        </w:tc>
      </w:tr>
      <w:tr w:rsidR="00FC296B" w:rsidRPr="00DD0F31" w14:paraId="65BB66C0" w14:textId="77777777" w:rsidTr="006A5525">
        <w:tc>
          <w:tcPr>
            <w:tcW w:w="2133" w:type="pct"/>
          </w:tcPr>
          <w:p w14:paraId="03CBCC18"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Q18.3 - Time - Analyzing data</w:t>
            </w:r>
          </w:p>
        </w:tc>
        <w:tc>
          <w:tcPr>
            <w:tcW w:w="1472" w:type="pct"/>
          </w:tcPr>
          <w:p w14:paraId="3C615CC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.05</w:t>
            </w:r>
          </w:p>
        </w:tc>
        <w:tc>
          <w:tcPr>
            <w:tcW w:w="1395" w:type="pct"/>
          </w:tcPr>
          <w:p w14:paraId="7E322B7D"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.07</w:t>
            </w:r>
          </w:p>
        </w:tc>
      </w:tr>
      <w:tr w:rsidR="00FC296B" w:rsidRPr="00DD0F31" w14:paraId="1EF30DEE" w14:textId="77777777" w:rsidTr="006A5525">
        <w:tc>
          <w:tcPr>
            <w:tcW w:w="2133" w:type="pct"/>
          </w:tcPr>
          <w:p w14:paraId="6161B5D4"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7C897D4C"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(.102)</w:t>
            </w:r>
          </w:p>
        </w:tc>
        <w:tc>
          <w:tcPr>
            <w:tcW w:w="1395" w:type="pct"/>
          </w:tcPr>
          <w:p w14:paraId="4198D368"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(.102)</w:t>
            </w:r>
          </w:p>
        </w:tc>
      </w:tr>
      <w:tr w:rsidR="00FC296B" w:rsidRPr="00DD0F31" w14:paraId="3D650893" w14:textId="77777777" w:rsidTr="006A5525">
        <w:tc>
          <w:tcPr>
            <w:tcW w:w="2133" w:type="pct"/>
          </w:tcPr>
          <w:p w14:paraId="6D6A326F"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Q18.4 - Time - Visualizing data</w:t>
            </w:r>
          </w:p>
        </w:tc>
        <w:tc>
          <w:tcPr>
            <w:tcW w:w="1472" w:type="pct"/>
          </w:tcPr>
          <w:p w14:paraId="1E1DB766"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-.046</w:t>
            </w:r>
          </w:p>
        </w:tc>
        <w:tc>
          <w:tcPr>
            <w:tcW w:w="1395" w:type="pct"/>
          </w:tcPr>
          <w:p w14:paraId="75118D42"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.114</w:t>
            </w:r>
          </w:p>
        </w:tc>
      </w:tr>
      <w:tr w:rsidR="00FC296B" w:rsidRPr="00DD0F31" w14:paraId="5C9748C7" w14:textId="77777777" w:rsidTr="006A5525">
        <w:tc>
          <w:tcPr>
            <w:tcW w:w="2133" w:type="pct"/>
          </w:tcPr>
          <w:p w14:paraId="6806C2F2"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6671AC0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(.093)</w:t>
            </w:r>
          </w:p>
        </w:tc>
        <w:tc>
          <w:tcPr>
            <w:tcW w:w="1395" w:type="pct"/>
          </w:tcPr>
          <w:p w14:paraId="31E295BD"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(.091)</w:t>
            </w:r>
          </w:p>
        </w:tc>
      </w:tr>
      <w:tr w:rsidR="00FC296B" w:rsidRPr="00DD0F31" w14:paraId="66741406" w14:textId="77777777" w:rsidTr="006A5525">
        <w:tc>
          <w:tcPr>
            <w:tcW w:w="2133" w:type="pct"/>
          </w:tcPr>
          <w:p w14:paraId="32CFE152"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Q21.1 - Security - Importance</w:t>
            </w:r>
          </w:p>
        </w:tc>
        <w:tc>
          <w:tcPr>
            <w:tcW w:w="1472" w:type="pct"/>
          </w:tcPr>
          <w:p w14:paraId="6C03D742"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-.112</w:t>
            </w:r>
          </w:p>
        </w:tc>
        <w:tc>
          <w:tcPr>
            <w:tcW w:w="1395" w:type="pct"/>
          </w:tcPr>
          <w:p w14:paraId="6A660253"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.221**</w:t>
            </w:r>
          </w:p>
        </w:tc>
      </w:tr>
      <w:tr w:rsidR="00FC296B" w:rsidRPr="00DD0F31" w14:paraId="4BDACC08" w14:textId="77777777" w:rsidTr="006A5525">
        <w:tc>
          <w:tcPr>
            <w:tcW w:w="2133" w:type="pct"/>
          </w:tcPr>
          <w:p w14:paraId="0E311D46"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0D3CB9E9"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(.11)</w:t>
            </w:r>
          </w:p>
        </w:tc>
        <w:tc>
          <w:tcPr>
            <w:tcW w:w="1395" w:type="pct"/>
          </w:tcPr>
          <w:p w14:paraId="6DB4CAF3"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(.106)</w:t>
            </w:r>
          </w:p>
        </w:tc>
      </w:tr>
      <w:tr w:rsidR="00FC296B" w:rsidRPr="00DD0F31" w14:paraId="46A2001B" w14:textId="77777777" w:rsidTr="006A5525">
        <w:tc>
          <w:tcPr>
            <w:tcW w:w="2133" w:type="pct"/>
          </w:tcPr>
          <w:p w14:paraId="23D21D35"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Q21.2 - Security - Software</w:t>
            </w:r>
          </w:p>
        </w:tc>
        <w:tc>
          <w:tcPr>
            <w:tcW w:w="1472" w:type="pct"/>
          </w:tcPr>
          <w:p w14:paraId="4EB74CF9"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-.259***</w:t>
            </w:r>
          </w:p>
        </w:tc>
        <w:tc>
          <w:tcPr>
            <w:tcW w:w="1395" w:type="pct"/>
          </w:tcPr>
          <w:p w14:paraId="6910DAAD"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.135</w:t>
            </w:r>
          </w:p>
        </w:tc>
      </w:tr>
      <w:tr w:rsidR="00FC296B" w:rsidRPr="00DD0F31" w14:paraId="73D26FEA" w14:textId="77777777" w:rsidTr="006A5525">
        <w:tc>
          <w:tcPr>
            <w:tcW w:w="2133" w:type="pct"/>
          </w:tcPr>
          <w:p w14:paraId="4FEADCC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 xml:space="preserve">  </w:t>
            </w:r>
          </w:p>
        </w:tc>
        <w:tc>
          <w:tcPr>
            <w:tcW w:w="1472" w:type="pct"/>
          </w:tcPr>
          <w:p w14:paraId="0025B23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(.084)</w:t>
            </w:r>
          </w:p>
        </w:tc>
        <w:tc>
          <w:tcPr>
            <w:tcW w:w="1395" w:type="pct"/>
          </w:tcPr>
          <w:p w14:paraId="41339B1D"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(.103)</w:t>
            </w:r>
          </w:p>
        </w:tc>
      </w:tr>
      <w:tr w:rsidR="00FC296B" w:rsidRPr="00DD0F31" w14:paraId="1C5EF9CB" w14:textId="77777777" w:rsidTr="006A5525">
        <w:tc>
          <w:tcPr>
            <w:tcW w:w="2133" w:type="pct"/>
          </w:tcPr>
          <w:p w14:paraId="6B1C5E10"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Q21.3 - Security - Law</w:t>
            </w:r>
          </w:p>
        </w:tc>
        <w:tc>
          <w:tcPr>
            <w:tcW w:w="1472" w:type="pct"/>
          </w:tcPr>
          <w:p w14:paraId="3A5187F8"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.232*</w:t>
            </w:r>
          </w:p>
        </w:tc>
        <w:tc>
          <w:tcPr>
            <w:tcW w:w="1395" w:type="pct"/>
          </w:tcPr>
          <w:p w14:paraId="64DA0E2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-.203</w:t>
            </w:r>
          </w:p>
        </w:tc>
      </w:tr>
      <w:tr w:rsidR="00FC296B" w:rsidRPr="00DD0F31" w14:paraId="5FA6C632" w14:textId="77777777" w:rsidTr="006A5525">
        <w:tc>
          <w:tcPr>
            <w:tcW w:w="2133" w:type="pct"/>
          </w:tcPr>
          <w:p w14:paraId="02A196A0"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0C1C1C3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(.123)</w:t>
            </w:r>
          </w:p>
        </w:tc>
        <w:tc>
          <w:tcPr>
            <w:tcW w:w="1395" w:type="pct"/>
          </w:tcPr>
          <w:p w14:paraId="2D743F22"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(.133)</w:t>
            </w:r>
          </w:p>
        </w:tc>
      </w:tr>
      <w:tr w:rsidR="00FC296B" w:rsidRPr="00DD0F31" w14:paraId="26FF7507" w14:textId="77777777" w:rsidTr="006A5525">
        <w:tc>
          <w:tcPr>
            <w:tcW w:w="2133" w:type="pct"/>
          </w:tcPr>
          <w:p w14:paraId="1C0E485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Q21.4 - Security - Obey</w:t>
            </w:r>
          </w:p>
        </w:tc>
        <w:tc>
          <w:tcPr>
            <w:tcW w:w="1472" w:type="pct"/>
          </w:tcPr>
          <w:p w14:paraId="6AFAF1FF"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-.064</w:t>
            </w:r>
          </w:p>
        </w:tc>
        <w:tc>
          <w:tcPr>
            <w:tcW w:w="1395" w:type="pct"/>
          </w:tcPr>
          <w:p w14:paraId="3822B827"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.142</w:t>
            </w:r>
          </w:p>
        </w:tc>
      </w:tr>
      <w:tr w:rsidR="00FC296B" w:rsidRPr="00DD0F31" w14:paraId="78CF3903" w14:textId="77777777" w:rsidTr="006A5525">
        <w:tc>
          <w:tcPr>
            <w:tcW w:w="2133" w:type="pct"/>
          </w:tcPr>
          <w:p w14:paraId="3139649C"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 xml:space="preserve">  </w:t>
            </w:r>
          </w:p>
        </w:tc>
        <w:tc>
          <w:tcPr>
            <w:tcW w:w="1472" w:type="pct"/>
          </w:tcPr>
          <w:p w14:paraId="01D59110"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(.127)</w:t>
            </w:r>
          </w:p>
        </w:tc>
        <w:tc>
          <w:tcPr>
            <w:tcW w:w="1395" w:type="pct"/>
          </w:tcPr>
          <w:p w14:paraId="792AC4DD"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(.128)</w:t>
            </w:r>
          </w:p>
        </w:tc>
      </w:tr>
      <w:tr w:rsidR="00FC296B" w:rsidRPr="00DD0F31" w14:paraId="0713806F" w14:textId="77777777" w:rsidTr="006A5525">
        <w:tc>
          <w:tcPr>
            <w:tcW w:w="2133" w:type="pct"/>
          </w:tcPr>
          <w:p w14:paraId="40CB1A0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Q14.1 - Improved - Producing goods</w:t>
            </w:r>
          </w:p>
        </w:tc>
        <w:tc>
          <w:tcPr>
            <w:tcW w:w="1472" w:type="pct"/>
          </w:tcPr>
          <w:p w14:paraId="4AB36F90"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.28</w:t>
            </w:r>
          </w:p>
        </w:tc>
        <w:tc>
          <w:tcPr>
            <w:tcW w:w="1395" w:type="pct"/>
          </w:tcPr>
          <w:p w14:paraId="60CBD767"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-.041</w:t>
            </w:r>
          </w:p>
        </w:tc>
      </w:tr>
      <w:tr w:rsidR="00FC296B" w:rsidRPr="00DD0F31" w14:paraId="49FC0953" w14:textId="77777777" w:rsidTr="006A5525">
        <w:tc>
          <w:tcPr>
            <w:tcW w:w="2133" w:type="pct"/>
          </w:tcPr>
          <w:p w14:paraId="1232D906"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43BC8595"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(.184)</w:t>
            </w:r>
          </w:p>
        </w:tc>
        <w:tc>
          <w:tcPr>
            <w:tcW w:w="1395" w:type="pct"/>
          </w:tcPr>
          <w:p w14:paraId="325D8D21"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(.203)</w:t>
            </w:r>
          </w:p>
        </w:tc>
      </w:tr>
      <w:tr w:rsidR="00FC296B" w:rsidRPr="00DD0F31" w14:paraId="5F3805EA" w14:textId="77777777" w:rsidTr="006A5525">
        <w:tc>
          <w:tcPr>
            <w:tcW w:w="2133" w:type="pct"/>
          </w:tcPr>
          <w:p w14:paraId="64FE82ED"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Q14.2 - Improved - Logistics</w:t>
            </w:r>
          </w:p>
        </w:tc>
        <w:tc>
          <w:tcPr>
            <w:tcW w:w="1472" w:type="pct"/>
          </w:tcPr>
          <w:p w14:paraId="12F1ACC5"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-.199</w:t>
            </w:r>
          </w:p>
        </w:tc>
        <w:tc>
          <w:tcPr>
            <w:tcW w:w="1395" w:type="pct"/>
          </w:tcPr>
          <w:p w14:paraId="5C7DBFE8"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-.103</w:t>
            </w:r>
          </w:p>
        </w:tc>
      </w:tr>
      <w:tr w:rsidR="00FC296B" w:rsidRPr="00DD0F31" w14:paraId="2916A0B4" w14:textId="77777777" w:rsidTr="006A5525">
        <w:tc>
          <w:tcPr>
            <w:tcW w:w="2133" w:type="pct"/>
          </w:tcPr>
          <w:p w14:paraId="0347CBA9"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745CCA37"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(.192)</w:t>
            </w:r>
          </w:p>
        </w:tc>
        <w:tc>
          <w:tcPr>
            <w:tcW w:w="1395" w:type="pct"/>
          </w:tcPr>
          <w:p w14:paraId="26C68630"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(.2)</w:t>
            </w:r>
          </w:p>
        </w:tc>
      </w:tr>
      <w:tr w:rsidR="00FC296B" w:rsidRPr="00DD0F31" w14:paraId="46B931A2" w14:textId="77777777" w:rsidTr="006A5525">
        <w:tc>
          <w:tcPr>
            <w:tcW w:w="2133" w:type="pct"/>
          </w:tcPr>
          <w:p w14:paraId="641FD4E2"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Q14.3 - Improved - Supporting</w:t>
            </w:r>
          </w:p>
        </w:tc>
        <w:tc>
          <w:tcPr>
            <w:tcW w:w="1472" w:type="pct"/>
          </w:tcPr>
          <w:p w14:paraId="3436C47C"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-.253</w:t>
            </w:r>
          </w:p>
        </w:tc>
        <w:tc>
          <w:tcPr>
            <w:tcW w:w="1395" w:type="pct"/>
          </w:tcPr>
          <w:p w14:paraId="341C8F7B"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.12</w:t>
            </w:r>
          </w:p>
        </w:tc>
      </w:tr>
      <w:tr w:rsidR="00FC296B" w:rsidRPr="00DD0F31" w14:paraId="3D51C464" w14:textId="77777777" w:rsidTr="006A5525">
        <w:tc>
          <w:tcPr>
            <w:tcW w:w="2133" w:type="pct"/>
          </w:tcPr>
          <w:p w14:paraId="49B1E66C"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48E19D84"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(.165)</w:t>
            </w:r>
          </w:p>
        </w:tc>
        <w:tc>
          <w:tcPr>
            <w:tcW w:w="1395" w:type="pct"/>
          </w:tcPr>
          <w:p w14:paraId="1264BA75"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(.166)</w:t>
            </w:r>
          </w:p>
        </w:tc>
      </w:tr>
      <w:tr w:rsidR="00FC296B" w:rsidRPr="00DD0F31" w14:paraId="0E71C663" w14:textId="77777777" w:rsidTr="006A5525">
        <w:tc>
          <w:tcPr>
            <w:tcW w:w="2133" w:type="pct"/>
          </w:tcPr>
          <w:p w14:paraId="04E7F86A"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Q14.4 - Improved - Organizing</w:t>
            </w:r>
          </w:p>
        </w:tc>
        <w:tc>
          <w:tcPr>
            <w:tcW w:w="1472" w:type="pct"/>
          </w:tcPr>
          <w:p w14:paraId="5231A3F1"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.484***</w:t>
            </w:r>
          </w:p>
        </w:tc>
        <w:tc>
          <w:tcPr>
            <w:tcW w:w="1395" w:type="pct"/>
          </w:tcPr>
          <w:p w14:paraId="556B3F8C"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.102</w:t>
            </w:r>
          </w:p>
        </w:tc>
      </w:tr>
      <w:tr w:rsidR="00FC296B" w:rsidRPr="00DD0F31" w14:paraId="57193128" w14:textId="77777777" w:rsidTr="006A5525">
        <w:tc>
          <w:tcPr>
            <w:tcW w:w="2133" w:type="pct"/>
          </w:tcPr>
          <w:p w14:paraId="3DD4865A"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1D3301FD"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(.17)</w:t>
            </w:r>
          </w:p>
        </w:tc>
        <w:tc>
          <w:tcPr>
            <w:tcW w:w="1395" w:type="pct"/>
          </w:tcPr>
          <w:p w14:paraId="48E011D7"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(.183)</w:t>
            </w:r>
          </w:p>
        </w:tc>
      </w:tr>
      <w:tr w:rsidR="00FC296B" w:rsidRPr="00DD0F31" w14:paraId="27EC243F" w14:textId="77777777" w:rsidTr="006A5525">
        <w:tc>
          <w:tcPr>
            <w:tcW w:w="2133" w:type="pct"/>
          </w:tcPr>
          <w:p w14:paraId="7C7FB361"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Q17.1 -Infrastructure Data </w:t>
            </w:r>
            <w:r w:rsidRPr="00DD0F31">
              <w:rPr>
                <w:rFonts w:ascii="Times New Roman" w:eastAsia="Times New Roman" w:hAnsi="Times New Roman" w:cs="Times New Roman"/>
                <w:i/>
                <w:lang w:val="en-US"/>
              </w:rPr>
              <w:lastRenderedPageBreak/>
              <w:t>warehouse</w:t>
            </w:r>
          </w:p>
        </w:tc>
        <w:tc>
          <w:tcPr>
            <w:tcW w:w="1472" w:type="pct"/>
          </w:tcPr>
          <w:p w14:paraId="4A118700"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lastRenderedPageBreak/>
              <w:t>-.061</w:t>
            </w:r>
          </w:p>
        </w:tc>
        <w:tc>
          <w:tcPr>
            <w:tcW w:w="1395" w:type="pct"/>
          </w:tcPr>
          <w:p w14:paraId="1D74E118"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-.012</w:t>
            </w:r>
          </w:p>
        </w:tc>
      </w:tr>
      <w:tr w:rsidR="00FC296B" w:rsidRPr="00DD0F31" w14:paraId="77CAA2B9" w14:textId="77777777" w:rsidTr="006A5525">
        <w:tc>
          <w:tcPr>
            <w:tcW w:w="2133" w:type="pct"/>
          </w:tcPr>
          <w:p w14:paraId="29374627"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488B01A9"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(.072)</w:t>
            </w:r>
          </w:p>
        </w:tc>
        <w:tc>
          <w:tcPr>
            <w:tcW w:w="1395" w:type="pct"/>
          </w:tcPr>
          <w:p w14:paraId="17CB92C7"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(.07)</w:t>
            </w:r>
          </w:p>
        </w:tc>
      </w:tr>
      <w:tr w:rsidR="00FC296B" w:rsidRPr="00DD0F31" w14:paraId="3AE733C7" w14:textId="77777777" w:rsidTr="006A5525">
        <w:tc>
          <w:tcPr>
            <w:tcW w:w="2133" w:type="pct"/>
          </w:tcPr>
          <w:p w14:paraId="33D18985"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Q17.2 - Infrastructure - Spreadsheets</w:t>
            </w:r>
          </w:p>
        </w:tc>
        <w:tc>
          <w:tcPr>
            <w:tcW w:w="1472" w:type="pct"/>
          </w:tcPr>
          <w:p w14:paraId="089585F7"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.006</w:t>
            </w:r>
          </w:p>
        </w:tc>
        <w:tc>
          <w:tcPr>
            <w:tcW w:w="1395" w:type="pct"/>
          </w:tcPr>
          <w:p w14:paraId="6B41159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-.047</w:t>
            </w:r>
          </w:p>
        </w:tc>
      </w:tr>
      <w:tr w:rsidR="00FC296B" w:rsidRPr="00DD0F31" w14:paraId="166A9288" w14:textId="77777777" w:rsidTr="006A5525">
        <w:tc>
          <w:tcPr>
            <w:tcW w:w="2133" w:type="pct"/>
          </w:tcPr>
          <w:p w14:paraId="52BA29FD"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4AE9C0CD"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(.097)</w:t>
            </w:r>
          </w:p>
        </w:tc>
        <w:tc>
          <w:tcPr>
            <w:tcW w:w="1395" w:type="pct"/>
          </w:tcPr>
          <w:p w14:paraId="049655EA"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(.097)</w:t>
            </w:r>
          </w:p>
        </w:tc>
      </w:tr>
      <w:tr w:rsidR="00FC296B" w:rsidRPr="00DD0F31" w14:paraId="56857493" w14:textId="77777777" w:rsidTr="006A5525">
        <w:tc>
          <w:tcPr>
            <w:tcW w:w="2133" w:type="pct"/>
          </w:tcPr>
          <w:p w14:paraId="11841871"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Q17.3 - Infrastructure - Cloud</w:t>
            </w:r>
          </w:p>
        </w:tc>
        <w:tc>
          <w:tcPr>
            <w:tcW w:w="1472" w:type="pct"/>
          </w:tcPr>
          <w:p w14:paraId="13AA60E6"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.008</w:t>
            </w:r>
          </w:p>
        </w:tc>
        <w:tc>
          <w:tcPr>
            <w:tcW w:w="1395" w:type="pct"/>
          </w:tcPr>
          <w:p w14:paraId="0A5413BA"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.001</w:t>
            </w:r>
          </w:p>
        </w:tc>
      </w:tr>
      <w:tr w:rsidR="00FC296B" w:rsidRPr="00DD0F31" w14:paraId="7B0A5C8E" w14:textId="77777777" w:rsidTr="006A5525">
        <w:tc>
          <w:tcPr>
            <w:tcW w:w="2133" w:type="pct"/>
          </w:tcPr>
          <w:p w14:paraId="58D61979"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289C0A47"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(.07)</w:t>
            </w:r>
          </w:p>
        </w:tc>
        <w:tc>
          <w:tcPr>
            <w:tcW w:w="1395" w:type="pct"/>
          </w:tcPr>
          <w:p w14:paraId="05431F09"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(.07)</w:t>
            </w:r>
          </w:p>
        </w:tc>
      </w:tr>
      <w:tr w:rsidR="00FC296B" w:rsidRPr="00DD0F31" w14:paraId="54EB889F" w14:textId="77777777" w:rsidTr="006A5525">
        <w:tc>
          <w:tcPr>
            <w:tcW w:w="2133" w:type="pct"/>
          </w:tcPr>
          <w:p w14:paraId="578DADF1"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Q17.4 - Infrastructure - External</w:t>
            </w:r>
          </w:p>
        </w:tc>
        <w:tc>
          <w:tcPr>
            <w:tcW w:w="1472" w:type="pct"/>
          </w:tcPr>
          <w:p w14:paraId="7156E837"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-.028</w:t>
            </w:r>
          </w:p>
        </w:tc>
        <w:tc>
          <w:tcPr>
            <w:tcW w:w="1395" w:type="pct"/>
          </w:tcPr>
          <w:p w14:paraId="2E1774E0"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.071</w:t>
            </w:r>
          </w:p>
        </w:tc>
      </w:tr>
      <w:tr w:rsidR="00FC296B" w:rsidRPr="00DD0F31" w14:paraId="1E5C3314" w14:textId="77777777" w:rsidTr="006A5525">
        <w:tc>
          <w:tcPr>
            <w:tcW w:w="2133" w:type="pct"/>
          </w:tcPr>
          <w:p w14:paraId="6AE50E08"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705833AD"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(.087)</w:t>
            </w:r>
          </w:p>
        </w:tc>
        <w:tc>
          <w:tcPr>
            <w:tcW w:w="1395" w:type="pct"/>
          </w:tcPr>
          <w:p w14:paraId="02C36DE9"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(.088)</w:t>
            </w:r>
          </w:p>
        </w:tc>
      </w:tr>
      <w:tr w:rsidR="00FC296B" w:rsidRPr="00DD0F31" w14:paraId="37AE5684" w14:textId="77777777" w:rsidTr="006A5525">
        <w:tc>
          <w:tcPr>
            <w:tcW w:w="2133" w:type="pct"/>
          </w:tcPr>
          <w:p w14:paraId="522038EB"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Q17.5 - Infrastructure - Databases</w:t>
            </w:r>
          </w:p>
        </w:tc>
        <w:tc>
          <w:tcPr>
            <w:tcW w:w="1472" w:type="pct"/>
          </w:tcPr>
          <w:p w14:paraId="3934781F"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-.077</w:t>
            </w:r>
          </w:p>
        </w:tc>
        <w:tc>
          <w:tcPr>
            <w:tcW w:w="1395" w:type="pct"/>
          </w:tcPr>
          <w:p w14:paraId="2CF1148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.001</w:t>
            </w:r>
          </w:p>
        </w:tc>
      </w:tr>
      <w:tr w:rsidR="00FC296B" w:rsidRPr="00DD0F31" w14:paraId="359C8D42" w14:textId="77777777" w:rsidTr="006A5525">
        <w:tc>
          <w:tcPr>
            <w:tcW w:w="2133" w:type="pct"/>
          </w:tcPr>
          <w:p w14:paraId="3639D202"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633A5836"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(.084)</w:t>
            </w:r>
          </w:p>
        </w:tc>
        <w:tc>
          <w:tcPr>
            <w:tcW w:w="1395" w:type="pct"/>
          </w:tcPr>
          <w:p w14:paraId="50570661"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(.085)</w:t>
            </w:r>
          </w:p>
        </w:tc>
      </w:tr>
      <w:tr w:rsidR="00FC296B" w:rsidRPr="00DD0F31" w14:paraId="1DFAE436" w14:textId="77777777" w:rsidTr="006A5525">
        <w:tc>
          <w:tcPr>
            <w:tcW w:w="2133" w:type="pct"/>
          </w:tcPr>
          <w:p w14:paraId="51E3E488"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Q17.6 - Infrastructure - Statistical</w:t>
            </w:r>
          </w:p>
        </w:tc>
        <w:tc>
          <w:tcPr>
            <w:tcW w:w="1472" w:type="pct"/>
          </w:tcPr>
          <w:p w14:paraId="2EC32128"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-.022</w:t>
            </w:r>
          </w:p>
        </w:tc>
        <w:tc>
          <w:tcPr>
            <w:tcW w:w="1395" w:type="pct"/>
          </w:tcPr>
          <w:p w14:paraId="0EDBB6A7"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.081</w:t>
            </w:r>
          </w:p>
        </w:tc>
      </w:tr>
      <w:tr w:rsidR="00FC296B" w:rsidRPr="00DD0F31" w14:paraId="415D1A50" w14:textId="77777777" w:rsidTr="006A5525">
        <w:tc>
          <w:tcPr>
            <w:tcW w:w="2133" w:type="pct"/>
          </w:tcPr>
          <w:p w14:paraId="3D11A04B"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683F2B52"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(.104)</w:t>
            </w:r>
          </w:p>
        </w:tc>
        <w:tc>
          <w:tcPr>
            <w:tcW w:w="1395" w:type="pct"/>
          </w:tcPr>
          <w:p w14:paraId="5A6DCCF8"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(.103)</w:t>
            </w:r>
          </w:p>
        </w:tc>
      </w:tr>
      <w:tr w:rsidR="00FC296B" w:rsidRPr="00DD0F31" w14:paraId="61757124" w14:textId="77777777" w:rsidTr="006A5525">
        <w:tc>
          <w:tcPr>
            <w:tcW w:w="2133" w:type="pct"/>
          </w:tcPr>
          <w:p w14:paraId="2BC74F32"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Q17.7 - Infrastructure - Visualization</w:t>
            </w:r>
          </w:p>
        </w:tc>
        <w:tc>
          <w:tcPr>
            <w:tcW w:w="1472" w:type="pct"/>
          </w:tcPr>
          <w:p w14:paraId="18360CBB"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w:t>
            </w:r>
          </w:p>
        </w:tc>
        <w:tc>
          <w:tcPr>
            <w:tcW w:w="1395" w:type="pct"/>
          </w:tcPr>
          <w:p w14:paraId="6C93140F"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-.048</w:t>
            </w:r>
          </w:p>
        </w:tc>
      </w:tr>
      <w:tr w:rsidR="00FC296B" w:rsidRPr="00DD0F31" w14:paraId="0472EEA4" w14:textId="77777777" w:rsidTr="006A5525">
        <w:tc>
          <w:tcPr>
            <w:tcW w:w="2133" w:type="pct"/>
          </w:tcPr>
          <w:p w14:paraId="71826F48"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33F40B01"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(.104)</w:t>
            </w:r>
          </w:p>
        </w:tc>
        <w:tc>
          <w:tcPr>
            <w:tcW w:w="1395" w:type="pct"/>
          </w:tcPr>
          <w:p w14:paraId="3456E3E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(.103)</w:t>
            </w:r>
          </w:p>
        </w:tc>
      </w:tr>
      <w:tr w:rsidR="00FC296B" w:rsidRPr="00DD0F31" w14:paraId="6D414633" w14:textId="77777777" w:rsidTr="006A5525">
        <w:tc>
          <w:tcPr>
            <w:tcW w:w="2133" w:type="pct"/>
          </w:tcPr>
          <w:p w14:paraId="4839C080"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 xml:space="preserve"> Q17.8 - Infrastructure - Programming</w:t>
            </w:r>
          </w:p>
        </w:tc>
        <w:tc>
          <w:tcPr>
            <w:tcW w:w="1472" w:type="pct"/>
          </w:tcPr>
          <w:p w14:paraId="6A9ACDC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-.243***</w:t>
            </w:r>
          </w:p>
        </w:tc>
        <w:tc>
          <w:tcPr>
            <w:tcW w:w="1395" w:type="pct"/>
          </w:tcPr>
          <w:p w14:paraId="4FD659D6"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.119</w:t>
            </w:r>
          </w:p>
        </w:tc>
      </w:tr>
      <w:tr w:rsidR="00FC296B" w:rsidRPr="00DD0F31" w14:paraId="481E5DC7" w14:textId="77777777" w:rsidTr="006A5525">
        <w:tc>
          <w:tcPr>
            <w:tcW w:w="2133" w:type="pct"/>
          </w:tcPr>
          <w:p w14:paraId="7C2EFC19"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318A48BD"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(.093)</w:t>
            </w:r>
          </w:p>
        </w:tc>
        <w:tc>
          <w:tcPr>
            <w:tcW w:w="1395" w:type="pct"/>
          </w:tcPr>
          <w:p w14:paraId="211545AA"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(.114)</w:t>
            </w:r>
          </w:p>
        </w:tc>
      </w:tr>
      <w:tr w:rsidR="00FC296B" w:rsidRPr="00DD0F31" w14:paraId="18117008" w14:textId="77777777" w:rsidTr="006A5525">
        <w:tc>
          <w:tcPr>
            <w:tcW w:w="2133" w:type="pct"/>
          </w:tcPr>
          <w:p w14:paraId="50007F06"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Q9 FTE</w:t>
            </w:r>
          </w:p>
        </w:tc>
        <w:tc>
          <w:tcPr>
            <w:tcW w:w="1472" w:type="pct"/>
          </w:tcPr>
          <w:p w14:paraId="3E15D9F4"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.004</w:t>
            </w:r>
          </w:p>
        </w:tc>
        <w:tc>
          <w:tcPr>
            <w:tcW w:w="1395" w:type="pct"/>
          </w:tcPr>
          <w:p w14:paraId="67573822"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-.002</w:t>
            </w:r>
          </w:p>
        </w:tc>
      </w:tr>
      <w:tr w:rsidR="00FC296B" w:rsidRPr="00DD0F31" w14:paraId="453A30C9" w14:textId="77777777" w:rsidTr="006A5525">
        <w:tc>
          <w:tcPr>
            <w:tcW w:w="2133" w:type="pct"/>
          </w:tcPr>
          <w:p w14:paraId="7003AA29"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57A3DD21"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(.003)</w:t>
            </w:r>
          </w:p>
        </w:tc>
        <w:tc>
          <w:tcPr>
            <w:tcW w:w="1395" w:type="pct"/>
          </w:tcPr>
          <w:p w14:paraId="44672D1B"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(.003)</w:t>
            </w:r>
          </w:p>
        </w:tc>
      </w:tr>
      <w:tr w:rsidR="00FC296B" w:rsidRPr="00DD0F31" w14:paraId="019A9B09" w14:textId="77777777" w:rsidTr="006A5525">
        <w:tc>
          <w:tcPr>
            <w:tcW w:w="2133" w:type="pct"/>
          </w:tcPr>
          <w:p w14:paraId="646E6FE6"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Q8 Firm age</w:t>
            </w:r>
          </w:p>
        </w:tc>
        <w:tc>
          <w:tcPr>
            <w:tcW w:w="1472" w:type="pct"/>
          </w:tcPr>
          <w:p w14:paraId="7BC7C56F"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w:t>
            </w:r>
          </w:p>
        </w:tc>
        <w:tc>
          <w:tcPr>
            <w:tcW w:w="1395" w:type="pct"/>
          </w:tcPr>
          <w:p w14:paraId="39EE2F55"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-.006</w:t>
            </w:r>
          </w:p>
        </w:tc>
      </w:tr>
      <w:tr w:rsidR="00FC296B" w:rsidRPr="00DD0F31" w14:paraId="6B763DBD" w14:textId="77777777" w:rsidTr="006A5525">
        <w:tc>
          <w:tcPr>
            <w:tcW w:w="2133" w:type="pct"/>
          </w:tcPr>
          <w:p w14:paraId="233A62D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 xml:space="preserve">  </w:t>
            </w:r>
          </w:p>
        </w:tc>
        <w:tc>
          <w:tcPr>
            <w:tcW w:w="1472" w:type="pct"/>
          </w:tcPr>
          <w:p w14:paraId="11EF93C7"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(.005)</w:t>
            </w:r>
          </w:p>
        </w:tc>
        <w:tc>
          <w:tcPr>
            <w:tcW w:w="1395" w:type="pct"/>
          </w:tcPr>
          <w:p w14:paraId="2F04EFF4"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(.005)</w:t>
            </w:r>
          </w:p>
        </w:tc>
      </w:tr>
      <w:tr w:rsidR="00FC296B" w:rsidRPr="00DD0F31" w14:paraId="31CF23DB" w14:textId="77777777" w:rsidTr="006A5525">
        <w:tc>
          <w:tcPr>
            <w:tcW w:w="2133" w:type="pct"/>
          </w:tcPr>
          <w:p w14:paraId="322B78E7"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 xml:space="preserve"> </w:t>
            </w:r>
            <w:r w:rsidRPr="00DD0F31">
              <w:rPr>
                <w:rFonts w:ascii="Times New Roman" w:eastAsia="Times New Roman" w:hAnsi="Times New Roman" w:cs="Times New Roman"/>
                <w:i/>
                <w:lang w:val="en-US"/>
              </w:rPr>
              <w:t>Sectors</w:t>
            </w:r>
          </w:p>
        </w:tc>
        <w:tc>
          <w:tcPr>
            <w:tcW w:w="1472" w:type="pct"/>
          </w:tcPr>
          <w:p w14:paraId="48CA141A"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395" w:type="pct"/>
          </w:tcPr>
          <w:p w14:paraId="0B720FA7"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r>
      <w:tr w:rsidR="00FC296B" w:rsidRPr="00DD0F31" w14:paraId="1EDC9B06" w14:textId="77777777" w:rsidTr="006A5525">
        <w:tc>
          <w:tcPr>
            <w:tcW w:w="2133" w:type="pct"/>
          </w:tcPr>
          <w:p w14:paraId="729F4626"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 xml:space="preserve">  </w:t>
            </w:r>
          </w:p>
        </w:tc>
        <w:tc>
          <w:tcPr>
            <w:tcW w:w="1472" w:type="pct"/>
          </w:tcPr>
          <w:p w14:paraId="6353057B"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395" w:type="pct"/>
          </w:tcPr>
          <w:p w14:paraId="03062C42"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r>
      <w:tr w:rsidR="00FC296B" w:rsidRPr="00DD0F31" w14:paraId="7622511A" w14:textId="77777777" w:rsidTr="006A5525">
        <w:tc>
          <w:tcPr>
            <w:tcW w:w="2133" w:type="pct"/>
          </w:tcPr>
          <w:p w14:paraId="1033EDC2"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Agriculture, forestry and fishing</w:t>
            </w:r>
          </w:p>
        </w:tc>
        <w:tc>
          <w:tcPr>
            <w:tcW w:w="1472" w:type="pct"/>
          </w:tcPr>
          <w:p w14:paraId="3334D4EA"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(base)</w:t>
            </w:r>
          </w:p>
        </w:tc>
        <w:tc>
          <w:tcPr>
            <w:tcW w:w="1395" w:type="pct"/>
          </w:tcPr>
          <w:p w14:paraId="0CD8D9A5"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(base)</w:t>
            </w:r>
          </w:p>
        </w:tc>
      </w:tr>
      <w:tr w:rsidR="00FC296B" w:rsidRPr="00DD0F31" w14:paraId="55974D4E" w14:textId="77777777" w:rsidTr="006A5525">
        <w:tc>
          <w:tcPr>
            <w:tcW w:w="2133" w:type="pct"/>
          </w:tcPr>
          <w:p w14:paraId="1D8E3B33"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7481C49A"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395" w:type="pct"/>
          </w:tcPr>
          <w:p w14:paraId="3160472D"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r>
      <w:tr w:rsidR="00FC296B" w:rsidRPr="00DD0F31" w14:paraId="585EF123" w14:textId="77777777" w:rsidTr="006A5525">
        <w:tc>
          <w:tcPr>
            <w:tcW w:w="2133" w:type="pct"/>
          </w:tcPr>
          <w:p w14:paraId="287D9FE0"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Construction industry</w:t>
            </w:r>
          </w:p>
        </w:tc>
        <w:tc>
          <w:tcPr>
            <w:tcW w:w="1472" w:type="pct"/>
          </w:tcPr>
          <w:p w14:paraId="766B157C"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.121</w:t>
            </w:r>
          </w:p>
        </w:tc>
        <w:tc>
          <w:tcPr>
            <w:tcW w:w="1395" w:type="pct"/>
          </w:tcPr>
          <w:p w14:paraId="05243055"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1.103*</w:t>
            </w:r>
          </w:p>
        </w:tc>
      </w:tr>
      <w:tr w:rsidR="00FC296B" w:rsidRPr="00DD0F31" w14:paraId="7FAA88A4" w14:textId="77777777" w:rsidTr="006A5525">
        <w:tc>
          <w:tcPr>
            <w:tcW w:w="2133" w:type="pct"/>
          </w:tcPr>
          <w:p w14:paraId="4D55B7C3"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6C778AD4"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(.596)</w:t>
            </w:r>
          </w:p>
        </w:tc>
        <w:tc>
          <w:tcPr>
            <w:tcW w:w="1395" w:type="pct"/>
          </w:tcPr>
          <w:p w14:paraId="4115E2CC"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(.564)</w:t>
            </w:r>
          </w:p>
        </w:tc>
      </w:tr>
      <w:tr w:rsidR="00FC296B" w:rsidRPr="00DD0F31" w14:paraId="417B8C26" w14:textId="77777777" w:rsidTr="006A5525">
        <w:tc>
          <w:tcPr>
            <w:tcW w:w="2133" w:type="pct"/>
          </w:tcPr>
          <w:p w14:paraId="4C49084B"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Culture, sports and recreation</w:t>
            </w:r>
          </w:p>
        </w:tc>
        <w:tc>
          <w:tcPr>
            <w:tcW w:w="1472" w:type="pct"/>
          </w:tcPr>
          <w:p w14:paraId="28D003E2"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.417</w:t>
            </w:r>
          </w:p>
        </w:tc>
        <w:tc>
          <w:tcPr>
            <w:tcW w:w="1395" w:type="pct"/>
          </w:tcPr>
          <w:p w14:paraId="4F31B863"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.979*</w:t>
            </w:r>
          </w:p>
        </w:tc>
      </w:tr>
      <w:tr w:rsidR="00FC296B" w:rsidRPr="00DD0F31" w14:paraId="7B02DB47" w14:textId="77777777" w:rsidTr="006A5525">
        <w:tc>
          <w:tcPr>
            <w:tcW w:w="2133" w:type="pct"/>
          </w:tcPr>
          <w:p w14:paraId="3BBC7402"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47BB4146"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(.542)</w:t>
            </w:r>
          </w:p>
        </w:tc>
        <w:tc>
          <w:tcPr>
            <w:tcW w:w="1395" w:type="pct"/>
          </w:tcPr>
          <w:p w14:paraId="75C3FE62"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(.526)</w:t>
            </w:r>
          </w:p>
        </w:tc>
      </w:tr>
      <w:tr w:rsidR="00FC296B" w:rsidRPr="00DD0F31" w14:paraId="768DC758" w14:textId="77777777" w:rsidTr="006A5525">
        <w:tc>
          <w:tcPr>
            <w:tcW w:w="2133" w:type="pct"/>
          </w:tcPr>
          <w:p w14:paraId="37A31F5D"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Education</w:t>
            </w:r>
          </w:p>
        </w:tc>
        <w:tc>
          <w:tcPr>
            <w:tcW w:w="1472" w:type="pct"/>
          </w:tcPr>
          <w:p w14:paraId="07F71445"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-.161</w:t>
            </w:r>
          </w:p>
        </w:tc>
        <w:tc>
          <w:tcPr>
            <w:tcW w:w="1395" w:type="pct"/>
          </w:tcPr>
          <w:p w14:paraId="2CD15A9B"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.918</w:t>
            </w:r>
          </w:p>
        </w:tc>
      </w:tr>
      <w:tr w:rsidR="00FC296B" w:rsidRPr="00DD0F31" w14:paraId="2326A769" w14:textId="77777777" w:rsidTr="006A5525">
        <w:tc>
          <w:tcPr>
            <w:tcW w:w="2133" w:type="pct"/>
          </w:tcPr>
          <w:p w14:paraId="38256F68"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0F2FCD1D"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(.663)</w:t>
            </w:r>
          </w:p>
        </w:tc>
        <w:tc>
          <w:tcPr>
            <w:tcW w:w="1395" w:type="pct"/>
          </w:tcPr>
          <w:p w14:paraId="37DC8D54"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(.627)</w:t>
            </w:r>
          </w:p>
        </w:tc>
      </w:tr>
      <w:tr w:rsidR="00FC296B" w:rsidRPr="00DD0F31" w14:paraId="15924F66" w14:textId="77777777" w:rsidTr="006A5525">
        <w:tc>
          <w:tcPr>
            <w:tcW w:w="2133" w:type="pct"/>
          </w:tcPr>
          <w:p w14:paraId="1CF11D18"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Health and welfare services</w:t>
            </w:r>
          </w:p>
        </w:tc>
        <w:tc>
          <w:tcPr>
            <w:tcW w:w="1472" w:type="pct"/>
          </w:tcPr>
          <w:p w14:paraId="68F5F32A"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.271</w:t>
            </w:r>
          </w:p>
        </w:tc>
        <w:tc>
          <w:tcPr>
            <w:tcW w:w="1395" w:type="pct"/>
          </w:tcPr>
          <w:p w14:paraId="3E7E7D1B"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1.356**</w:t>
            </w:r>
          </w:p>
        </w:tc>
      </w:tr>
      <w:tr w:rsidR="00FC296B" w:rsidRPr="00DD0F31" w14:paraId="1473B7EA" w14:textId="77777777" w:rsidTr="006A5525">
        <w:tc>
          <w:tcPr>
            <w:tcW w:w="2133" w:type="pct"/>
          </w:tcPr>
          <w:p w14:paraId="28FCC6AF"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045EFE1F"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(.63)</w:t>
            </w:r>
          </w:p>
        </w:tc>
        <w:tc>
          <w:tcPr>
            <w:tcW w:w="1395" w:type="pct"/>
          </w:tcPr>
          <w:p w14:paraId="4B4796DF"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(.592)</w:t>
            </w:r>
          </w:p>
        </w:tc>
      </w:tr>
      <w:tr w:rsidR="00FC296B" w:rsidRPr="00DD0F31" w14:paraId="56C144CD" w14:textId="77777777" w:rsidTr="006A5525">
        <w:tc>
          <w:tcPr>
            <w:tcW w:w="2133" w:type="pct"/>
          </w:tcPr>
          <w:p w14:paraId="366349C0"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IT</w:t>
            </w:r>
          </w:p>
        </w:tc>
        <w:tc>
          <w:tcPr>
            <w:tcW w:w="1472" w:type="pct"/>
          </w:tcPr>
          <w:p w14:paraId="1A111801"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.721</w:t>
            </w:r>
          </w:p>
        </w:tc>
        <w:tc>
          <w:tcPr>
            <w:tcW w:w="1395" w:type="pct"/>
          </w:tcPr>
          <w:p w14:paraId="1CD29C42"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1.685**</w:t>
            </w:r>
          </w:p>
        </w:tc>
      </w:tr>
      <w:tr w:rsidR="00FC296B" w:rsidRPr="00DD0F31" w14:paraId="360F3132" w14:textId="77777777" w:rsidTr="006A5525">
        <w:tc>
          <w:tcPr>
            <w:tcW w:w="2133" w:type="pct"/>
          </w:tcPr>
          <w:p w14:paraId="4F79487C"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7ADE98FB"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(.723)</w:t>
            </w:r>
          </w:p>
        </w:tc>
        <w:tc>
          <w:tcPr>
            <w:tcW w:w="1395" w:type="pct"/>
          </w:tcPr>
          <w:p w14:paraId="489FD084"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(.694)</w:t>
            </w:r>
          </w:p>
        </w:tc>
      </w:tr>
      <w:tr w:rsidR="00FC296B" w:rsidRPr="00DD0F31" w14:paraId="51A0C759" w14:textId="77777777" w:rsidTr="006A5525">
        <w:tc>
          <w:tcPr>
            <w:tcW w:w="2133" w:type="pct"/>
          </w:tcPr>
          <w:p w14:paraId="7FDF0B73"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Other services</w:t>
            </w:r>
          </w:p>
        </w:tc>
        <w:tc>
          <w:tcPr>
            <w:tcW w:w="1472" w:type="pct"/>
          </w:tcPr>
          <w:p w14:paraId="2AC73523"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.371</w:t>
            </w:r>
          </w:p>
        </w:tc>
        <w:tc>
          <w:tcPr>
            <w:tcW w:w="1395" w:type="pct"/>
          </w:tcPr>
          <w:p w14:paraId="374E4B05"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.736</w:t>
            </w:r>
          </w:p>
        </w:tc>
      </w:tr>
      <w:tr w:rsidR="00FC296B" w:rsidRPr="00DD0F31" w14:paraId="29AE719E" w14:textId="77777777" w:rsidTr="006A5525">
        <w:tc>
          <w:tcPr>
            <w:tcW w:w="2133" w:type="pct"/>
          </w:tcPr>
          <w:p w14:paraId="200C7494"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p>
        </w:tc>
        <w:tc>
          <w:tcPr>
            <w:tcW w:w="1472" w:type="pct"/>
          </w:tcPr>
          <w:p w14:paraId="18E1240A"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(.496)</w:t>
            </w:r>
          </w:p>
        </w:tc>
        <w:tc>
          <w:tcPr>
            <w:tcW w:w="1395" w:type="pct"/>
          </w:tcPr>
          <w:p w14:paraId="1030580C"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(.489)</w:t>
            </w:r>
          </w:p>
        </w:tc>
      </w:tr>
      <w:tr w:rsidR="00FC296B" w:rsidRPr="00DD0F31" w14:paraId="29956AC9" w14:textId="77777777" w:rsidTr="006A5525">
        <w:tc>
          <w:tcPr>
            <w:tcW w:w="2133" w:type="pct"/>
          </w:tcPr>
          <w:p w14:paraId="24498926"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 xml:space="preserve"> </w:t>
            </w:r>
            <w:r w:rsidRPr="00DD0F31">
              <w:rPr>
                <w:rFonts w:ascii="Times New Roman" w:eastAsia="Times New Roman" w:hAnsi="Times New Roman" w:cs="Times New Roman"/>
                <w:i/>
                <w:lang w:val="en-US"/>
              </w:rPr>
              <w:t>Transport and storage</w:t>
            </w:r>
          </w:p>
        </w:tc>
        <w:tc>
          <w:tcPr>
            <w:tcW w:w="1472" w:type="pct"/>
          </w:tcPr>
          <w:p w14:paraId="341F4CF9"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.463</w:t>
            </w:r>
          </w:p>
        </w:tc>
        <w:tc>
          <w:tcPr>
            <w:tcW w:w="1395" w:type="pct"/>
          </w:tcPr>
          <w:p w14:paraId="2FD8C1F4"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1.078*</w:t>
            </w:r>
          </w:p>
        </w:tc>
      </w:tr>
      <w:tr w:rsidR="00FC296B" w:rsidRPr="00DD0F31" w14:paraId="072830CB" w14:textId="77777777" w:rsidTr="006A5525">
        <w:tc>
          <w:tcPr>
            <w:tcW w:w="2133" w:type="pct"/>
          </w:tcPr>
          <w:p w14:paraId="642E5CE3"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 xml:space="preserve">  </w:t>
            </w:r>
          </w:p>
        </w:tc>
        <w:tc>
          <w:tcPr>
            <w:tcW w:w="1472" w:type="pct"/>
          </w:tcPr>
          <w:p w14:paraId="61AE4F53"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(.595)</w:t>
            </w:r>
          </w:p>
        </w:tc>
        <w:tc>
          <w:tcPr>
            <w:tcW w:w="1395" w:type="pct"/>
          </w:tcPr>
          <w:p w14:paraId="7725FB57"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(.596)</w:t>
            </w:r>
          </w:p>
        </w:tc>
      </w:tr>
      <w:tr w:rsidR="00FC296B" w:rsidRPr="00DD0F31" w14:paraId="4B2BF449" w14:textId="77777777" w:rsidTr="006A5525">
        <w:tc>
          <w:tcPr>
            <w:tcW w:w="2133" w:type="pct"/>
          </w:tcPr>
          <w:p w14:paraId="2BE49CB6"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eastAsia="Times New Roman" w:hAnsi="Times New Roman" w:cs="Times New Roman"/>
                <w:i/>
                <w:lang w:val="en-US"/>
              </w:rPr>
              <w:t>Wholesale and retail</w:t>
            </w:r>
          </w:p>
        </w:tc>
        <w:tc>
          <w:tcPr>
            <w:tcW w:w="1472" w:type="pct"/>
          </w:tcPr>
          <w:p w14:paraId="7C5CB819"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.835</w:t>
            </w:r>
          </w:p>
        </w:tc>
        <w:tc>
          <w:tcPr>
            <w:tcW w:w="1395" w:type="pct"/>
          </w:tcPr>
          <w:p w14:paraId="0C0F89F3"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1.27**</w:t>
            </w:r>
          </w:p>
        </w:tc>
      </w:tr>
      <w:tr w:rsidR="00FC296B" w:rsidRPr="00DD0F31" w14:paraId="070BD17C" w14:textId="77777777" w:rsidTr="006A5525">
        <w:tc>
          <w:tcPr>
            <w:tcW w:w="2133" w:type="pct"/>
          </w:tcPr>
          <w:p w14:paraId="70477985"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 xml:space="preserve">  </w:t>
            </w:r>
          </w:p>
        </w:tc>
        <w:tc>
          <w:tcPr>
            <w:tcW w:w="1472" w:type="pct"/>
          </w:tcPr>
          <w:p w14:paraId="010DDDD4"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(.588)</w:t>
            </w:r>
          </w:p>
        </w:tc>
        <w:tc>
          <w:tcPr>
            <w:tcW w:w="1395" w:type="pct"/>
          </w:tcPr>
          <w:p w14:paraId="0C03C0E5"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(.584)</w:t>
            </w:r>
          </w:p>
        </w:tc>
      </w:tr>
      <w:tr w:rsidR="00FC296B" w:rsidRPr="00DD0F31" w14:paraId="37A40E76" w14:textId="77777777" w:rsidTr="006A5525">
        <w:tc>
          <w:tcPr>
            <w:tcW w:w="2133" w:type="pct"/>
          </w:tcPr>
          <w:p w14:paraId="6B703B2D"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 xml:space="preserve"> constant</w:t>
            </w:r>
          </w:p>
        </w:tc>
        <w:tc>
          <w:tcPr>
            <w:tcW w:w="1472" w:type="pct"/>
          </w:tcPr>
          <w:p w14:paraId="4B9B2D96"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3.081***</w:t>
            </w:r>
          </w:p>
        </w:tc>
        <w:tc>
          <w:tcPr>
            <w:tcW w:w="1395" w:type="pct"/>
          </w:tcPr>
          <w:p w14:paraId="1B30BBDF"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-5.874***</w:t>
            </w:r>
          </w:p>
        </w:tc>
      </w:tr>
      <w:tr w:rsidR="00FC296B" w:rsidRPr="00DD0F31" w14:paraId="0AFB8C8D" w14:textId="77777777" w:rsidTr="006A5525">
        <w:tc>
          <w:tcPr>
            <w:tcW w:w="2133" w:type="pct"/>
          </w:tcPr>
          <w:p w14:paraId="2BCBA467"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 xml:space="preserve"> Observations</w:t>
            </w:r>
          </w:p>
        </w:tc>
        <w:tc>
          <w:tcPr>
            <w:tcW w:w="1472" w:type="pct"/>
          </w:tcPr>
          <w:p w14:paraId="3E6ECD99"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243</w:t>
            </w:r>
          </w:p>
        </w:tc>
        <w:tc>
          <w:tcPr>
            <w:tcW w:w="1395" w:type="pct"/>
          </w:tcPr>
          <w:p w14:paraId="3BD239AE" w14:textId="77777777" w:rsidR="00FC296B" w:rsidRPr="00DD0F31" w:rsidRDefault="00FC296B" w:rsidP="00DD0F31">
            <w:pPr>
              <w:widowControl w:val="0"/>
              <w:autoSpaceDE w:val="0"/>
              <w:autoSpaceDN w:val="0"/>
              <w:adjustRightInd w:val="0"/>
              <w:spacing w:line="480" w:lineRule="auto"/>
              <w:jc w:val="both"/>
              <w:rPr>
                <w:rFonts w:ascii="Times New Roman" w:hAnsi="Times New Roman" w:cs="Times New Roman"/>
                <w:lang w:val="en-US"/>
              </w:rPr>
            </w:pPr>
            <w:r w:rsidRPr="00DD0F31">
              <w:rPr>
                <w:rFonts w:ascii="Times New Roman" w:hAnsi="Times New Roman" w:cs="Times New Roman"/>
                <w:lang w:val="en-US"/>
              </w:rPr>
              <w:t>242</w:t>
            </w:r>
          </w:p>
        </w:tc>
      </w:tr>
      <w:tr w:rsidR="00FC296B" w:rsidRPr="00DD0F31" w14:paraId="1DDAA3D0" w14:textId="77777777" w:rsidTr="006A5525">
        <w:trPr>
          <w:trHeight w:val="694"/>
        </w:trPr>
        <w:tc>
          <w:tcPr>
            <w:tcW w:w="5000" w:type="pct"/>
            <w:gridSpan w:val="3"/>
          </w:tcPr>
          <w:p w14:paraId="6F4BA382" w14:textId="77777777" w:rsidR="00FC296B" w:rsidRPr="00DD0F31" w:rsidRDefault="00FC296B" w:rsidP="00DD0F31">
            <w:pPr>
              <w:shd w:val="clear" w:color="auto" w:fill="FFFFFF"/>
              <w:spacing w:line="480" w:lineRule="auto"/>
              <w:jc w:val="both"/>
              <w:rPr>
                <w:rFonts w:ascii="Times New Roman" w:hAnsi="Times New Roman" w:cs="Times New Roman"/>
                <w:i/>
                <w:lang w:val="en-US"/>
              </w:rPr>
            </w:pPr>
            <w:r w:rsidRPr="00DD0F31">
              <w:rPr>
                <w:rFonts w:ascii="Times New Roman" w:hAnsi="Times New Roman" w:cs="Times New Roman"/>
                <w:iCs/>
                <w:lang w:val="en-US"/>
              </w:rPr>
              <w:t>Robust standard errors are in parentheses.</w:t>
            </w:r>
            <w:r w:rsidRPr="00DD0F31">
              <w:rPr>
                <w:rFonts w:ascii="Times New Roman" w:hAnsi="Times New Roman" w:cs="Times New Roman"/>
                <w:i/>
                <w:lang w:val="en-US"/>
              </w:rPr>
              <w:t xml:space="preserve"> </w:t>
            </w:r>
            <w:r w:rsidRPr="00DD0F31">
              <w:rPr>
                <w:rFonts w:ascii="Times New Roman" w:hAnsi="Times New Roman" w:cs="Times New Roman"/>
                <w:lang w:val="en-US"/>
              </w:rPr>
              <w:t>***p&lt;0.001; **p&lt;0.05; *p&lt;0.10</w:t>
            </w:r>
          </w:p>
          <w:p w14:paraId="43CCAB76" w14:textId="77777777" w:rsidR="00FC296B" w:rsidRPr="00DD0F31" w:rsidRDefault="00FC296B" w:rsidP="00DD0F31">
            <w:pPr>
              <w:shd w:val="clear" w:color="auto" w:fill="FFFFFF"/>
              <w:spacing w:after="160" w:line="480" w:lineRule="auto"/>
              <w:jc w:val="both"/>
              <w:rPr>
                <w:rFonts w:ascii="Times New Roman" w:hAnsi="Times New Roman" w:cs="Times New Roman"/>
                <w:color w:val="14797B"/>
                <w:lang w:val="en-US"/>
              </w:rPr>
            </w:pPr>
            <w:r w:rsidRPr="00DD0F31">
              <w:rPr>
                <w:rFonts w:ascii="Times New Roman" w:hAnsi="Times New Roman" w:cs="Times New Roman"/>
                <w:lang w:val="en-US"/>
              </w:rPr>
              <w:t xml:space="preserve">Note: This table displays the impact of PAC/RAC on project completion (digital innovation adoption). The underlying regressions are estimated as an IVPR model, following a recursive analysis – using Probit regression for the dependent variable Project’s completion. </w:t>
            </w:r>
          </w:p>
        </w:tc>
      </w:tr>
    </w:tbl>
    <w:p w14:paraId="67CB2326" w14:textId="7C37DC31" w:rsidR="00FC296B" w:rsidRPr="00DD0F31" w:rsidRDefault="000C0251" w:rsidP="00DD0F31">
      <w:pPr>
        <w:spacing w:before="24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The post estimation statistics provide an indication as to the suitability of the chosen instrumental variables approach. We address the hypothesized endogeneity of PAC/RAC, through the Wald test of exogeneity and reject the null hypothesis of ‘no endogeneity’, providing support for the use of an instrumental variable approach in Model 1.</w:t>
      </w:r>
      <w:r w:rsidR="00FC296B" w:rsidRPr="00DD0F31">
        <w:rPr>
          <w:rFonts w:ascii="Times New Roman" w:hAnsi="Times New Roman" w:cs="Times New Roman"/>
          <w:sz w:val="24"/>
          <w:szCs w:val="24"/>
          <w:lang w:val="en-US"/>
        </w:rPr>
        <w:t>(</w:t>
      </w:r>
      <w:r w:rsidR="00FC296B" w:rsidRPr="00DD0F31">
        <w:rPr>
          <w:rFonts w:ascii="Times New Roman" w:hAnsi="Times New Roman" w:cs="Times New Roman"/>
          <w:i/>
          <w:sz w:val="24"/>
          <w:szCs w:val="24"/>
          <w:lang w:val="en-US"/>
        </w:rPr>
        <w:t xml:space="preserve">chi2 </w:t>
      </w:r>
      <w:r w:rsidR="00FC296B" w:rsidRPr="00DD0F31">
        <w:rPr>
          <w:rFonts w:ascii="Times New Roman" w:hAnsi="Times New Roman" w:cs="Times New Roman"/>
          <w:sz w:val="24"/>
          <w:szCs w:val="24"/>
          <w:lang w:val="en-US"/>
        </w:rPr>
        <w:t xml:space="preserve">(1) = 6.73; Prob &gt; </w:t>
      </w:r>
      <w:r w:rsidR="00FC296B" w:rsidRPr="00DD0F31">
        <w:rPr>
          <w:rFonts w:ascii="Times New Roman" w:hAnsi="Times New Roman" w:cs="Times New Roman"/>
          <w:i/>
          <w:sz w:val="24"/>
          <w:szCs w:val="24"/>
          <w:lang w:val="en-US"/>
        </w:rPr>
        <w:t>chi2</w:t>
      </w:r>
      <w:r w:rsidR="00FC296B" w:rsidRPr="00DD0F31">
        <w:rPr>
          <w:rFonts w:ascii="Times New Roman" w:hAnsi="Times New Roman" w:cs="Times New Roman"/>
          <w:sz w:val="24"/>
          <w:szCs w:val="24"/>
          <w:lang w:val="en-US"/>
        </w:rPr>
        <w:t xml:space="preserve"> = 0.009) and Model (2) (</w:t>
      </w:r>
      <w:r w:rsidR="00FC296B" w:rsidRPr="00DD0F31">
        <w:rPr>
          <w:rFonts w:ascii="Times New Roman" w:hAnsi="Times New Roman" w:cs="Times New Roman"/>
          <w:i/>
          <w:sz w:val="24"/>
          <w:szCs w:val="24"/>
          <w:lang w:val="en-US"/>
        </w:rPr>
        <w:t>chi2</w:t>
      </w:r>
      <w:r w:rsidR="00FC296B" w:rsidRPr="00DD0F31">
        <w:rPr>
          <w:rFonts w:ascii="Times New Roman" w:hAnsi="Times New Roman" w:cs="Times New Roman"/>
          <w:sz w:val="24"/>
          <w:szCs w:val="24"/>
          <w:lang w:val="en-US"/>
        </w:rPr>
        <w:t xml:space="preserve">(1) = 5.15; Prob &gt; </w:t>
      </w:r>
      <w:r w:rsidR="00FC296B" w:rsidRPr="00DD0F31">
        <w:rPr>
          <w:rFonts w:ascii="Times New Roman" w:hAnsi="Times New Roman" w:cs="Times New Roman"/>
          <w:i/>
          <w:sz w:val="24"/>
          <w:szCs w:val="24"/>
          <w:lang w:val="en-US"/>
        </w:rPr>
        <w:t>chi2</w:t>
      </w:r>
      <w:r w:rsidR="00FC296B" w:rsidRPr="00DD0F31">
        <w:rPr>
          <w:rFonts w:ascii="Times New Roman" w:hAnsi="Times New Roman" w:cs="Times New Roman"/>
          <w:sz w:val="24"/>
          <w:szCs w:val="24"/>
          <w:lang w:val="en-US"/>
        </w:rPr>
        <w:t xml:space="preserve"> = 0.023).</w:t>
      </w:r>
    </w:p>
    <w:p w14:paraId="19371ED8" w14:textId="0ADAC409" w:rsidR="0077267A" w:rsidRPr="005736C2" w:rsidRDefault="0077267A" w:rsidP="00DD0F31">
      <w:pPr>
        <w:pStyle w:val="ListParagraph"/>
        <w:numPr>
          <w:ilvl w:val="0"/>
          <w:numId w:val="14"/>
        </w:numPr>
        <w:spacing w:line="480" w:lineRule="auto"/>
        <w:jc w:val="both"/>
        <w:rPr>
          <w:rFonts w:ascii="Times New Roman" w:hAnsi="Times New Roman" w:cs="Times New Roman"/>
          <w:bCs/>
          <w:szCs w:val="24"/>
          <w:lang w:val="en-US"/>
        </w:rPr>
      </w:pPr>
      <w:r w:rsidRPr="005736C2">
        <w:rPr>
          <w:rFonts w:ascii="Times New Roman" w:hAnsi="Times New Roman" w:cs="Times New Roman"/>
          <w:b/>
          <w:bCs/>
          <w:szCs w:val="24"/>
          <w:lang w:val="en-US"/>
        </w:rPr>
        <w:t>Discussion of the Results</w:t>
      </w:r>
    </w:p>
    <w:p w14:paraId="72A6F58B" w14:textId="3B6F7750" w:rsidR="0077267A" w:rsidRPr="00DD0F31" w:rsidRDefault="0077267A" w:rsidP="00DD0F31">
      <w:pPr>
        <w:spacing w:after="160" w:line="480" w:lineRule="auto"/>
        <w:jc w:val="both"/>
        <w:rPr>
          <w:rFonts w:ascii="Times New Roman" w:hAnsi="Times New Roman" w:cs="Times New Roman"/>
          <w:kern w:val="2"/>
          <w:sz w:val="24"/>
          <w:szCs w:val="24"/>
          <w:lang w:val="en-US" w:eastAsia="en-US"/>
          <w14:ligatures w14:val="standardContextual"/>
        </w:rPr>
      </w:pPr>
      <w:bookmarkStart w:id="12" w:name="_Toc149046828"/>
      <w:bookmarkStart w:id="13" w:name="_Toc149148744"/>
      <w:bookmarkStart w:id="14" w:name="_Toc149150433"/>
      <w:r w:rsidRPr="00F5536A">
        <w:rPr>
          <w:rFonts w:ascii="Times New Roman" w:hAnsi="Times New Roman" w:cs="Times New Roman"/>
          <w:b/>
          <w:bCs/>
          <w:kern w:val="2"/>
          <w:sz w:val="24"/>
          <w:szCs w:val="24"/>
          <w:lang w:val="en-US" w:eastAsia="en-US"/>
          <w14:ligatures w14:val="standardContextual"/>
        </w:rPr>
        <w:t xml:space="preserve">4.1 </w:t>
      </w:r>
      <w:r w:rsidR="00A60CB9">
        <w:rPr>
          <w:rFonts w:ascii="Times New Roman" w:hAnsi="Times New Roman" w:cs="Times New Roman"/>
          <w:b/>
          <w:bCs/>
          <w:kern w:val="2"/>
          <w:sz w:val="24"/>
          <w:szCs w:val="24"/>
          <w:lang w:val="en-US" w:eastAsia="en-US"/>
          <w14:ligatures w14:val="standardContextual"/>
        </w:rPr>
        <w:t xml:space="preserve"> </w:t>
      </w:r>
      <w:r w:rsidRPr="00F5536A">
        <w:rPr>
          <w:rFonts w:ascii="Times New Roman" w:hAnsi="Times New Roman" w:cs="Times New Roman"/>
          <w:b/>
          <w:bCs/>
          <w:kern w:val="2"/>
          <w:sz w:val="24"/>
          <w:szCs w:val="24"/>
          <w:lang w:val="en-US" w:eastAsia="en-US"/>
          <w14:ligatures w14:val="standardContextual"/>
        </w:rPr>
        <w:t>Absorptive capacity (PAC and RAC) and project completion</w:t>
      </w:r>
      <w:bookmarkEnd w:id="12"/>
      <w:bookmarkEnd w:id="13"/>
      <w:bookmarkEnd w:id="14"/>
    </w:p>
    <w:p w14:paraId="741809D0" w14:textId="77777777" w:rsidR="009F3E00" w:rsidRDefault="009F3E00" w:rsidP="00DD0F31">
      <w:pPr>
        <w:spacing w:after="160" w:line="480" w:lineRule="auto"/>
        <w:ind w:firstLine="567"/>
        <w:jc w:val="both"/>
        <w:rPr>
          <w:rFonts w:ascii="Times New Roman" w:hAnsi="Times New Roman" w:cs="Times New Roman"/>
          <w:kern w:val="2"/>
          <w:sz w:val="24"/>
          <w:szCs w:val="24"/>
          <w:lang w:val="en-US" w:eastAsia="en-US"/>
          <w14:ligatures w14:val="standardContextual"/>
        </w:rPr>
      </w:pPr>
      <w:r>
        <w:rPr>
          <w:rFonts w:ascii="Times New Roman" w:hAnsi="Times New Roman" w:cs="Times New Roman"/>
          <w:kern w:val="2"/>
          <w:sz w:val="24"/>
          <w:szCs w:val="24"/>
          <w:lang w:val="en-US" w:eastAsia="en-US"/>
          <w14:ligatures w14:val="standardContextual"/>
        </w:rPr>
        <w:t>The empirical evidence analyzed through the two separate IVPR models on PAC and RAC shows that an organization’s PAC exhibits a significant and positive influence (</w:t>
      </w:r>
      <w:r>
        <w:rPr>
          <w:rFonts w:ascii="Cambria Math" w:hAnsi="Cambria Math" w:cs="Cambria Math"/>
          <w:kern w:val="2"/>
          <w:sz w:val="24"/>
          <w:szCs w:val="24"/>
          <w:lang w:val="en-US" w:eastAsia="en-US"/>
          <w14:ligatures w14:val="standardContextual"/>
        </w:rPr>
        <w:t>𝛽</w:t>
      </w:r>
      <w:r>
        <w:rPr>
          <w:rFonts w:ascii="Times New Roman" w:hAnsi="Times New Roman" w:cs="Times New Roman"/>
          <w:kern w:val="2"/>
          <w:sz w:val="24"/>
          <w:szCs w:val="24"/>
          <w:lang w:val="en-US" w:eastAsia="en-US"/>
          <w14:ligatures w14:val="standardContextual"/>
        </w:rPr>
        <w:t xml:space="preserve"> = 1.516***) on the probability of project completion; in contrast, its RAC demonstrates a significant yet negative impact (</w:t>
      </w:r>
      <w:r>
        <w:rPr>
          <w:rFonts w:ascii="Cambria Math" w:hAnsi="Cambria Math" w:cs="Cambria Math"/>
          <w:kern w:val="2"/>
          <w:sz w:val="24"/>
          <w:szCs w:val="24"/>
          <w:lang w:val="en-US" w:eastAsia="en-US"/>
          <w14:ligatures w14:val="standardContextual"/>
        </w:rPr>
        <w:t>𝛽</w:t>
      </w:r>
      <w:r>
        <w:rPr>
          <w:rFonts w:ascii="Times New Roman" w:hAnsi="Times New Roman" w:cs="Times New Roman"/>
          <w:kern w:val="2"/>
          <w:sz w:val="24"/>
          <w:szCs w:val="24"/>
          <w:lang w:val="en-US" w:eastAsia="en-US"/>
          <w14:ligatures w14:val="standardContextual"/>
        </w:rPr>
        <w:t xml:space="preserve"> = -1.562***) on the same likelihood.</w:t>
      </w:r>
    </w:p>
    <w:p w14:paraId="49234299" w14:textId="77777777" w:rsidR="009F3E00" w:rsidRDefault="009F3E00" w:rsidP="00DD0F31">
      <w:pPr>
        <w:spacing w:after="160" w:line="480" w:lineRule="auto"/>
        <w:ind w:firstLine="567"/>
        <w:jc w:val="both"/>
        <w:rPr>
          <w:rFonts w:ascii="Times New Roman" w:hAnsi="Times New Roman" w:cs="Times New Roman"/>
          <w:kern w:val="2"/>
          <w:sz w:val="24"/>
          <w:szCs w:val="24"/>
          <w:lang w:val="en-US" w:eastAsia="en-US"/>
          <w14:ligatures w14:val="standardContextual"/>
        </w:rPr>
      </w:pPr>
      <w:r>
        <w:rPr>
          <w:rFonts w:ascii="Times New Roman" w:hAnsi="Times New Roman" w:cs="Times New Roman"/>
          <w:kern w:val="2"/>
          <w:sz w:val="24"/>
          <w:szCs w:val="24"/>
          <w:lang w:val="en-US" w:eastAsia="en-US"/>
          <w14:ligatures w14:val="standardContextual"/>
        </w:rPr>
        <w:t>Consistently with Leal-Rodríguez et al. (2014), these findings indicate a firm’s PAC facilitates the completion of a data project. Contrary to previous literature, Model 2's results show that a company's RAC exerts opposite effects, leading to a decreased likelihood of project completion.</w:t>
      </w:r>
    </w:p>
    <w:p w14:paraId="249FB00E" w14:textId="38EC09F8" w:rsidR="000B2DFF" w:rsidRDefault="009F3E00" w:rsidP="00DD0F31">
      <w:pPr>
        <w:spacing w:after="160" w:line="480" w:lineRule="auto"/>
        <w:ind w:firstLine="567"/>
        <w:jc w:val="both"/>
        <w:rPr>
          <w:rFonts w:ascii="Times New Roman" w:hAnsi="Times New Roman" w:cs="Times New Roman"/>
          <w:kern w:val="2"/>
          <w:sz w:val="24"/>
          <w:szCs w:val="24"/>
          <w:lang w:eastAsia="en-US"/>
          <w14:ligatures w14:val="standardContextual"/>
        </w:rPr>
      </w:pPr>
      <w:r>
        <w:rPr>
          <w:rFonts w:ascii="Times New Roman" w:hAnsi="Times New Roman" w:cs="Times New Roman"/>
          <w:kern w:val="2"/>
          <w:sz w:val="24"/>
          <w:szCs w:val="24"/>
          <w:lang w:val="en-US" w:eastAsia="en-US"/>
          <w14:ligatures w14:val="standardContextual"/>
        </w:rPr>
        <w:t>This dichotomy indicates that when an organization is more focused on its set of technological competencies (Iammarino et al., 2012), by transforming and exploiting knowledge that has already been acquired, RAC, becomes less likely to bring to conclusion a digital innovation adoption project. When, on the contrary, an SME focuses on its abilities to acquire and assimilate external technological knowledge, PAC, it becomes more likely to complete the data projects.</w:t>
      </w:r>
    </w:p>
    <w:p w14:paraId="1819013F" w14:textId="1E20C355" w:rsidR="0077267A" w:rsidRPr="00F5536A" w:rsidRDefault="002752CB" w:rsidP="00DD0F31">
      <w:pPr>
        <w:spacing w:after="160" w:line="480" w:lineRule="auto"/>
        <w:ind w:firstLine="567"/>
        <w:jc w:val="both"/>
        <w:rPr>
          <w:rFonts w:ascii="Times New Roman" w:eastAsia="Times New Roman" w:hAnsi="Times New Roman" w:cs="Times New Roman"/>
          <w:kern w:val="2"/>
          <w:sz w:val="24"/>
          <w:szCs w:val="24"/>
          <w:lang w:val="en-US" w:eastAsia="en-US"/>
          <w14:ligatures w14:val="standardContextual"/>
        </w:rPr>
      </w:pPr>
      <w:r>
        <w:rPr>
          <w:rFonts w:ascii="Times New Roman" w:hAnsi="Times New Roman" w:cs="Times New Roman"/>
          <w:kern w:val="2"/>
          <w:sz w:val="24"/>
          <w:szCs w:val="24"/>
          <w:lang w:eastAsia="en-US"/>
          <w14:ligatures w14:val="standardContextual"/>
        </w:rPr>
        <w:t xml:space="preserve">Contrary to previous literature indicating that RAC is a key driver for innovation-related revenues (Khan et al., 2019) and product and process innovation (Albort-Morant et al., 2018), our results indicate that RAC may hinder digital adoption among SMEs. This might be </w:t>
      </w:r>
      <w:r>
        <w:rPr>
          <w:rFonts w:ascii="Times New Roman" w:hAnsi="Times New Roman" w:cs="Times New Roman"/>
          <w:kern w:val="2"/>
          <w:sz w:val="24"/>
          <w:szCs w:val="24"/>
          <w:lang w:eastAsia="en-US"/>
          <w14:ligatures w14:val="standardContextual"/>
        </w:rPr>
        <w:lastRenderedPageBreak/>
        <w:t>attributed to the fact that SMEs have limited digital skills and resources, possibly suffering from technostress (Thurik et al., 2023). March (1991) suggested that the concepts of exploitation and exploration place opposite demands on a firm's resources (Cao et al., 2009), resembling a zero-sum game. As a result of this trade-off, prioritizing the exploitation of existing knowledge (RAC) becomes detrimental in comparison to allocating resources towards the exploration of new skills, knowledge, and relationships (PAC).</w:t>
      </w:r>
    </w:p>
    <w:p w14:paraId="12517B72" w14:textId="77777777" w:rsidR="0077267A" w:rsidRPr="00DD0F31" w:rsidRDefault="0077267A" w:rsidP="00DD0F31">
      <w:pPr>
        <w:spacing w:after="160" w:line="480" w:lineRule="auto"/>
        <w:jc w:val="both"/>
        <w:rPr>
          <w:rFonts w:ascii="Times New Roman" w:hAnsi="Times New Roman" w:cs="Times New Roman"/>
          <w:kern w:val="2"/>
          <w:sz w:val="24"/>
          <w:szCs w:val="24"/>
          <w:lang w:val="en-US" w:eastAsia="en-US"/>
          <w14:ligatures w14:val="standardContextual"/>
        </w:rPr>
      </w:pPr>
      <w:bookmarkStart w:id="15" w:name="_Toc149046829"/>
      <w:bookmarkStart w:id="16" w:name="_Toc149148745"/>
      <w:bookmarkStart w:id="17" w:name="_Toc149150434"/>
      <w:r w:rsidRPr="00F5536A">
        <w:rPr>
          <w:rFonts w:ascii="Times New Roman" w:hAnsi="Times New Roman" w:cs="Times New Roman"/>
          <w:b/>
          <w:bCs/>
          <w:kern w:val="2"/>
          <w:sz w:val="24"/>
          <w:szCs w:val="24"/>
          <w:lang w:val="en-US" w:eastAsia="en-US"/>
          <w14:ligatures w14:val="standardContextual"/>
        </w:rPr>
        <w:t>4.2 Control Variables</w:t>
      </w:r>
      <w:bookmarkEnd w:id="15"/>
      <w:bookmarkEnd w:id="16"/>
      <w:bookmarkEnd w:id="17"/>
      <w:r w:rsidRPr="00F5536A">
        <w:rPr>
          <w:rFonts w:ascii="Times New Roman" w:hAnsi="Times New Roman" w:cs="Times New Roman"/>
          <w:b/>
          <w:bCs/>
          <w:kern w:val="2"/>
          <w:sz w:val="24"/>
          <w:szCs w:val="24"/>
          <w:lang w:val="en-US" w:eastAsia="en-US"/>
          <w14:ligatures w14:val="standardContextual"/>
        </w:rPr>
        <w:t xml:space="preserve"> and Project Completion</w:t>
      </w:r>
    </w:p>
    <w:p w14:paraId="1815AA1F" w14:textId="2B3F02F6" w:rsidR="00002D10" w:rsidRDefault="002752CB" w:rsidP="00542767">
      <w:pPr>
        <w:spacing w:after="160" w:line="480" w:lineRule="auto"/>
        <w:ind w:firstLine="567"/>
        <w:jc w:val="both"/>
        <w:rPr>
          <w:rFonts w:ascii="Times New Roman" w:hAnsi="Times New Roman" w:cs="Times New Roman"/>
          <w:kern w:val="2"/>
          <w:sz w:val="24"/>
          <w:szCs w:val="24"/>
          <w:lang w:val="en-US" w:eastAsia="en-US"/>
          <w14:ligatures w14:val="standardContextual"/>
        </w:rPr>
      </w:pPr>
      <w:r>
        <w:rPr>
          <w:rFonts w:ascii="Times New Roman" w:hAnsi="Times New Roman" w:cs="Times New Roman"/>
          <w:kern w:val="2"/>
          <w:sz w:val="24"/>
          <w:szCs w:val="24"/>
          <w:lang w:val="en-US" w:eastAsia="en-US"/>
          <w14:ligatures w14:val="standardContextual"/>
        </w:rPr>
        <w:t>Most of the SMEs in our sample traded within their local markets, with only a few operating at an EU-wide or worldwide level. This led us to infer that SMEs, at least in our sample, heavily rely on knowledge sources targeting local, regional, and national markets. Our empirical evidence indicates a significant association between target markets and project completion in the IVPR Model (1) (Table 5), where we control for PAC. Interestingly, our study findings reveal that engaging in national trade (Q7: Geographic-National) inhibits knowledge transmission and digital innovation adoption. On the other hand, participating in local trade (Q7: Geographic/Local) promotes the transmission of knowledge and the adoption of digital innovations. An organization's relevant knowledge for innovation is often tacit and embedded, which means that it cannot be codified and, hence, is obtained through contractual market exchanges (Nelson &amp; Winter, 1982, Jensen &amp; Szulanski, 2007).</w:t>
      </w:r>
    </w:p>
    <w:p w14:paraId="55EFAA66" w14:textId="5B166335" w:rsidR="0077267A" w:rsidRPr="00F5536A" w:rsidRDefault="002752CB" w:rsidP="00DD0F31">
      <w:pPr>
        <w:spacing w:after="160" w:line="480" w:lineRule="auto"/>
        <w:ind w:firstLine="720"/>
        <w:jc w:val="both"/>
        <w:rPr>
          <w:rFonts w:ascii="Times New Roman" w:hAnsi="Times New Roman" w:cs="Times New Roman"/>
          <w:kern w:val="2"/>
          <w:sz w:val="24"/>
          <w:szCs w:val="24"/>
          <w:lang w:val="en-US" w:eastAsia="en-US"/>
          <w14:ligatures w14:val="standardContextual"/>
        </w:rPr>
      </w:pPr>
      <w:r>
        <w:rPr>
          <w:rFonts w:ascii="Times New Roman" w:hAnsi="Times New Roman" w:cs="Times New Roman"/>
          <w:kern w:val="2"/>
          <w:sz w:val="24"/>
          <w:szCs w:val="24"/>
          <w:lang w:val="en-US" w:eastAsia="en-US"/>
          <w14:ligatures w14:val="standardContextual"/>
        </w:rPr>
        <w:t>Our analysis considered four dimensions of digitalization. Table 5 reports a positive and significant effect of the awareness of digital tools and techniques of reinforcement learning (Q15.5) when conditioning for the RAC.</w:t>
      </w:r>
      <w:bookmarkStart w:id="18" w:name="_Toc121936255"/>
    </w:p>
    <w:bookmarkEnd w:id="18"/>
    <w:p w14:paraId="60785E7E" w14:textId="709F4267" w:rsidR="0077267A" w:rsidRPr="00F5536A" w:rsidRDefault="002752CB" w:rsidP="00DD0F31">
      <w:pPr>
        <w:spacing w:after="160" w:line="480" w:lineRule="auto"/>
        <w:ind w:firstLine="284"/>
        <w:jc w:val="both"/>
        <w:rPr>
          <w:rFonts w:ascii="Times New Roman" w:hAnsi="Times New Roman" w:cs="Times New Roman"/>
          <w:kern w:val="2"/>
          <w:sz w:val="24"/>
          <w:szCs w:val="24"/>
          <w:lang w:val="en-US" w:eastAsia="en-US"/>
          <w14:ligatures w14:val="standardContextual"/>
        </w:rPr>
      </w:pPr>
      <w:r>
        <w:rPr>
          <w:rFonts w:ascii="Times New Roman" w:eastAsia="Times New Roman" w:hAnsi="Times New Roman" w:cs="Times New Roman"/>
          <w:bCs/>
          <w:color w:val="212529"/>
          <w:kern w:val="2"/>
          <w:sz w:val="24"/>
          <w:szCs w:val="24"/>
          <w:lang w:val="en-US"/>
          <w14:ligatures w14:val="standardContextual"/>
        </w:rPr>
        <w:t xml:space="preserve">Table 5 confirms that only the introduction of previous innovations, such as new business practices for organizing procedures (Q14.4), i.e., the first-time use of supply chain management, business re-engineering, knowledge management, lean production, quality </w:t>
      </w:r>
      <w:r>
        <w:rPr>
          <w:rFonts w:ascii="Times New Roman" w:eastAsia="Times New Roman" w:hAnsi="Times New Roman" w:cs="Times New Roman"/>
          <w:bCs/>
          <w:color w:val="212529"/>
          <w:kern w:val="2"/>
          <w:sz w:val="24"/>
          <w:szCs w:val="24"/>
          <w:lang w:val="en-US"/>
          <w14:ligatures w14:val="standardContextual"/>
        </w:rPr>
        <w:lastRenderedPageBreak/>
        <w:t>management, etc., using data-informed decision-making, helps with the completion of data projects with a positive and significant effect (</w:t>
      </w:r>
      <w:r>
        <w:rPr>
          <w:rFonts w:ascii="Cambria Math" w:eastAsia="Times New Roman" w:hAnsi="Cambria Math" w:cs="Cambria Math"/>
          <w:bCs/>
          <w:color w:val="212529"/>
          <w:kern w:val="2"/>
          <w:sz w:val="24"/>
          <w:szCs w:val="24"/>
          <w:lang w:val="en-US"/>
          <w14:ligatures w14:val="standardContextual"/>
        </w:rPr>
        <w:t>𝛽</w:t>
      </w:r>
      <w:r>
        <w:rPr>
          <w:rFonts w:ascii="Times New Roman" w:eastAsia="Times New Roman" w:hAnsi="Times New Roman" w:cs="Times New Roman"/>
          <w:bCs/>
          <w:color w:val="212529"/>
          <w:kern w:val="2"/>
          <w:sz w:val="24"/>
          <w:szCs w:val="24"/>
          <w:lang w:val="en-US"/>
          <w14:ligatures w14:val="standardContextual"/>
        </w:rPr>
        <w:t xml:space="preserve"> = 0.484***) when conditioning for PAC. These results indicate that the relevance of our intervention was more successful for firms likely to have technological competencies rather than capabilities</w:t>
      </w:r>
      <w:r w:rsidR="000D166D">
        <w:rPr>
          <w:rFonts w:ascii="Times New Roman" w:eastAsia="Times New Roman" w:hAnsi="Times New Roman" w:cs="Times New Roman"/>
          <w:bCs/>
          <w:color w:val="212529"/>
          <w:kern w:val="2"/>
          <w:sz w:val="24"/>
          <w:szCs w:val="24"/>
          <w:lang w:val="en-US"/>
          <w14:ligatures w14:val="standardContextual"/>
        </w:rPr>
        <w:t>,</w:t>
      </w:r>
      <w:r>
        <w:rPr>
          <w:rFonts w:ascii="Times New Roman" w:eastAsia="Times New Roman" w:hAnsi="Times New Roman" w:cs="Times New Roman"/>
          <w:bCs/>
          <w:color w:val="212529"/>
          <w:kern w:val="2"/>
          <w:sz w:val="24"/>
          <w:szCs w:val="24"/>
          <w:lang w:val="en-US"/>
          <w14:ligatures w14:val="standardContextual"/>
        </w:rPr>
        <w:t xml:space="preserve"> highlighting a </w:t>
      </w:r>
      <w:r w:rsidR="0073331B">
        <w:rPr>
          <w:rFonts w:ascii="Times New Roman" w:eastAsia="Times New Roman" w:hAnsi="Times New Roman" w:cs="Times New Roman"/>
          <w:bCs/>
          <w:color w:val="212529"/>
          <w:kern w:val="2"/>
          <w:sz w:val="24"/>
          <w:szCs w:val="24"/>
          <w:lang w:val="en-US"/>
          <w14:ligatures w14:val="standardContextual"/>
        </w:rPr>
        <w:t>difference</w:t>
      </w:r>
      <w:r>
        <w:rPr>
          <w:rFonts w:ascii="Times New Roman" w:eastAsia="Times New Roman" w:hAnsi="Times New Roman" w:cs="Times New Roman"/>
          <w:bCs/>
          <w:color w:val="212529"/>
          <w:kern w:val="2"/>
          <w:sz w:val="24"/>
          <w:szCs w:val="24"/>
          <w:lang w:val="en-US"/>
          <w14:ligatures w14:val="standardContextual"/>
        </w:rPr>
        <w:t xml:space="preserve"> between SME’s and wider organizations (Pellegrino &amp; Piva, 2020, Barbero et al., 2011), Moncada-Paternò-Castello (2022) and Iammarino et al. (2012) highlighted the importance of controlling for sectorial distribution on innovation activities. Our results showed no significant effects dependent on the sectors when controlling for PAC, whereas the sectors variations were significant when controlling for RAC.</w:t>
      </w:r>
      <w:r w:rsidR="0073331B" w:rsidRPr="00F5536A">
        <w:rPr>
          <w:rFonts w:ascii="Times New Roman" w:hAnsi="Times New Roman" w:cs="Times New Roman"/>
          <w:kern w:val="2"/>
          <w:sz w:val="24"/>
          <w:szCs w:val="24"/>
          <w:vertAlign w:val="superscript"/>
          <w:lang w:val="en-US" w:eastAsia="en-US"/>
          <w14:ligatures w14:val="standardContextual"/>
        </w:rPr>
        <w:footnoteReference w:id="4"/>
      </w:r>
      <w:r w:rsidR="0073331B" w:rsidRPr="00F5536A">
        <w:rPr>
          <w:rFonts w:ascii="Times New Roman" w:hAnsi="Times New Roman" w:cs="Times New Roman"/>
          <w:kern w:val="2"/>
          <w:sz w:val="24"/>
          <w:szCs w:val="24"/>
          <w:lang w:val="en-US" w:eastAsia="en-US"/>
          <w14:ligatures w14:val="standardContextual"/>
        </w:rPr>
        <w:t>.</w:t>
      </w:r>
      <w:r w:rsidR="0077267A" w:rsidRPr="00F5536A">
        <w:rPr>
          <w:rFonts w:ascii="Times New Roman" w:hAnsi="Times New Roman" w:cs="Times New Roman"/>
          <w:kern w:val="2"/>
          <w:sz w:val="24"/>
          <w:szCs w:val="24"/>
          <w:lang w:val="en-US" w:eastAsia="en-US"/>
          <w14:ligatures w14:val="standardContextual"/>
        </w:rPr>
        <w:t xml:space="preserve"> </w:t>
      </w:r>
    </w:p>
    <w:p w14:paraId="04CDEE21" w14:textId="77777777" w:rsidR="0077267A" w:rsidRPr="00F5536A" w:rsidRDefault="0077267A" w:rsidP="00DD0F31">
      <w:pPr>
        <w:numPr>
          <w:ilvl w:val="0"/>
          <w:numId w:val="14"/>
        </w:numPr>
        <w:spacing w:after="160" w:line="480" w:lineRule="auto"/>
        <w:contextualSpacing/>
        <w:jc w:val="both"/>
        <w:rPr>
          <w:rFonts w:ascii="Times New Roman" w:hAnsi="Times New Roman" w:cs="Times New Roman"/>
          <w:bCs/>
          <w:kern w:val="2"/>
          <w:sz w:val="24"/>
          <w:szCs w:val="24"/>
          <w:lang w:val="en-US" w:eastAsia="en-US"/>
          <w14:ligatures w14:val="standardContextual"/>
        </w:rPr>
      </w:pPr>
      <w:bookmarkStart w:id="19" w:name="_Toc149046839"/>
      <w:bookmarkStart w:id="20" w:name="_Toc149148755"/>
      <w:bookmarkStart w:id="21" w:name="_Toc149150444"/>
      <w:r w:rsidRPr="00F5536A">
        <w:rPr>
          <w:rFonts w:ascii="Times New Roman" w:hAnsi="Times New Roman" w:cs="Times New Roman"/>
          <w:b/>
          <w:bCs/>
          <w:kern w:val="2"/>
          <w:sz w:val="24"/>
          <w:szCs w:val="24"/>
          <w:lang w:val="en-US" w:eastAsia="en-US"/>
          <w14:ligatures w14:val="standardContextual"/>
        </w:rPr>
        <w:t>Conclusions and Policy Recommendations</w:t>
      </w:r>
      <w:bookmarkEnd w:id="19"/>
      <w:bookmarkEnd w:id="20"/>
      <w:bookmarkEnd w:id="21"/>
      <w:r w:rsidRPr="00F5536A">
        <w:rPr>
          <w:rFonts w:ascii="Times New Roman" w:hAnsi="Times New Roman" w:cs="Times New Roman"/>
          <w:b/>
          <w:bCs/>
          <w:kern w:val="2"/>
          <w:sz w:val="24"/>
          <w:szCs w:val="24"/>
          <w:lang w:val="en-US" w:eastAsia="en-US"/>
          <w14:ligatures w14:val="standardContextual"/>
        </w:rPr>
        <w:t xml:space="preserve"> </w:t>
      </w:r>
    </w:p>
    <w:p w14:paraId="44AD76C0" w14:textId="77777777" w:rsidR="000B0DDB" w:rsidRDefault="000B0DDB" w:rsidP="005736C2">
      <w:pPr>
        <w:spacing w:after="160" w:line="480" w:lineRule="auto"/>
        <w:ind w:firstLine="567"/>
        <w:jc w:val="both"/>
        <w:rPr>
          <w:rFonts w:ascii="Times New Roman" w:hAnsi="Times New Roman" w:cs="Times New Roman"/>
          <w:kern w:val="2"/>
          <w:sz w:val="24"/>
          <w:szCs w:val="24"/>
          <w:lang w:val="en-US" w:eastAsia="en-US"/>
          <w14:ligatures w14:val="standardContextual"/>
        </w:rPr>
      </w:pPr>
      <w:r>
        <w:rPr>
          <w:rFonts w:ascii="Times New Roman" w:hAnsi="Times New Roman" w:cs="Times New Roman"/>
          <w:kern w:val="2"/>
          <w:sz w:val="24"/>
          <w:szCs w:val="24"/>
          <w:lang w:val="en-US" w:eastAsia="en-US"/>
          <w14:ligatures w14:val="standardContextual"/>
        </w:rPr>
        <w:t xml:space="preserve">We looked at how a lack of digital skills and attitudes affects small businesses' ability to adopt new technologies. Specifically, we looked at how both potential and actual absorptive capacity affect the success of a customized process for adopting new technologies. Higher levels of PAC significantly enhance the success of SME projects in adopting digital innovations, as empirical evidence demonstrates. Our findings add to the previous evidence (Aliasghar et al., 2023; Brunswicker &amp; Vanhaverbeke, 2015) supporting the positive and significant role of absorptive capacity, specifically external knowledge exploration and assimilation, on innovation by emphasizing the role of dynamic capabilities in the process of digital innovation adoption. These results underscore the pivotal role of SMEs' internal capabilities in acquiring and assimilating external data-based knowledge. Therefore, it is </w:t>
      </w:r>
      <w:r>
        <w:rPr>
          <w:rFonts w:ascii="Times New Roman" w:hAnsi="Times New Roman" w:cs="Times New Roman"/>
          <w:kern w:val="2"/>
          <w:sz w:val="24"/>
          <w:szCs w:val="24"/>
          <w:lang w:val="en-US" w:eastAsia="en-US"/>
          <w14:ligatures w14:val="standardContextual"/>
        </w:rPr>
        <w:lastRenderedPageBreak/>
        <w:t>crucial to focus internal resources, financial decisions, and regional support policies on enhancing SMEs' capabilities in acquiring and integrating external knowledge.</w:t>
      </w:r>
    </w:p>
    <w:p w14:paraId="251145BA" w14:textId="77777777" w:rsidR="000B0DDB" w:rsidRDefault="000B0DDB" w:rsidP="005736C2">
      <w:pPr>
        <w:spacing w:after="160" w:line="480" w:lineRule="auto"/>
        <w:ind w:firstLine="567"/>
        <w:jc w:val="both"/>
        <w:rPr>
          <w:rFonts w:ascii="Times New Roman" w:hAnsi="Times New Roman" w:cs="Times New Roman"/>
          <w:kern w:val="2"/>
          <w:sz w:val="24"/>
          <w:szCs w:val="24"/>
          <w:lang w:val="en-US" w:eastAsia="en-US"/>
          <w14:ligatures w14:val="standardContextual"/>
        </w:rPr>
      </w:pPr>
      <w:r>
        <w:rPr>
          <w:rFonts w:ascii="Times New Roman" w:hAnsi="Times New Roman" w:cs="Times New Roman"/>
          <w:kern w:val="2"/>
          <w:sz w:val="24"/>
          <w:szCs w:val="24"/>
          <w:lang w:val="en-US" w:eastAsia="en-US"/>
          <w14:ligatures w14:val="standardContextual"/>
        </w:rPr>
        <w:t>Our empirical results also showed that, contrary to PAC, heightened levels of RAC impede the successful adoption of digital innovations by SMEs. Consequently, regional support policies should prioritize assistance to SMEs lacking competency in transforming and exploiting data-based knowledge, as those proficient in these areas might derive lesser benefits from such support. The analysis of various covariates related to digitization dimensions underscores the need for tailored digital sector policies. A meticulous understanding of SMEs' characteristics, including target markets, awareness and utilization of digital tools, data availability, security and compliance awareness, data infrastructure, and prior innovation adoption experiences, should guide the design of these policies.</w:t>
      </w:r>
    </w:p>
    <w:p w14:paraId="3468BEEF" w14:textId="77777777" w:rsidR="000B0DDB" w:rsidRDefault="000B0DDB" w:rsidP="005736C2">
      <w:pPr>
        <w:spacing w:after="160" w:line="480" w:lineRule="auto"/>
        <w:ind w:firstLine="567"/>
        <w:jc w:val="both"/>
        <w:rPr>
          <w:rFonts w:ascii="Times New Roman" w:hAnsi="Times New Roman" w:cs="Times New Roman"/>
          <w:kern w:val="2"/>
          <w:sz w:val="24"/>
          <w:szCs w:val="24"/>
          <w:lang w:val="en-US" w:eastAsia="en-US"/>
          <w14:ligatures w14:val="standardContextual"/>
        </w:rPr>
      </w:pPr>
      <w:r>
        <w:rPr>
          <w:rFonts w:ascii="Times New Roman" w:hAnsi="Times New Roman" w:cs="Times New Roman"/>
          <w:kern w:val="2"/>
          <w:sz w:val="24"/>
          <w:szCs w:val="24"/>
          <w:lang w:val="en-US" w:eastAsia="en-US"/>
          <w14:ligatures w14:val="standardContextual"/>
        </w:rPr>
        <w:t>These insights align with existing evidence emphasizing the role of internal capabilities and technological orientation in mediating innovation success (Haug et al., 2023; Brunswicker &amp; Vanhaverbeke, 2015). However, acknowledging the limitations of the cross-sectional data used in this study, it is essential for future research to delve deeper into SMEs' digitalization and absorptive capacity (Aliasghar et al., 2023; Brunswicker &amp; Vanhaverbeke, 2015; Raymond et al., 2015).</w:t>
      </w:r>
    </w:p>
    <w:p w14:paraId="7D81D5BE" w14:textId="1F09CC43" w:rsidR="003825BB" w:rsidRPr="00DD0F31" w:rsidRDefault="000B0DDB" w:rsidP="005736C2">
      <w:pPr>
        <w:spacing w:after="160" w:line="480" w:lineRule="auto"/>
        <w:ind w:firstLine="567"/>
        <w:jc w:val="both"/>
        <w:rPr>
          <w:rFonts w:ascii="Times New Roman" w:eastAsia="Times New Roman" w:hAnsi="Times New Roman" w:cs="Times New Roman"/>
          <w:sz w:val="24"/>
          <w:szCs w:val="24"/>
        </w:rPr>
      </w:pPr>
      <w:r>
        <w:rPr>
          <w:rFonts w:ascii="Times New Roman" w:hAnsi="Times New Roman" w:cs="Times New Roman"/>
          <w:kern w:val="2"/>
          <w:sz w:val="24"/>
          <w:szCs w:val="24"/>
          <w:lang w:val="en-US" w:eastAsia="en-US"/>
          <w14:ligatures w14:val="standardContextual"/>
        </w:rPr>
        <w:t xml:space="preserve">In conclusion, this study underscores the pivotal role of PAC in driving the successful completion of processes for adopting digital innovations among SMEs. PAC, as a dynamic capability facilitating the acquisition and assimilation of external knowledge, positively influences innovation efforts. Intriguingly, the findings reveal a contrasting effect associated with RAC. A higher emphasis on RAC, involving the transformation and exploitation of existing knowledge, seems to diminish the likelihood of successfully adopting digital </w:t>
      </w:r>
      <w:r>
        <w:rPr>
          <w:rFonts w:ascii="Times New Roman" w:hAnsi="Times New Roman" w:cs="Times New Roman"/>
          <w:kern w:val="2"/>
          <w:sz w:val="24"/>
          <w:szCs w:val="24"/>
          <w:lang w:val="en-US" w:eastAsia="en-US"/>
          <w14:ligatures w14:val="standardContextual"/>
        </w:rPr>
        <w:lastRenderedPageBreak/>
        <w:t>innovations. This suggests the challenge for SMEs in pursuing an ambidextrous strategy encompassing both exploration and exploitation in digital adoption.</w:t>
      </w:r>
    </w:p>
    <w:p w14:paraId="7325B931" w14:textId="77777777" w:rsidR="00993056" w:rsidRPr="00DD0F31" w:rsidRDefault="00993056" w:rsidP="00DD0F31">
      <w:pPr>
        <w:spacing w:line="480" w:lineRule="auto"/>
        <w:jc w:val="both"/>
        <w:rPr>
          <w:rFonts w:ascii="Times New Roman" w:hAnsi="Times New Roman" w:cs="Times New Roman"/>
          <w:b/>
          <w:sz w:val="24"/>
          <w:szCs w:val="24"/>
          <w:lang w:val="en-US"/>
        </w:rPr>
      </w:pPr>
      <w:r w:rsidRPr="00DD0F31">
        <w:rPr>
          <w:rFonts w:ascii="Times New Roman" w:hAnsi="Times New Roman" w:cs="Times New Roman"/>
          <w:b/>
          <w:sz w:val="24"/>
          <w:szCs w:val="24"/>
          <w:lang w:val="en-US"/>
        </w:rPr>
        <w:t>References</w:t>
      </w:r>
    </w:p>
    <w:p w14:paraId="367AFBF7" w14:textId="77777777" w:rsidR="00C15F00" w:rsidRDefault="00C15F00" w:rsidP="00DD0F31">
      <w:pPr>
        <w:spacing w:line="480" w:lineRule="auto"/>
        <w:ind w:left="567" w:hanging="454"/>
        <w:jc w:val="both"/>
        <w:rPr>
          <w:rFonts w:ascii="Times New Roman" w:hAnsi="Times New Roman" w:cs="Times New Roman"/>
          <w:sz w:val="24"/>
          <w:szCs w:val="24"/>
          <w:lang w:val="en-US"/>
        </w:rPr>
      </w:pPr>
    </w:p>
    <w:p w14:paraId="093E8909" w14:textId="2E02A4DA"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Achcaoucaou, F., Miravitlles, P., &amp; León-Darder, F. (2014). Knowledge sharing and subsidiary R&amp;D mandate development: A matter of dual embeddedness. </w:t>
      </w:r>
      <w:r w:rsidRPr="00DD0F31">
        <w:rPr>
          <w:rFonts w:ascii="Times New Roman" w:hAnsi="Times New Roman" w:cs="Times New Roman"/>
          <w:i/>
          <w:iCs/>
          <w:sz w:val="24"/>
          <w:szCs w:val="24"/>
          <w:lang w:val="en-US"/>
        </w:rPr>
        <w:t>International Business Review</w:t>
      </w:r>
      <w:r w:rsidRPr="00DD0F31">
        <w:rPr>
          <w:rFonts w:ascii="Times New Roman" w:hAnsi="Times New Roman" w:cs="Times New Roman"/>
          <w:sz w:val="24"/>
          <w:szCs w:val="24"/>
          <w:lang w:val="en-US"/>
        </w:rPr>
        <w:t>, 23(1), 76-90.</w:t>
      </w:r>
    </w:p>
    <w:p w14:paraId="3F1BD80A"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Albort-Morant, G., Henseler, J., Cepeda-Carrión, G., &amp; Leal-Rodríguez, A. L. (2018). Potential and realized absorptive capacity as complementary drivers of green product and process innovation performance. </w:t>
      </w:r>
      <w:r w:rsidRPr="00DD0F31">
        <w:rPr>
          <w:rFonts w:ascii="Times New Roman" w:hAnsi="Times New Roman" w:cs="Times New Roman"/>
          <w:i/>
          <w:iCs/>
          <w:sz w:val="24"/>
          <w:szCs w:val="24"/>
          <w:lang w:val="en-US"/>
        </w:rPr>
        <w:t>Sustainability</w:t>
      </w:r>
      <w:r w:rsidRPr="00DD0F31">
        <w:rPr>
          <w:rFonts w:ascii="Times New Roman" w:hAnsi="Times New Roman" w:cs="Times New Roman"/>
          <w:sz w:val="24"/>
          <w:szCs w:val="24"/>
          <w:lang w:val="en-US"/>
        </w:rPr>
        <w:t>, 10(2), 381.</w:t>
      </w:r>
    </w:p>
    <w:p w14:paraId="2A3BD332"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rPr>
        <w:t xml:space="preserve">Aldieri, L., Sena, V., and Vinci, C.P. (2022). High growth episodes among R&amp;D intensive firms. Evidence for Europe, US, and Japan. </w:t>
      </w:r>
      <w:r w:rsidRPr="00DD0F31">
        <w:rPr>
          <w:rFonts w:ascii="Times New Roman" w:hAnsi="Times New Roman" w:cs="Times New Roman"/>
          <w:i/>
          <w:iCs/>
          <w:sz w:val="24"/>
          <w:szCs w:val="24"/>
        </w:rPr>
        <w:t>International Small Business Journal: Researching Entrepreneurship</w:t>
      </w:r>
      <w:r w:rsidRPr="00DD0F31">
        <w:rPr>
          <w:rFonts w:ascii="Times New Roman" w:hAnsi="Times New Roman" w:cs="Times New Roman"/>
          <w:sz w:val="24"/>
          <w:szCs w:val="24"/>
        </w:rPr>
        <w:t>, 40(6), 742-767</w:t>
      </w:r>
    </w:p>
    <w:p w14:paraId="5421FDA7"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Aliasghar, O., Sadeghi, A., &amp; Rose, E. L. (2023). Process innovation in small-and medium-sized enterprises: The critical roles of external knowledge sourcing and absorptive capacity. </w:t>
      </w:r>
      <w:r w:rsidRPr="00DD0F31">
        <w:rPr>
          <w:rFonts w:ascii="Times New Roman" w:hAnsi="Times New Roman" w:cs="Times New Roman"/>
          <w:i/>
          <w:iCs/>
          <w:sz w:val="24"/>
          <w:szCs w:val="24"/>
          <w:lang w:val="en-US"/>
        </w:rPr>
        <w:t>Journal of Small Business Management</w:t>
      </w:r>
      <w:r w:rsidRPr="00DD0F31">
        <w:rPr>
          <w:rFonts w:ascii="Times New Roman" w:hAnsi="Times New Roman" w:cs="Times New Roman"/>
          <w:sz w:val="24"/>
          <w:szCs w:val="24"/>
          <w:lang w:val="en-US"/>
        </w:rPr>
        <w:t>, </w:t>
      </w:r>
      <w:r w:rsidRPr="00DD0F31">
        <w:rPr>
          <w:rFonts w:ascii="Times New Roman" w:hAnsi="Times New Roman" w:cs="Times New Roman"/>
          <w:i/>
          <w:iCs/>
          <w:sz w:val="24"/>
          <w:szCs w:val="24"/>
          <w:lang w:val="en-US"/>
        </w:rPr>
        <w:t>61</w:t>
      </w:r>
      <w:r w:rsidRPr="00DD0F31">
        <w:rPr>
          <w:rFonts w:ascii="Times New Roman" w:hAnsi="Times New Roman" w:cs="Times New Roman"/>
          <w:sz w:val="24"/>
          <w:szCs w:val="24"/>
          <w:lang w:val="en-US"/>
        </w:rPr>
        <w:t>(4), 1583-1610.</w:t>
      </w:r>
    </w:p>
    <w:p w14:paraId="03950FA2" w14:textId="77777777" w:rsidR="00993056"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Arya, V., Sethi, D., &amp; Paul, J. (2019). Does digital footprint act as a digital asset? –Enhancing brand experience through remarketing. </w:t>
      </w:r>
      <w:r w:rsidRPr="00DD0F31">
        <w:rPr>
          <w:rFonts w:ascii="Times New Roman" w:hAnsi="Times New Roman" w:cs="Times New Roman"/>
          <w:i/>
          <w:iCs/>
          <w:sz w:val="24"/>
          <w:szCs w:val="24"/>
          <w:lang w:val="en-US"/>
        </w:rPr>
        <w:t>International Journal of Information Management</w:t>
      </w:r>
      <w:r w:rsidRPr="00DD0F31">
        <w:rPr>
          <w:rFonts w:ascii="Times New Roman" w:hAnsi="Times New Roman" w:cs="Times New Roman"/>
          <w:sz w:val="24"/>
          <w:szCs w:val="24"/>
          <w:lang w:val="en-US"/>
        </w:rPr>
        <w:t xml:space="preserve">, 49, 142-156. </w:t>
      </w:r>
    </w:p>
    <w:p w14:paraId="62360B53" w14:textId="1A96A8D6" w:rsidR="00CD3BFB" w:rsidRPr="00C15F00" w:rsidRDefault="00CD3BFB" w:rsidP="00CD3BFB">
      <w:pPr>
        <w:spacing w:line="480" w:lineRule="auto"/>
        <w:ind w:left="567" w:hanging="454"/>
        <w:jc w:val="both"/>
        <w:rPr>
          <w:rFonts w:ascii="Times New Roman" w:hAnsi="Times New Roman" w:cs="Times New Roman"/>
          <w:sz w:val="24"/>
          <w:szCs w:val="24"/>
        </w:rPr>
      </w:pPr>
      <w:r w:rsidRPr="00C15F00">
        <w:rPr>
          <w:rFonts w:ascii="Times New Roman" w:hAnsi="Times New Roman" w:cs="Times New Roman"/>
          <w:sz w:val="24"/>
          <w:szCs w:val="24"/>
        </w:rPr>
        <w:t>Audretsch, D., M. Belitski, and C. Brush</w:t>
      </w:r>
      <w:r w:rsidR="00DA671E">
        <w:rPr>
          <w:rFonts w:ascii="Times New Roman" w:hAnsi="Times New Roman" w:cs="Times New Roman"/>
          <w:sz w:val="24"/>
          <w:szCs w:val="24"/>
        </w:rPr>
        <w:t>,</w:t>
      </w:r>
      <w:r w:rsidRPr="00C15F00">
        <w:rPr>
          <w:rFonts w:ascii="Times New Roman" w:hAnsi="Times New Roman" w:cs="Times New Roman"/>
          <w:sz w:val="24"/>
          <w:szCs w:val="24"/>
        </w:rPr>
        <w:t xml:space="preserve"> </w:t>
      </w:r>
      <w:r w:rsidR="00DA671E">
        <w:rPr>
          <w:rFonts w:ascii="Times New Roman" w:hAnsi="Times New Roman" w:cs="Times New Roman"/>
          <w:sz w:val="24"/>
          <w:szCs w:val="24"/>
        </w:rPr>
        <w:t>(</w:t>
      </w:r>
      <w:r w:rsidRPr="00C15F00">
        <w:rPr>
          <w:rFonts w:ascii="Times New Roman" w:hAnsi="Times New Roman" w:cs="Times New Roman"/>
          <w:sz w:val="24"/>
          <w:szCs w:val="24"/>
        </w:rPr>
        <w:t>2023</w:t>
      </w:r>
      <w:r w:rsidR="00DA671E">
        <w:rPr>
          <w:rFonts w:ascii="Times New Roman" w:hAnsi="Times New Roman" w:cs="Times New Roman"/>
          <w:sz w:val="24"/>
          <w:szCs w:val="24"/>
        </w:rPr>
        <w:t>)</w:t>
      </w:r>
      <w:r w:rsidRPr="00C15F00">
        <w:rPr>
          <w:rFonts w:ascii="Times New Roman" w:hAnsi="Times New Roman" w:cs="Times New Roman"/>
          <w:sz w:val="24"/>
          <w:szCs w:val="24"/>
        </w:rPr>
        <w:t>. How to Secure an Innovation Grant for Firms in New Industries? Gender and Resource Perspectives.</w:t>
      </w:r>
      <w:r w:rsidR="00DA671E">
        <w:rPr>
          <w:rFonts w:ascii="Times New Roman" w:hAnsi="Times New Roman" w:cs="Times New Roman"/>
          <w:sz w:val="24"/>
          <w:szCs w:val="24"/>
        </w:rPr>
        <w:t xml:space="preserve"> </w:t>
      </w:r>
      <w:r w:rsidRPr="00C15F00">
        <w:rPr>
          <w:rFonts w:ascii="Times New Roman" w:hAnsi="Times New Roman" w:cs="Times New Roman"/>
          <w:sz w:val="24"/>
          <w:szCs w:val="24"/>
        </w:rPr>
        <w:t xml:space="preserve"> </w:t>
      </w:r>
      <w:r w:rsidRPr="00C15F00">
        <w:rPr>
          <w:rFonts w:ascii="Times New Roman" w:hAnsi="Times New Roman" w:cs="Times New Roman"/>
          <w:i/>
          <w:iCs/>
          <w:sz w:val="24"/>
          <w:szCs w:val="24"/>
        </w:rPr>
        <w:t>International Journal of Entrepreneurial Behavior &amp; Research</w:t>
      </w:r>
      <w:r w:rsidRPr="00C15F00">
        <w:rPr>
          <w:rFonts w:ascii="Times New Roman" w:hAnsi="Times New Roman" w:cs="Times New Roman"/>
          <w:sz w:val="24"/>
          <w:szCs w:val="24"/>
        </w:rPr>
        <w:t xml:space="preserve">. https://doi.org/10.1108/ IJEBR-02-2022-0183. </w:t>
      </w:r>
    </w:p>
    <w:p w14:paraId="08855AF9"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Ballestar, M. T., Díaz-Chao, Á., Sainz, J., &amp; Torrent-Sellens, J. (2020). Knowledge, </w:t>
      </w:r>
      <w:bookmarkStart w:id="22" w:name="_Int_MgOwnZ4p"/>
      <w:r w:rsidRPr="00DD0F31">
        <w:rPr>
          <w:rFonts w:ascii="Times New Roman" w:hAnsi="Times New Roman" w:cs="Times New Roman"/>
          <w:sz w:val="24"/>
          <w:szCs w:val="24"/>
          <w:lang w:val="en-US"/>
        </w:rPr>
        <w:t>robots</w:t>
      </w:r>
      <w:bookmarkEnd w:id="22"/>
      <w:r w:rsidRPr="00DD0F31">
        <w:rPr>
          <w:rFonts w:ascii="Times New Roman" w:hAnsi="Times New Roman" w:cs="Times New Roman"/>
          <w:sz w:val="24"/>
          <w:szCs w:val="24"/>
          <w:lang w:val="en-US"/>
        </w:rPr>
        <w:t xml:space="preserve"> and productivity in SMEs: Explaining the second digital wave. </w:t>
      </w:r>
      <w:r w:rsidRPr="00DD0F31">
        <w:rPr>
          <w:rFonts w:ascii="Times New Roman" w:hAnsi="Times New Roman" w:cs="Times New Roman"/>
          <w:i/>
          <w:iCs/>
          <w:sz w:val="24"/>
          <w:szCs w:val="24"/>
          <w:lang w:val="en-US"/>
        </w:rPr>
        <w:t>Journal of Business Research</w:t>
      </w:r>
      <w:r w:rsidRPr="00DD0F31">
        <w:rPr>
          <w:rFonts w:ascii="Times New Roman" w:hAnsi="Times New Roman" w:cs="Times New Roman"/>
          <w:sz w:val="24"/>
          <w:szCs w:val="24"/>
          <w:lang w:val="en-US"/>
        </w:rPr>
        <w:t>, </w:t>
      </w:r>
      <w:r w:rsidRPr="00DD0F31">
        <w:rPr>
          <w:rFonts w:ascii="Times New Roman" w:hAnsi="Times New Roman" w:cs="Times New Roman"/>
          <w:i/>
          <w:iCs/>
          <w:sz w:val="24"/>
          <w:szCs w:val="24"/>
          <w:lang w:val="en-US"/>
        </w:rPr>
        <w:t>108</w:t>
      </w:r>
      <w:r w:rsidRPr="00DD0F31">
        <w:rPr>
          <w:rFonts w:ascii="Times New Roman" w:hAnsi="Times New Roman" w:cs="Times New Roman"/>
          <w:sz w:val="24"/>
          <w:szCs w:val="24"/>
          <w:lang w:val="en-US"/>
        </w:rPr>
        <w:t xml:space="preserve">, 119-131., </w:t>
      </w:r>
    </w:p>
    <w:p w14:paraId="7EFFC0DE" w14:textId="4408D23C" w:rsidR="00993056"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lastRenderedPageBreak/>
        <w:t>Barbero</w:t>
      </w:r>
      <w:r w:rsidRPr="00DD0F31">
        <w:rPr>
          <w:rFonts w:ascii="Times New Roman" w:hAnsi="Times New Roman" w:cs="Times New Roman"/>
          <w:i/>
          <w:iCs/>
          <w:sz w:val="24"/>
          <w:szCs w:val="24"/>
          <w:lang w:val="en-US"/>
        </w:rPr>
        <w:t xml:space="preserve"> </w:t>
      </w:r>
      <w:r w:rsidRPr="00DD0F31">
        <w:rPr>
          <w:rFonts w:ascii="Times New Roman" w:hAnsi="Times New Roman" w:cs="Times New Roman"/>
          <w:sz w:val="24"/>
          <w:szCs w:val="24"/>
          <w:lang w:val="en-US"/>
        </w:rPr>
        <w:t xml:space="preserve">J.L., Casillas, J.C., and Feldman, H.D., </w:t>
      </w:r>
      <w:r w:rsidR="00DA671E">
        <w:rPr>
          <w:rFonts w:ascii="Times New Roman" w:hAnsi="Times New Roman" w:cs="Times New Roman"/>
          <w:sz w:val="24"/>
          <w:szCs w:val="24"/>
          <w:lang w:val="en-US"/>
        </w:rPr>
        <w:t>(</w:t>
      </w:r>
      <w:r w:rsidRPr="00DD0F31">
        <w:rPr>
          <w:rFonts w:ascii="Times New Roman" w:hAnsi="Times New Roman" w:cs="Times New Roman"/>
          <w:sz w:val="24"/>
          <w:szCs w:val="24"/>
          <w:lang w:val="en-US"/>
        </w:rPr>
        <w:t>2011</w:t>
      </w:r>
      <w:r w:rsidR="00DA671E">
        <w:rPr>
          <w:rFonts w:ascii="Times New Roman" w:hAnsi="Times New Roman" w:cs="Times New Roman"/>
          <w:sz w:val="24"/>
          <w:szCs w:val="24"/>
          <w:lang w:val="en-US"/>
        </w:rPr>
        <w:t>)</w:t>
      </w:r>
      <w:r w:rsidRPr="00DD0F31">
        <w:rPr>
          <w:rFonts w:ascii="Times New Roman" w:hAnsi="Times New Roman" w:cs="Times New Roman"/>
          <w:sz w:val="24"/>
          <w:szCs w:val="24"/>
          <w:lang w:val="en-US"/>
        </w:rPr>
        <w:t xml:space="preserve">. Managerial capabilities and paths to growth as determinants of high-growth small and medium-sized enterprises. </w:t>
      </w:r>
      <w:r w:rsidRPr="00DD0F31">
        <w:rPr>
          <w:rFonts w:ascii="Times New Roman" w:hAnsi="Times New Roman" w:cs="Times New Roman"/>
          <w:i/>
          <w:iCs/>
          <w:sz w:val="24"/>
          <w:szCs w:val="24"/>
          <w:lang w:val="en-US"/>
        </w:rPr>
        <w:t>International Small Business Journal</w:t>
      </w:r>
      <w:r w:rsidRPr="00DD0F31">
        <w:rPr>
          <w:rFonts w:ascii="Times New Roman" w:hAnsi="Times New Roman" w:cs="Times New Roman"/>
          <w:sz w:val="24"/>
          <w:szCs w:val="24"/>
          <w:lang w:val="en-US"/>
        </w:rPr>
        <w:t>, 29(6), pp.671-694.</w:t>
      </w:r>
    </w:p>
    <w:p w14:paraId="272081DF" w14:textId="78EB776D" w:rsidR="00206915" w:rsidRPr="00206915" w:rsidRDefault="00206915" w:rsidP="00206915">
      <w:pPr>
        <w:spacing w:line="480" w:lineRule="auto"/>
        <w:ind w:left="567" w:hanging="454"/>
        <w:jc w:val="both"/>
        <w:rPr>
          <w:rFonts w:ascii="Times New Roman" w:hAnsi="Times New Roman" w:cs="Times New Roman"/>
          <w:sz w:val="24"/>
          <w:szCs w:val="24"/>
        </w:rPr>
      </w:pPr>
      <w:r w:rsidRPr="00206915">
        <w:rPr>
          <w:rFonts w:ascii="Times New Roman" w:hAnsi="Times New Roman" w:cs="Times New Roman"/>
          <w:sz w:val="24"/>
          <w:szCs w:val="24"/>
        </w:rPr>
        <w:t xml:space="preserve">Belitski, M., J. Korosteleva, and L. Piscitello. </w:t>
      </w:r>
      <w:r w:rsidR="00DA671E">
        <w:rPr>
          <w:rFonts w:ascii="Times New Roman" w:hAnsi="Times New Roman" w:cs="Times New Roman"/>
          <w:sz w:val="24"/>
          <w:szCs w:val="24"/>
        </w:rPr>
        <w:t>(</w:t>
      </w:r>
      <w:r w:rsidRPr="00206915">
        <w:rPr>
          <w:rFonts w:ascii="Times New Roman" w:hAnsi="Times New Roman" w:cs="Times New Roman"/>
          <w:sz w:val="24"/>
          <w:szCs w:val="24"/>
        </w:rPr>
        <w:t>2021</w:t>
      </w:r>
      <w:r w:rsidR="00DA671E">
        <w:rPr>
          <w:rFonts w:ascii="Times New Roman" w:hAnsi="Times New Roman" w:cs="Times New Roman"/>
          <w:sz w:val="24"/>
          <w:szCs w:val="24"/>
        </w:rPr>
        <w:t>)</w:t>
      </w:r>
      <w:r w:rsidRPr="00206915">
        <w:rPr>
          <w:rFonts w:ascii="Times New Roman" w:hAnsi="Times New Roman" w:cs="Times New Roman"/>
          <w:sz w:val="24"/>
          <w:szCs w:val="24"/>
        </w:rPr>
        <w:t xml:space="preserve">. “Digital Affordances and Entrepreneurial Dynamics: New Evidence from European Regions.” </w:t>
      </w:r>
      <w:r w:rsidRPr="00206915">
        <w:rPr>
          <w:rFonts w:ascii="Times New Roman" w:hAnsi="Times New Roman" w:cs="Times New Roman"/>
          <w:i/>
          <w:iCs/>
          <w:sz w:val="24"/>
          <w:szCs w:val="24"/>
        </w:rPr>
        <w:t>Technovation</w:t>
      </w:r>
      <w:r w:rsidRPr="00206915">
        <w:rPr>
          <w:rFonts w:ascii="Times New Roman" w:hAnsi="Times New Roman" w:cs="Times New Roman"/>
          <w:sz w:val="24"/>
          <w:szCs w:val="24"/>
        </w:rPr>
        <w:t xml:space="preserve">. https://doi.org/10.1016/j.technovation.2021.102442 </w:t>
      </w:r>
    </w:p>
    <w:p w14:paraId="5B770F9B" w14:textId="77777777" w:rsidR="00993056"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Brink, T. (2017). SME routes for innovation collaboration with larger enterprises. </w:t>
      </w:r>
      <w:r w:rsidRPr="00DD0F31">
        <w:rPr>
          <w:rFonts w:ascii="Times New Roman" w:hAnsi="Times New Roman" w:cs="Times New Roman"/>
          <w:i/>
          <w:iCs/>
          <w:sz w:val="24"/>
          <w:szCs w:val="24"/>
          <w:lang w:val="en-US"/>
        </w:rPr>
        <w:t>Industrial Marketing Management</w:t>
      </w:r>
      <w:r w:rsidRPr="00DD0F31">
        <w:rPr>
          <w:rFonts w:ascii="Times New Roman" w:hAnsi="Times New Roman" w:cs="Times New Roman"/>
          <w:sz w:val="24"/>
          <w:szCs w:val="24"/>
          <w:lang w:val="en-US"/>
        </w:rPr>
        <w:t>, 64, 122-134.</w:t>
      </w:r>
    </w:p>
    <w:p w14:paraId="0BC82B48" w14:textId="4C9CE357" w:rsidR="009D36CF" w:rsidRPr="009D36CF" w:rsidRDefault="009D36CF" w:rsidP="009D36CF">
      <w:pPr>
        <w:spacing w:line="480" w:lineRule="auto"/>
        <w:ind w:left="567" w:hanging="454"/>
        <w:jc w:val="both"/>
        <w:rPr>
          <w:rFonts w:ascii="Times New Roman" w:hAnsi="Times New Roman" w:cs="Times New Roman"/>
          <w:sz w:val="24"/>
          <w:szCs w:val="24"/>
        </w:rPr>
      </w:pPr>
      <w:r w:rsidRPr="009D36CF">
        <w:rPr>
          <w:rFonts w:ascii="Times New Roman" w:hAnsi="Times New Roman" w:cs="Times New Roman"/>
          <w:sz w:val="24"/>
          <w:szCs w:val="24"/>
        </w:rPr>
        <w:t>Bruno, R. L., Korosteleva, J., Osaulenko, K., &amp; Radosevic, S. (2024). “Sectoral digital capabilities and complementarities in shaping young firms’ growth: evidence from Europe”, Entrepreneurship &amp; Regional Development, 36(1-2), 115-135.</w:t>
      </w:r>
    </w:p>
    <w:p w14:paraId="019E9324"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bookmarkStart w:id="23" w:name="_Hlk153018078"/>
      <w:r w:rsidRPr="00DD0F31">
        <w:rPr>
          <w:rFonts w:ascii="Times New Roman" w:hAnsi="Times New Roman" w:cs="Times New Roman"/>
          <w:sz w:val="24"/>
          <w:szCs w:val="24"/>
          <w:lang w:val="en-US"/>
        </w:rPr>
        <w:t xml:space="preserve">Brunswicker, S., &amp; Vanhaverbeke, W. (2015). Open innovation in small and medium‐sized enterprises (SMEs): External knowledge sourcing strategies and internal organizational facilitators. </w:t>
      </w:r>
      <w:r w:rsidRPr="00DD0F31">
        <w:rPr>
          <w:rFonts w:ascii="Times New Roman" w:hAnsi="Times New Roman" w:cs="Times New Roman"/>
          <w:i/>
          <w:iCs/>
          <w:sz w:val="24"/>
          <w:szCs w:val="24"/>
          <w:lang w:val="en-US"/>
        </w:rPr>
        <w:t>Journal of Small Business Management</w:t>
      </w:r>
      <w:r w:rsidRPr="00DD0F31">
        <w:rPr>
          <w:rFonts w:ascii="Times New Roman" w:hAnsi="Times New Roman" w:cs="Times New Roman"/>
          <w:sz w:val="24"/>
          <w:szCs w:val="24"/>
          <w:lang w:val="en-US"/>
        </w:rPr>
        <w:t>, 53(4), 1241-1263.</w:t>
      </w:r>
    </w:p>
    <w:bookmarkEnd w:id="23"/>
    <w:p w14:paraId="3B7F79C9"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Buisson, M. L., Gastaldi, L., Geffroy, B., Lonceint, R., &amp; Krohmer, C. (2021). Innovative SMEs in search of ambidexterity: a challenge for HRM!. </w:t>
      </w:r>
      <w:r w:rsidRPr="00DD0F31">
        <w:rPr>
          <w:rFonts w:ascii="Times New Roman" w:hAnsi="Times New Roman" w:cs="Times New Roman"/>
          <w:i/>
          <w:iCs/>
          <w:sz w:val="24"/>
          <w:szCs w:val="24"/>
          <w:lang w:val="en-US"/>
        </w:rPr>
        <w:t>Employee Relations: The International Journal</w:t>
      </w:r>
      <w:r w:rsidRPr="00DD0F31">
        <w:rPr>
          <w:rFonts w:ascii="Times New Roman" w:hAnsi="Times New Roman" w:cs="Times New Roman"/>
          <w:sz w:val="24"/>
          <w:szCs w:val="24"/>
          <w:lang w:val="en-US"/>
        </w:rPr>
        <w:t>, 43(2), 479-495.</w:t>
      </w:r>
    </w:p>
    <w:p w14:paraId="246FE638" w14:textId="4F23FCC0" w:rsidR="00993056"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Cao, Q., E. Gedajlovic, H. Zhang. </w:t>
      </w:r>
      <w:r w:rsidR="00DA671E">
        <w:rPr>
          <w:rFonts w:ascii="Times New Roman" w:hAnsi="Times New Roman" w:cs="Times New Roman"/>
          <w:sz w:val="24"/>
          <w:szCs w:val="24"/>
          <w:lang w:val="en-US"/>
        </w:rPr>
        <w:t>(</w:t>
      </w:r>
      <w:r w:rsidRPr="00DD0F31">
        <w:rPr>
          <w:rFonts w:ascii="Times New Roman" w:hAnsi="Times New Roman" w:cs="Times New Roman"/>
          <w:sz w:val="24"/>
          <w:szCs w:val="24"/>
          <w:lang w:val="en-US"/>
        </w:rPr>
        <w:t>2009</w:t>
      </w:r>
      <w:r w:rsidR="00DA671E">
        <w:rPr>
          <w:rFonts w:ascii="Times New Roman" w:hAnsi="Times New Roman" w:cs="Times New Roman"/>
          <w:sz w:val="24"/>
          <w:szCs w:val="24"/>
          <w:lang w:val="en-US"/>
        </w:rPr>
        <w:t>)</w:t>
      </w:r>
      <w:r w:rsidRPr="00DD0F31">
        <w:rPr>
          <w:rFonts w:ascii="Times New Roman" w:hAnsi="Times New Roman" w:cs="Times New Roman"/>
          <w:sz w:val="24"/>
          <w:szCs w:val="24"/>
          <w:lang w:val="en-US"/>
        </w:rPr>
        <w:t xml:space="preserve">. Unpacking Organizational Ambidexterity: Dimensions, Contingencies, and Synergistic Effects. </w:t>
      </w:r>
      <w:r w:rsidRPr="00DD0F31">
        <w:rPr>
          <w:rFonts w:ascii="Times New Roman" w:hAnsi="Times New Roman" w:cs="Times New Roman"/>
          <w:i/>
          <w:iCs/>
          <w:sz w:val="24"/>
          <w:szCs w:val="24"/>
          <w:lang w:val="en-US"/>
        </w:rPr>
        <w:t>Organization Science</w:t>
      </w:r>
      <w:r w:rsidRPr="00DD0F31">
        <w:rPr>
          <w:rFonts w:ascii="Times New Roman" w:hAnsi="Times New Roman" w:cs="Times New Roman"/>
          <w:sz w:val="24"/>
          <w:szCs w:val="24"/>
          <w:lang w:val="en-US"/>
        </w:rPr>
        <w:t xml:space="preserve"> 20, 781-796.</w:t>
      </w:r>
    </w:p>
    <w:p w14:paraId="0031FD48" w14:textId="4A838438" w:rsidR="00322BF7" w:rsidRPr="00CD3BFB" w:rsidRDefault="00322BF7" w:rsidP="00CD3BFB">
      <w:pPr>
        <w:spacing w:line="480" w:lineRule="auto"/>
        <w:ind w:left="567" w:hanging="454"/>
        <w:jc w:val="both"/>
        <w:rPr>
          <w:rFonts w:ascii="Times New Roman" w:hAnsi="Times New Roman" w:cs="Times New Roman"/>
          <w:sz w:val="24"/>
          <w:szCs w:val="24"/>
        </w:rPr>
      </w:pPr>
      <w:r w:rsidRPr="00322BF7">
        <w:rPr>
          <w:rFonts w:ascii="Times New Roman" w:hAnsi="Times New Roman" w:cs="Times New Roman"/>
          <w:sz w:val="24"/>
          <w:szCs w:val="24"/>
        </w:rPr>
        <w:t xml:space="preserve">Ciarli, T., Kenney, M., Massini, S., Piscitello, L., September </w:t>
      </w:r>
      <w:r w:rsidR="00DA671E">
        <w:rPr>
          <w:rFonts w:ascii="Times New Roman" w:hAnsi="Times New Roman" w:cs="Times New Roman"/>
          <w:sz w:val="24"/>
          <w:szCs w:val="24"/>
        </w:rPr>
        <w:t>(</w:t>
      </w:r>
      <w:r w:rsidRPr="00322BF7">
        <w:rPr>
          <w:rFonts w:ascii="Times New Roman" w:hAnsi="Times New Roman" w:cs="Times New Roman"/>
          <w:sz w:val="24"/>
          <w:szCs w:val="24"/>
        </w:rPr>
        <w:t>2021</w:t>
      </w:r>
      <w:r w:rsidR="00DA671E">
        <w:rPr>
          <w:rFonts w:ascii="Times New Roman" w:hAnsi="Times New Roman" w:cs="Times New Roman"/>
          <w:sz w:val="24"/>
          <w:szCs w:val="24"/>
        </w:rPr>
        <w:t>)</w:t>
      </w:r>
      <w:r w:rsidRPr="00322BF7">
        <w:rPr>
          <w:rFonts w:ascii="Times New Roman" w:hAnsi="Times New Roman" w:cs="Times New Roman"/>
          <w:sz w:val="24"/>
          <w:szCs w:val="24"/>
        </w:rPr>
        <w:t>. Digital technologies, innovation, and skills: emerging trajectories and challenges. Res</w:t>
      </w:r>
      <w:r w:rsidR="002B4F21">
        <w:rPr>
          <w:rFonts w:ascii="Times New Roman" w:hAnsi="Times New Roman" w:cs="Times New Roman"/>
          <w:sz w:val="24"/>
          <w:szCs w:val="24"/>
        </w:rPr>
        <w:t>earch</w:t>
      </w:r>
      <w:r w:rsidRPr="00322BF7">
        <w:rPr>
          <w:rFonts w:ascii="Times New Roman" w:hAnsi="Times New Roman" w:cs="Times New Roman"/>
          <w:sz w:val="24"/>
          <w:szCs w:val="24"/>
        </w:rPr>
        <w:t xml:space="preserve"> Pol</w:t>
      </w:r>
      <w:r w:rsidR="002B4F21">
        <w:rPr>
          <w:rFonts w:ascii="Times New Roman" w:hAnsi="Times New Roman" w:cs="Times New Roman"/>
          <w:sz w:val="24"/>
          <w:szCs w:val="24"/>
        </w:rPr>
        <w:t>icy</w:t>
      </w:r>
      <w:r w:rsidRPr="00322BF7">
        <w:rPr>
          <w:rFonts w:ascii="Times New Roman" w:hAnsi="Times New Roman" w:cs="Times New Roman"/>
          <w:sz w:val="24"/>
          <w:szCs w:val="24"/>
        </w:rPr>
        <w:t>. 50 7)</w:t>
      </w:r>
    </w:p>
    <w:p w14:paraId="73DFBB3F"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Cohen, W. M., &amp; Levinthal, D. A. (1990). Absorptive capacity: A new perspective on learning and innovation. </w:t>
      </w:r>
      <w:r w:rsidRPr="00DD0F31">
        <w:rPr>
          <w:rFonts w:ascii="Times New Roman" w:hAnsi="Times New Roman" w:cs="Times New Roman"/>
          <w:i/>
          <w:iCs/>
          <w:sz w:val="24"/>
          <w:szCs w:val="24"/>
          <w:lang w:val="en-US"/>
        </w:rPr>
        <w:t>Administrative Science Quarterly</w:t>
      </w:r>
      <w:r w:rsidRPr="00DD0F31">
        <w:rPr>
          <w:rFonts w:ascii="Times New Roman" w:hAnsi="Times New Roman" w:cs="Times New Roman"/>
          <w:sz w:val="24"/>
          <w:szCs w:val="24"/>
          <w:lang w:val="en-US"/>
        </w:rPr>
        <w:t xml:space="preserve">, 128-152. </w:t>
      </w:r>
    </w:p>
    <w:p w14:paraId="691F55F9" w14:textId="2ECE68E7" w:rsidR="00993056"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Derbyshire, J. </w:t>
      </w:r>
      <w:r w:rsidR="00DA671E">
        <w:rPr>
          <w:rFonts w:ascii="Times New Roman" w:hAnsi="Times New Roman" w:cs="Times New Roman"/>
          <w:sz w:val="24"/>
          <w:szCs w:val="24"/>
          <w:lang w:val="en-US"/>
        </w:rPr>
        <w:t>(</w:t>
      </w:r>
      <w:r w:rsidRPr="00DD0F31">
        <w:rPr>
          <w:rFonts w:ascii="Times New Roman" w:hAnsi="Times New Roman" w:cs="Times New Roman"/>
          <w:sz w:val="24"/>
          <w:szCs w:val="24"/>
          <w:lang w:val="en-US"/>
        </w:rPr>
        <w:t>2014</w:t>
      </w:r>
      <w:r w:rsidR="00DA671E">
        <w:rPr>
          <w:rFonts w:ascii="Times New Roman" w:hAnsi="Times New Roman" w:cs="Times New Roman"/>
          <w:sz w:val="24"/>
          <w:szCs w:val="24"/>
          <w:lang w:val="en-US"/>
        </w:rPr>
        <w:t>)</w:t>
      </w:r>
      <w:r w:rsidRPr="00DD0F31">
        <w:rPr>
          <w:rFonts w:ascii="Times New Roman" w:hAnsi="Times New Roman" w:cs="Times New Roman"/>
          <w:sz w:val="24"/>
          <w:szCs w:val="24"/>
          <w:lang w:val="en-US"/>
        </w:rPr>
        <w:t xml:space="preserve">. The Impact of Ambidexterity on Enterprise Performance: Evidence from 15 Countries and 14 Sectors. </w:t>
      </w:r>
      <w:r w:rsidRPr="00DD0F31">
        <w:rPr>
          <w:rFonts w:ascii="Times New Roman" w:hAnsi="Times New Roman" w:cs="Times New Roman"/>
          <w:i/>
          <w:iCs/>
          <w:sz w:val="24"/>
          <w:szCs w:val="24"/>
          <w:lang w:val="en-US"/>
        </w:rPr>
        <w:t xml:space="preserve">Technovation </w:t>
      </w:r>
      <w:r w:rsidRPr="00DD0F31">
        <w:rPr>
          <w:rFonts w:ascii="Times New Roman" w:hAnsi="Times New Roman" w:cs="Times New Roman"/>
          <w:sz w:val="24"/>
          <w:szCs w:val="24"/>
          <w:lang w:val="en-US"/>
        </w:rPr>
        <w:t>34, 574-581.</w:t>
      </w:r>
    </w:p>
    <w:p w14:paraId="441B2BE4" w14:textId="7F0D790C" w:rsidR="00CD3BFB" w:rsidRPr="00CD3BFB" w:rsidRDefault="00CD3BFB" w:rsidP="00CD3BFB">
      <w:pPr>
        <w:spacing w:line="480" w:lineRule="auto"/>
        <w:ind w:left="567" w:hanging="454"/>
        <w:jc w:val="both"/>
        <w:rPr>
          <w:rFonts w:ascii="Times New Roman" w:hAnsi="Times New Roman" w:cs="Times New Roman"/>
          <w:sz w:val="24"/>
          <w:szCs w:val="24"/>
        </w:rPr>
      </w:pPr>
      <w:r w:rsidRPr="00C15F00">
        <w:rPr>
          <w:rFonts w:ascii="Times New Roman" w:hAnsi="Times New Roman" w:cs="Times New Roman"/>
          <w:sz w:val="24"/>
          <w:szCs w:val="24"/>
        </w:rPr>
        <w:lastRenderedPageBreak/>
        <w:t xml:space="preserve">Ebben, J. J., and A. C. Johnson. </w:t>
      </w:r>
      <w:r w:rsidR="00DA671E">
        <w:rPr>
          <w:rFonts w:ascii="Times New Roman" w:hAnsi="Times New Roman" w:cs="Times New Roman"/>
          <w:sz w:val="24"/>
          <w:szCs w:val="24"/>
        </w:rPr>
        <w:t>(</w:t>
      </w:r>
      <w:r w:rsidRPr="00C15F00">
        <w:rPr>
          <w:rFonts w:ascii="Times New Roman" w:hAnsi="Times New Roman" w:cs="Times New Roman"/>
          <w:sz w:val="24"/>
          <w:szCs w:val="24"/>
        </w:rPr>
        <w:t>2005</w:t>
      </w:r>
      <w:r w:rsidR="00DA671E">
        <w:rPr>
          <w:rFonts w:ascii="Times New Roman" w:hAnsi="Times New Roman" w:cs="Times New Roman"/>
          <w:sz w:val="24"/>
          <w:szCs w:val="24"/>
        </w:rPr>
        <w:t>)</w:t>
      </w:r>
      <w:r w:rsidRPr="00C15F00">
        <w:rPr>
          <w:rFonts w:ascii="Times New Roman" w:hAnsi="Times New Roman" w:cs="Times New Roman"/>
          <w:sz w:val="24"/>
          <w:szCs w:val="24"/>
        </w:rPr>
        <w:t xml:space="preserve">. “Efficiency, Flexibility, or Both? Evidence Linking Strategy to Performance in Small Firms.” </w:t>
      </w:r>
      <w:r w:rsidRPr="00C15F00">
        <w:rPr>
          <w:rFonts w:ascii="Times New Roman" w:hAnsi="Times New Roman" w:cs="Times New Roman"/>
          <w:i/>
          <w:iCs/>
          <w:sz w:val="24"/>
          <w:szCs w:val="24"/>
        </w:rPr>
        <w:t xml:space="preserve">Strategic Management Journal </w:t>
      </w:r>
      <w:r w:rsidRPr="00C15F00">
        <w:rPr>
          <w:rFonts w:ascii="Times New Roman" w:hAnsi="Times New Roman" w:cs="Times New Roman"/>
          <w:sz w:val="24"/>
          <w:szCs w:val="24"/>
        </w:rPr>
        <w:t xml:space="preserve">26 (13): 1249–1259. https://doi.org/10.1002/smj.503. </w:t>
      </w:r>
    </w:p>
    <w:p w14:paraId="7232157C" w14:textId="77777777" w:rsidR="00993056" w:rsidRPr="00DD0F31" w:rsidRDefault="00993056" w:rsidP="00DD0F31">
      <w:pPr>
        <w:pStyle w:val="NormalWeb"/>
        <w:spacing w:before="0" w:beforeAutospacing="0" w:after="240" w:afterAutospacing="0" w:line="480" w:lineRule="auto"/>
        <w:ind w:left="567" w:hanging="454"/>
        <w:jc w:val="both"/>
        <w:rPr>
          <w:rFonts w:ascii="Times New Roman" w:hAnsi="Times New Roman" w:cs="Times New Roman"/>
          <w:color w:val="000000"/>
          <w:sz w:val="24"/>
          <w:szCs w:val="24"/>
          <w:lang w:val="en-US"/>
        </w:rPr>
      </w:pPr>
      <w:r w:rsidRPr="00DD0F31">
        <w:rPr>
          <w:rFonts w:ascii="Times New Roman" w:hAnsi="Times New Roman" w:cs="Times New Roman"/>
          <w:color w:val="000000"/>
          <w:sz w:val="24"/>
          <w:szCs w:val="24"/>
          <w:lang w:val="en-US"/>
        </w:rPr>
        <w:t>Eurostat (2023). </w:t>
      </w:r>
      <w:r w:rsidRPr="00DD0F31">
        <w:rPr>
          <w:rFonts w:ascii="Times New Roman" w:hAnsi="Times New Roman" w:cs="Times New Roman"/>
          <w:i/>
          <w:color w:val="000000"/>
          <w:sz w:val="24"/>
          <w:szCs w:val="24"/>
          <w:lang w:val="en-US"/>
        </w:rPr>
        <w:t>Community Innovation Survey - Eurostat</w:t>
      </w:r>
      <w:r w:rsidRPr="00DD0F31">
        <w:rPr>
          <w:rFonts w:ascii="Times New Roman" w:hAnsi="Times New Roman" w:cs="Times New Roman"/>
          <w:color w:val="000000"/>
          <w:sz w:val="24"/>
          <w:szCs w:val="24"/>
          <w:lang w:val="en-US"/>
        </w:rPr>
        <w:t>. [online] Available at: https://ec.europa.eu/eurostat/web/microdata/community-innovation-survey.</w:t>
      </w:r>
    </w:p>
    <w:p w14:paraId="0AF7B03E" w14:textId="77777777" w:rsidR="00913EA9" w:rsidRDefault="00993056" w:rsidP="00913EA9">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Filippetti, A., Frenz, M., &amp; Ietto-Gillies, G. (2017). The impact of internationalization on innovation at countries’ level: The role of absorptive capacity. </w:t>
      </w:r>
      <w:r w:rsidRPr="00DD0F31">
        <w:rPr>
          <w:rFonts w:ascii="Times New Roman" w:hAnsi="Times New Roman" w:cs="Times New Roman"/>
          <w:i/>
          <w:iCs/>
          <w:sz w:val="24"/>
          <w:szCs w:val="24"/>
          <w:lang w:val="en-US"/>
        </w:rPr>
        <w:t>Cambridge Journal of Economics</w:t>
      </w:r>
      <w:r w:rsidRPr="00DD0F31">
        <w:rPr>
          <w:rFonts w:ascii="Times New Roman" w:hAnsi="Times New Roman" w:cs="Times New Roman"/>
          <w:sz w:val="24"/>
          <w:szCs w:val="24"/>
          <w:lang w:val="en-US"/>
        </w:rPr>
        <w:t>, 41(2), 413-439.</w:t>
      </w:r>
    </w:p>
    <w:p w14:paraId="4A2F2F67" w14:textId="1AA6C59C" w:rsidR="00993056" w:rsidRPr="00DD0F31" w:rsidRDefault="00993056" w:rsidP="00913EA9">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Gao, S. S., Sung, M. C., &amp; Zhang, J. (2013). Risk management capability building in SMEs: </w:t>
      </w:r>
      <w:r w:rsidR="00B62D18">
        <w:rPr>
          <w:rFonts w:ascii="Times New Roman" w:hAnsi="Times New Roman" w:cs="Times New Roman"/>
          <w:sz w:val="24"/>
          <w:szCs w:val="24"/>
          <w:lang w:val="en-US"/>
        </w:rPr>
        <w:t xml:space="preserve"> </w:t>
      </w:r>
      <w:r w:rsidRPr="00DD0F31">
        <w:rPr>
          <w:rFonts w:ascii="Times New Roman" w:hAnsi="Times New Roman" w:cs="Times New Roman"/>
          <w:sz w:val="24"/>
          <w:szCs w:val="24"/>
          <w:lang w:val="en-US"/>
        </w:rPr>
        <w:t xml:space="preserve">A social capital perspective. </w:t>
      </w:r>
      <w:r w:rsidRPr="00DD0F31">
        <w:rPr>
          <w:rFonts w:ascii="Times New Roman" w:hAnsi="Times New Roman" w:cs="Times New Roman"/>
          <w:i/>
          <w:iCs/>
          <w:sz w:val="24"/>
          <w:szCs w:val="24"/>
          <w:lang w:val="en-US"/>
        </w:rPr>
        <w:t>International Small Business Journal</w:t>
      </w:r>
      <w:r w:rsidRPr="00DD0F31">
        <w:rPr>
          <w:rFonts w:ascii="Times New Roman" w:hAnsi="Times New Roman" w:cs="Times New Roman"/>
          <w:sz w:val="24"/>
          <w:szCs w:val="24"/>
          <w:lang w:val="en-US"/>
        </w:rPr>
        <w:t>, 31(6), 677-700.</w:t>
      </w:r>
    </w:p>
    <w:p w14:paraId="0F3A59DD"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Garzoni, A., De Turi, I., Secundo, G., &amp; Del Vecchio, P. (2020). Fostering digital transformation of SMEs: a four levels approach. </w:t>
      </w:r>
      <w:r w:rsidRPr="00DD0F31">
        <w:rPr>
          <w:rFonts w:ascii="Times New Roman" w:hAnsi="Times New Roman" w:cs="Times New Roman"/>
          <w:i/>
          <w:iCs/>
          <w:sz w:val="24"/>
          <w:szCs w:val="24"/>
          <w:lang w:val="en-US"/>
        </w:rPr>
        <w:t>Management Decision</w:t>
      </w:r>
      <w:r w:rsidRPr="00DD0F31">
        <w:rPr>
          <w:rFonts w:ascii="Times New Roman" w:hAnsi="Times New Roman" w:cs="Times New Roman"/>
          <w:sz w:val="24"/>
          <w:szCs w:val="24"/>
          <w:lang w:val="en-US"/>
        </w:rPr>
        <w:t>.</w:t>
      </w:r>
    </w:p>
    <w:p w14:paraId="4C9625C9" w14:textId="77777777" w:rsidR="00993056" w:rsidRPr="00DD0F31" w:rsidRDefault="00993056" w:rsidP="00DD0F31">
      <w:pPr>
        <w:spacing w:line="480" w:lineRule="auto"/>
        <w:ind w:left="567" w:hanging="454"/>
        <w:jc w:val="both"/>
        <w:rPr>
          <w:rFonts w:ascii="Times New Roman" w:hAnsi="Times New Roman" w:cs="Times New Roman"/>
          <w:color w:val="222222"/>
          <w:sz w:val="24"/>
          <w:szCs w:val="24"/>
          <w:shd w:val="clear" w:color="auto" w:fill="FFFFFF"/>
          <w:lang w:val="en-US"/>
        </w:rPr>
      </w:pPr>
      <w:r w:rsidRPr="00DD0F31">
        <w:rPr>
          <w:rFonts w:ascii="Times New Roman" w:hAnsi="Times New Roman" w:cs="Times New Roman"/>
          <w:color w:val="222222"/>
          <w:sz w:val="24"/>
          <w:szCs w:val="24"/>
          <w:shd w:val="clear" w:color="auto" w:fill="FFFFFF"/>
          <w:lang w:val="en-US"/>
        </w:rPr>
        <w:t>Gavrila, S. G., &amp; de Lucas Ancillo, A. (2021). Spanish SMEs’ digitalization enablers: E-Receipt applications to the offline retail market. </w:t>
      </w:r>
      <w:r w:rsidRPr="00DD0F31">
        <w:rPr>
          <w:rFonts w:ascii="Times New Roman" w:hAnsi="Times New Roman" w:cs="Times New Roman"/>
          <w:i/>
          <w:color w:val="222222"/>
          <w:sz w:val="24"/>
          <w:szCs w:val="24"/>
          <w:shd w:val="clear" w:color="auto" w:fill="FFFFFF"/>
          <w:lang w:val="en-US"/>
        </w:rPr>
        <w:t>Technological Forecasting and Social Change</w:t>
      </w:r>
      <w:r w:rsidRPr="00DD0F31">
        <w:rPr>
          <w:rFonts w:ascii="Times New Roman" w:hAnsi="Times New Roman" w:cs="Times New Roman"/>
          <w:color w:val="222222"/>
          <w:sz w:val="24"/>
          <w:szCs w:val="24"/>
          <w:shd w:val="clear" w:color="auto" w:fill="FFFFFF"/>
          <w:lang w:val="en-US"/>
        </w:rPr>
        <w:t>, </w:t>
      </w:r>
      <w:r w:rsidRPr="00DD0F31">
        <w:rPr>
          <w:rFonts w:ascii="Times New Roman" w:hAnsi="Times New Roman" w:cs="Times New Roman"/>
          <w:i/>
          <w:color w:val="222222"/>
          <w:sz w:val="24"/>
          <w:szCs w:val="24"/>
          <w:shd w:val="clear" w:color="auto" w:fill="FFFFFF"/>
          <w:lang w:val="en-US"/>
        </w:rPr>
        <w:t>162</w:t>
      </w:r>
      <w:r w:rsidRPr="00DD0F31">
        <w:rPr>
          <w:rFonts w:ascii="Times New Roman" w:hAnsi="Times New Roman" w:cs="Times New Roman"/>
          <w:color w:val="222222"/>
          <w:sz w:val="24"/>
          <w:szCs w:val="24"/>
          <w:shd w:val="clear" w:color="auto" w:fill="FFFFFF"/>
          <w:lang w:val="en-US"/>
        </w:rPr>
        <w:t>, 120381.</w:t>
      </w:r>
    </w:p>
    <w:p w14:paraId="37347A32"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Ghazinoory, S., Phillips, F., Afshari-Mofrad, M., &amp; Bigdelou, N. (2021). Innovation lives in ecotones, not ecosystems. </w:t>
      </w:r>
      <w:r w:rsidRPr="00DD0F31">
        <w:rPr>
          <w:rFonts w:ascii="Times New Roman" w:hAnsi="Times New Roman" w:cs="Times New Roman"/>
          <w:i/>
          <w:iCs/>
          <w:sz w:val="24"/>
          <w:szCs w:val="24"/>
          <w:lang w:val="en-US"/>
        </w:rPr>
        <w:t>Journal of Business Research</w:t>
      </w:r>
      <w:r w:rsidRPr="00DD0F31">
        <w:rPr>
          <w:rFonts w:ascii="Times New Roman" w:hAnsi="Times New Roman" w:cs="Times New Roman"/>
          <w:sz w:val="24"/>
          <w:szCs w:val="24"/>
          <w:lang w:val="en-US"/>
        </w:rPr>
        <w:t>, 135, 572-580.</w:t>
      </w:r>
    </w:p>
    <w:p w14:paraId="73409266"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Gibb, J., Sune, A., &amp; Albers, S. (2017). Network learning: Episodes of interorganizational learning towards a collective performance goal. </w:t>
      </w:r>
      <w:r w:rsidRPr="00DD0F31">
        <w:rPr>
          <w:rFonts w:ascii="Times New Roman" w:hAnsi="Times New Roman" w:cs="Times New Roman"/>
          <w:i/>
          <w:iCs/>
          <w:sz w:val="24"/>
          <w:szCs w:val="24"/>
          <w:lang w:val="en-US"/>
        </w:rPr>
        <w:t>European Management Journal</w:t>
      </w:r>
      <w:r w:rsidRPr="00DD0F31">
        <w:rPr>
          <w:rFonts w:ascii="Times New Roman" w:hAnsi="Times New Roman" w:cs="Times New Roman"/>
          <w:sz w:val="24"/>
          <w:szCs w:val="24"/>
          <w:lang w:val="en-US"/>
        </w:rPr>
        <w:t>, 35(1), 15-25.</w:t>
      </w:r>
    </w:p>
    <w:p w14:paraId="3C37792D"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Giovannetti, E., &amp; Piga, C. (2023). The multifaceted nature of cooperation for innovation, </w:t>
      </w:r>
      <w:bookmarkStart w:id="24" w:name="_Int_TaZx5OQM"/>
      <w:r w:rsidRPr="00DD0F31">
        <w:rPr>
          <w:rFonts w:ascii="Times New Roman" w:hAnsi="Times New Roman" w:cs="Times New Roman"/>
          <w:sz w:val="24"/>
          <w:szCs w:val="24"/>
          <w:lang w:val="en-US"/>
        </w:rPr>
        <w:t>ICT</w:t>
      </w:r>
      <w:bookmarkEnd w:id="24"/>
      <w:r w:rsidRPr="00DD0F31">
        <w:rPr>
          <w:rFonts w:ascii="Times New Roman" w:hAnsi="Times New Roman" w:cs="Times New Roman"/>
          <w:sz w:val="24"/>
          <w:szCs w:val="24"/>
          <w:lang w:val="en-US"/>
        </w:rPr>
        <w:t xml:space="preserve"> and innovative outcomes: evidence from UK Microdata. </w:t>
      </w:r>
      <w:r w:rsidRPr="00DD0F31">
        <w:rPr>
          <w:rFonts w:ascii="Times New Roman" w:hAnsi="Times New Roman" w:cs="Times New Roman"/>
          <w:i/>
          <w:iCs/>
          <w:sz w:val="24"/>
          <w:szCs w:val="24"/>
          <w:lang w:val="en-US"/>
        </w:rPr>
        <w:t>Eurasian Business Review</w:t>
      </w:r>
      <w:r w:rsidRPr="00DD0F31">
        <w:rPr>
          <w:rFonts w:ascii="Times New Roman" w:hAnsi="Times New Roman" w:cs="Times New Roman"/>
          <w:sz w:val="24"/>
          <w:szCs w:val="24"/>
          <w:lang w:val="en-US"/>
        </w:rPr>
        <w:t>, 1-28.</w:t>
      </w:r>
    </w:p>
    <w:p w14:paraId="3730859F"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Grant, R. M. (1996). Toward a knowledge‐based theory of the firm. </w:t>
      </w:r>
      <w:r w:rsidRPr="00DD0F31">
        <w:rPr>
          <w:rFonts w:ascii="Times New Roman" w:hAnsi="Times New Roman" w:cs="Times New Roman"/>
          <w:i/>
          <w:sz w:val="24"/>
          <w:szCs w:val="24"/>
          <w:lang w:val="en-US"/>
        </w:rPr>
        <w:t>Strategic Management Journal</w:t>
      </w:r>
      <w:r w:rsidRPr="00DD0F31">
        <w:rPr>
          <w:rFonts w:ascii="Times New Roman" w:hAnsi="Times New Roman" w:cs="Times New Roman"/>
          <w:sz w:val="24"/>
          <w:szCs w:val="24"/>
          <w:lang w:val="en-US"/>
        </w:rPr>
        <w:t>, </w:t>
      </w:r>
      <w:r w:rsidRPr="00DD0F31">
        <w:rPr>
          <w:rFonts w:ascii="Times New Roman" w:hAnsi="Times New Roman" w:cs="Times New Roman"/>
          <w:i/>
          <w:sz w:val="24"/>
          <w:szCs w:val="24"/>
          <w:lang w:val="en-US"/>
        </w:rPr>
        <w:t>17</w:t>
      </w:r>
      <w:r w:rsidRPr="00DD0F31">
        <w:rPr>
          <w:rFonts w:ascii="Times New Roman" w:hAnsi="Times New Roman" w:cs="Times New Roman"/>
          <w:sz w:val="24"/>
          <w:szCs w:val="24"/>
          <w:lang w:val="en-US"/>
        </w:rPr>
        <w:t>(S2), 109-122.</w:t>
      </w:r>
    </w:p>
    <w:p w14:paraId="5B82E92B"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lastRenderedPageBreak/>
        <w:t>Greiner, L. E. (1989). Evolution and revolution as organizations grow (pp. 373-387). Macmillan Education UK.</w:t>
      </w:r>
    </w:p>
    <w:p w14:paraId="5850EA9E" w14:textId="7D417D86" w:rsidR="00993056" w:rsidRPr="00DD0F31" w:rsidRDefault="00993056" w:rsidP="00913EA9">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Gupta, A. K., Smith, K. G., &amp; Shalley, C. E. (2006). The interplay between exploration and exploitation. </w:t>
      </w:r>
      <w:r w:rsidRPr="00DD0F31">
        <w:rPr>
          <w:rFonts w:ascii="Times New Roman" w:hAnsi="Times New Roman" w:cs="Times New Roman"/>
          <w:i/>
          <w:iCs/>
          <w:sz w:val="24"/>
          <w:szCs w:val="24"/>
          <w:lang w:val="en-US"/>
        </w:rPr>
        <w:t xml:space="preserve">Academy of </w:t>
      </w:r>
      <w:r w:rsidRPr="00DD0F31">
        <w:rPr>
          <w:rFonts w:ascii="Times New Roman" w:hAnsi="Times New Roman" w:cs="Times New Roman"/>
          <w:i/>
          <w:iCs/>
          <w:sz w:val="24"/>
          <w:szCs w:val="24"/>
          <w:lang w:val="en-US" w:eastAsia="zh-CN"/>
        </w:rPr>
        <w:t>M</w:t>
      </w:r>
      <w:r w:rsidRPr="00DD0F31">
        <w:rPr>
          <w:rFonts w:ascii="Times New Roman" w:hAnsi="Times New Roman" w:cs="Times New Roman"/>
          <w:i/>
          <w:iCs/>
          <w:sz w:val="24"/>
          <w:szCs w:val="24"/>
          <w:lang w:val="en-US"/>
        </w:rPr>
        <w:t>anagement Journal</w:t>
      </w:r>
      <w:r w:rsidRPr="00DD0F31">
        <w:rPr>
          <w:rFonts w:ascii="Times New Roman" w:hAnsi="Times New Roman" w:cs="Times New Roman"/>
          <w:sz w:val="24"/>
          <w:szCs w:val="24"/>
          <w:lang w:val="en-US"/>
        </w:rPr>
        <w:t>, 49(4), 693-706.</w:t>
      </w:r>
    </w:p>
    <w:p w14:paraId="334584E5"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Haug, A., Adsbøll Wickstrøm, K., Stentoft, J., &amp; Philipsen, K. (2023). The impact of information technology on product innovation in SMEs: The role of technological orientation. </w:t>
      </w:r>
      <w:r w:rsidRPr="00DD0F31">
        <w:rPr>
          <w:rFonts w:ascii="Times New Roman" w:hAnsi="Times New Roman" w:cs="Times New Roman"/>
          <w:i/>
          <w:iCs/>
          <w:sz w:val="24"/>
          <w:szCs w:val="24"/>
          <w:lang w:val="en-US"/>
        </w:rPr>
        <w:t>Journal of Small Business Management</w:t>
      </w:r>
      <w:r w:rsidRPr="00DD0F31">
        <w:rPr>
          <w:rFonts w:ascii="Times New Roman" w:hAnsi="Times New Roman" w:cs="Times New Roman"/>
          <w:sz w:val="24"/>
          <w:szCs w:val="24"/>
          <w:lang w:val="en-US"/>
        </w:rPr>
        <w:t>, </w:t>
      </w:r>
      <w:r w:rsidRPr="00DD0F31">
        <w:rPr>
          <w:rFonts w:ascii="Times New Roman" w:hAnsi="Times New Roman" w:cs="Times New Roman"/>
          <w:i/>
          <w:iCs/>
          <w:sz w:val="24"/>
          <w:szCs w:val="24"/>
          <w:lang w:val="en-US"/>
        </w:rPr>
        <w:t>61</w:t>
      </w:r>
      <w:r w:rsidRPr="00DD0F31">
        <w:rPr>
          <w:rFonts w:ascii="Times New Roman" w:hAnsi="Times New Roman" w:cs="Times New Roman"/>
          <w:sz w:val="24"/>
          <w:szCs w:val="24"/>
          <w:lang w:val="en-US"/>
        </w:rPr>
        <w:t>(2), 384-410.</w:t>
      </w:r>
    </w:p>
    <w:p w14:paraId="0D080256" w14:textId="2BAF03D8"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Huber, </w:t>
      </w:r>
      <w:r w:rsidR="00DA671E" w:rsidRPr="00DD0F31">
        <w:rPr>
          <w:rFonts w:ascii="Times New Roman" w:hAnsi="Times New Roman" w:cs="Times New Roman"/>
          <w:sz w:val="24"/>
          <w:szCs w:val="24"/>
          <w:lang w:val="en-US"/>
        </w:rPr>
        <w:t>F</w:t>
      </w:r>
      <w:r w:rsidR="00DA671E">
        <w:rPr>
          <w:rFonts w:ascii="Times New Roman" w:hAnsi="Times New Roman" w:cs="Times New Roman"/>
          <w:sz w:val="24"/>
          <w:szCs w:val="24"/>
          <w:lang w:val="en-US"/>
        </w:rPr>
        <w:t>.</w:t>
      </w:r>
      <w:r w:rsidRPr="00DD0F31">
        <w:rPr>
          <w:rFonts w:ascii="Times New Roman" w:hAnsi="Times New Roman" w:cs="Times New Roman"/>
          <w:sz w:val="24"/>
          <w:szCs w:val="24"/>
          <w:lang w:val="en-US"/>
        </w:rPr>
        <w:t xml:space="preserve">, Wainwright, </w:t>
      </w:r>
      <w:r w:rsidR="00DA671E">
        <w:rPr>
          <w:rFonts w:ascii="Times New Roman" w:hAnsi="Times New Roman" w:cs="Times New Roman"/>
          <w:sz w:val="24"/>
          <w:szCs w:val="24"/>
          <w:lang w:val="en-US"/>
        </w:rPr>
        <w:t xml:space="preserve">T. </w:t>
      </w:r>
      <w:r w:rsidRPr="00DD0F31">
        <w:rPr>
          <w:rFonts w:ascii="Times New Roman" w:hAnsi="Times New Roman" w:cs="Times New Roman"/>
          <w:sz w:val="24"/>
          <w:szCs w:val="24"/>
          <w:lang w:val="en-US"/>
        </w:rPr>
        <w:t>and Rentocchini</w:t>
      </w:r>
      <w:r w:rsidR="00DA671E">
        <w:rPr>
          <w:rFonts w:ascii="Times New Roman" w:hAnsi="Times New Roman" w:cs="Times New Roman"/>
          <w:sz w:val="24"/>
          <w:szCs w:val="24"/>
          <w:lang w:val="en-US"/>
        </w:rPr>
        <w:t>, F</w:t>
      </w:r>
      <w:r w:rsidRPr="00DD0F31">
        <w:rPr>
          <w:rFonts w:ascii="Times New Roman" w:hAnsi="Times New Roman" w:cs="Times New Roman"/>
          <w:sz w:val="24"/>
          <w:szCs w:val="24"/>
          <w:lang w:val="en-US"/>
        </w:rPr>
        <w:t xml:space="preserve">. "Open data for open innovation: managing absorptive capacity in SMEs." </w:t>
      </w:r>
      <w:r w:rsidRPr="00DD0F31">
        <w:rPr>
          <w:rFonts w:ascii="Times New Roman" w:hAnsi="Times New Roman" w:cs="Times New Roman"/>
          <w:i/>
          <w:iCs/>
          <w:sz w:val="24"/>
          <w:szCs w:val="24"/>
          <w:lang w:val="en-US"/>
        </w:rPr>
        <w:t>R&amp;D Management</w:t>
      </w:r>
      <w:r w:rsidRPr="00DD0F31">
        <w:rPr>
          <w:rFonts w:ascii="Times New Roman" w:hAnsi="Times New Roman" w:cs="Times New Roman"/>
          <w:sz w:val="24"/>
          <w:szCs w:val="24"/>
          <w:lang w:val="en-US"/>
        </w:rPr>
        <w:t xml:space="preserve"> 50.1 (2020): 31-46.</w:t>
      </w:r>
    </w:p>
    <w:p w14:paraId="074E591D"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Iammarino, S., Piva, M., Vivarelli, M., &amp; Von Tunzelmann, N. (2012). Technological Capabilities and Patterns of Innovative Cooperation of Firms in the UK Regions, </w:t>
      </w:r>
      <w:r w:rsidRPr="00DD0F31">
        <w:rPr>
          <w:rFonts w:ascii="Times New Roman" w:hAnsi="Times New Roman" w:cs="Times New Roman"/>
          <w:i/>
          <w:iCs/>
          <w:sz w:val="24"/>
          <w:szCs w:val="24"/>
          <w:lang w:val="en-US"/>
        </w:rPr>
        <w:t>Regional Studies</w:t>
      </w:r>
      <w:r w:rsidRPr="00DD0F31">
        <w:rPr>
          <w:rFonts w:ascii="Times New Roman" w:hAnsi="Times New Roman" w:cs="Times New Roman"/>
          <w:sz w:val="24"/>
          <w:szCs w:val="24"/>
          <w:lang w:val="en-US"/>
        </w:rPr>
        <w:t>, 46(10) 1283-1301</w:t>
      </w:r>
    </w:p>
    <w:p w14:paraId="74001918"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Jansen, J. J., Van Den Bosch, F. A., &amp; Volberda, H. W. (2005). Managing potential and realized absorptive capacity: how do organizational antecedents’ matter? </w:t>
      </w:r>
      <w:r w:rsidRPr="00DD0F31">
        <w:rPr>
          <w:rFonts w:ascii="Times New Roman" w:hAnsi="Times New Roman" w:cs="Times New Roman"/>
          <w:i/>
          <w:iCs/>
          <w:sz w:val="24"/>
          <w:szCs w:val="24"/>
          <w:lang w:val="en-US"/>
        </w:rPr>
        <w:t>Academy of Management Journal</w:t>
      </w:r>
      <w:r w:rsidRPr="00DD0F31">
        <w:rPr>
          <w:rFonts w:ascii="Times New Roman" w:hAnsi="Times New Roman" w:cs="Times New Roman"/>
          <w:sz w:val="24"/>
          <w:szCs w:val="24"/>
          <w:lang w:val="en-US"/>
        </w:rPr>
        <w:t>, 48(6), 999-1015.</w:t>
      </w:r>
    </w:p>
    <w:p w14:paraId="42CFA5E7"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Jensen, R. J., &amp; Szulanski, G. (2007). Template use and the effectiveness of knowledge transfer. </w:t>
      </w:r>
      <w:r w:rsidRPr="00DD0F31">
        <w:rPr>
          <w:rFonts w:ascii="Times New Roman" w:hAnsi="Times New Roman" w:cs="Times New Roman"/>
          <w:i/>
          <w:iCs/>
          <w:sz w:val="24"/>
          <w:szCs w:val="24"/>
          <w:lang w:val="en-US"/>
        </w:rPr>
        <w:t>Management Science</w:t>
      </w:r>
      <w:r w:rsidRPr="00DD0F31">
        <w:rPr>
          <w:rFonts w:ascii="Times New Roman" w:hAnsi="Times New Roman" w:cs="Times New Roman"/>
          <w:sz w:val="24"/>
          <w:szCs w:val="24"/>
          <w:lang w:val="en-US"/>
        </w:rPr>
        <w:t>, 53(11), 1716-1730.</w:t>
      </w:r>
    </w:p>
    <w:p w14:paraId="65F114DE" w14:textId="77777777" w:rsidR="00993056"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Lane, P. J., &amp; Lubatkin, M. (1998). Relative absorptive capacity and interorganizational learning. </w:t>
      </w:r>
      <w:r w:rsidRPr="00DD0F31">
        <w:rPr>
          <w:rFonts w:ascii="Times New Roman" w:hAnsi="Times New Roman" w:cs="Times New Roman"/>
          <w:i/>
          <w:sz w:val="24"/>
          <w:szCs w:val="24"/>
          <w:lang w:val="en-US"/>
        </w:rPr>
        <w:t>Strategic Management Journal</w:t>
      </w:r>
      <w:r w:rsidRPr="00DD0F31">
        <w:rPr>
          <w:rFonts w:ascii="Times New Roman" w:hAnsi="Times New Roman" w:cs="Times New Roman"/>
          <w:sz w:val="24"/>
          <w:szCs w:val="24"/>
          <w:lang w:val="en-US"/>
        </w:rPr>
        <w:t>, </w:t>
      </w:r>
      <w:r w:rsidRPr="00DD0F31">
        <w:rPr>
          <w:rFonts w:ascii="Times New Roman" w:hAnsi="Times New Roman" w:cs="Times New Roman"/>
          <w:i/>
          <w:sz w:val="24"/>
          <w:szCs w:val="24"/>
          <w:lang w:val="en-US"/>
        </w:rPr>
        <w:t>19</w:t>
      </w:r>
      <w:r w:rsidRPr="00DD0F31">
        <w:rPr>
          <w:rFonts w:ascii="Times New Roman" w:hAnsi="Times New Roman" w:cs="Times New Roman"/>
          <w:sz w:val="24"/>
          <w:szCs w:val="24"/>
          <w:lang w:val="en-US"/>
        </w:rPr>
        <w:t>(5), 461-477.</w:t>
      </w:r>
    </w:p>
    <w:p w14:paraId="6DDB19B4" w14:textId="7BDF2FF7" w:rsidR="00B30B1F" w:rsidRDefault="00B30B1F" w:rsidP="00DD0F31">
      <w:pPr>
        <w:spacing w:line="480" w:lineRule="auto"/>
        <w:ind w:left="567" w:hanging="454"/>
        <w:jc w:val="both"/>
        <w:rPr>
          <w:rFonts w:ascii="Times New Roman" w:hAnsi="Times New Roman" w:cs="Times New Roman"/>
          <w:sz w:val="24"/>
          <w:szCs w:val="24"/>
          <w:lang w:val="en-US"/>
        </w:rPr>
      </w:pPr>
      <w:r w:rsidRPr="00B30B1F">
        <w:rPr>
          <w:rFonts w:ascii="Times New Roman" w:hAnsi="Times New Roman" w:cs="Times New Roman"/>
          <w:sz w:val="24"/>
          <w:szCs w:val="24"/>
        </w:rPr>
        <w:t>Lane, P. J., Koka, B. R., &amp; Pathak, S. (2006). "The reification of absorptive capacity: A critical review and rejuvenation of the construct." Academy of Management Review, 31(4), 833-863.</w:t>
      </w:r>
    </w:p>
    <w:p w14:paraId="1E25E753" w14:textId="4A0446EE" w:rsidR="00206915" w:rsidRPr="00206915" w:rsidRDefault="00206915" w:rsidP="00206915">
      <w:pPr>
        <w:spacing w:line="480" w:lineRule="auto"/>
        <w:ind w:left="567" w:hanging="454"/>
        <w:jc w:val="both"/>
        <w:rPr>
          <w:rFonts w:ascii="Times New Roman" w:hAnsi="Times New Roman" w:cs="Times New Roman"/>
          <w:sz w:val="24"/>
          <w:szCs w:val="24"/>
        </w:rPr>
      </w:pPr>
      <w:r w:rsidRPr="00206915">
        <w:rPr>
          <w:rFonts w:ascii="Times New Roman" w:hAnsi="Times New Roman" w:cs="Times New Roman"/>
          <w:sz w:val="24"/>
          <w:szCs w:val="24"/>
        </w:rPr>
        <w:t xml:space="preserve">Lanzolla, G., D. Pesce, and C. L. Tucci. </w:t>
      </w:r>
      <w:r w:rsidR="00DA671E">
        <w:rPr>
          <w:rFonts w:ascii="Times New Roman" w:hAnsi="Times New Roman" w:cs="Times New Roman"/>
          <w:sz w:val="24"/>
          <w:szCs w:val="24"/>
        </w:rPr>
        <w:t>(</w:t>
      </w:r>
      <w:r w:rsidRPr="00206915">
        <w:rPr>
          <w:rFonts w:ascii="Times New Roman" w:hAnsi="Times New Roman" w:cs="Times New Roman"/>
          <w:sz w:val="24"/>
          <w:szCs w:val="24"/>
        </w:rPr>
        <w:t>2021</w:t>
      </w:r>
      <w:r w:rsidR="00DA671E">
        <w:rPr>
          <w:rFonts w:ascii="Times New Roman" w:hAnsi="Times New Roman" w:cs="Times New Roman"/>
          <w:sz w:val="24"/>
          <w:szCs w:val="24"/>
        </w:rPr>
        <w:t>)</w:t>
      </w:r>
      <w:r w:rsidRPr="00206915">
        <w:rPr>
          <w:rFonts w:ascii="Times New Roman" w:hAnsi="Times New Roman" w:cs="Times New Roman"/>
          <w:sz w:val="24"/>
          <w:szCs w:val="24"/>
        </w:rPr>
        <w:t xml:space="preserve">. “The Digital Transformation of Search and Recombination in the Innovation Function: Tensions and an Integrative Framework.” </w:t>
      </w:r>
      <w:r w:rsidRPr="00206915">
        <w:rPr>
          <w:rFonts w:ascii="Times New Roman" w:hAnsi="Times New Roman" w:cs="Times New Roman"/>
          <w:i/>
          <w:iCs/>
          <w:sz w:val="24"/>
          <w:szCs w:val="24"/>
        </w:rPr>
        <w:t xml:space="preserve">Journal of Product Innovation Management </w:t>
      </w:r>
      <w:r w:rsidRPr="00206915">
        <w:rPr>
          <w:rFonts w:ascii="Times New Roman" w:hAnsi="Times New Roman" w:cs="Times New Roman"/>
          <w:sz w:val="24"/>
          <w:szCs w:val="24"/>
        </w:rPr>
        <w:t xml:space="preserve">38 (1): 90–113. </w:t>
      </w:r>
    </w:p>
    <w:p w14:paraId="6CBA7B83" w14:textId="77777777" w:rsidR="00993056" w:rsidRPr="00DD0F31" w:rsidRDefault="00993056" w:rsidP="00DD0F31">
      <w:pPr>
        <w:spacing w:line="480" w:lineRule="auto"/>
        <w:ind w:left="567" w:hanging="454"/>
        <w:jc w:val="both"/>
        <w:rPr>
          <w:rFonts w:ascii="Times New Roman" w:eastAsia="Arial" w:hAnsi="Times New Roman" w:cs="Times New Roman"/>
          <w:color w:val="222222"/>
          <w:sz w:val="24"/>
          <w:szCs w:val="24"/>
          <w:highlight w:val="white"/>
          <w:lang w:val="en-US"/>
        </w:rPr>
      </w:pPr>
      <w:r w:rsidRPr="00DD0F31">
        <w:rPr>
          <w:rFonts w:ascii="Times New Roman" w:eastAsia="Arial" w:hAnsi="Times New Roman" w:cs="Times New Roman"/>
          <w:color w:val="222222"/>
          <w:sz w:val="24"/>
          <w:szCs w:val="24"/>
          <w:highlight w:val="white"/>
          <w:lang w:val="en-US"/>
        </w:rPr>
        <w:lastRenderedPageBreak/>
        <w:t>Leahy, D. and Neary, J.P. (2007). Absorptive capacity, R&amp;D spillovers, and public policy. </w:t>
      </w:r>
      <w:r w:rsidRPr="00DD0F31">
        <w:rPr>
          <w:rFonts w:ascii="Times New Roman" w:eastAsia="Arial" w:hAnsi="Times New Roman" w:cs="Times New Roman"/>
          <w:i/>
          <w:iCs/>
          <w:color w:val="222222"/>
          <w:sz w:val="24"/>
          <w:szCs w:val="24"/>
          <w:highlight w:val="white"/>
          <w:lang w:val="en-US"/>
        </w:rPr>
        <w:t>International Journal of Industrial Organization</w:t>
      </w:r>
      <w:r w:rsidRPr="00DD0F31">
        <w:rPr>
          <w:rFonts w:ascii="Times New Roman" w:eastAsia="Arial" w:hAnsi="Times New Roman" w:cs="Times New Roman"/>
          <w:color w:val="222222"/>
          <w:sz w:val="24"/>
          <w:szCs w:val="24"/>
          <w:highlight w:val="white"/>
          <w:lang w:val="en-US"/>
        </w:rPr>
        <w:t xml:space="preserve">, 25(5), pp.1089–1108. </w:t>
      </w:r>
    </w:p>
    <w:p w14:paraId="49213BE3" w14:textId="77777777" w:rsidR="00993056" w:rsidRPr="00DD0F31" w:rsidRDefault="00993056" w:rsidP="00DD0F31">
      <w:pPr>
        <w:spacing w:line="480" w:lineRule="auto"/>
        <w:ind w:left="567" w:hanging="454"/>
        <w:jc w:val="both"/>
        <w:rPr>
          <w:rFonts w:ascii="Times New Roman" w:eastAsia="Arial" w:hAnsi="Times New Roman" w:cs="Times New Roman"/>
          <w:color w:val="222222"/>
          <w:sz w:val="24"/>
          <w:szCs w:val="24"/>
          <w:highlight w:val="white"/>
        </w:rPr>
      </w:pPr>
      <w:r w:rsidRPr="00DD0F31">
        <w:rPr>
          <w:rFonts w:ascii="Times New Roman" w:eastAsia="Arial" w:hAnsi="Times New Roman" w:cs="Times New Roman"/>
          <w:color w:val="222222"/>
          <w:sz w:val="24"/>
          <w:szCs w:val="24"/>
          <w:highlight w:val="white"/>
        </w:rPr>
        <w:t>Leal-Rodríguez, A. L., Roldán, J. L., Ariza-Montes, J. A., &amp; Leal-Millán, A. (2014). From Potential Absorptive Capacity to innovation outcomes in project teams: The conditional mediating role of the realised absorptive capacity in a relational learning context. </w:t>
      </w:r>
      <w:r w:rsidRPr="00DD0F31">
        <w:rPr>
          <w:rFonts w:ascii="Times New Roman" w:eastAsia="Arial" w:hAnsi="Times New Roman" w:cs="Times New Roman"/>
          <w:i/>
          <w:iCs/>
          <w:color w:val="222222"/>
          <w:sz w:val="24"/>
          <w:szCs w:val="24"/>
          <w:highlight w:val="white"/>
        </w:rPr>
        <w:t>International Journal of Project Management</w:t>
      </w:r>
      <w:r w:rsidRPr="00DD0F31">
        <w:rPr>
          <w:rFonts w:ascii="Times New Roman" w:eastAsia="Arial" w:hAnsi="Times New Roman" w:cs="Times New Roman"/>
          <w:color w:val="222222"/>
          <w:sz w:val="24"/>
          <w:szCs w:val="24"/>
          <w:highlight w:val="white"/>
        </w:rPr>
        <w:t>, 32(6), 894-907.</w:t>
      </w:r>
    </w:p>
    <w:p w14:paraId="695A73C3" w14:textId="2EF22870" w:rsidR="00993056" w:rsidRPr="00DD0F31" w:rsidRDefault="00993056" w:rsidP="00DD0F31">
      <w:pPr>
        <w:pStyle w:val="NormalWeb"/>
        <w:spacing w:before="0" w:beforeAutospacing="0" w:after="0" w:afterAutospacing="0" w:line="480" w:lineRule="auto"/>
        <w:ind w:left="567" w:hanging="454"/>
        <w:jc w:val="both"/>
        <w:rPr>
          <w:rFonts w:ascii="Times New Roman" w:hAnsi="Times New Roman" w:cs="Times New Roman"/>
          <w:color w:val="000000"/>
          <w:sz w:val="24"/>
          <w:szCs w:val="24"/>
          <w:lang w:val="en-US"/>
        </w:rPr>
      </w:pPr>
      <w:r w:rsidRPr="00DD0F31">
        <w:rPr>
          <w:rFonts w:ascii="Times New Roman" w:hAnsi="Times New Roman" w:cs="Times New Roman"/>
          <w:color w:val="000000"/>
          <w:sz w:val="24"/>
          <w:szCs w:val="24"/>
          <w:lang w:val="en-US"/>
        </w:rPr>
        <w:t>Lee, H., Kelley, D., Lee, J. and Lee, S. (2011). SME Survival: The Impact of Internationalization, Technology Resources, and Alliances. </w:t>
      </w:r>
      <w:r w:rsidRPr="00DD0F31">
        <w:rPr>
          <w:rFonts w:ascii="Times New Roman" w:hAnsi="Times New Roman" w:cs="Times New Roman"/>
          <w:i/>
          <w:color w:val="000000"/>
          <w:sz w:val="24"/>
          <w:szCs w:val="24"/>
          <w:lang w:val="en-US"/>
        </w:rPr>
        <w:t>Journal of Small Business Management</w:t>
      </w:r>
      <w:r w:rsidRPr="00DD0F31">
        <w:rPr>
          <w:rFonts w:ascii="Times New Roman" w:hAnsi="Times New Roman" w:cs="Times New Roman"/>
          <w:color w:val="000000"/>
          <w:sz w:val="24"/>
          <w:szCs w:val="24"/>
          <w:lang w:val="en-US"/>
        </w:rPr>
        <w:t>, [online] 50(1), pp.1–19.</w:t>
      </w:r>
    </w:p>
    <w:p w14:paraId="22DA6F57" w14:textId="77777777" w:rsidR="00913EA9" w:rsidRDefault="00993056" w:rsidP="00913EA9">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Lichtenthaler, U. (2009). Absorptive capacity, environmental turbulence, and the complementarity of organizational learning processes. </w:t>
      </w:r>
      <w:r w:rsidRPr="00DD0F31">
        <w:rPr>
          <w:rFonts w:ascii="Times New Roman" w:hAnsi="Times New Roman" w:cs="Times New Roman"/>
          <w:i/>
          <w:iCs/>
          <w:sz w:val="24"/>
          <w:szCs w:val="24"/>
          <w:lang w:val="en-US"/>
        </w:rPr>
        <w:t>Academy of Management Journal</w:t>
      </w:r>
      <w:r w:rsidRPr="00DD0F31">
        <w:rPr>
          <w:rFonts w:ascii="Times New Roman" w:hAnsi="Times New Roman" w:cs="Times New Roman"/>
          <w:sz w:val="24"/>
          <w:szCs w:val="24"/>
          <w:lang w:val="en-US"/>
        </w:rPr>
        <w:t>, 52(4), 822-846.</w:t>
      </w:r>
    </w:p>
    <w:p w14:paraId="7B9270F9" w14:textId="54B0EF55" w:rsidR="00993056" w:rsidRPr="00DD0F31" w:rsidRDefault="00993056" w:rsidP="00913EA9">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Lubatkin, M. H., Simsek, Z., Ling, Y., &amp; Veiga, J. F. (2006). Ambidexterity and performance in small-to medium-sized firms: The pivotal role of top management team behavioral integration. </w:t>
      </w:r>
      <w:r w:rsidRPr="00DD0F31">
        <w:rPr>
          <w:rFonts w:ascii="Times New Roman" w:hAnsi="Times New Roman" w:cs="Times New Roman"/>
          <w:i/>
          <w:sz w:val="24"/>
          <w:szCs w:val="24"/>
          <w:lang w:val="en-US"/>
        </w:rPr>
        <w:t>Journal of Management</w:t>
      </w:r>
      <w:r w:rsidRPr="00DD0F31">
        <w:rPr>
          <w:rFonts w:ascii="Times New Roman" w:hAnsi="Times New Roman" w:cs="Times New Roman"/>
          <w:sz w:val="24"/>
          <w:szCs w:val="24"/>
          <w:lang w:val="en-US"/>
        </w:rPr>
        <w:t>, </w:t>
      </w:r>
      <w:r w:rsidRPr="00DD0F31">
        <w:rPr>
          <w:rFonts w:ascii="Times New Roman" w:hAnsi="Times New Roman" w:cs="Times New Roman"/>
          <w:i/>
          <w:sz w:val="24"/>
          <w:szCs w:val="24"/>
          <w:lang w:val="en-US"/>
        </w:rPr>
        <w:t>32</w:t>
      </w:r>
      <w:r w:rsidRPr="00DD0F31">
        <w:rPr>
          <w:rFonts w:ascii="Times New Roman" w:hAnsi="Times New Roman" w:cs="Times New Roman"/>
          <w:sz w:val="24"/>
          <w:szCs w:val="24"/>
          <w:lang w:val="en-US"/>
        </w:rPr>
        <w:t>(5), 646-672.</w:t>
      </w:r>
    </w:p>
    <w:p w14:paraId="43E32282" w14:textId="77777777" w:rsidR="00913EA9" w:rsidRDefault="00993056" w:rsidP="00913EA9">
      <w:pPr>
        <w:pStyle w:val="NormalWeb"/>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Lucena, A. and Roper, S., </w:t>
      </w:r>
      <w:r w:rsidR="000D166D">
        <w:rPr>
          <w:rFonts w:ascii="Times New Roman" w:hAnsi="Times New Roman" w:cs="Times New Roman"/>
          <w:sz w:val="24"/>
          <w:szCs w:val="24"/>
          <w:lang w:val="en-US"/>
        </w:rPr>
        <w:t>(</w:t>
      </w:r>
      <w:r w:rsidRPr="00DD0F31">
        <w:rPr>
          <w:rFonts w:ascii="Times New Roman" w:hAnsi="Times New Roman" w:cs="Times New Roman"/>
          <w:sz w:val="24"/>
          <w:szCs w:val="24"/>
          <w:lang w:val="en-US"/>
        </w:rPr>
        <w:t>2016</w:t>
      </w:r>
      <w:r w:rsidR="000D166D">
        <w:rPr>
          <w:rFonts w:ascii="Times New Roman" w:hAnsi="Times New Roman" w:cs="Times New Roman"/>
          <w:sz w:val="24"/>
          <w:szCs w:val="24"/>
          <w:lang w:val="en-US"/>
        </w:rPr>
        <w:t>)</w:t>
      </w:r>
      <w:r w:rsidRPr="00DD0F31">
        <w:rPr>
          <w:rFonts w:ascii="Times New Roman" w:hAnsi="Times New Roman" w:cs="Times New Roman"/>
          <w:sz w:val="24"/>
          <w:szCs w:val="24"/>
          <w:lang w:val="en-US"/>
        </w:rPr>
        <w:t>. Absorptive capacity and ambidexterity in R&amp;D: Linking technology alliance diversity and firm innovation. </w:t>
      </w:r>
      <w:r w:rsidRPr="00DD0F31">
        <w:rPr>
          <w:rFonts w:ascii="Times New Roman" w:hAnsi="Times New Roman" w:cs="Times New Roman"/>
          <w:i/>
          <w:sz w:val="24"/>
          <w:szCs w:val="24"/>
          <w:lang w:val="en-US"/>
        </w:rPr>
        <w:t>European Management Review</w:t>
      </w:r>
      <w:r w:rsidRPr="00DD0F31">
        <w:rPr>
          <w:rFonts w:ascii="Times New Roman" w:hAnsi="Times New Roman" w:cs="Times New Roman"/>
          <w:sz w:val="24"/>
          <w:szCs w:val="24"/>
          <w:lang w:val="en-US"/>
        </w:rPr>
        <w:t>, 13(3), pp.159-178.</w:t>
      </w:r>
    </w:p>
    <w:p w14:paraId="3958F250" w14:textId="77777777" w:rsidR="00913EA9" w:rsidRDefault="00993056" w:rsidP="00913EA9">
      <w:pPr>
        <w:pStyle w:val="NormalWeb"/>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Madhavan, R., &amp; Grover, R. (1998). From embedded knowledge to embodied knowledge: New product development as knowledge management. </w:t>
      </w:r>
      <w:r w:rsidRPr="00DD0F31">
        <w:rPr>
          <w:rFonts w:ascii="Times New Roman" w:hAnsi="Times New Roman" w:cs="Times New Roman"/>
          <w:i/>
          <w:sz w:val="24"/>
          <w:szCs w:val="24"/>
          <w:lang w:val="en-US"/>
        </w:rPr>
        <w:t>Journal of Marketing</w:t>
      </w:r>
      <w:r w:rsidRPr="00DD0F31">
        <w:rPr>
          <w:rFonts w:ascii="Times New Roman" w:hAnsi="Times New Roman" w:cs="Times New Roman"/>
          <w:sz w:val="24"/>
          <w:szCs w:val="24"/>
          <w:lang w:val="en-US"/>
        </w:rPr>
        <w:t>, </w:t>
      </w:r>
      <w:r w:rsidRPr="00DD0F31">
        <w:rPr>
          <w:rFonts w:ascii="Times New Roman" w:hAnsi="Times New Roman" w:cs="Times New Roman"/>
          <w:i/>
          <w:sz w:val="24"/>
          <w:szCs w:val="24"/>
          <w:lang w:val="en-US"/>
        </w:rPr>
        <w:t>62</w:t>
      </w:r>
      <w:r w:rsidRPr="00DD0F31">
        <w:rPr>
          <w:rFonts w:ascii="Times New Roman" w:hAnsi="Times New Roman" w:cs="Times New Roman"/>
          <w:sz w:val="24"/>
          <w:szCs w:val="24"/>
          <w:lang w:val="en-US"/>
        </w:rPr>
        <w:t>(4), 1-12.</w:t>
      </w:r>
    </w:p>
    <w:p w14:paraId="544CC913" w14:textId="77777777" w:rsidR="00913EA9" w:rsidRDefault="00993056" w:rsidP="00913EA9">
      <w:pPr>
        <w:pStyle w:val="NormalWeb"/>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March, J. G. 1991. Exploration and Exploitation in Organizational Learning. </w:t>
      </w:r>
      <w:r w:rsidRPr="00DD0F31">
        <w:rPr>
          <w:rFonts w:ascii="Times New Roman" w:hAnsi="Times New Roman" w:cs="Times New Roman"/>
          <w:i/>
          <w:iCs/>
          <w:sz w:val="24"/>
          <w:szCs w:val="24"/>
          <w:lang w:val="en-US"/>
        </w:rPr>
        <w:t>Organization Science</w:t>
      </w:r>
      <w:r w:rsidRPr="00DD0F31">
        <w:rPr>
          <w:rFonts w:ascii="Times New Roman" w:hAnsi="Times New Roman" w:cs="Times New Roman"/>
          <w:sz w:val="24"/>
          <w:szCs w:val="24"/>
          <w:lang w:val="en-US"/>
        </w:rPr>
        <w:t xml:space="preserve"> 2, 71-87.</w:t>
      </w:r>
    </w:p>
    <w:p w14:paraId="5236D260" w14:textId="4557CC7E" w:rsidR="00993056" w:rsidRPr="00DD0F31" w:rsidRDefault="00993056" w:rsidP="00913EA9">
      <w:pPr>
        <w:pStyle w:val="NormalWeb"/>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lastRenderedPageBreak/>
        <w:t>March, J. G., &amp; Simon, H. A. (1958). Organizations John Wiley &amp; Sons. New York.</w:t>
      </w:r>
    </w:p>
    <w:p w14:paraId="1C318AC3"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Moncada-Paternò-Castello, P. (2022). Top R&amp;D Investors, Structural Change and the R&amp;D Growth Performance of Young and Old Firms. </w:t>
      </w:r>
      <w:r w:rsidRPr="00DD0F31">
        <w:rPr>
          <w:rFonts w:ascii="Times New Roman" w:hAnsi="Times New Roman" w:cs="Times New Roman"/>
          <w:i/>
          <w:iCs/>
          <w:sz w:val="24"/>
          <w:szCs w:val="24"/>
          <w:lang w:val="en-US"/>
        </w:rPr>
        <w:t>Eurasian Business Review</w:t>
      </w:r>
      <w:r w:rsidRPr="00DD0F31">
        <w:rPr>
          <w:rFonts w:ascii="Times New Roman" w:hAnsi="Times New Roman" w:cs="Times New Roman"/>
          <w:sz w:val="24"/>
          <w:szCs w:val="24"/>
          <w:lang w:val="en-US"/>
        </w:rPr>
        <w:t>, 12(1), 1-33.</w:t>
      </w:r>
    </w:p>
    <w:p w14:paraId="33A5252B"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Mueller, W. F. (1962). The origins of the basic inventions underlying du Pont’s major product and process innovations, 1920 to 1950. In </w:t>
      </w:r>
      <w:r w:rsidRPr="00DD0F31">
        <w:rPr>
          <w:rFonts w:ascii="Times New Roman" w:hAnsi="Times New Roman" w:cs="Times New Roman"/>
          <w:i/>
          <w:sz w:val="24"/>
          <w:szCs w:val="24"/>
          <w:lang w:val="en-US"/>
        </w:rPr>
        <w:t>The rate and direction of inventive activity: Economic and social factors</w:t>
      </w:r>
      <w:r w:rsidRPr="00DD0F31">
        <w:rPr>
          <w:rFonts w:ascii="Times New Roman" w:hAnsi="Times New Roman" w:cs="Times New Roman"/>
          <w:sz w:val="24"/>
          <w:szCs w:val="24"/>
          <w:lang w:val="en-US"/>
        </w:rPr>
        <w:t> (pp. 323-358). Princeton University Press.</w:t>
      </w:r>
    </w:p>
    <w:p w14:paraId="618FC3A7" w14:textId="509FFD9F"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Müller, J.M., Buliga, O. and Voigt, K.I., </w:t>
      </w:r>
      <w:r w:rsidR="000D166D">
        <w:rPr>
          <w:rFonts w:ascii="Times New Roman" w:hAnsi="Times New Roman" w:cs="Times New Roman"/>
          <w:sz w:val="24"/>
          <w:szCs w:val="24"/>
          <w:lang w:val="en-US"/>
        </w:rPr>
        <w:t>(</w:t>
      </w:r>
      <w:r w:rsidRPr="00DD0F31">
        <w:rPr>
          <w:rFonts w:ascii="Times New Roman" w:hAnsi="Times New Roman" w:cs="Times New Roman"/>
          <w:sz w:val="24"/>
          <w:szCs w:val="24"/>
          <w:lang w:val="en-US"/>
        </w:rPr>
        <w:t>2021</w:t>
      </w:r>
      <w:r w:rsidR="000D166D">
        <w:rPr>
          <w:rFonts w:ascii="Times New Roman" w:hAnsi="Times New Roman" w:cs="Times New Roman"/>
          <w:sz w:val="24"/>
          <w:szCs w:val="24"/>
          <w:lang w:val="en-US"/>
        </w:rPr>
        <w:t>)</w:t>
      </w:r>
      <w:r w:rsidRPr="00DD0F31">
        <w:rPr>
          <w:rFonts w:ascii="Times New Roman" w:hAnsi="Times New Roman" w:cs="Times New Roman"/>
          <w:sz w:val="24"/>
          <w:szCs w:val="24"/>
          <w:lang w:val="en-US"/>
        </w:rPr>
        <w:t xml:space="preserve">. The role of absorptive capacity and innovation strategy in the design of industry 4.0 business Models-A comparison between SMEs and large enterprises. </w:t>
      </w:r>
      <w:r w:rsidRPr="00DD0F31">
        <w:rPr>
          <w:rFonts w:ascii="Times New Roman" w:hAnsi="Times New Roman" w:cs="Times New Roman"/>
          <w:i/>
          <w:iCs/>
          <w:sz w:val="24"/>
          <w:szCs w:val="24"/>
          <w:lang w:val="en-US"/>
        </w:rPr>
        <w:t>European Management Journal</w:t>
      </w:r>
      <w:r w:rsidRPr="00DD0F31">
        <w:rPr>
          <w:rFonts w:ascii="Times New Roman" w:hAnsi="Times New Roman" w:cs="Times New Roman"/>
          <w:sz w:val="24"/>
          <w:szCs w:val="24"/>
          <w:lang w:val="en-US"/>
        </w:rPr>
        <w:t>, 39(3), pp.333-343.</w:t>
      </w:r>
    </w:p>
    <w:p w14:paraId="24B926CD" w14:textId="6E124ABB" w:rsidR="00913EA9" w:rsidRPr="00DD0F31" w:rsidRDefault="00993056" w:rsidP="00913EA9">
      <w:pPr>
        <w:spacing w:line="480" w:lineRule="auto"/>
        <w:ind w:left="567" w:hanging="454"/>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Nelson R., &amp; Winter </w:t>
      </w:r>
      <w:r w:rsidR="000D166D">
        <w:rPr>
          <w:rFonts w:ascii="Times New Roman" w:hAnsi="Times New Roman" w:cs="Times New Roman"/>
          <w:sz w:val="24"/>
          <w:szCs w:val="24"/>
          <w:lang w:val="en-US"/>
        </w:rPr>
        <w:t>S. G.,</w:t>
      </w:r>
      <w:r w:rsidRPr="00DD0F31">
        <w:rPr>
          <w:rFonts w:ascii="Times New Roman" w:hAnsi="Times New Roman" w:cs="Times New Roman"/>
          <w:sz w:val="24"/>
          <w:szCs w:val="24"/>
          <w:lang w:val="en-US"/>
        </w:rPr>
        <w:t xml:space="preserve"> (1982). An evolutionary theory of economic</w:t>
      </w:r>
      <w:r w:rsidR="000D166D">
        <w:rPr>
          <w:rFonts w:ascii="Times New Roman" w:hAnsi="Times New Roman" w:cs="Times New Roman"/>
          <w:sz w:val="24"/>
          <w:szCs w:val="24"/>
          <w:lang w:val="en-US"/>
        </w:rPr>
        <w:t xml:space="preserve"> </w:t>
      </w:r>
      <w:r w:rsidRPr="00DD0F31">
        <w:rPr>
          <w:rFonts w:ascii="Times New Roman" w:hAnsi="Times New Roman" w:cs="Times New Roman"/>
          <w:sz w:val="24"/>
          <w:szCs w:val="24"/>
          <w:lang w:val="en-US"/>
        </w:rPr>
        <w:t>change. Harvard Business School Press, Cambridge.</w:t>
      </w:r>
    </w:p>
    <w:p w14:paraId="4A79B162" w14:textId="77777777" w:rsidR="00913EA9" w:rsidRDefault="00993056" w:rsidP="00913EA9">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O'Reilly, C. A., Harreld, J. B., &amp; Tushman, M. L. (2009). Organizational ambidexterity: IBM and emerging business opportunities. </w:t>
      </w:r>
      <w:r w:rsidRPr="00DD0F31">
        <w:rPr>
          <w:rFonts w:ascii="Times New Roman" w:hAnsi="Times New Roman" w:cs="Times New Roman"/>
          <w:i/>
          <w:iCs/>
          <w:sz w:val="24"/>
          <w:szCs w:val="24"/>
          <w:lang w:val="en-US"/>
        </w:rPr>
        <w:t>California Management Review</w:t>
      </w:r>
      <w:r w:rsidRPr="00DD0F31">
        <w:rPr>
          <w:rFonts w:ascii="Times New Roman" w:hAnsi="Times New Roman" w:cs="Times New Roman"/>
          <w:sz w:val="24"/>
          <w:szCs w:val="24"/>
          <w:lang w:val="en-US"/>
        </w:rPr>
        <w:t>, 51(4), 75-99.</w:t>
      </w:r>
    </w:p>
    <w:p w14:paraId="4286AD0B" w14:textId="6C204E0A" w:rsidR="00C15F00" w:rsidRPr="00C15F00" w:rsidRDefault="00C15F00" w:rsidP="00C15F00">
      <w:pPr>
        <w:spacing w:line="480" w:lineRule="auto"/>
        <w:ind w:left="567" w:hanging="454"/>
        <w:jc w:val="both"/>
        <w:rPr>
          <w:rFonts w:ascii="Times New Roman" w:hAnsi="Times New Roman" w:cs="Times New Roman"/>
          <w:sz w:val="24"/>
          <w:szCs w:val="24"/>
        </w:rPr>
      </w:pPr>
      <w:r w:rsidRPr="00C15F00">
        <w:rPr>
          <w:rFonts w:ascii="Times New Roman" w:hAnsi="Times New Roman" w:cs="Times New Roman"/>
          <w:sz w:val="24"/>
          <w:szCs w:val="24"/>
        </w:rPr>
        <w:t>Pagani, M., &amp; Pardo, C. (2017). The impact of digital technology on relationships in a</w:t>
      </w:r>
      <w:r w:rsidR="00913EA9">
        <w:rPr>
          <w:rFonts w:ascii="Times New Roman" w:hAnsi="Times New Roman" w:cs="Times New Roman"/>
          <w:sz w:val="24"/>
          <w:szCs w:val="24"/>
        </w:rPr>
        <w:t xml:space="preserve"> </w:t>
      </w:r>
      <w:r w:rsidRPr="00C15F00">
        <w:rPr>
          <w:rFonts w:ascii="Times New Roman" w:hAnsi="Times New Roman" w:cs="Times New Roman"/>
          <w:sz w:val="24"/>
          <w:szCs w:val="24"/>
        </w:rPr>
        <w:t>business network. Industrial Marketing Management, 67, 185–192.</w:t>
      </w:r>
    </w:p>
    <w:p w14:paraId="71916874"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Patton, D. (2013). Realizing potential: The impact of business incubation on the absorptive capacity of new technology-based firms. </w:t>
      </w:r>
      <w:r w:rsidRPr="00DD0F31">
        <w:rPr>
          <w:rFonts w:ascii="Times New Roman" w:hAnsi="Times New Roman" w:cs="Times New Roman"/>
          <w:i/>
          <w:iCs/>
          <w:sz w:val="24"/>
          <w:szCs w:val="24"/>
          <w:lang w:val="en-US"/>
        </w:rPr>
        <w:t>International Small Business Journal: Researching Entrepreneurship</w:t>
      </w:r>
      <w:r w:rsidRPr="00DD0F31">
        <w:rPr>
          <w:rFonts w:ascii="Times New Roman" w:hAnsi="Times New Roman" w:cs="Times New Roman"/>
          <w:sz w:val="24"/>
          <w:szCs w:val="24"/>
          <w:lang w:val="en-US"/>
        </w:rPr>
        <w:t xml:space="preserve">, 32(8), pp.897–917. </w:t>
      </w:r>
    </w:p>
    <w:p w14:paraId="72612D43" w14:textId="6D9650F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Pellegrino, G. </w:t>
      </w:r>
      <w:r w:rsidR="000D166D">
        <w:rPr>
          <w:rFonts w:ascii="Times New Roman" w:hAnsi="Times New Roman" w:cs="Times New Roman"/>
          <w:sz w:val="24"/>
          <w:szCs w:val="24"/>
          <w:lang w:val="en-US"/>
        </w:rPr>
        <w:t>and</w:t>
      </w:r>
      <w:r w:rsidR="000D166D" w:rsidRPr="00DD0F31">
        <w:rPr>
          <w:rFonts w:ascii="Times New Roman" w:hAnsi="Times New Roman" w:cs="Times New Roman"/>
          <w:sz w:val="24"/>
          <w:szCs w:val="24"/>
          <w:lang w:val="en-US"/>
        </w:rPr>
        <w:t xml:space="preserve"> </w:t>
      </w:r>
      <w:r w:rsidRPr="00DD0F31">
        <w:rPr>
          <w:rFonts w:ascii="Times New Roman" w:hAnsi="Times New Roman" w:cs="Times New Roman"/>
          <w:sz w:val="24"/>
          <w:szCs w:val="24"/>
          <w:lang w:val="en-US"/>
        </w:rPr>
        <w:t xml:space="preserve">Piva, M., (2020). Innovation, Industry and Firm Age: Are There New Knowledge Production Functions? </w:t>
      </w:r>
      <w:r w:rsidRPr="00DD0F31">
        <w:rPr>
          <w:rFonts w:ascii="Times New Roman" w:hAnsi="Times New Roman" w:cs="Times New Roman"/>
          <w:i/>
          <w:iCs/>
          <w:sz w:val="24"/>
          <w:szCs w:val="24"/>
          <w:lang w:val="en-US"/>
        </w:rPr>
        <w:t>Eurasian Business Review</w:t>
      </w:r>
      <w:r w:rsidRPr="00DD0F31">
        <w:rPr>
          <w:rFonts w:ascii="Times New Roman" w:hAnsi="Times New Roman" w:cs="Times New Roman"/>
          <w:sz w:val="24"/>
          <w:szCs w:val="24"/>
          <w:lang w:val="en-US"/>
        </w:rPr>
        <w:t xml:space="preserve">, 10(1), 65-95. </w:t>
      </w:r>
    </w:p>
    <w:p w14:paraId="15125EC0" w14:textId="471A6C71"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color w:val="000000"/>
          <w:sz w:val="24"/>
          <w:szCs w:val="24"/>
          <w:lang w:val="en-US"/>
        </w:rPr>
        <w:t xml:space="preserve">Perkins, G., </w:t>
      </w:r>
      <w:r w:rsidR="000D166D">
        <w:rPr>
          <w:rFonts w:ascii="Times New Roman" w:hAnsi="Times New Roman" w:cs="Times New Roman"/>
          <w:color w:val="000000"/>
          <w:sz w:val="24"/>
          <w:szCs w:val="24"/>
          <w:lang w:val="en-US"/>
        </w:rPr>
        <w:t>(</w:t>
      </w:r>
      <w:r w:rsidRPr="00DD0F31">
        <w:rPr>
          <w:rFonts w:ascii="Times New Roman" w:hAnsi="Times New Roman" w:cs="Times New Roman"/>
          <w:color w:val="000000"/>
          <w:sz w:val="24"/>
          <w:szCs w:val="24"/>
          <w:lang w:val="en-US"/>
        </w:rPr>
        <w:t>2019</w:t>
      </w:r>
      <w:r w:rsidR="000D166D">
        <w:rPr>
          <w:rFonts w:ascii="Times New Roman" w:hAnsi="Times New Roman" w:cs="Times New Roman"/>
          <w:color w:val="000000"/>
          <w:sz w:val="24"/>
          <w:szCs w:val="24"/>
          <w:lang w:val="en-US"/>
        </w:rPr>
        <w:t>)</w:t>
      </w:r>
      <w:r w:rsidRPr="00DD0F31">
        <w:rPr>
          <w:rFonts w:ascii="Times New Roman" w:hAnsi="Times New Roman" w:cs="Times New Roman"/>
          <w:color w:val="000000"/>
          <w:sz w:val="24"/>
          <w:szCs w:val="24"/>
          <w:lang w:val="en-US"/>
        </w:rPr>
        <w:t xml:space="preserve">. Exploring the mechanisms through which strong ties impact upon the development of ideas in SME contexts. </w:t>
      </w:r>
      <w:r w:rsidRPr="00DD0F31">
        <w:rPr>
          <w:rFonts w:ascii="Times New Roman" w:hAnsi="Times New Roman" w:cs="Times New Roman"/>
          <w:i/>
          <w:iCs/>
          <w:color w:val="000000"/>
          <w:sz w:val="24"/>
          <w:szCs w:val="24"/>
          <w:lang w:val="en-US"/>
        </w:rPr>
        <w:t>Journal of Small Business Management</w:t>
      </w:r>
      <w:r w:rsidRPr="00DD0F31">
        <w:rPr>
          <w:rFonts w:ascii="Times New Roman" w:hAnsi="Times New Roman" w:cs="Times New Roman"/>
          <w:color w:val="000000"/>
          <w:sz w:val="24"/>
          <w:szCs w:val="24"/>
          <w:lang w:val="en-US"/>
        </w:rPr>
        <w:t>, 57(4), pp.1464-1484.</w:t>
      </w:r>
    </w:p>
    <w:p w14:paraId="7CC9A584"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Rabe-Hesketh, S., and Everitt, B. (2007). A Handbook of Statistical Analyses Using Stata.</w:t>
      </w:r>
    </w:p>
    <w:p w14:paraId="7EC0464B" w14:textId="77777777" w:rsidR="00D70EEE" w:rsidRDefault="00993056" w:rsidP="00C15F00">
      <w:pPr>
        <w:spacing w:line="480" w:lineRule="auto"/>
        <w:ind w:left="567" w:hanging="454"/>
        <w:jc w:val="both"/>
        <w:rPr>
          <w:rFonts w:ascii="Segoe UI" w:eastAsia="Times New Roman" w:hAnsi="Segoe UI" w:cs="Segoe UI"/>
          <w:sz w:val="18"/>
          <w:szCs w:val="18"/>
        </w:rPr>
      </w:pPr>
      <w:r w:rsidRPr="00DD0F31">
        <w:rPr>
          <w:rFonts w:ascii="Times New Roman" w:hAnsi="Times New Roman" w:cs="Times New Roman"/>
          <w:sz w:val="24"/>
          <w:szCs w:val="24"/>
          <w:lang w:val="en-US"/>
        </w:rPr>
        <w:lastRenderedPageBreak/>
        <w:t xml:space="preserve">Raisch, S., &amp; Birkinshaw, J. (2008). Organizational ambidexterity: Antecedents, outcomes, and moderators. </w:t>
      </w:r>
      <w:r w:rsidRPr="00DD0F31">
        <w:rPr>
          <w:rFonts w:ascii="Times New Roman" w:hAnsi="Times New Roman" w:cs="Times New Roman"/>
          <w:i/>
          <w:iCs/>
          <w:sz w:val="24"/>
          <w:szCs w:val="24"/>
          <w:lang w:val="en-US"/>
        </w:rPr>
        <w:t>Journal of Management</w:t>
      </w:r>
      <w:r w:rsidRPr="00DD0F31">
        <w:rPr>
          <w:rFonts w:ascii="Times New Roman" w:hAnsi="Times New Roman" w:cs="Times New Roman"/>
          <w:sz w:val="24"/>
          <w:szCs w:val="24"/>
          <w:lang w:val="en-US"/>
        </w:rPr>
        <w:t>, 34(3), 375-409.</w:t>
      </w:r>
      <w:r w:rsidR="00C15F00" w:rsidRPr="00C15F00">
        <w:rPr>
          <w:rFonts w:ascii="Segoe UI" w:eastAsia="Times New Roman" w:hAnsi="Segoe UI" w:cs="Segoe UI"/>
          <w:sz w:val="18"/>
          <w:szCs w:val="18"/>
        </w:rPr>
        <w:t xml:space="preserve"> </w:t>
      </w:r>
    </w:p>
    <w:p w14:paraId="376D1424" w14:textId="64111785" w:rsidR="00C15F00" w:rsidRPr="00C15F00" w:rsidRDefault="00C15F00" w:rsidP="00C15F00">
      <w:pPr>
        <w:spacing w:line="480" w:lineRule="auto"/>
        <w:ind w:left="567" w:hanging="454"/>
        <w:jc w:val="both"/>
        <w:rPr>
          <w:rFonts w:ascii="Times New Roman" w:hAnsi="Times New Roman" w:cs="Times New Roman"/>
          <w:sz w:val="24"/>
          <w:szCs w:val="24"/>
        </w:rPr>
      </w:pPr>
      <w:r w:rsidRPr="00C15F00">
        <w:rPr>
          <w:rFonts w:ascii="Times New Roman" w:hAnsi="Times New Roman" w:cs="Times New Roman"/>
          <w:sz w:val="24"/>
          <w:szCs w:val="24"/>
        </w:rPr>
        <w:t>Ramaswamy, V., &amp; Ozcan, K. (2016). Brand value co-creation in a digitalized world: An</w:t>
      </w:r>
    </w:p>
    <w:p w14:paraId="6EAA68B1" w14:textId="4FE270E8" w:rsidR="00C15F00" w:rsidRPr="00C15F00" w:rsidRDefault="000D166D" w:rsidP="00C15F00">
      <w:pPr>
        <w:spacing w:line="480" w:lineRule="auto"/>
        <w:ind w:left="567" w:hanging="454"/>
        <w:jc w:val="both"/>
        <w:rPr>
          <w:rFonts w:ascii="Times New Roman" w:hAnsi="Times New Roman" w:cs="Times New Roman"/>
          <w:sz w:val="24"/>
          <w:szCs w:val="24"/>
        </w:rPr>
      </w:pPr>
      <w:r>
        <w:rPr>
          <w:rFonts w:ascii="Times New Roman" w:hAnsi="Times New Roman" w:cs="Times New Roman"/>
          <w:sz w:val="24"/>
          <w:szCs w:val="24"/>
        </w:rPr>
        <w:t xml:space="preserve">  </w:t>
      </w:r>
      <w:r w:rsidR="00C15F00" w:rsidRPr="00C15F00">
        <w:rPr>
          <w:rFonts w:ascii="Times New Roman" w:hAnsi="Times New Roman" w:cs="Times New Roman"/>
          <w:sz w:val="24"/>
          <w:szCs w:val="24"/>
        </w:rPr>
        <w:t>integrative framework and research implications. International Journal of Research in</w:t>
      </w:r>
    </w:p>
    <w:p w14:paraId="5EDFBAE1" w14:textId="502EFA59" w:rsidR="00993056" w:rsidRPr="00DD0F31" w:rsidRDefault="00C15F00" w:rsidP="00DD0F31">
      <w:pPr>
        <w:spacing w:line="480" w:lineRule="auto"/>
        <w:ind w:left="567" w:hanging="454"/>
        <w:jc w:val="both"/>
        <w:rPr>
          <w:rFonts w:ascii="Times New Roman" w:hAnsi="Times New Roman" w:cs="Times New Roman"/>
          <w:sz w:val="24"/>
          <w:szCs w:val="24"/>
          <w:lang w:val="en-US"/>
        </w:rPr>
      </w:pPr>
      <w:r w:rsidRPr="00C15F00">
        <w:rPr>
          <w:rFonts w:ascii="Times New Roman" w:hAnsi="Times New Roman" w:cs="Times New Roman"/>
          <w:sz w:val="24"/>
          <w:szCs w:val="24"/>
        </w:rPr>
        <w:t>Marketing, 33(1), 93–106.</w:t>
      </w:r>
    </w:p>
    <w:p w14:paraId="48112261"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Raymond, L., Bergeron, F., Croteau, A. M., &amp; St‐Pierre, J. (2015). Developing absorptive capacity through e‐business: The case of international SMEs. </w:t>
      </w:r>
      <w:r w:rsidRPr="00DD0F31">
        <w:rPr>
          <w:rFonts w:ascii="Times New Roman" w:hAnsi="Times New Roman" w:cs="Times New Roman"/>
          <w:i/>
          <w:iCs/>
          <w:sz w:val="24"/>
          <w:szCs w:val="24"/>
          <w:lang w:val="en-US"/>
        </w:rPr>
        <w:t>Journal of Small Business Management</w:t>
      </w:r>
      <w:r w:rsidRPr="00DD0F31">
        <w:rPr>
          <w:rFonts w:ascii="Times New Roman" w:hAnsi="Times New Roman" w:cs="Times New Roman"/>
          <w:sz w:val="24"/>
          <w:szCs w:val="24"/>
          <w:lang w:val="en-US"/>
        </w:rPr>
        <w:t>, </w:t>
      </w:r>
      <w:r w:rsidRPr="00DD0F31">
        <w:rPr>
          <w:rFonts w:ascii="Times New Roman" w:hAnsi="Times New Roman" w:cs="Times New Roman"/>
          <w:i/>
          <w:iCs/>
          <w:sz w:val="24"/>
          <w:szCs w:val="24"/>
          <w:lang w:val="en-US"/>
        </w:rPr>
        <w:t>53</w:t>
      </w:r>
      <w:r w:rsidRPr="00DD0F31">
        <w:rPr>
          <w:rFonts w:ascii="Times New Roman" w:hAnsi="Times New Roman" w:cs="Times New Roman"/>
          <w:sz w:val="24"/>
          <w:szCs w:val="24"/>
          <w:lang w:val="en-US"/>
        </w:rPr>
        <w:t>, 75-94.</w:t>
      </w:r>
    </w:p>
    <w:p w14:paraId="30858A3F"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Saura, J. R., Ribeiro-Soriano, D., &amp; Palacios-Marqués, D. (2021). From user-generated data to data-driven innovation: A research agenda to understand user privacy in digital markets. </w:t>
      </w:r>
      <w:r w:rsidRPr="00DD0F31">
        <w:rPr>
          <w:rFonts w:ascii="Times New Roman" w:hAnsi="Times New Roman" w:cs="Times New Roman"/>
          <w:i/>
          <w:iCs/>
          <w:sz w:val="24"/>
          <w:szCs w:val="24"/>
          <w:lang w:val="en-US"/>
        </w:rPr>
        <w:t>International Journal of Information Management</w:t>
      </w:r>
      <w:r w:rsidRPr="00DD0F31">
        <w:rPr>
          <w:rFonts w:ascii="Times New Roman" w:hAnsi="Times New Roman" w:cs="Times New Roman"/>
          <w:sz w:val="24"/>
          <w:szCs w:val="24"/>
          <w:lang w:val="en-US"/>
        </w:rPr>
        <w:t xml:space="preserve">, 60, 102331. </w:t>
      </w:r>
    </w:p>
    <w:p w14:paraId="5CFFBF3A"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Siedler, C., Sadaune, S., Zavareh, M. T., Eigner, M., Zink, K. J., &amp; Aurich, J. C. (2019). Categorizing and selecting digitization technologies for their implementation within different product lifecycle phases. </w:t>
      </w:r>
      <w:r w:rsidRPr="00DD0F31">
        <w:rPr>
          <w:rFonts w:ascii="Times New Roman" w:hAnsi="Times New Roman" w:cs="Times New Roman"/>
          <w:i/>
          <w:iCs/>
          <w:sz w:val="24"/>
          <w:szCs w:val="24"/>
          <w:lang w:val="en-US"/>
        </w:rPr>
        <w:t>Procedia</w:t>
      </w:r>
      <w:r w:rsidRPr="00DD0F31">
        <w:rPr>
          <w:rFonts w:ascii="Times New Roman" w:hAnsi="Times New Roman" w:cs="Times New Roman"/>
          <w:sz w:val="24"/>
          <w:szCs w:val="24"/>
          <w:lang w:val="en-US"/>
        </w:rPr>
        <w:t xml:space="preserve"> CIRP, 79, 274-279.</w:t>
      </w:r>
    </w:p>
    <w:p w14:paraId="5A57F5C7"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Smith, K. G., Collins, C. J., &amp; Clark, K. D. (2005). Existing knowledge, knowledge creation capability, and the rate of new product introduction in high-technology firms. </w:t>
      </w:r>
      <w:r w:rsidRPr="00DD0F31">
        <w:rPr>
          <w:rFonts w:ascii="Times New Roman" w:hAnsi="Times New Roman" w:cs="Times New Roman"/>
          <w:i/>
          <w:iCs/>
          <w:sz w:val="24"/>
          <w:szCs w:val="24"/>
          <w:lang w:val="en-US"/>
        </w:rPr>
        <w:t>Academy of Management Journal</w:t>
      </w:r>
      <w:r w:rsidRPr="00DD0F31">
        <w:rPr>
          <w:rFonts w:ascii="Times New Roman" w:hAnsi="Times New Roman" w:cs="Times New Roman"/>
          <w:sz w:val="24"/>
          <w:szCs w:val="24"/>
          <w:lang w:val="en-US"/>
        </w:rPr>
        <w:t>, 48(2), 346-357.</w:t>
      </w:r>
    </w:p>
    <w:p w14:paraId="783BCC55"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Stevens, J. P. (2012). Applied multivariate statistics for the social sciences. Routledge.</w:t>
      </w:r>
    </w:p>
    <w:p w14:paraId="291ACE98"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Subramaniam, M., &amp; Youndt, M. A. (2005). The influence of intellectual capital on the types of innovative capabilities. </w:t>
      </w:r>
      <w:r w:rsidRPr="00DD0F31">
        <w:rPr>
          <w:rFonts w:ascii="Times New Roman" w:hAnsi="Times New Roman" w:cs="Times New Roman"/>
          <w:i/>
          <w:iCs/>
          <w:sz w:val="24"/>
          <w:szCs w:val="24"/>
          <w:lang w:val="en-US"/>
        </w:rPr>
        <w:t>Academy of Management Journal</w:t>
      </w:r>
      <w:r w:rsidRPr="00DD0F31">
        <w:rPr>
          <w:rFonts w:ascii="Times New Roman" w:hAnsi="Times New Roman" w:cs="Times New Roman"/>
          <w:sz w:val="24"/>
          <w:szCs w:val="24"/>
          <w:lang w:val="en-US"/>
        </w:rPr>
        <w:t>, 48(3), 450-463.</w:t>
      </w:r>
    </w:p>
    <w:p w14:paraId="04745E7C"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Szulanski, G. (1996). Exploring internal stickiness: Impediments to the transfer of best practice within the firm. </w:t>
      </w:r>
      <w:r w:rsidRPr="00DD0F31">
        <w:rPr>
          <w:rFonts w:ascii="Times New Roman" w:hAnsi="Times New Roman" w:cs="Times New Roman"/>
          <w:i/>
          <w:iCs/>
          <w:sz w:val="24"/>
          <w:szCs w:val="24"/>
          <w:lang w:val="en-US"/>
        </w:rPr>
        <w:t>Strategic Management Journal</w:t>
      </w:r>
      <w:r w:rsidRPr="00DD0F31">
        <w:rPr>
          <w:rFonts w:ascii="Times New Roman" w:hAnsi="Times New Roman" w:cs="Times New Roman"/>
          <w:sz w:val="24"/>
          <w:szCs w:val="24"/>
          <w:lang w:val="en-US"/>
        </w:rPr>
        <w:t>, 17(S2), 27-43.</w:t>
      </w:r>
    </w:p>
    <w:p w14:paraId="7F597689" w14:textId="77777777" w:rsidR="00993056"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Tarifa-Fernandez, J., de-Burgos-Jimenez, J., &amp; Cespedes-Lorente, J. (2019). Absorptive capacity as a confounder of the process of supply chain integration.</w:t>
      </w:r>
      <w:r w:rsidRPr="00DD0F31">
        <w:rPr>
          <w:rFonts w:ascii="Times New Roman" w:hAnsi="Times New Roman" w:cs="Times New Roman"/>
          <w:i/>
          <w:iCs/>
          <w:sz w:val="24"/>
          <w:szCs w:val="24"/>
          <w:lang w:val="en-US"/>
        </w:rPr>
        <w:t> Business Process Management Journal</w:t>
      </w:r>
      <w:r w:rsidRPr="00DD0F31">
        <w:rPr>
          <w:rFonts w:ascii="Times New Roman" w:hAnsi="Times New Roman" w:cs="Times New Roman"/>
          <w:sz w:val="24"/>
          <w:szCs w:val="24"/>
          <w:lang w:val="en-US"/>
        </w:rPr>
        <w:t>.</w:t>
      </w:r>
    </w:p>
    <w:p w14:paraId="3254BFAC" w14:textId="0702263A" w:rsidR="00B30B1F" w:rsidRPr="00B30B1F" w:rsidRDefault="00B30B1F" w:rsidP="00B30B1F">
      <w:pPr>
        <w:spacing w:line="480" w:lineRule="auto"/>
        <w:ind w:left="567" w:hanging="454"/>
        <w:jc w:val="both"/>
        <w:rPr>
          <w:rFonts w:ascii="Times New Roman" w:hAnsi="Times New Roman" w:cs="Times New Roman"/>
          <w:sz w:val="24"/>
          <w:szCs w:val="24"/>
        </w:rPr>
      </w:pPr>
      <w:r w:rsidRPr="00B30B1F">
        <w:rPr>
          <w:rFonts w:ascii="Times New Roman" w:hAnsi="Times New Roman" w:cs="Times New Roman"/>
          <w:sz w:val="24"/>
          <w:szCs w:val="24"/>
        </w:rPr>
        <w:lastRenderedPageBreak/>
        <w:t xml:space="preserve">Thurik, R., A. Benzari, C. Fisch, J. Mukerjee, and O. Torrès. 2023. “Techno-Overload and Well-Being of French Small Business Owners: Identifying the Flipside of Digital Technologies.” </w:t>
      </w:r>
      <w:r w:rsidRPr="00B30B1F">
        <w:rPr>
          <w:rFonts w:ascii="Times New Roman" w:hAnsi="Times New Roman" w:cs="Times New Roman"/>
          <w:i/>
          <w:iCs/>
          <w:sz w:val="24"/>
          <w:szCs w:val="24"/>
        </w:rPr>
        <w:t xml:space="preserve">Entrepreneurship &amp; Regional Development </w:t>
      </w:r>
      <w:r w:rsidRPr="00B30B1F">
        <w:rPr>
          <w:rFonts w:ascii="Times New Roman" w:hAnsi="Times New Roman" w:cs="Times New Roman"/>
          <w:sz w:val="24"/>
          <w:szCs w:val="24"/>
        </w:rPr>
        <w:t xml:space="preserve">1–26. </w:t>
      </w:r>
    </w:p>
    <w:p w14:paraId="26256E84" w14:textId="77777777" w:rsidR="00993056"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Tushman, M. L., &amp; O'Reilly, C. A. (1997). Sorting organizational hardware. </w:t>
      </w:r>
      <w:r w:rsidRPr="00DD0F31">
        <w:rPr>
          <w:rFonts w:ascii="Times New Roman" w:hAnsi="Times New Roman" w:cs="Times New Roman"/>
          <w:i/>
          <w:iCs/>
          <w:sz w:val="24"/>
          <w:szCs w:val="24"/>
          <w:lang w:val="en-US"/>
        </w:rPr>
        <w:t>The Journal of Business Strategy</w:t>
      </w:r>
      <w:r w:rsidRPr="00DD0F31">
        <w:rPr>
          <w:rFonts w:ascii="Times New Roman" w:hAnsi="Times New Roman" w:cs="Times New Roman"/>
          <w:sz w:val="24"/>
          <w:szCs w:val="24"/>
          <w:lang w:val="en-US"/>
        </w:rPr>
        <w:t>, 18(4), 43.</w:t>
      </w:r>
    </w:p>
    <w:p w14:paraId="43566521" w14:textId="3F2B7A96" w:rsidR="00B30B1F" w:rsidRPr="00B30B1F" w:rsidRDefault="00B30B1F" w:rsidP="00B30B1F">
      <w:pPr>
        <w:spacing w:line="480" w:lineRule="auto"/>
        <w:ind w:left="567" w:hanging="454"/>
        <w:jc w:val="both"/>
        <w:rPr>
          <w:rFonts w:ascii="Times New Roman" w:hAnsi="Times New Roman" w:cs="Times New Roman"/>
          <w:sz w:val="24"/>
          <w:szCs w:val="24"/>
        </w:rPr>
      </w:pPr>
      <w:r w:rsidRPr="00B30B1F">
        <w:rPr>
          <w:rFonts w:ascii="Times New Roman" w:hAnsi="Times New Roman" w:cs="Times New Roman"/>
          <w:sz w:val="24"/>
          <w:szCs w:val="24"/>
        </w:rPr>
        <w:t>Van de Ven, A. H., Polley, D. E., Garud, R., &amp; Venkataraman, S. (</w:t>
      </w:r>
      <w:r>
        <w:rPr>
          <w:rFonts w:ascii="Times New Roman" w:hAnsi="Times New Roman" w:cs="Times New Roman"/>
          <w:sz w:val="24"/>
          <w:szCs w:val="24"/>
        </w:rPr>
        <w:t>2008</w:t>
      </w:r>
      <w:r w:rsidRPr="00B30B1F">
        <w:rPr>
          <w:rFonts w:ascii="Times New Roman" w:hAnsi="Times New Roman" w:cs="Times New Roman"/>
          <w:sz w:val="24"/>
          <w:szCs w:val="24"/>
        </w:rPr>
        <w:t xml:space="preserve">). </w:t>
      </w:r>
      <w:r w:rsidRPr="00B30B1F">
        <w:rPr>
          <w:rFonts w:ascii="Times New Roman" w:hAnsi="Times New Roman" w:cs="Times New Roman"/>
          <w:i/>
          <w:iCs/>
          <w:sz w:val="24"/>
          <w:szCs w:val="24"/>
        </w:rPr>
        <w:t>The innovation journey</w:t>
      </w:r>
      <w:r w:rsidRPr="00B30B1F">
        <w:rPr>
          <w:rFonts w:ascii="Times New Roman" w:hAnsi="Times New Roman" w:cs="Times New Roman"/>
          <w:sz w:val="24"/>
          <w:szCs w:val="24"/>
        </w:rPr>
        <w:t>. Oxford University Press.</w:t>
      </w:r>
    </w:p>
    <w:p w14:paraId="3F37B8B0" w14:textId="23EE74EE" w:rsidR="00C15F00" w:rsidRPr="00C15F00" w:rsidRDefault="00C15F00" w:rsidP="00C15F00">
      <w:pPr>
        <w:spacing w:line="480" w:lineRule="auto"/>
        <w:ind w:left="567" w:hanging="454"/>
        <w:jc w:val="both"/>
        <w:rPr>
          <w:rFonts w:ascii="Times New Roman" w:hAnsi="Times New Roman" w:cs="Times New Roman"/>
          <w:sz w:val="24"/>
          <w:szCs w:val="24"/>
        </w:rPr>
      </w:pPr>
      <w:r w:rsidRPr="00C15F00">
        <w:rPr>
          <w:rFonts w:ascii="Times New Roman" w:hAnsi="Times New Roman" w:cs="Times New Roman"/>
          <w:sz w:val="24"/>
          <w:szCs w:val="24"/>
        </w:rPr>
        <w:t xml:space="preserve">Verhoef, P.C., Broekhuizen, T., Bart, Y., Bhattacharya, A., Dong, J.Q., Fabian, N. and Haenlein, M., </w:t>
      </w:r>
      <w:r w:rsidR="000D166D">
        <w:rPr>
          <w:rFonts w:ascii="Times New Roman" w:hAnsi="Times New Roman" w:cs="Times New Roman"/>
          <w:sz w:val="24"/>
          <w:szCs w:val="24"/>
        </w:rPr>
        <w:t>(</w:t>
      </w:r>
      <w:r w:rsidRPr="00C15F00">
        <w:rPr>
          <w:rFonts w:ascii="Times New Roman" w:hAnsi="Times New Roman" w:cs="Times New Roman"/>
          <w:sz w:val="24"/>
          <w:szCs w:val="24"/>
        </w:rPr>
        <w:t>2021</w:t>
      </w:r>
      <w:r w:rsidR="000D166D">
        <w:rPr>
          <w:rFonts w:ascii="Times New Roman" w:hAnsi="Times New Roman" w:cs="Times New Roman"/>
          <w:sz w:val="24"/>
          <w:szCs w:val="24"/>
        </w:rPr>
        <w:t>)</w:t>
      </w:r>
      <w:r w:rsidRPr="00C15F00">
        <w:rPr>
          <w:rFonts w:ascii="Times New Roman" w:hAnsi="Times New Roman" w:cs="Times New Roman"/>
          <w:sz w:val="24"/>
          <w:szCs w:val="24"/>
        </w:rPr>
        <w:t>. Digital transformation: A multidisciplinary reflection and research agenda. </w:t>
      </w:r>
      <w:r w:rsidRPr="00C15F00">
        <w:rPr>
          <w:rFonts w:ascii="Times New Roman" w:hAnsi="Times New Roman" w:cs="Times New Roman"/>
          <w:i/>
          <w:iCs/>
          <w:sz w:val="24"/>
          <w:szCs w:val="24"/>
        </w:rPr>
        <w:t>Journal of business research</w:t>
      </w:r>
      <w:r w:rsidRPr="00C15F00">
        <w:rPr>
          <w:rFonts w:ascii="Times New Roman" w:hAnsi="Times New Roman" w:cs="Times New Roman"/>
          <w:sz w:val="24"/>
          <w:szCs w:val="24"/>
        </w:rPr>
        <w:t>, </w:t>
      </w:r>
      <w:r w:rsidRPr="00C15F00">
        <w:rPr>
          <w:rFonts w:ascii="Times New Roman" w:hAnsi="Times New Roman" w:cs="Times New Roman"/>
          <w:i/>
          <w:iCs/>
          <w:sz w:val="24"/>
          <w:szCs w:val="24"/>
        </w:rPr>
        <w:t>122</w:t>
      </w:r>
      <w:r w:rsidRPr="00C15F00">
        <w:rPr>
          <w:rFonts w:ascii="Times New Roman" w:hAnsi="Times New Roman" w:cs="Times New Roman"/>
          <w:sz w:val="24"/>
          <w:szCs w:val="24"/>
        </w:rPr>
        <w:t xml:space="preserve">, pp.889-901. </w:t>
      </w:r>
    </w:p>
    <w:p w14:paraId="4A731E4B" w14:textId="77777777" w:rsidR="00913EA9" w:rsidRDefault="00993056" w:rsidP="00913EA9">
      <w:pPr>
        <w:pStyle w:val="NormalWeb"/>
        <w:spacing w:before="0" w:beforeAutospacing="0" w:after="240" w:afterAutospacing="0"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Von Hippel, E., (1988) The sources of innovation. Oxford University Press, NY </w:t>
      </w:r>
    </w:p>
    <w:p w14:paraId="729F79C8" w14:textId="023F1E1E" w:rsidR="00993056" w:rsidRPr="00DD0F31" w:rsidRDefault="00993056" w:rsidP="00913EA9">
      <w:pPr>
        <w:pStyle w:val="NormalWeb"/>
        <w:spacing w:before="0" w:beforeAutospacing="0" w:after="240" w:afterAutospacing="0"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Von Tunzelmann N. (2009)</w:t>
      </w:r>
      <w:r w:rsidR="000D166D">
        <w:rPr>
          <w:rFonts w:ascii="Times New Roman" w:hAnsi="Times New Roman" w:cs="Times New Roman"/>
          <w:sz w:val="24"/>
          <w:szCs w:val="24"/>
          <w:lang w:val="en-US"/>
        </w:rPr>
        <w:t>.</w:t>
      </w:r>
      <w:r w:rsidRPr="00DD0F31">
        <w:rPr>
          <w:rFonts w:ascii="Times New Roman" w:hAnsi="Times New Roman" w:cs="Times New Roman"/>
          <w:sz w:val="24"/>
          <w:szCs w:val="24"/>
          <w:lang w:val="en-US"/>
        </w:rPr>
        <w:t xml:space="preserve"> Competencies and capabilities: a reassessment, </w:t>
      </w:r>
      <w:r w:rsidRPr="00DD0F31">
        <w:rPr>
          <w:rFonts w:ascii="Times New Roman" w:hAnsi="Times New Roman" w:cs="Times New Roman"/>
          <w:i/>
          <w:iCs/>
          <w:sz w:val="24"/>
          <w:szCs w:val="24"/>
          <w:lang w:val="en-US"/>
        </w:rPr>
        <w:t>Economia Politica</w:t>
      </w:r>
      <w:r w:rsidRPr="00DD0F31">
        <w:rPr>
          <w:rFonts w:ascii="Times New Roman" w:hAnsi="Times New Roman" w:cs="Times New Roman"/>
          <w:sz w:val="24"/>
          <w:szCs w:val="24"/>
          <w:lang w:val="en-US"/>
        </w:rPr>
        <w:t xml:space="preserve"> 3, 435–464.</w:t>
      </w:r>
    </w:p>
    <w:p w14:paraId="6B0FE278"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Voss, G. B., &amp; Voss, Z. G. (2013). Strategic ambidexterity in small and medium-sized enterprises: Implementing exploration and exploitation in product and market domains. </w:t>
      </w:r>
      <w:r w:rsidRPr="00DD0F31">
        <w:rPr>
          <w:rFonts w:ascii="Times New Roman" w:hAnsi="Times New Roman" w:cs="Times New Roman"/>
          <w:i/>
          <w:iCs/>
          <w:sz w:val="24"/>
          <w:szCs w:val="24"/>
          <w:lang w:val="en-US"/>
        </w:rPr>
        <w:t>Organization Science</w:t>
      </w:r>
      <w:r w:rsidRPr="00DD0F31">
        <w:rPr>
          <w:rFonts w:ascii="Times New Roman" w:hAnsi="Times New Roman" w:cs="Times New Roman"/>
          <w:sz w:val="24"/>
          <w:szCs w:val="24"/>
          <w:lang w:val="en-US"/>
        </w:rPr>
        <w:t>, 24(5), 1459-1477.</w:t>
      </w:r>
    </w:p>
    <w:p w14:paraId="5B6FF653"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Winter, S.G., (2003). Understanding dynamic capabilities. </w:t>
      </w:r>
      <w:r w:rsidRPr="00DD0F31">
        <w:rPr>
          <w:rFonts w:ascii="Times New Roman" w:hAnsi="Times New Roman" w:cs="Times New Roman"/>
          <w:i/>
          <w:iCs/>
          <w:sz w:val="24"/>
          <w:szCs w:val="24"/>
          <w:lang w:val="en-US"/>
        </w:rPr>
        <w:t>Strategic</w:t>
      </w:r>
      <w:r w:rsidRPr="00DD0F31">
        <w:rPr>
          <w:rFonts w:ascii="Times New Roman" w:hAnsi="Times New Roman" w:cs="Times New Roman"/>
          <w:i/>
          <w:sz w:val="24"/>
          <w:szCs w:val="24"/>
          <w:lang w:val="en-US"/>
        </w:rPr>
        <w:t xml:space="preserve"> </w:t>
      </w:r>
      <w:r w:rsidRPr="00DD0F31">
        <w:rPr>
          <w:rFonts w:ascii="Times New Roman" w:hAnsi="Times New Roman" w:cs="Times New Roman"/>
          <w:i/>
          <w:iCs/>
          <w:sz w:val="24"/>
          <w:szCs w:val="24"/>
          <w:lang w:val="en-US"/>
        </w:rPr>
        <w:t>Management Journal</w:t>
      </w:r>
      <w:r w:rsidRPr="00DD0F31">
        <w:rPr>
          <w:rFonts w:ascii="Times New Roman" w:hAnsi="Times New Roman" w:cs="Times New Roman"/>
          <w:sz w:val="24"/>
          <w:szCs w:val="24"/>
          <w:lang w:val="en-US"/>
        </w:rPr>
        <w:t>, 24(10), pp.991-995</w:t>
      </w:r>
    </w:p>
    <w:p w14:paraId="349E6BD7" w14:textId="373401DE" w:rsidR="00993056" w:rsidRPr="00DD0F31" w:rsidRDefault="00993056" w:rsidP="00DD0F31">
      <w:pPr>
        <w:pStyle w:val="NormalWeb"/>
        <w:spacing w:before="0" w:beforeAutospacing="0" w:after="240" w:afterAutospacing="0"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Wynarczyk</w:t>
      </w:r>
      <w:r w:rsidR="000D166D">
        <w:rPr>
          <w:rFonts w:ascii="Times New Roman" w:hAnsi="Times New Roman" w:cs="Times New Roman"/>
          <w:sz w:val="24"/>
          <w:szCs w:val="24"/>
          <w:lang w:val="en-US"/>
        </w:rPr>
        <w:t>,</w:t>
      </w:r>
      <w:r w:rsidRPr="00DD0F31">
        <w:rPr>
          <w:rFonts w:ascii="Times New Roman" w:hAnsi="Times New Roman" w:cs="Times New Roman"/>
          <w:sz w:val="24"/>
          <w:szCs w:val="24"/>
          <w:lang w:val="en-US"/>
        </w:rPr>
        <w:t xml:space="preserve"> P, Piperopoulos P and McAdam M (2013) Open innovation in small and medium-sized enterprises: An overview. </w:t>
      </w:r>
      <w:r w:rsidRPr="00DD0F31">
        <w:rPr>
          <w:rFonts w:ascii="Times New Roman" w:hAnsi="Times New Roman" w:cs="Times New Roman"/>
          <w:i/>
          <w:sz w:val="24"/>
          <w:szCs w:val="24"/>
          <w:lang w:val="en-US"/>
        </w:rPr>
        <w:t>International Small Business Journal: Researching Entrepreneurship</w:t>
      </w:r>
      <w:r w:rsidRPr="00DD0F31">
        <w:rPr>
          <w:rFonts w:ascii="Times New Roman" w:hAnsi="Times New Roman" w:cs="Times New Roman"/>
          <w:sz w:val="24"/>
          <w:szCs w:val="24"/>
          <w:lang w:val="en-US"/>
        </w:rPr>
        <w:t xml:space="preserve"> 31(3): 240–255. DOI: https://doi.org/10.1177/0266242612472214.</w:t>
      </w:r>
    </w:p>
    <w:p w14:paraId="3C9BDD77"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lastRenderedPageBreak/>
        <w:t xml:space="preserve">Wu, J., &amp; Shanley, M. T. (2009). Knowledge stock, exploration, and innovation: Research on the United States electromedical device industry. </w:t>
      </w:r>
      <w:r w:rsidRPr="00DD0F31">
        <w:rPr>
          <w:rFonts w:ascii="Times New Roman" w:hAnsi="Times New Roman" w:cs="Times New Roman"/>
          <w:i/>
          <w:iCs/>
          <w:sz w:val="24"/>
          <w:szCs w:val="24"/>
          <w:lang w:val="en-US"/>
        </w:rPr>
        <w:t>Journal of Business Research</w:t>
      </w:r>
      <w:r w:rsidRPr="00DD0F31">
        <w:rPr>
          <w:rFonts w:ascii="Times New Roman" w:hAnsi="Times New Roman" w:cs="Times New Roman"/>
          <w:sz w:val="24"/>
          <w:szCs w:val="24"/>
          <w:lang w:val="en-US"/>
        </w:rPr>
        <w:t>, 62(4), 474-483.</w:t>
      </w:r>
    </w:p>
    <w:p w14:paraId="428BE736"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Yu, S. H. (2013). Social capital, absorptive capability, and firm innovation. </w:t>
      </w:r>
      <w:r w:rsidRPr="00DD0F31">
        <w:rPr>
          <w:rFonts w:ascii="Times New Roman" w:hAnsi="Times New Roman" w:cs="Times New Roman"/>
          <w:i/>
          <w:iCs/>
          <w:sz w:val="24"/>
          <w:szCs w:val="24"/>
          <w:lang w:val="en-US"/>
        </w:rPr>
        <w:t>Technological Forecasting and Social Change</w:t>
      </w:r>
      <w:r w:rsidRPr="00DD0F31">
        <w:rPr>
          <w:rFonts w:ascii="Times New Roman" w:hAnsi="Times New Roman" w:cs="Times New Roman"/>
          <w:sz w:val="24"/>
          <w:szCs w:val="24"/>
          <w:lang w:val="en-US"/>
        </w:rPr>
        <w:t>, 80(7), 1261-1270.</w:t>
      </w:r>
    </w:p>
    <w:p w14:paraId="0C31D950"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Zahra, S. A., &amp; George, G. (2002). The net-enabled business innovation cycle and the evolution of dynamic capabilities. </w:t>
      </w:r>
      <w:r w:rsidRPr="00DD0F31">
        <w:rPr>
          <w:rFonts w:ascii="Times New Roman" w:hAnsi="Times New Roman" w:cs="Times New Roman"/>
          <w:i/>
          <w:iCs/>
          <w:sz w:val="24"/>
          <w:szCs w:val="24"/>
          <w:lang w:val="en-US"/>
        </w:rPr>
        <w:t>Information Systems Research</w:t>
      </w:r>
      <w:r w:rsidRPr="00DD0F31">
        <w:rPr>
          <w:rFonts w:ascii="Times New Roman" w:hAnsi="Times New Roman" w:cs="Times New Roman"/>
          <w:sz w:val="24"/>
          <w:szCs w:val="24"/>
          <w:lang w:val="en-US"/>
        </w:rPr>
        <w:t xml:space="preserve">, 13(2), 147-150. </w:t>
      </w:r>
    </w:p>
    <w:p w14:paraId="6F6A8B9B" w14:textId="77777777" w:rsidR="00993056" w:rsidRPr="00DD0F31" w:rsidRDefault="00993056" w:rsidP="00DD0F31">
      <w:pPr>
        <w:spacing w:line="480" w:lineRule="auto"/>
        <w:ind w:left="567" w:hanging="454"/>
        <w:jc w:val="both"/>
        <w:rPr>
          <w:rFonts w:ascii="Times New Roman" w:hAnsi="Times New Roman" w:cs="Times New Roman"/>
          <w:sz w:val="24"/>
          <w:szCs w:val="24"/>
          <w:lang w:val="en-US"/>
        </w:rPr>
      </w:pPr>
      <w:r w:rsidRPr="00DD0F31">
        <w:rPr>
          <w:rFonts w:ascii="Times New Roman" w:hAnsi="Times New Roman" w:cs="Times New Roman"/>
          <w:sz w:val="24"/>
          <w:szCs w:val="24"/>
          <w:lang w:val="en-US"/>
        </w:rPr>
        <w:t xml:space="preserve">Zoia, M.G. Barbieri, L. Cortelezzi, F. Marseguerra, G. (2018). The Determinants of Italian Firms' Technological Competencies and Capabilities. </w:t>
      </w:r>
      <w:r w:rsidRPr="00DD0F31">
        <w:rPr>
          <w:rFonts w:ascii="Times New Roman" w:hAnsi="Times New Roman" w:cs="Times New Roman"/>
          <w:i/>
          <w:iCs/>
          <w:sz w:val="24"/>
          <w:szCs w:val="24"/>
          <w:lang w:val="en-US"/>
        </w:rPr>
        <w:t>Eurasian Business Review</w:t>
      </w:r>
      <w:r w:rsidRPr="00DD0F31">
        <w:rPr>
          <w:rFonts w:ascii="Times New Roman" w:hAnsi="Times New Roman" w:cs="Times New Roman"/>
          <w:sz w:val="24"/>
          <w:szCs w:val="24"/>
          <w:lang w:val="en-US"/>
        </w:rPr>
        <w:t>, 8(4), 453-476</w:t>
      </w:r>
    </w:p>
    <w:p w14:paraId="657AA654" w14:textId="77777777" w:rsidR="00993056" w:rsidRPr="00DD0F31" w:rsidRDefault="00993056" w:rsidP="00DD0F31">
      <w:pPr>
        <w:spacing w:line="480" w:lineRule="auto"/>
        <w:ind w:left="567" w:hanging="454"/>
        <w:jc w:val="both"/>
        <w:rPr>
          <w:rFonts w:ascii="Times New Roman" w:eastAsia="Times New Roman" w:hAnsi="Times New Roman" w:cs="Times New Roman"/>
          <w:sz w:val="24"/>
          <w:szCs w:val="24"/>
          <w:lang w:val="en-US"/>
        </w:rPr>
      </w:pPr>
      <w:r w:rsidRPr="00DD0F31">
        <w:rPr>
          <w:rFonts w:ascii="Times New Roman" w:hAnsi="Times New Roman" w:cs="Times New Roman"/>
          <w:sz w:val="24"/>
          <w:szCs w:val="24"/>
          <w:lang w:val="en-US"/>
        </w:rPr>
        <w:t>Zuboff, S. (2015). Big other: surveillance capitalism and the prospects of an information civilization. </w:t>
      </w:r>
      <w:r w:rsidRPr="00DD0F31">
        <w:rPr>
          <w:rFonts w:ascii="Times New Roman" w:hAnsi="Times New Roman" w:cs="Times New Roman"/>
          <w:i/>
          <w:iCs/>
          <w:sz w:val="24"/>
          <w:szCs w:val="24"/>
          <w:lang w:val="en-US"/>
        </w:rPr>
        <w:t>Journal of Information Technology</w:t>
      </w:r>
      <w:r w:rsidRPr="00DD0F31">
        <w:rPr>
          <w:rFonts w:ascii="Times New Roman" w:hAnsi="Times New Roman" w:cs="Times New Roman"/>
          <w:sz w:val="24"/>
          <w:szCs w:val="24"/>
          <w:lang w:val="en-US"/>
        </w:rPr>
        <w:t>, 30(1), 75-89.</w:t>
      </w:r>
    </w:p>
    <w:p w14:paraId="0CC4A372" w14:textId="77777777" w:rsidR="003825BB" w:rsidRDefault="003825BB" w:rsidP="00F32B3C">
      <w:pPr>
        <w:rPr>
          <w:rFonts w:eastAsia="Times New Roman"/>
        </w:rPr>
      </w:pPr>
    </w:p>
    <w:p w14:paraId="3303A1A0" w14:textId="77777777" w:rsidR="003825BB" w:rsidRDefault="003825BB" w:rsidP="00F32B3C">
      <w:pPr>
        <w:rPr>
          <w:rFonts w:eastAsia="Times New Roman"/>
        </w:rPr>
      </w:pPr>
    </w:p>
    <w:p w14:paraId="1FCD532C" w14:textId="77777777" w:rsidR="006F2E7D" w:rsidRPr="00F32B3C" w:rsidRDefault="006F2E7D" w:rsidP="00F32B3C"/>
    <w:sectPr w:rsidR="006F2E7D" w:rsidRPr="00F32B3C">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990848" w14:textId="77777777" w:rsidR="004D1C88" w:rsidRDefault="004D1C88" w:rsidP="00E60C7E">
      <w:r>
        <w:separator/>
      </w:r>
    </w:p>
  </w:endnote>
  <w:endnote w:type="continuationSeparator" w:id="0">
    <w:p w14:paraId="6BCE2A06" w14:textId="77777777" w:rsidR="004D1C88" w:rsidRDefault="004D1C88" w:rsidP="00E60C7E">
      <w:r>
        <w:continuationSeparator/>
      </w:r>
    </w:p>
  </w:endnote>
  <w:endnote w:type="continuationNotice" w:id="1">
    <w:p w14:paraId="2AD49B53" w14:textId="77777777" w:rsidR="004D1C88" w:rsidRDefault="004D1C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0FBF21" w14:textId="77777777" w:rsidR="004D1C88" w:rsidRDefault="004D1C88" w:rsidP="00E60C7E">
      <w:r>
        <w:separator/>
      </w:r>
    </w:p>
  </w:footnote>
  <w:footnote w:type="continuationSeparator" w:id="0">
    <w:p w14:paraId="5BF1BA86" w14:textId="77777777" w:rsidR="004D1C88" w:rsidRDefault="004D1C88" w:rsidP="00E60C7E">
      <w:r>
        <w:continuationSeparator/>
      </w:r>
    </w:p>
  </w:footnote>
  <w:footnote w:type="continuationNotice" w:id="1">
    <w:p w14:paraId="494E400B" w14:textId="77777777" w:rsidR="004D1C88" w:rsidRDefault="004D1C88"/>
  </w:footnote>
  <w:footnote w:id="2">
    <w:p w14:paraId="06DC1B9C" w14:textId="77777777" w:rsidR="00A36FE8" w:rsidRPr="00362926" w:rsidRDefault="00A36FE8" w:rsidP="00A36FE8">
      <w:pPr>
        <w:pStyle w:val="FootnoteText"/>
        <w:spacing w:line="360" w:lineRule="auto"/>
        <w:rPr>
          <w:rFonts w:ascii="Times New Roman" w:hAnsi="Times New Roman" w:cs="Times New Roman"/>
          <w:sz w:val="24"/>
          <w:szCs w:val="24"/>
          <w:lang w:val="en-US"/>
        </w:rPr>
      </w:pPr>
      <w:r>
        <w:rPr>
          <w:rStyle w:val="FootnoteReference"/>
        </w:rPr>
        <w:footnoteRef/>
      </w:r>
      <w:r w:rsidRPr="00362926">
        <w:rPr>
          <w:rFonts w:ascii="Times New Roman" w:hAnsi="Times New Roman" w:cs="Times New Roman"/>
          <w:sz w:val="24"/>
          <w:szCs w:val="24"/>
          <w:lang w:val="en-US"/>
        </w:rPr>
        <w:t xml:space="preserve">The equation for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w:rPr>
                <w:rFonts w:ascii="Cambria Math" w:hAnsi="Cambria Math" w:cs="Times New Roman"/>
                <w:sz w:val="24"/>
                <w:szCs w:val="24"/>
                <w:lang w:val="en-US"/>
              </w:rPr>
              <m:t>2i</m:t>
            </m:r>
          </m:sub>
        </m:sSub>
        <m:r>
          <m:rPr>
            <m:sty m:val="p"/>
          </m:rPr>
          <w:rPr>
            <w:rFonts w:ascii="Cambria Math" w:hAnsi="Cambria Math" w:cs="Times New Roman"/>
            <w:sz w:val="24"/>
            <w:szCs w:val="24"/>
            <w:lang w:val="en-US"/>
          </w:rPr>
          <m:t xml:space="preserve"> </m:t>
        </m:r>
      </m:oMath>
      <w:r w:rsidRPr="00362926">
        <w:rPr>
          <w:rFonts w:ascii="Times New Roman" w:hAnsi="Times New Roman" w:cs="Times New Roman"/>
          <w:sz w:val="24"/>
          <w:szCs w:val="24"/>
          <w:lang w:val="en-US"/>
        </w:rPr>
        <w:t xml:space="preserve"> is written in a reduced form. The assumption is that the two error terms for the Equations (1) and (2) are multivariate normally distributed, with mean zero, and Variance Covariance matrix </w:t>
      </w:r>
      <m:oMath>
        <m:r>
          <m:rPr>
            <m:sty m:val="p"/>
          </m:rPr>
          <w:rPr>
            <w:rFonts w:ascii="Cambria Math" w:hAnsi="Cambria Math" w:cs="Times New Roman"/>
            <w:sz w:val="24"/>
            <w:szCs w:val="24"/>
            <w:lang w:val="en-US"/>
          </w:rPr>
          <m:t>Σ</m:t>
        </m:r>
      </m:oMath>
      <w:r w:rsidRPr="00362926">
        <w:rPr>
          <w:rFonts w:ascii="Times New Roman" w:hAnsi="Times New Roman" w:cs="Times New Roman"/>
          <w:sz w:val="24"/>
          <w:szCs w:val="24"/>
          <w:lang w:val="en-US"/>
        </w:rPr>
        <w:t xml:space="preserve"> :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μ</m:t>
            </m:r>
          </m:e>
          <m:sub>
            <m:r>
              <w:rPr>
                <w:rFonts w:ascii="Cambria Math" w:hAnsi="Cambria Math" w:cs="Times New Roman"/>
                <w:sz w:val="24"/>
                <w:szCs w:val="24"/>
                <w:lang w:val="en-US"/>
              </w:rPr>
              <m:t>i</m:t>
            </m:r>
          </m:sub>
        </m:sSub>
      </m:oMath>
      <w:r w:rsidRPr="00362926">
        <w:rPr>
          <w:rFonts w:ascii="Times New Roman" w:hAnsi="Times New Roman" w:cs="Times New Roman"/>
          <w:sz w:val="24"/>
          <w:szCs w:val="24"/>
          <w:lang w:val="en-US"/>
        </w:rPr>
        <w:t>,</w:t>
      </w:r>
      <w:r w:rsidRPr="00362926">
        <w:rPr>
          <w:rFonts w:ascii="Times New Roman" w:hAnsi="Times New Roman" w:cs="Times New Roman"/>
          <w:i/>
          <w:sz w:val="24"/>
          <w:szCs w:val="24"/>
          <w:lang w:val="en-US"/>
        </w:rPr>
        <w:t xml:space="preserv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ν</m:t>
            </m:r>
          </m:e>
          <m:sub>
            <m:r>
              <w:rPr>
                <w:rFonts w:ascii="Cambria Math" w:hAnsi="Cambria Math" w:cs="Times New Roman"/>
                <w:sz w:val="24"/>
                <w:szCs w:val="24"/>
                <w:lang w:val="en-US"/>
              </w:rPr>
              <m:t>i</m:t>
            </m:r>
          </m:sub>
        </m:sSub>
        <m:r>
          <w:rPr>
            <w:rFonts w:ascii="Cambria Math" w:hAnsi="Cambria Math" w:cs="Times New Roman"/>
            <w:sz w:val="24"/>
            <w:szCs w:val="24"/>
            <w:lang w:val="en-US"/>
          </w:rPr>
          <m:t>)~N</m:t>
        </m:r>
        <m:d>
          <m:dPr>
            <m:ctrlPr>
              <w:rPr>
                <w:rFonts w:ascii="Cambria Math" w:hAnsi="Cambria Math" w:cs="Times New Roman"/>
                <w:i/>
                <w:sz w:val="24"/>
                <w:szCs w:val="24"/>
                <w:lang w:val="en-US"/>
              </w:rPr>
            </m:ctrlPr>
          </m:dPr>
          <m:e>
            <m:r>
              <w:rPr>
                <w:rFonts w:ascii="Cambria Math" w:hAnsi="Cambria Math" w:cs="Times New Roman"/>
                <w:sz w:val="24"/>
                <w:szCs w:val="24"/>
                <w:lang w:val="en-US"/>
              </w:rPr>
              <m:t xml:space="preserve">0, </m:t>
            </m:r>
            <m:r>
              <m:rPr>
                <m:sty m:val="p"/>
              </m:rPr>
              <w:rPr>
                <w:rFonts w:ascii="Cambria Math" w:hAnsi="Cambria Math" w:cs="Times New Roman"/>
                <w:sz w:val="24"/>
                <w:szCs w:val="24"/>
                <w:lang w:val="en-US"/>
              </w:rPr>
              <m:t>Σ</m:t>
            </m:r>
          </m:e>
        </m:d>
        <m:r>
          <w:rPr>
            <w:rFonts w:ascii="Cambria Math" w:hAnsi="Cambria Math" w:cs="Times New Roman"/>
            <w:sz w:val="24"/>
            <w:szCs w:val="24"/>
            <w:lang w:val="en-US"/>
          </w:rPr>
          <m:t>,</m:t>
        </m:r>
      </m:oMath>
      <w:r w:rsidRPr="00362926">
        <w:rPr>
          <w:rFonts w:ascii="Times New Roman" w:hAnsi="Times New Roman" w:cs="Times New Roman"/>
          <w:i/>
          <w:sz w:val="24"/>
          <w:szCs w:val="24"/>
          <w:lang w:val="en-US"/>
        </w:rPr>
        <w:t xml:space="preserve"> </w:t>
      </w:r>
      <w:r w:rsidRPr="00362926">
        <w:rPr>
          <w:rFonts w:ascii="Times New Roman" w:hAnsi="Times New Roman" w:cs="Times New Roman"/>
          <w:sz w:val="24"/>
          <w:szCs w:val="24"/>
          <w:lang w:val="en-US"/>
        </w:rPr>
        <w:t xml:space="preserve">where the variance of the first term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σ</m:t>
            </m:r>
          </m:e>
          <m:sub>
            <m:r>
              <w:rPr>
                <w:rFonts w:ascii="Cambria Math" w:hAnsi="Cambria Math" w:cs="Times New Roman"/>
                <w:sz w:val="24"/>
                <w:szCs w:val="24"/>
                <w:lang w:val="en-US"/>
              </w:rPr>
              <m:t>11</m:t>
            </m:r>
          </m:sub>
        </m:sSub>
      </m:oMath>
      <w:r w:rsidRPr="00362926">
        <w:rPr>
          <w:rFonts w:ascii="Times New Roman" w:hAnsi="Times New Roman" w:cs="Times New Roman"/>
          <w:sz w:val="24"/>
          <w:szCs w:val="24"/>
          <w:lang w:val="en-US"/>
        </w:rPr>
        <w:t xml:space="preserve"> is normalised to one to identify the model.</w:t>
      </w:r>
    </w:p>
  </w:footnote>
  <w:footnote w:id="3">
    <w:p w14:paraId="451BE16D" w14:textId="77777777" w:rsidR="00A36FE8" w:rsidRPr="00362926" w:rsidRDefault="00A36FE8" w:rsidP="00A36FE8">
      <w:pPr>
        <w:spacing w:line="360" w:lineRule="auto"/>
        <w:jc w:val="both"/>
        <w:rPr>
          <w:rFonts w:ascii="Times New Roman" w:hAnsi="Times New Roman" w:cs="Times New Roman"/>
          <w:szCs w:val="24"/>
        </w:rPr>
      </w:pPr>
      <w:r w:rsidRPr="00362926">
        <w:rPr>
          <w:rStyle w:val="FootnoteReference"/>
          <w:rFonts w:ascii="Times New Roman" w:hAnsi="Times New Roman" w:cs="Times New Roman"/>
          <w:szCs w:val="24"/>
        </w:rPr>
        <w:footnoteRef/>
      </w:r>
      <w:r w:rsidRPr="00362926">
        <w:rPr>
          <w:rFonts w:ascii="Times New Roman" w:hAnsi="Times New Roman" w:cs="Times New Roman"/>
          <w:szCs w:val="24"/>
        </w:rPr>
        <w:t xml:space="preserve"> The order condition for identification of the structural parameters, </w:t>
      </w:r>
      <m:oMath>
        <m:r>
          <w:rPr>
            <w:rFonts w:ascii="Cambria Math" w:hAnsi="Cambria Math" w:cs="Times New Roman"/>
            <w:szCs w:val="24"/>
          </w:rPr>
          <m:t>β</m:t>
        </m:r>
      </m:oMath>
      <w:r w:rsidRPr="00362926">
        <w:rPr>
          <w:rFonts w:ascii="Times New Roman" w:hAnsi="Times New Roman" w:cs="Times New Roman"/>
          <w:szCs w:val="24"/>
        </w:rPr>
        <w:t xml:space="preserve"> and </w:t>
      </w:r>
      <m:oMath>
        <m:r>
          <w:rPr>
            <w:rFonts w:ascii="Cambria Math" w:hAnsi="Cambria Math" w:cs="Times New Roman"/>
            <w:szCs w:val="24"/>
          </w:rPr>
          <m:t>γ</m:t>
        </m:r>
      </m:oMath>
      <w:r w:rsidRPr="00362926">
        <w:rPr>
          <w:rFonts w:ascii="Times New Roman" w:hAnsi="Times New Roman" w:cs="Times New Roman"/>
          <w:szCs w:val="24"/>
        </w:rPr>
        <w:t xml:space="preserve">, requires that the number, </w:t>
      </w:r>
      <m:oMath>
        <m:sSub>
          <m:sSubPr>
            <m:ctrlPr>
              <w:rPr>
                <w:rFonts w:ascii="Cambria Math" w:hAnsi="Cambria Math" w:cs="Times New Roman"/>
                <w:i/>
                <w:szCs w:val="24"/>
              </w:rPr>
            </m:ctrlPr>
          </m:sSubPr>
          <m:e>
            <m:r>
              <w:rPr>
                <w:rFonts w:ascii="Cambria Math" w:hAnsi="Cambria Math" w:cs="Times New Roman"/>
                <w:szCs w:val="24"/>
              </w:rPr>
              <m:t>k</m:t>
            </m:r>
          </m:e>
          <m:sub>
            <m:r>
              <w:rPr>
                <w:rFonts w:ascii="Cambria Math" w:hAnsi="Cambria Math" w:cs="Times New Roman"/>
                <w:szCs w:val="24"/>
              </w:rPr>
              <m:t>2</m:t>
            </m:r>
          </m:sub>
        </m:sSub>
        <m:r>
          <w:rPr>
            <w:rFonts w:ascii="Cambria Math" w:hAnsi="Cambria Math" w:cs="Times New Roman"/>
            <w:szCs w:val="24"/>
          </w:rPr>
          <m:t xml:space="preserve">, </m:t>
        </m:r>
      </m:oMath>
      <w:r w:rsidRPr="00362926">
        <w:rPr>
          <w:rFonts w:ascii="Times New Roman" w:hAnsi="Times New Roman" w:cs="Times New Roman"/>
          <w:szCs w:val="24"/>
        </w:rPr>
        <w:t xml:space="preserve"> of instruments, </w:t>
      </w:r>
      <m:oMath>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2i</m:t>
            </m:r>
          </m:sub>
        </m:sSub>
      </m:oMath>
      <w:r w:rsidRPr="00362926">
        <w:rPr>
          <w:rFonts w:ascii="Times New Roman" w:hAnsi="Times New Roman" w:cs="Times New Roman"/>
          <w:szCs w:val="24"/>
        </w:rPr>
        <w:t xml:space="preserve">, be higher than the number, </w:t>
      </w:r>
      <m:oMath>
        <m:r>
          <w:rPr>
            <w:rFonts w:ascii="Cambria Math" w:hAnsi="Cambria Math" w:cs="Times New Roman"/>
            <w:szCs w:val="24"/>
          </w:rPr>
          <m:t>p,</m:t>
        </m:r>
      </m:oMath>
      <w:r w:rsidRPr="00362926">
        <w:rPr>
          <w:rFonts w:ascii="Times New Roman" w:hAnsi="Times New Roman" w:cs="Times New Roman"/>
          <w:szCs w:val="24"/>
        </w:rPr>
        <w:t xml:space="preserve"> of endogenous variables, </w:t>
      </w:r>
      <m:oMath>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2i</m:t>
            </m:r>
          </m:sub>
        </m:sSub>
        <m:r>
          <w:rPr>
            <w:rFonts w:ascii="Cambria Math" w:hAnsi="Cambria Math" w:cs="Times New Roman"/>
            <w:szCs w:val="24"/>
          </w:rPr>
          <m:t>,</m:t>
        </m:r>
      </m:oMath>
      <w:r w:rsidRPr="00362926">
        <w:rPr>
          <w:rFonts w:ascii="Times New Roman" w:hAnsi="Times New Roman"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k</m:t>
            </m:r>
          </m:e>
          <m:sub>
            <m:r>
              <w:rPr>
                <w:rFonts w:ascii="Cambria Math" w:hAnsi="Cambria Math" w:cs="Times New Roman"/>
                <w:szCs w:val="24"/>
              </w:rPr>
              <m:t>2</m:t>
            </m:r>
          </m:sub>
        </m:sSub>
        <m:r>
          <w:rPr>
            <w:rFonts w:ascii="Cambria Math" w:hAnsi="Cambria Math" w:cs="Times New Roman"/>
            <w:szCs w:val="24"/>
          </w:rPr>
          <m:t>≥p</m:t>
        </m:r>
      </m:oMath>
      <w:r w:rsidRPr="00362926">
        <w:rPr>
          <w:rFonts w:ascii="Times New Roman" w:eastAsiaTheme="minorEastAsia" w:hAnsi="Times New Roman" w:cs="Times New Roman"/>
          <w:szCs w:val="24"/>
        </w:rPr>
        <w:t>)</w:t>
      </w:r>
      <w:r w:rsidRPr="00362926">
        <w:rPr>
          <w:rFonts w:ascii="Times New Roman" w:hAnsi="Times New Roman" w:cs="Times New Roman"/>
          <w:szCs w:val="24"/>
        </w:rPr>
        <w:t xml:space="preserve">. The Variance and Covariance Matrix of the joint errors distribution, </w:t>
      </w:r>
      <m:oMath>
        <m:r>
          <m:rPr>
            <m:sty m:val="p"/>
          </m:rPr>
          <w:rPr>
            <w:rFonts w:ascii="Cambria Math" w:hAnsi="Cambria Math" w:cs="Times New Roman"/>
            <w:szCs w:val="24"/>
          </w:rPr>
          <m:t>Σ</m:t>
        </m:r>
      </m:oMath>
      <w:r w:rsidRPr="00362926">
        <w:rPr>
          <w:rFonts w:ascii="Times New Roman" w:hAnsi="Times New Roman" w:cs="Times New Roman"/>
          <w:szCs w:val="24"/>
        </w:rPr>
        <w:t xml:space="preserve">, is not expected to be block diagonal (between </w:t>
      </w:r>
      <m:oMath>
        <m:sSub>
          <m:sSubPr>
            <m:ctrlPr>
              <w:rPr>
                <w:rFonts w:ascii="Cambria Math" w:hAnsi="Cambria Math" w:cs="Times New Roman"/>
                <w:i/>
                <w:szCs w:val="24"/>
              </w:rPr>
            </m:ctrlPr>
          </m:sSubPr>
          <m:e>
            <m:r>
              <w:rPr>
                <w:rFonts w:ascii="Cambria Math" w:hAnsi="Cambria Math" w:cs="Times New Roman"/>
                <w:szCs w:val="24"/>
              </w:rPr>
              <m:t>μ</m:t>
            </m:r>
          </m:e>
          <m:sub>
            <m:r>
              <w:rPr>
                <w:rFonts w:ascii="Cambria Math" w:hAnsi="Cambria Math" w:cs="Times New Roman"/>
                <w:szCs w:val="24"/>
              </w:rPr>
              <m:t>i</m:t>
            </m:r>
          </m:sub>
        </m:sSub>
      </m:oMath>
      <w:r w:rsidRPr="00362926">
        <w:rPr>
          <w:rFonts w:ascii="Times New Roman" w:hAnsi="Times New Roman" w:cs="Times New Roman"/>
          <w:szCs w:val="24"/>
        </w:rPr>
        <w:t xml:space="preserve"> and</w:t>
      </w:r>
      <w:r w:rsidRPr="00362926">
        <w:rPr>
          <w:rFonts w:ascii="Times New Roman" w:hAnsi="Times New Roman" w:cs="Times New Roman"/>
          <w:i/>
          <w:szCs w:val="24"/>
        </w:rPr>
        <w:t xml:space="preserve"> </w:t>
      </w:r>
      <m:oMath>
        <m:sSub>
          <m:sSubPr>
            <m:ctrlPr>
              <w:rPr>
                <w:rFonts w:ascii="Cambria Math" w:hAnsi="Cambria Math" w:cs="Times New Roman"/>
                <w:i/>
                <w:szCs w:val="24"/>
              </w:rPr>
            </m:ctrlPr>
          </m:sSubPr>
          <m:e>
            <m:r>
              <w:rPr>
                <w:rFonts w:ascii="Cambria Math" w:hAnsi="Cambria Math" w:cs="Times New Roman"/>
                <w:szCs w:val="24"/>
              </w:rPr>
              <m:t>ν</m:t>
            </m:r>
          </m:e>
          <m:sub>
            <m:r>
              <w:rPr>
                <w:rFonts w:ascii="Cambria Math" w:hAnsi="Cambria Math" w:cs="Times New Roman"/>
                <w:szCs w:val="24"/>
              </w:rPr>
              <m:t>i</m:t>
            </m:r>
          </m:sub>
        </m:sSub>
        <m:r>
          <w:rPr>
            <w:rFonts w:ascii="Cambria Math" w:hAnsi="Cambria Math" w:cs="Times New Roman"/>
            <w:szCs w:val="24"/>
          </w:rPr>
          <m:t>)</m:t>
        </m:r>
      </m:oMath>
      <w:r w:rsidRPr="00362926">
        <w:rPr>
          <w:rFonts w:ascii="Times New Roman" w:hAnsi="Times New Roman" w:cs="Times New Roman"/>
          <w:szCs w:val="24"/>
        </w:rPr>
        <w:t xml:space="preserve">, otherwise, </w:t>
      </w:r>
      <m:oMath>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2i</m:t>
            </m:r>
          </m:sub>
        </m:sSub>
      </m:oMath>
      <w:r w:rsidRPr="00362926">
        <w:rPr>
          <w:rFonts w:ascii="Times New Roman" w:hAnsi="Times New Roman" w:cs="Times New Roman"/>
          <w:szCs w:val="24"/>
        </w:rPr>
        <w:t xml:space="preserve"> would not be endogenous as there would be no correlation between the endogenous variables and the error terms of the original first stage equations, i.e. there would be no omitted viable bias and no need to use IVPR.</w:t>
      </w:r>
    </w:p>
  </w:footnote>
  <w:footnote w:id="4">
    <w:p w14:paraId="769E6469" w14:textId="77777777" w:rsidR="0073331B" w:rsidRPr="00362926" w:rsidRDefault="0073331B" w:rsidP="0077267A">
      <w:pPr>
        <w:pStyle w:val="FootnoteText"/>
        <w:spacing w:line="360" w:lineRule="auto"/>
        <w:rPr>
          <w:rFonts w:ascii="Times New Roman" w:hAnsi="Times New Roman" w:cs="Times New Roman"/>
          <w:sz w:val="24"/>
          <w:szCs w:val="24"/>
        </w:rPr>
      </w:pPr>
      <w:r w:rsidRPr="00362926">
        <w:rPr>
          <w:rStyle w:val="FootnoteReference"/>
          <w:rFonts w:ascii="Times New Roman" w:hAnsi="Times New Roman" w:cs="Times New Roman"/>
          <w:sz w:val="24"/>
          <w:szCs w:val="24"/>
        </w:rPr>
        <w:footnoteRef/>
      </w:r>
      <w:r w:rsidRPr="00362926">
        <w:rPr>
          <w:rFonts w:ascii="Times New Roman" w:hAnsi="Times New Roman" w:cs="Times New Roman"/>
          <w:sz w:val="24"/>
          <w:szCs w:val="24"/>
        </w:rPr>
        <w:t xml:space="preserve"> </w:t>
      </w:r>
      <w:r>
        <w:rPr>
          <w:rFonts w:ascii="Times New Roman" w:hAnsi="Times New Roman" w:cs="Times New Roman"/>
          <w:i/>
          <w:iCs/>
          <w:sz w:val="24"/>
          <w:szCs w:val="24"/>
          <w:lang w:val="en-US"/>
        </w:rPr>
        <w:t>C</w:t>
      </w:r>
      <w:r w:rsidRPr="00362926">
        <w:rPr>
          <w:rFonts w:ascii="Times New Roman" w:hAnsi="Times New Roman" w:cs="Times New Roman"/>
          <w:i/>
          <w:iCs/>
          <w:sz w:val="24"/>
          <w:szCs w:val="24"/>
          <w:lang w:val="en-US"/>
        </w:rPr>
        <w:t>onstruction</w:t>
      </w:r>
      <w:r w:rsidRPr="00362926">
        <w:rPr>
          <w:rFonts w:ascii="Times New Roman" w:hAnsi="Times New Roman" w:cs="Times New Roman"/>
          <w:sz w:val="24"/>
          <w:szCs w:val="24"/>
          <w:lang w:val="en-US"/>
        </w:rPr>
        <w:t xml:space="preserve"> (</w:t>
      </w:r>
      <m:oMath>
        <m:r>
          <w:rPr>
            <w:rFonts w:ascii="Cambria Math" w:hAnsi="Cambria Math" w:cs="Times New Roman"/>
            <w:color w:val="000000" w:themeColor="text1"/>
            <w:sz w:val="24"/>
            <w:szCs w:val="24"/>
            <w:lang w:val="en-US"/>
          </w:rPr>
          <m:t xml:space="preserve">β </m:t>
        </m:r>
      </m:oMath>
      <w:r w:rsidRPr="00362926">
        <w:rPr>
          <w:rFonts w:ascii="Times New Roman" w:hAnsi="Times New Roman" w:cs="Times New Roman"/>
          <w:sz w:val="24"/>
          <w:szCs w:val="24"/>
          <w:lang w:val="en-US"/>
        </w:rPr>
        <w:t>= 1.</w:t>
      </w:r>
      <w:r>
        <w:rPr>
          <w:rFonts w:ascii="Times New Roman" w:hAnsi="Times New Roman" w:cs="Times New Roman"/>
          <w:sz w:val="24"/>
          <w:szCs w:val="24"/>
          <w:lang w:val="en-US"/>
        </w:rPr>
        <w:t>1</w:t>
      </w:r>
      <w:r w:rsidRPr="00362926">
        <w:rPr>
          <w:rFonts w:ascii="Times New Roman" w:hAnsi="Times New Roman" w:cs="Times New Roman"/>
          <w:sz w:val="24"/>
          <w:szCs w:val="24"/>
          <w:lang w:val="en-US"/>
        </w:rPr>
        <w:t>0</w:t>
      </w:r>
      <w:r>
        <w:rPr>
          <w:rFonts w:ascii="Times New Roman" w:hAnsi="Times New Roman" w:cs="Times New Roman"/>
          <w:sz w:val="24"/>
          <w:szCs w:val="24"/>
          <w:lang w:val="en-US"/>
        </w:rPr>
        <w:t>3</w:t>
      </w:r>
      <w:r w:rsidRPr="00362926">
        <w:rPr>
          <w:rFonts w:ascii="Times New Roman" w:hAnsi="Times New Roman" w:cs="Times New Roman"/>
          <w:sz w:val="24"/>
          <w:szCs w:val="24"/>
          <w:lang w:val="en-US"/>
        </w:rPr>
        <w:t>*)</w:t>
      </w:r>
      <w:r>
        <w:rPr>
          <w:rFonts w:ascii="Times New Roman" w:hAnsi="Times New Roman" w:cs="Times New Roman"/>
          <w:sz w:val="24"/>
          <w:szCs w:val="24"/>
          <w:lang w:val="en-US"/>
        </w:rPr>
        <w:t>;</w:t>
      </w:r>
      <w:r w:rsidRPr="00362926">
        <w:rPr>
          <w:rFonts w:ascii="Times New Roman" w:hAnsi="Times New Roman" w:cs="Times New Roman"/>
          <w:sz w:val="24"/>
          <w:szCs w:val="24"/>
          <w:lang w:val="en-US"/>
        </w:rPr>
        <w:t xml:space="preserve"> </w:t>
      </w:r>
      <w:r>
        <w:rPr>
          <w:rFonts w:ascii="Times New Roman" w:hAnsi="Times New Roman" w:cs="Times New Roman"/>
          <w:i/>
          <w:iCs/>
          <w:sz w:val="24"/>
          <w:szCs w:val="24"/>
          <w:lang w:val="en-US"/>
        </w:rPr>
        <w:t>C</w:t>
      </w:r>
      <w:r w:rsidRPr="00362926">
        <w:rPr>
          <w:rFonts w:ascii="Times New Roman" w:hAnsi="Times New Roman" w:cs="Times New Roman"/>
          <w:i/>
          <w:iCs/>
          <w:sz w:val="24"/>
          <w:szCs w:val="24"/>
          <w:lang w:val="en-US"/>
        </w:rPr>
        <w:t xml:space="preserve">ulture, sports and recreation </w:t>
      </w:r>
      <w:r w:rsidRPr="00362926">
        <w:rPr>
          <w:rFonts w:ascii="Times New Roman" w:hAnsi="Times New Roman" w:cs="Times New Roman"/>
          <w:sz w:val="24"/>
          <w:szCs w:val="24"/>
          <w:lang w:val="en-US"/>
        </w:rPr>
        <w:t>(</w:t>
      </w:r>
      <m:oMath>
        <m:r>
          <w:rPr>
            <w:rFonts w:ascii="Cambria Math" w:hAnsi="Cambria Math" w:cs="Times New Roman"/>
            <w:color w:val="000000" w:themeColor="text1"/>
            <w:sz w:val="24"/>
            <w:szCs w:val="24"/>
            <w:lang w:val="en-US"/>
          </w:rPr>
          <m:t xml:space="preserve">β </m:t>
        </m:r>
      </m:oMath>
      <w:r w:rsidRPr="00362926">
        <w:rPr>
          <w:rFonts w:ascii="Times New Roman" w:hAnsi="Times New Roman" w:cs="Times New Roman"/>
          <w:sz w:val="24"/>
          <w:szCs w:val="24"/>
          <w:lang w:val="en-US"/>
        </w:rPr>
        <w:t>= 0.</w:t>
      </w:r>
      <w:r>
        <w:rPr>
          <w:rFonts w:ascii="Times New Roman" w:hAnsi="Times New Roman" w:cs="Times New Roman"/>
          <w:sz w:val="24"/>
          <w:szCs w:val="24"/>
          <w:lang w:val="en-US"/>
        </w:rPr>
        <w:t>979</w:t>
      </w:r>
      <w:r w:rsidRPr="00362926">
        <w:rPr>
          <w:rFonts w:ascii="Times New Roman" w:hAnsi="Times New Roman" w:cs="Times New Roman"/>
          <w:sz w:val="24"/>
          <w:szCs w:val="24"/>
          <w:lang w:val="en-US"/>
        </w:rPr>
        <w:t>*)</w:t>
      </w:r>
      <w:r>
        <w:rPr>
          <w:rFonts w:ascii="Times New Roman" w:hAnsi="Times New Roman" w:cs="Times New Roman"/>
          <w:i/>
          <w:iCs/>
          <w:sz w:val="24"/>
          <w:szCs w:val="24"/>
          <w:lang w:val="en-US"/>
        </w:rPr>
        <w:t>;</w:t>
      </w:r>
      <w:r w:rsidRPr="00362926">
        <w:rPr>
          <w:rFonts w:ascii="Times New Roman" w:hAnsi="Times New Roman" w:cs="Times New Roman"/>
          <w:i/>
          <w:iCs/>
          <w:sz w:val="24"/>
          <w:szCs w:val="24"/>
          <w:lang w:val="en-US"/>
        </w:rPr>
        <w:t xml:space="preserve"> </w:t>
      </w:r>
      <w:r w:rsidRPr="00362926">
        <w:rPr>
          <w:rFonts w:ascii="Times New Roman" w:hAnsi="Times New Roman" w:cs="Times New Roman"/>
          <w:sz w:val="24"/>
          <w:szCs w:val="24"/>
          <w:lang w:val="en-US"/>
        </w:rPr>
        <w:t xml:space="preserve"> </w:t>
      </w:r>
      <w:r w:rsidRPr="00581DAA">
        <w:rPr>
          <w:rFonts w:ascii="Times New Roman" w:hAnsi="Times New Roman" w:cs="Times New Roman"/>
          <w:i/>
          <w:iCs/>
          <w:sz w:val="24"/>
          <w:szCs w:val="24"/>
          <w:lang w:val="en-US"/>
        </w:rPr>
        <w:t>Health and welfare services</w:t>
      </w:r>
      <w:r w:rsidRPr="00362926">
        <w:rPr>
          <w:rFonts w:ascii="Times New Roman" w:hAnsi="Times New Roman" w:cs="Times New Roman"/>
          <w:sz w:val="24"/>
          <w:szCs w:val="24"/>
          <w:lang w:val="en-US"/>
        </w:rPr>
        <w:t xml:space="preserve"> (</w:t>
      </w:r>
      <m:oMath>
        <m:r>
          <w:rPr>
            <w:rFonts w:ascii="Cambria Math" w:hAnsi="Cambria Math" w:cs="Times New Roman"/>
            <w:color w:val="000000" w:themeColor="text1"/>
            <w:sz w:val="24"/>
            <w:szCs w:val="24"/>
            <w:lang w:val="en-US"/>
          </w:rPr>
          <m:t xml:space="preserve">β </m:t>
        </m:r>
      </m:oMath>
      <w:r w:rsidRPr="00362926">
        <w:rPr>
          <w:rFonts w:ascii="Times New Roman" w:hAnsi="Times New Roman" w:cs="Times New Roman"/>
          <w:sz w:val="24"/>
          <w:szCs w:val="24"/>
          <w:lang w:val="en-US"/>
        </w:rPr>
        <w:t>= 1.</w:t>
      </w:r>
      <w:r>
        <w:rPr>
          <w:rFonts w:ascii="Times New Roman" w:hAnsi="Times New Roman" w:cs="Times New Roman"/>
          <w:sz w:val="24"/>
          <w:szCs w:val="24"/>
          <w:lang w:val="en-US"/>
        </w:rPr>
        <w:t>356</w:t>
      </w:r>
      <w:r w:rsidRPr="00362926">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581DAA">
        <w:rPr>
          <w:rFonts w:ascii="Times New Roman" w:hAnsi="Times New Roman" w:cs="Times New Roman"/>
          <w:i/>
          <w:iCs/>
          <w:sz w:val="24"/>
          <w:szCs w:val="24"/>
          <w:lang w:val="en-US"/>
        </w:rPr>
        <w:t>IT</w:t>
      </w:r>
      <w:r w:rsidRPr="00362926">
        <w:rPr>
          <w:rFonts w:ascii="Times New Roman" w:hAnsi="Times New Roman" w:cs="Times New Roman"/>
          <w:sz w:val="24"/>
          <w:szCs w:val="24"/>
          <w:lang w:val="en-US"/>
        </w:rPr>
        <w:t xml:space="preserve"> (</w:t>
      </w:r>
      <m:oMath>
        <m:r>
          <w:rPr>
            <w:rFonts w:ascii="Cambria Math" w:hAnsi="Cambria Math" w:cs="Times New Roman"/>
            <w:color w:val="000000" w:themeColor="text1"/>
            <w:sz w:val="24"/>
            <w:szCs w:val="24"/>
            <w:lang w:val="en-US"/>
          </w:rPr>
          <m:t xml:space="preserve">β </m:t>
        </m:r>
      </m:oMath>
      <w:r w:rsidRPr="00362926">
        <w:rPr>
          <w:rFonts w:ascii="Times New Roman" w:hAnsi="Times New Roman" w:cs="Times New Roman"/>
          <w:sz w:val="24"/>
          <w:szCs w:val="24"/>
          <w:lang w:val="en-US"/>
        </w:rPr>
        <w:t>= 1.</w:t>
      </w:r>
      <w:r>
        <w:rPr>
          <w:rFonts w:ascii="Times New Roman" w:hAnsi="Times New Roman" w:cs="Times New Roman"/>
          <w:sz w:val="24"/>
          <w:szCs w:val="24"/>
          <w:lang w:val="en-US"/>
        </w:rPr>
        <w:t>68</w:t>
      </w:r>
      <w:r w:rsidRPr="00362926">
        <w:rPr>
          <w:rFonts w:ascii="Times New Roman" w:hAnsi="Times New Roman" w:cs="Times New Roman"/>
          <w:sz w:val="24"/>
          <w:szCs w:val="24"/>
          <w:lang w:val="en-US"/>
        </w:rPr>
        <w:t>5**)</w:t>
      </w:r>
      <w:r>
        <w:rPr>
          <w:rFonts w:ascii="Times New Roman" w:hAnsi="Times New Roman" w:cs="Times New Roman"/>
          <w:sz w:val="24"/>
          <w:szCs w:val="24"/>
          <w:lang w:val="en-US"/>
        </w:rPr>
        <w:t xml:space="preserve">; </w:t>
      </w:r>
      <w:r>
        <w:rPr>
          <w:rFonts w:ascii="Times New Roman" w:hAnsi="Times New Roman" w:cs="Times New Roman"/>
          <w:i/>
          <w:iCs/>
          <w:sz w:val="24"/>
          <w:szCs w:val="24"/>
          <w:lang w:val="en-US"/>
        </w:rPr>
        <w:t>T</w:t>
      </w:r>
      <w:r w:rsidRPr="00362926">
        <w:rPr>
          <w:rFonts w:ascii="Times New Roman" w:hAnsi="Times New Roman" w:cs="Times New Roman"/>
          <w:i/>
          <w:iCs/>
          <w:sz w:val="24"/>
          <w:szCs w:val="24"/>
          <w:lang w:val="en-US"/>
        </w:rPr>
        <w:t>ransport and storage</w:t>
      </w:r>
      <w:r w:rsidRPr="00362926">
        <w:rPr>
          <w:rFonts w:ascii="Times New Roman" w:hAnsi="Times New Roman" w:cs="Times New Roman"/>
          <w:sz w:val="24"/>
          <w:szCs w:val="24"/>
          <w:lang w:val="en-US"/>
        </w:rPr>
        <w:t xml:space="preserve"> (</w:t>
      </w:r>
      <m:oMath>
        <m:r>
          <w:rPr>
            <w:rFonts w:ascii="Cambria Math" w:hAnsi="Cambria Math" w:cs="Times New Roman"/>
            <w:color w:val="000000" w:themeColor="text1"/>
            <w:sz w:val="24"/>
            <w:szCs w:val="24"/>
            <w:lang w:val="en-US"/>
          </w:rPr>
          <m:t xml:space="preserve">β </m:t>
        </m:r>
      </m:oMath>
      <w:r w:rsidRPr="00362926">
        <w:rPr>
          <w:rFonts w:ascii="Times New Roman" w:hAnsi="Times New Roman" w:cs="Times New Roman"/>
          <w:sz w:val="24"/>
          <w:szCs w:val="24"/>
          <w:lang w:val="en-US"/>
        </w:rPr>
        <w:t xml:space="preserve">= </w:t>
      </w:r>
      <w:r>
        <w:rPr>
          <w:rFonts w:ascii="Times New Roman" w:hAnsi="Times New Roman" w:cs="Times New Roman"/>
          <w:sz w:val="24"/>
          <w:szCs w:val="24"/>
          <w:lang w:val="en-US"/>
        </w:rPr>
        <w:t>1.078</w:t>
      </w:r>
      <w:r w:rsidRPr="00362926">
        <w:rPr>
          <w:rFonts w:ascii="Times New Roman" w:hAnsi="Times New Roman" w:cs="Times New Roman"/>
          <w:sz w:val="24"/>
          <w:szCs w:val="24"/>
          <w:lang w:val="en-US"/>
        </w:rPr>
        <w:t>*)</w:t>
      </w:r>
      <w:r w:rsidRPr="00362926">
        <w:rPr>
          <w:rFonts w:ascii="Times New Roman" w:hAnsi="Times New Roman" w:cs="Times New Roman"/>
          <w:i/>
          <w:sz w:val="24"/>
          <w:szCs w:val="24"/>
          <w:lang w:val="en-US"/>
        </w:rPr>
        <w:t xml:space="preserve"> </w:t>
      </w:r>
      <w:r w:rsidRPr="00362926">
        <w:rPr>
          <w:rFonts w:ascii="Times New Roman" w:hAnsi="Times New Roman" w:cs="Times New Roman"/>
          <w:sz w:val="24"/>
          <w:szCs w:val="24"/>
          <w:lang w:val="en-US"/>
        </w:rPr>
        <w:t>and</w:t>
      </w:r>
      <w:r>
        <w:rPr>
          <w:rFonts w:ascii="Times New Roman" w:hAnsi="Times New Roman" w:cs="Times New Roman"/>
          <w:sz w:val="24"/>
          <w:szCs w:val="24"/>
          <w:lang w:val="en-US"/>
        </w:rPr>
        <w:t xml:space="preserve"> </w:t>
      </w:r>
      <w:r w:rsidRPr="00362926">
        <w:rPr>
          <w:rFonts w:ascii="Times New Roman" w:hAnsi="Times New Roman" w:cs="Times New Roman"/>
          <w:sz w:val="24"/>
          <w:szCs w:val="24"/>
          <w:lang w:val="en-US"/>
        </w:rPr>
        <w:t xml:space="preserve"> </w:t>
      </w:r>
      <w:r>
        <w:rPr>
          <w:rFonts w:ascii="Times New Roman" w:hAnsi="Times New Roman" w:cs="Times New Roman"/>
          <w:i/>
          <w:iCs/>
          <w:sz w:val="24"/>
          <w:szCs w:val="24"/>
          <w:lang w:val="en-US"/>
        </w:rPr>
        <w:t>W</w:t>
      </w:r>
      <w:r w:rsidRPr="00362926">
        <w:rPr>
          <w:rFonts w:ascii="Times New Roman" w:hAnsi="Times New Roman" w:cs="Times New Roman"/>
          <w:i/>
          <w:iCs/>
          <w:sz w:val="24"/>
          <w:szCs w:val="24"/>
          <w:lang w:val="en-US"/>
        </w:rPr>
        <w:t>holesale and retail</w:t>
      </w:r>
      <w:r w:rsidRPr="00362926">
        <w:rPr>
          <w:rFonts w:ascii="Times New Roman" w:hAnsi="Times New Roman" w:cs="Times New Roman"/>
          <w:sz w:val="24"/>
          <w:szCs w:val="24"/>
          <w:lang w:val="en-US"/>
        </w:rPr>
        <w:t xml:space="preserve"> (</w:t>
      </w:r>
      <m:oMath>
        <m:r>
          <w:rPr>
            <w:rFonts w:ascii="Cambria Math" w:hAnsi="Cambria Math" w:cs="Times New Roman"/>
            <w:color w:val="000000" w:themeColor="text1"/>
            <w:sz w:val="24"/>
            <w:szCs w:val="24"/>
            <w:lang w:val="en-US"/>
          </w:rPr>
          <m:t xml:space="preserve">β </m:t>
        </m:r>
      </m:oMath>
      <w:r w:rsidRPr="00362926">
        <w:rPr>
          <w:rFonts w:ascii="Times New Roman" w:hAnsi="Times New Roman" w:cs="Times New Roman"/>
          <w:sz w:val="24"/>
          <w:szCs w:val="24"/>
          <w:lang w:val="en-US"/>
        </w:rPr>
        <w:t>= 1.</w:t>
      </w:r>
      <w:r>
        <w:rPr>
          <w:rFonts w:ascii="Times New Roman" w:hAnsi="Times New Roman" w:cs="Times New Roman"/>
          <w:sz w:val="24"/>
          <w:szCs w:val="24"/>
          <w:lang w:val="en-US"/>
        </w:rPr>
        <w:t>27</w:t>
      </w:r>
      <w:r w:rsidRPr="00362926">
        <w:rPr>
          <w:rFonts w:ascii="Times New Roman" w:hAnsi="Times New Roman" w:cs="Times New Roman"/>
          <w:sz w:val="24"/>
          <w:szCs w:val="24"/>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F36A0"/>
    <w:multiLevelType w:val="hybridMultilevel"/>
    <w:tmpl w:val="069E4C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0E08F6"/>
    <w:multiLevelType w:val="hybridMultilevel"/>
    <w:tmpl w:val="E74E2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75D29"/>
    <w:multiLevelType w:val="hybridMultilevel"/>
    <w:tmpl w:val="878C907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34C64083"/>
    <w:multiLevelType w:val="hybridMultilevel"/>
    <w:tmpl w:val="3842A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8E52E0"/>
    <w:multiLevelType w:val="hybridMultilevel"/>
    <w:tmpl w:val="B98232FC"/>
    <w:lvl w:ilvl="0" w:tplc="BD002EE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D20FE5"/>
    <w:multiLevelType w:val="multilevel"/>
    <w:tmpl w:val="E620D514"/>
    <w:lvl w:ilvl="0">
      <w:start w:val="3"/>
      <w:numFmt w:val="decimal"/>
      <w:lvlText w:val="%1."/>
      <w:lvlJc w:val="left"/>
      <w:pPr>
        <w:ind w:left="720" w:hanging="360"/>
      </w:pPr>
      <w:rPr>
        <w:rFonts w:hint="default"/>
        <w:b/>
        <w:bCs w:val="0"/>
      </w:rPr>
    </w:lvl>
    <w:lvl w:ilvl="1">
      <w:start w:val="4"/>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6" w15:restartNumberingAfterBreak="0">
    <w:nsid w:val="3FCB02E2"/>
    <w:multiLevelType w:val="multilevel"/>
    <w:tmpl w:val="7542E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EE4507"/>
    <w:multiLevelType w:val="hybridMultilevel"/>
    <w:tmpl w:val="CD303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6D72E7"/>
    <w:multiLevelType w:val="hybridMultilevel"/>
    <w:tmpl w:val="8EB09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D62C4F"/>
    <w:multiLevelType w:val="hybridMultilevel"/>
    <w:tmpl w:val="254EA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8611BD"/>
    <w:multiLevelType w:val="multilevel"/>
    <w:tmpl w:val="A664DAD8"/>
    <w:lvl w:ilvl="0">
      <w:start w:val="1"/>
      <w:numFmt w:val="decimal"/>
      <w:lvlText w:val="%1."/>
      <w:lvlJc w:val="left"/>
      <w:pPr>
        <w:ind w:left="720" w:hanging="360"/>
      </w:pPr>
      <w:rPr>
        <w:rFonts w:hint="default"/>
        <w:b/>
      </w:rPr>
    </w:lvl>
    <w:lvl w:ilvl="1">
      <w:start w:val="5"/>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1" w15:restartNumberingAfterBreak="0">
    <w:nsid w:val="6D436925"/>
    <w:multiLevelType w:val="multilevel"/>
    <w:tmpl w:val="04AEE3C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EFA2965"/>
    <w:multiLevelType w:val="multilevel"/>
    <w:tmpl w:val="A664DAD8"/>
    <w:lvl w:ilvl="0">
      <w:start w:val="1"/>
      <w:numFmt w:val="decimal"/>
      <w:lvlText w:val="%1."/>
      <w:lvlJc w:val="left"/>
      <w:pPr>
        <w:ind w:left="720" w:hanging="360"/>
      </w:pPr>
      <w:rPr>
        <w:rFonts w:hint="default"/>
        <w:b/>
      </w:rPr>
    </w:lvl>
    <w:lvl w:ilvl="1">
      <w:start w:val="5"/>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3" w15:restartNumberingAfterBreak="0">
    <w:nsid w:val="750872BC"/>
    <w:multiLevelType w:val="hybridMultilevel"/>
    <w:tmpl w:val="ECD8A60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77FD7B7B"/>
    <w:multiLevelType w:val="hybridMultilevel"/>
    <w:tmpl w:val="CAD84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6067741">
    <w:abstractNumId w:val="10"/>
  </w:num>
  <w:num w:numId="2" w16cid:durableId="693382672">
    <w:abstractNumId w:val="6"/>
  </w:num>
  <w:num w:numId="3" w16cid:durableId="1134984957">
    <w:abstractNumId w:val="0"/>
  </w:num>
  <w:num w:numId="4" w16cid:durableId="1677420337">
    <w:abstractNumId w:val="3"/>
  </w:num>
  <w:num w:numId="5" w16cid:durableId="63266528">
    <w:abstractNumId w:val="2"/>
  </w:num>
  <w:num w:numId="6" w16cid:durableId="234516688">
    <w:abstractNumId w:val="9"/>
  </w:num>
  <w:num w:numId="7" w16cid:durableId="1969123786">
    <w:abstractNumId w:val="14"/>
  </w:num>
  <w:num w:numId="8" w16cid:durableId="244341203">
    <w:abstractNumId w:val="1"/>
  </w:num>
  <w:num w:numId="9" w16cid:durableId="499085098">
    <w:abstractNumId w:val="8"/>
  </w:num>
  <w:num w:numId="10" w16cid:durableId="2018458512">
    <w:abstractNumId w:val="13"/>
  </w:num>
  <w:num w:numId="11" w16cid:durableId="2091072948">
    <w:abstractNumId w:val="11"/>
  </w:num>
  <w:num w:numId="12" w16cid:durableId="1187675178">
    <w:abstractNumId w:val="7"/>
  </w:num>
  <w:num w:numId="13" w16cid:durableId="1225024303">
    <w:abstractNumId w:val="12"/>
  </w:num>
  <w:num w:numId="14" w16cid:durableId="1483501385">
    <w:abstractNumId w:val="5"/>
  </w:num>
  <w:num w:numId="15" w16cid:durableId="8025057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characterSpacingControl w:val="doNotCompress"/>
  <w:hdrShapeDefaults>
    <o:shapedefaults v:ext="edit" spidmax="4097"/>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3C"/>
    <w:rsid w:val="000020B2"/>
    <w:rsid w:val="00002D10"/>
    <w:rsid w:val="00004074"/>
    <w:rsid w:val="000104BE"/>
    <w:rsid w:val="0001080F"/>
    <w:rsid w:val="0001505A"/>
    <w:rsid w:val="00016668"/>
    <w:rsid w:val="00016B7C"/>
    <w:rsid w:val="00020289"/>
    <w:rsid w:val="00023344"/>
    <w:rsid w:val="0002569B"/>
    <w:rsid w:val="0003339E"/>
    <w:rsid w:val="00041E2B"/>
    <w:rsid w:val="00042F25"/>
    <w:rsid w:val="0004311B"/>
    <w:rsid w:val="00046955"/>
    <w:rsid w:val="000536AA"/>
    <w:rsid w:val="00054CC2"/>
    <w:rsid w:val="00055773"/>
    <w:rsid w:val="000610A9"/>
    <w:rsid w:val="000614EB"/>
    <w:rsid w:val="00061CBC"/>
    <w:rsid w:val="00064472"/>
    <w:rsid w:val="00065587"/>
    <w:rsid w:val="0007444C"/>
    <w:rsid w:val="00083880"/>
    <w:rsid w:val="000905E4"/>
    <w:rsid w:val="00091EF5"/>
    <w:rsid w:val="00094800"/>
    <w:rsid w:val="00095850"/>
    <w:rsid w:val="000A254A"/>
    <w:rsid w:val="000A35F9"/>
    <w:rsid w:val="000B0DDB"/>
    <w:rsid w:val="000B2413"/>
    <w:rsid w:val="000B2DFF"/>
    <w:rsid w:val="000C0251"/>
    <w:rsid w:val="000C1020"/>
    <w:rsid w:val="000C171E"/>
    <w:rsid w:val="000C3921"/>
    <w:rsid w:val="000C3E09"/>
    <w:rsid w:val="000C4214"/>
    <w:rsid w:val="000C4BB0"/>
    <w:rsid w:val="000C57BF"/>
    <w:rsid w:val="000D166D"/>
    <w:rsid w:val="000D1B0C"/>
    <w:rsid w:val="000D1F70"/>
    <w:rsid w:val="000D4A52"/>
    <w:rsid w:val="000D553B"/>
    <w:rsid w:val="000D5B91"/>
    <w:rsid w:val="000E56C4"/>
    <w:rsid w:val="000F3045"/>
    <w:rsid w:val="000F48CC"/>
    <w:rsid w:val="000F72F9"/>
    <w:rsid w:val="00102AB9"/>
    <w:rsid w:val="00104533"/>
    <w:rsid w:val="001058B8"/>
    <w:rsid w:val="00113867"/>
    <w:rsid w:val="0011586C"/>
    <w:rsid w:val="00120F8B"/>
    <w:rsid w:val="00121574"/>
    <w:rsid w:val="00123172"/>
    <w:rsid w:val="00130614"/>
    <w:rsid w:val="00131D01"/>
    <w:rsid w:val="00150220"/>
    <w:rsid w:val="001526B0"/>
    <w:rsid w:val="00156743"/>
    <w:rsid w:val="00157FE3"/>
    <w:rsid w:val="00163E98"/>
    <w:rsid w:val="00164D8A"/>
    <w:rsid w:val="00170229"/>
    <w:rsid w:val="00177475"/>
    <w:rsid w:val="00177A84"/>
    <w:rsid w:val="001803E6"/>
    <w:rsid w:val="00181937"/>
    <w:rsid w:val="00182C03"/>
    <w:rsid w:val="00182C35"/>
    <w:rsid w:val="00187F70"/>
    <w:rsid w:val="001926F8"/>
    <w:rsid w:val="00192776"/>
    <w:rsid w:val="00197EF1"/>
    <w:rsid w:val="001A2D2E"/>
    <w:rsid w:val="001A32D0"/>
    <w:rsid w:val="001B1CBE"/>
    <w:rsid w:val="001B1E92"/>
    <w:rsid w:val="001B454F"/>
    <w:rsid w:val="001B4C44"/>
    <w:rsid w:val="001C14AB"/>
    <w:rsid w:val="001C1B06"/>
    <w:rsid w:val="001C4DC1"/>
    <w:rsid w:val="001C5BB0"/>
    <w:rsid w:val="001C6CF6"/>
    <w:rsid w:val="001C7133"/>
    <w:rsid w:val="001D30E0"/>
    <w:rsid w:val="001D3DE2"/>
    <w:rsid w:val="001D4988"/>
    <w:rsid w:val="001D51B4"/>
    <w:rsid w:val="001D5291"/>
    <w:rsid w:val="001E0983"/>
    <w:rsid w:val="001E3AD6"/>
    <w:rsid w:val="001E5EA7"/>
    <w:rsid w:val="0020022C"/>
    <w:rsid w:val="00206915"/>
    <w:rsid w:val="002071BE"/>
    <w:rsid w:val="00210678"/>
    <w:rsid w:val="00213369"/>
    <w:rsid w:val="002153F4"/>
    <w:rsid w:val="00217054"/>
    <w:rsid w:val="002205F4"/>
    <w:rsid w:val="0023040B"/>
    <w:rsid w:val="00233B88"/>
    <w:rsid w:val="00234B2A"/>
    <w:rsid w:val="00235DC0"/>
    <w:rsid w:val="00250AD0"/>
    <w:rsid w:val="002566D6"/>
    <w:rsid w:val="0025725F"/>
    <w:rsid w:val="00262167"/>
    <w:rsid w:val="00263DFC"/>
    <w:rsid w:val="002656AE"/>
    <w:rsid w:val="002752CB"/>
    <w:rsid w:val="0027532C"/>
    <w:rsid w:val="00276AA0"/>
    <w:rsid w:val="0028086C"/>
    <w:rsid w:val="0028169A"/>
    <w:rsid w:val="002832D3"/>
    <w:rsid w:val="00284FB9"/>
    <w:rsid w:val="0029282C"/>
    <w:rsid w:val="0029314F"/>
    <w:rsid w:val="00293486"/>
    <w:rsid w:val="002A61AB"/>
    <w:rsid w:val="002B1304"/>
    <w:rsid w:val="002B160F"/>
    <w:rsid w:val="002B1818"/>
    <w:rsid w:val="002B228A"/>
    <w:rsid w:val="002B2B49"/>
    <w:rsid w:val="002B3A9F"/>
    <w:rsid w:val="002B400A"/>
    <w:rsid w:val="002B4F21"/>
    <w:rsid w:val="002B66E7"/>
    <w:rsid w:val="002B7E0C"/>
    <w:rsid w:val="002C44CB"/>
    <w:rsid w:val="002E066D"/>
    <w:rsid w:val="002E1EE4"/>
    <w:rsid w:val="002E27C5"/>
    <w:rsid w:val="002E464B"/>
    <w:rsid w:val="002E6D28"/>
    <w:rsid w:val="002F3FD0"/>
    <w:rsid w:val="002F44D9"/>
    <w:rsid w:val="002F47F3"/>
    <w:rsid w:val="002F6CDB"/>
    <w:rsid w:val="00301632"/>
    <w:rsid w:val="00304180"/>
    <w:rsid w:val="0030606C"/>
    <w:rsid w:val="00307A99"/>
    <w:rsid w:val="00310854"/>
    <w:rsid w:val="00322BF7"/>
    <w:rsid w:val="00322F71"/>
    <w:rsid w:val="00323004"/>
    <w:rsid w:val="0032710F"/>
    <w:rsid w:val="00330254"/>
    <w:rsid w:val="00332071"/>
    <w:rsid w:val="0033457F"/>
    <w:rsid w:val="003417A8"/>
    <w:rsid w:val="0034201A"/>
    <w:rsid w:val="0034546C"/>
    <w:rsid w:val="0034683D"/>
    <w:rsid w:val="00356818"/>
    <w:rsid w:val="00356A7D"/>
    <w:rsid w:val="0036099D"/>
    <w:rsid w:val="00361D5C"/>
    <w:rsid w:val="00373FED"/>
    <w:rsid w:val="00380139"/>
    <w:rsid w:val="003803E7"/>
    <w:rsid w:val="00382237"/>
    <w:rsid w:val="003825BB"/>
    <w:rsid w:val="00384594"/>
    <w:rsid w:val="0038604B"/>
    <w:rsid w:val="00386F6B"/>
    <w:rsid w:val="0039011F"/>
    <w:rsid w:val="00390B2C"/>
    <w:rsid w:val="00394432"/>
    <w:rsid w:val="00394AF6"/>
    <w:rsid w:val="003967BF"/>
    <w:rsid w:val="003A7584"/>
    <w:rsid w:val="003B11E2"/>
    <w:rsid w:val="003B2C61"/>
    <w:rsid w:val="003B75E8"/>
    <w:rsid w:val="003C18EE"/>
    <w:rsid w:val="003C39AF"/>
    <w:rsid w:val="003C42E1"/>
    <w:rsid w:val="003C4E38"/>
    <w:rsid w:val="003C524D"/>
    <w:rsid w:val="003C5944"/>
    <w:rsid w:val="003C6152"/>
    <w:rsid w:val="003C785A"/>
    <w:rsid w:val="003C7C0E"/>
    <w:rsid w:val="003D46B4"/>
    <w:rsid w:val="003D6F0E"/>
    <w:rsid w:val="003F11A8"/>
    <w:rsid w:val="00401583"/>
    <w:rsid w:val="004048F9"/>
    <w:rsid w:val="004110A5"/>
    <w:rsid w:val="004132C2"/>
    <w:rsid w:val="004151A9"/>
    <w:rsid w:val="00417C4D"/>
    <w:rsid w:val="0042062E"/>
    <w:rsid w:val="00420BDD"/>
    <w:rsid w:val="00423F93"/>
    <w:rsid w:val="0042682D"/>
    <w:rsid w:val="004345BF"/>
    <w:rsid w:val="004361EA"/>
    <w:rsid w:val="004375C7"/>
    <w:rsid w:val="00437836"/>
    <w:rsid w:val="00441592"/>
    <w:rsid w:val="00441AB8"/>
    <w:rsid w:val="004426B2"/>
    <w:rsid w:val="00444B43"/>
    <w:rsid w:val="004510A9"/>
    <w:rsid w:val="004563C4"/>
    <w:rsid w:val="00457099"/>
    <w:rsid w:val="00457C46"/>
    <w:rsid w:val="0046043A"/>
    <w:rsid w:val="00463A03"/>
    <w:rsid w:val="00467E0D"/>
    <w:rsid w:val="004733E3"/>
    <w:rsid w:val="0047374E"/>
    <w:rsid w:val="00475B64"/>
    <w:rsid w:val="00477AED"/>
    <w:rsid w:val="004812F4"/>
    <w:rsid w:val="0048174B"/>
    <w:rsid w:val="0048711D"/>
    <w:rsid w:val="00490C64"/>
    <w:rsid w:val="00495669"/>
    <w:rsid w:val="0049782D"/>
    <w:rsid w:val="00497E11"/>
    <w:rsid w:val="004A37C8"/>
    <w:rsid w:val="004B2282"/>
    <w:rsid w:val="004B3CA7"/>
    <w:rsid w:val="004C2237"/>
    <w:rsid w:val="004D1C88"/>
    <w:rsid w:val="004D373F"/>
    <w:rsid w:val="004D3D52"/>
    <w:rsid w:val="004D4DCE"/>
    <w:rsid w:val="004E272D"/>
    <w:rsid w:val="00506AF9"/>
    <w:rsid w:val="00506EDA"/>
    <w:rsid w:val="0051044C"/>
    <w:rsid w:val="00511698"/>
    <w:rsid w:val="00512278"/>
    <w:rsid w:val="00517138"/>
    <w:rsid w:val="005174E6"/>
    <w:rsid w:val="0052458C"/>
    <w:rsid w:val="00525547"/>
    <w:rsid w:val="00527D81"/>
    <w:rsid w:val="005341EB"/>
    <w:rsid w:val="0053614A"/>
    <w:rsid w:val="00542767"/>
    <w:rsid w:val="00543FE6"/>
    <w:rsid w:val="0054430F"/>
    <w:rsid w:val="00546810"/>
    <w:rsid w:val="005475DC"/>
    <w:rsid w:val="005503F2"/>
    <w:rsid w:val="00563624"/>
    <w:rsid w:val="00566AEE"/>
    <w:rsid w:val="00572874"/>
    <w:rsid w:val="005736C2"/>
    <w:rsid w:val="0057405F"/>
    <w:rsid w:val="00574FCB"/>
    <w:rsid w:val="00575E70"/>
    <w:rsid w:val="00581806"/>
    <w:rsid w:val="0058566C"/>
    <w:rsid w:val="00587148"/>
    <w:rsid w:val="00590201"/>
    <w:rsid w:val="0059052E"/>
    <w:rsid w:val="005943C0"/>
    <w:rsid w:val="005948C3"/>
    <w:rsid w:val="00594A1F"/>
    <w:rsid w:val="0059696A"/>
    <w:rsid w:val="005A0A4A"/>
    <w:rsid w:val="005A2BD2"/>
    <w:rsid w:val="005A3004"/>
    <w:rsid w:val="005A5771"/>
    <w:rsid w:val="005A6B3A"/>
    <w:rsid w:val="005C0EC2"/>
    <w:rsid w:val="005C6197"/>
    <w:rsid w:val="005C6545"/>
    <w:rsid w:val="005C738E"/>
    <w:rsid w:val="005D4D86"/>
    <w:rsid w:val="005E0EF6"/>
    <w:rsid w:val="005E490E"/>
    <w:rsid w:val="005E4EE9"/>
    <w:rsid w:val="005E6CEA"/>
    <w:rsid w:val="005F11FC"/>
    <w:rsid w:val="005F64EA"/>
    <w:rsid w:val="00601E90"/>
    <w:rsid w:val="00606ECD"/>
    <w:rsid w:val="00607695"/>
    <w:rsid w:val="00610681"/>
    <w:rsid w:val="00610F21"/>
    <w:rsid w:val="00631388"/>
    <w:rsid w:val="00632422"/>
    <w:rsid w:val="0064399A"/>
    <w:rsid w:val="006469A4"/>
    <w:rsid w:val="00646A3B"/>
    <w:rsid w:val="00647EE1"/>
    <w:rsid w:val="00654755"/>
    <w:rsid w:val="006554C7"/>
    <w:rsid w:val="00657727"/>
    <w:rsid w:val="0066593B"/>
    <w:rsid w:val="0067022C"/>
    <w:rsid w:val="00670C79"/>
    <w:rsid w:val="00671418"/>
    <w:rsid w:val="00673315"/>
    <w:rsid w:val="00673E3A"/>
    <w:rsid w:val="00677EB4"/>
    <w:rsid w:val="00683945"/>
    <w:rsid w:val="00683B54"/>
    <w:rsid w:val="00685CE2"/>
    <w:rsid w:val="006A04F4"/>
    <w:rsid w:val="006A177A"/>
    <w:rsid w:val="006A227D"/>
    <w:rsid w:val="006A3165"/>
    <w:rsid w:val="006A3377"/>
    <w:rsid w:val="006A4CF9"/>
    <w:rsid w:val="006A5525"/>
    <w:rsid w:val="006B5810"/>
    <w:rsid w:val="006C0EDC"/>
    <w:rsid w:val="006C289B"/>
    <w:rsid w:val="006C4B7D"/>
    <w:rsid w:val="006C75CF"/>
    <w:rsid w:val="006D0960"/>
    <w:rsid w:val="006D5104"/>
    <w:rsid w:val="006D5CD3"/>
    <w:rsid w:val="006D7D3E"/>
    <w:rsid w:val="006E1749"/>
    <w:rsid w:val="006E224E"/>
    <w:rsid w:val="006E2ACA"/>
    <w:rsid w:val="006E2D76"/>
    <w:rsid w:val="006E42FB"/>
    <w:rsid w:val="006E5DE3"/>
    <w:rsid w:val="006E73A7"/>
    <w:rsid w:val="006F11D8"/>
    <w:rsid w:val="006F1D41"/>
    <w:rsid w:val="006F1D44"/>
    <w:rsid w:val="006F2B36"/>
    <w:rsid w:val="006F2E7D"/>
    <w:rsid w:val="006F2E85"/>
    <w:rsid w:val="006F74B7"/>
    <w:rsid w:val="007032F4"/>
    <w:rsid w:val="007173DC"/>
    <w:rsid w:val="007320C7"/>
    <w:rsid w:val="0073331B"/>
    <w:rsid w:val="00741DAE"/>
    <w:rsid w:val="00750AAF"/>
    <w:rsid w:val="00751E14"/>
    <w:rsid w:val="00753BE9"/>
    <w:rsid w:val="007547FE"/>
    <w:rsid w:val="007573F4"/>
    <w:rsid w:val="00757914"/>
    <w:rsid w:val="00760AFD"/>
    <w:rsid w:val="007664B8"/>
    <w:rsid w:val="0077031C"/>
    <w:rsid w:val="00770811"/>
    <w:rsid w:val="007710A4"/>
    <w:rsid w:val="0077267A"/>
    <w:rsid w:val="007731C6"/>
    <w:rsid w:val="00776B38"/>
    <w:rsid w:val="00777B18"/>
    <w:rsid w:val="00782769"/>
    <w:rsid w:val="0078285D"/>
    <w:rsid w:val="00783453"/>
    <w:rsid w:val="00785296"/>
    <w:rsid w:val="0078680F"/>
    <w:rsid w:val="00790580"/>
    <w:rsid w:val="00792636"/>
    <w:rsid w:val="0079386C"/>
    <w:rsid w:val="00794AF2"/>
    <w:rsid w:val="007970BA"/>
    <w:rsid w:val="00797844"/>
    <w:rsid w:val="007A061D"/>
    <w:rsid w:val="007A0B28"/>
    <w:rsid w:val="007A5138"/>
    <w:rsid w:val="007B33B6"/>
    <w:rsid w:val="007B3E7D"/>
    <w:rsid w:val="007B74B1"/>
    <w:rsid w:val="007B7882"/>
    <w:rsid w:val="007B7DB5"/>
    <w:rsid w:val="007C38EC"/>
    <w:rsid w:val="007D081A"/>
    <w:rsid w:val="007D0AC9"/>
    <w:rsid w:val="007D188F"/>
    <w:rsid w:val="007D228E"/>
    <w:rsid w:val="007D4616"/>
    <w:rsid w:val="007E189F"/>
    <w:rsid w:val="007E31A8"/>
    <w:rsid w:val="007E34C7"/>
    <w:rsid w:val="007E48DD"/>
    <w:rsid w:val="007F1A4B"/>
    <w:rsid w:val="007F4A02"/>
    <w:rsid w:val="007F77F2"/>
    <w:rsid w:val="00801F9F"/>
    <w:rsid w:val="00802118"/>
    <w:rsid w:val="00802507"/>
    <w:rsid w:val="00815AA2"/>
    <w:rsid w:val="008164D9"/>
    <w:rsid w:val="00821A20"/>
    <w:rsid w:val="00822450"/>
    <w:rsid w:val="00823A6D"/>
    <w:rsid w:val="00824484"/>
    <w:rsid w:val="00824C02"/>
    <w:rsid w:val="00824EDA"/>
    <w:rsid w:val="008259A4"/>
    <w:rsid w:val="00832CFD"/>
    <w:rsid w:val="0083466C"/>
    <w:rsid w:val="00836C67"/>
    <w:rsid w:val="00841A72"/>
    <w:rsid w:val="00850802"/>
    <w:rsid w:val="0085544B"/>
    <w:rsid w:val="00861AFB"/>
    <w:rsid w:val="008627EE"/>
    <w:rsid w:val="00862B85"/>
    <w:rsid w:val="00867428"/>
    <w:rsid w:val="00880AD0"/>
    <w:rsid w:val="008824A7"/>
    <w:rsid w:val="00887134"/>
    <w:rsid w:val="00891212"/>
    <w:rsid w:val="00893F5F"/>
    <w:rsid w:val="008A2B7B"/>
    <w:rsid w:val="008A3DA8"/>
    <w:rsid w:val="008B4FD0"/>
    <w:rsid w:val="008B555D"/>
    <w:rsid w:val="008B62DE"/>
    <w:rsid w:val="008C0EE2"/>
    <w:rsid w:val="008C24DA"/>
    <w:rsid w:val="008C357B"/>
    <w:rsid w:val="008C3723"/>
    <w:rsid w:val="008C3B23"/>
    <w:rsid w:val="008D18E5"/>
    <w:rsid w:val="008D1ADF"/>
    <w:rsid w:val="008D2BA5"/>
    <w:rsid w:val="008D413D"/>
    <w:rsid w:val="008D5863"/>
    <w:rsid w:val="008D6261"/>
    <w:rsid w:val="008E3CCA"/>
    <w:rsid w:val="008F0878"/>
    <w:rsid w:val="008F29D2"/>
    <w:rsid w:val="008F34EC"/>
    <w:rsid w:val="008F5B63"/>
    <w:rsid w:val="00903B9E"/>
    <w:rsid w:val="00904AB5"/>
    <w:rsid w:val="00913EA9"/>
    <w:rsid w:val="0091511B"/>
    <w:rsid w:val="00916408"/>
    <w:rsid w:val="0091713B"/>
    <w:rsid w:val="00921514"/>
    <w:rsid w:val="009228F1"/>
    <w:rsid w:val="00926FB0"/>
    <w:rsid w:val="009274F5"/>
    <w:rsid w:val="00930B3E"/>
    <w:rsid w:val="0093179A"/>
    <w:rsid w:val="00934360"/>
    <w:rsid w:val="00936680"/>
    <w:rsid w:val="00940245"/>
    <w:rsid w:val="00945811"/>
    <w:rsid w:val="00945914"/>
    <w:rsid w:val="00951880"/>
    <w:rsid w:val="00954F07"/>
    <w:rsid w:val="00956475"/>
    <w:rsid w:val="0095671A"/>
    <w:rsid w:val="0096021A"/>
    <w:rsid w:val="009616F2"/>
    <w:rsid w:val="00966DF2"/>
    <w:rsid w:val="00967305"/>
    <w:rsid w:val="009735AB"/>
    <w:rsid w:val="00973AC9"/>
    <w:rsid w:val="00974A61"/>
    <w:rsid w:val="00985FE9"/>
    <w:rsid w:val="00987091"/>
    <w:rsid w:val="009879D6"/>
    <w:rsid w:val="00993056"/>
    <w:rsid w:val="00996F17"/>
    <w:rsid w:val="009A089C"/>
    <w:rsid w:val="009A1DB8"/>
    <w:rsid w:val="009A7DC4"/>
    <w:rsid w:val="009B7944"/>
    <w:rsid w:val="009B79E6"/>
    <w:rsid w:val="009C050D"/>
    <w:rsid w:val="009D36CF"/>
    <w:rsid w:val="009D6C61"/>
    <w:rsid w:val="009E56F4"/>
    <w:rsid w:val="009E592A"/>
    <w:rsid w:val="009E71CE"/>
    <w:rsid w:val="009F24CE"/>
    <w:rsid w:val="009F3E00"/>
    <w:rsid w:val="009F4121"/>
    <w:rsid w:val="009F4CA3"/>
    <w:rsid w:val="009F6426"/>
    <w:rsid w:val="009F732E"/>
    <w:rsid w:val="00A0127E"/>
    <w:rsid w:val="00A02D81"/>
    <w:rsid w:val="00A06014"/>
    <w:rsid w:val="00A06D31"/>
    <w:rsid w:val="00A07098"/>
    <w:rsid w:val="00A104E9"/>
    <w:rsid w:val="00A10FB7"/>
    <w:rsid w:val="00A1212C"/>
    <w:rsid w:val="00A12766"/>
    <w:rsid w:val="00A12A03"/>
    <w:rsid w:val="00A14345"/>
    <w:rsid w:val="00A15B44"/>
    <w:rsid w:val="00A20526"/>
    <w:rsid w:val="00A22020"/>
    <w:rsid w:val="00A23CB0"/>
    <w:rsid w:val="00A26180"/>
    <w:rsid w:val="00A307C9"/>
    <w:rsid w:val="00A30916"/>
    <w:rsid w:val="00A3091B"/>
    <w:rsid w:val="00A35543"/>
    <w:rsid w:val="00A36FE8"/>
    <w:rsid w:val="00A4080B"/>
    <w:rsid w:val="00A452B6"/>
    <w:rsid w:val="00A50CF9"/>
    <w:rsid w:val="00A5508C"/>
    <w:rsid w:val="00A60CB9"/>
    <w:rsid w:val="00A61BBE"/>
    <w:rsid w:val="00A64599"/>
    <w:rsid w:val="00A65824"/>
    <w:rsid w:val="00A737DE"/>
    <w:rsid w:val="00A741AD"/>
    <w:rsid w:val="00A75156"/>
    <w:rsid w:val="00A75B34"/>
    <w:rsid w:val="00A81DED"/>
    <w:rsid w:val="00A82187"/>
    <w:rsid w:val="00A83330"/>
    <w:rsid w:val="00AA0BC0"/>
    <w:rsid w:val="00AA3019"/>
    <w:rsid w:val="00AA54DD"/>
    <w:rsid w:val="00AB1915"/>
    <w:rsid w:val="00AC06E3"/>
    <w:rsid w:val="00AC71B1"/>
    <w:rsid w:val="00AD6742"/>
    <w:rsid w:val="00AD7394"/>
    <w:rsid w:val="00AE0575"/>
    <w:rsid w:val="00AE0BD9"/>
    <w:rsid w:val="00AE3D55"/>
    <w:rsid w:val="00AE3E06"/>
    <w:rsid w:val="00AE412C"/>
    <w:rsid w:val="00AF1FFC"/>
    <w:rsid w:val="00AF7C8C"/>
    <w:rsid w:val="00B04D76"/>
    <w:rsid w:val="00B104AB"/>
    <w:rsid w:val="00B10D85"/>
    <w:rsid w:val="00B118E4"/>
    <w:rsid w:val="00B13726"/>
    <w:rsid w:val="00B23FF1"/>
    <w:rsid w:val="00B26A18"/>
    <w:rsid w:val="00B30B1F"/>
    <w:rsid w:val="00B327D4"/>
    <w:rsid w:val="00B356DE"/>
    <w:rsid w:val="00B365AB"/>
    <w:rsid w:val="00B40488"/>
    <w:rsid w:val="00B40D99"/>
    <w:rsid w:val="00B41268"/>
    <w:rsid w:val="00B421F7"/>
    <w:rsid w:val="00B42EA1"/>
    <w:rsid w:val="00B44BD5"/>
    <w:rsid w:val="00B45B54"/>
    <w:rsid w:val="00B46E85"/>
    <w:rsid w:val="00B46EE7"/>
    <w:rsid w:val="00B50431"/>
    <w:rsid w:val="00B50504"/>
    <w:rsid w:val="00B50D92"/>
    <w:rsid w:val="00B50FAC"/>
    <w:rsid w:val="00B51AB4"/>
    <w:rsid w:val="00B54410"/>
    <w:rsid w:val="00B56065"/>
    <w:rsid w:val="00B6253D"/>
    <w:rsid w:val="00B62D18"/>
    <w:rsid w:val="00B70C55"/>
    <w:rsid w:val="00B85DF5"/>
    <w:rsid w:val="00BA2368"/>
    <w:rsid w:val="00BA26F9"/>
    <w:rsid w:val="00BA3FFA"/>
    <w:rsid w:val="00BA5308"/>
    <w:rsid w:val="00BB0ED5"/>
    <w:rsid w:val="00BC094C"/>
    <w:rsid w:val="00BC19B0"/>
    <w:rsid w:val="00BC461B"/>
    <w:rsid w:val="00BC4F88"/>
    <w:rsid w:val="00BC6DC7"/>
    <w:rsid w:val="00BD0751"/>
    <w:rsid w:val="00BD1F16"/>
    <w:rsid w:val="00BD3BBD"/>
    <w:rsid w:val="00BD3C63"/>
    <w:rsid w:val="00BE2FE3"/>
    <w:rsid w:val="00BE451F"/>
    <w:rsid w:val="00BE6AA7"/>
    <w:rsid w:val="00BE7AF4"/>
    <w:rsid w:val="00BF293C"/>
    <w:rsid w:val="00BF3E5A"/>
    <w:rsid w:val="00BF5A63"/>
    <w:rsid w:val="00BF7433"/>
    <w:rsid w:val="00C02EC8"/>
    <w:rsid w:val="00C04DE8"/>
    <w:rsid w:val="00C13BA4"/>
    <w:rsid w:val="00C15F00"/>
    <w:rsid w:val="00C1663E"/>
    <w:rsid w:val="00C17235"/>
    <w:rsid w:val="00C1796F"/>
    <w:rsid w:val="00C2093C"/>
    <w:rsid w:val="00C25E97"/>
    <w:rsid w:val="00C31F31"/>
    <w:rsid w:val="00C31F6E"/>
    <w:rsid w:val="00C354EB"/>
    <w:rsid w:val="00C42487"/>
    <w:rsid w:val="00C43477"/>
    <w:rsid w:val="00C43967"/>
    <w:rsid w:val="00C44056"/>
    <w:rsid w:val="00C441A0"/>
    <w:rsid w:val="00C4432E"/>
    <w:rsid w:val="00C4482C"/>
    <w:rsid w:val="00C51D51"/>
    <w:rsid w:val="00C57569"/>
    <w:rsid w:val="00C5787F"/>
    <w:rsid w:val="00C6485C"/>
    <w:rsid w:val="00C66E85"/>
    <w:rsid w:val="00C67063"/>
    <w:rsid w:val="00C673AC"/>
    <w:rsid w:val="00C728F8"/>
    <w:rsid w:val="00C75B6C"/>
    <w:rsid w:val="00C769E9"/>
    <w:rsid w:val="00C80EBD"/>
    <w:rsid w:val="00C81FB2"/>
    <w:rsid w:val="00C9159B"/>
    <w:rsid w:val="00C91AF0"/>
    <w:rsid w:val="00C92B6F"/>
    <w:rsid w:val="00C95E1A"/>
    <w:rsid w:val="00CA0B93"/>
    <w:rsid w:val="00CA5443"/>
    <w:rsid w:val="00CA5461"/>
    <w:rsid w:val="00CB1F19"/>
    <w:rsid w:val="00CB6F21"/>
    <w:rsid w:val="00CC2F7D"/>
    <w:rsid w:val="00CD01EB"/>
    <w:rsid w:val="00CD02DE"/>
    <w:rsid w:val="00CD3BFB"/>
    <w:rsid w:val="00CE3E40"/>
    <w:rsid w:val="00CE4B7F"/>
    <w:rsid w:val="00CE59F1"/>
    <w:rsid w:val="00CE68A5"/>
    <w:rsid w:val="00CE7206"/>
    <w:rsid w:val="00D020D8"/>
    <w:rsid w:val="00D031F0"/>
    <w:rsid w:val="00D064D1"/>
    <w:rsid w:val="00D06C35"/>
    <w:rsid w:val="00D10623"/>
    <w:rsid w:val="00D10BC6"/>
    <w:rsid w:val="00D11719"/>
    <w:rsid w:val="00D13DC1"/>
    <w:rsid w:val="00D220DC"/>
    <w:rsid w:val="00D22E07"/>
    <w:rsid w:val="00D2557D"/>
    <w:rsid w:val="00D47F8C"/>
    <w:rsid w:val="00D53DC3"/>
    <w:rsid w:val="00D60908"/>
    <w:rsid w:val="00D66AEA"/>
    <w:rsid w:val="00D70EEE"/>
    <w:rsid w:val="00D73DFD"/>
    <w:rsid w:val="00D76015"/>
    <w:rsid w:val="00D76CA5"/>
    <w:rsid w:val="00D77217"/>
    <w:rsid w:val="00D855C0"/>
    <w:rsid w:val="00D872BF"/>
    <w:rsid w:val="00D87320"/>
    <w:rsid w:val="00D923D8"/>
    <w:rsid w:val="00D93179"/>
    <w:rsid w:val="00D95B7D"/>
    <w:rsid w:val="00DA1AD3"/>
    <w:rsid w:val="00DA648A"/>
    <w:rsid w:val="00DA671E"/>
    <w:rsid w:val="00DB0C9B"/>
    <w:rsid w:val="00DB3E50"/>
    <w:rsid w:val="00DB4A4D"/>
    <w:rsid w:val="00DB63B0"/>
    <w:rsid w:val="00DC175E"/>
    <w:rsid w:val="00DC2FD4"/>
    <w:rsid w:val="00DC362F"/>
    <w:rsid w:val="00DD0F31"/>
    <w:rsid w:val="00DD265C"/>
    <w:rsid w:val="00DE1683"/>
    <w:rsid w:val="00DE1C54"/>
    <w:rsid w:val="00DE72CA"/>
    <w:rsid w:val="00DF02FC"/>
    <w:rsid w:val="00DF0CB7"/>
    <w:rsid w:val="00DF6BE9"/>
    <w:rsid w:val="00E000D8"/>
    <w:rsid w:val="00E005EB"/>
    <w:rsid w:val="00E01A13"/>
    <w:rsid w:val="00E0212B"/>
    <w:rsid w:val="00E04335"/>
    <w:rsid w:val="00E10CC8"/>
    <w:rsid w:val="00E14C14"/>
    <w:rsid w:val="00E15B86"/>
    <w:rsid w:val="00E219F2"/>
    <w:rsid w:val="00E24EE3"/>
    <w:rsid w:val="00E25929"/>
    <w:rsid w:val="00E261A4"/>
    <w:rsid w:val="00E30E0F"/>
    <w:rsid w:val="00E32E3C"/>
    <w:rsid w:val="00E348E3"/>
    <w:rsid w:val="00E35E1B"/>
    <w:rsid w:val="00E40446"/>
    <w:rsid w:val="00E4504D"/>
    <w:rsid w:val="00E50180"/>
    <w:rsid w:val="00E50B88"/>
    <w:rsid w:val="00E52BAA"/>
    <w:rsid w:val="00E60AD8"/>
    <w:rsid w:val="00E60C7E"/>
    <w:rsid w:val="00E66A12"/>
    <w:rsid w:val="00E77B0C"/>
    <w:rsid w:val="00E85D18"/>
    <w:rsid w:val="00E863ED"/>
    <w:rsid w:val="00E86A76"/>
    <w:rsid w:val="00E92064"/>
    <w:rsid w:val="00E95BCE"/>
    <w:rsid w:val="00EA0E40"/>
    <w:rsid w:val="00EA146D"/>
    <w:rsid w:val="00EB278A"/>
    <w:rsid w:val="00EB2FEB"/>
    <w:rsid w:val="00EB34BB"/>
    <w:rsid w:val="00EB6028"/>
    <w:rsid w:val="00EB70EC"/>
    <w:rsid w:val="00EB7DAF"/>
    <w:rsid w:val="00EC47ED"/>
    <w:rsid w:val="00EC799C"/>
    <w:rsid w:val="00ED5ADF"/>
    <w:rsid w:val="00ED6BC9"/>
    <w:rsid w:val="00ED7016"/>
    <w:rsid w:val="00EE13BC"/>
    <w:rsid w:val="00EE2B4A"/>
    <w:rsid w:val="00EE7189"/>
    <w:rsid w:val="00EF0C38"/>
    <w:rsid w:val="00EF5F6A"/>
    <w:rsid w:val="00F02505"/>
    <w:rsid w:val="00F06397"/>
    <w:rsid w:val="00F10437"/>
    <w:rsid w:val="00F23B46"/>
    <w:rsid w:val="00F250E2"/>
    <w:rsid w:val="00F27A2D"/>
    <w:rsid w:val="00F3043E"/>
    <w:rsid w:val="00F32B3C"/>
    <w:rsid w:val="00F35B13"/>
    <w:rsid w:val="00F35ED0"/>
    <w:rsid w:val="00F43889"/>
    <w:rsid w:val="00F44277"/>
    <w:rsid w:val="00F53663"/>
    <w:rsid w:val="00F5536A"/>
    <w:rsid w:val="00F5741D"/>
    <w:rsid w:val="00F57F63"/>
    <w:rsid w:val="00F57FB5"/>
    <w:rsid w:val="00F63C73"/>
    <w:rsid w:val="00F6630E"/>
    <w:rsid w:val="00F66832"/>
    <w:rsid w:val="00F67F76"/>
    <w:rsid w:val="00F720F8"/>
    <w:rsid w:val="00F75BD4"/>
    <w:rsid w:val="00F8026C"/>
    <w:rsid w:val="00F82BFA"/>
    <w:rsid w:val="00F87917"/>
    <w:rsid w:val="00F9636E"/>
    <w:rsid w:val="00F971DC"/>
    <w:rsid w:val="00FA7876"/>
    <w:rsid w:val="00FB0763"/>
    <w:rsid w:val="00FB16B6"/>
    <w:rsid w:val="00FB2AED"/>
    <w:rsid w:val="00FB32E9"/>
    <w:rsid w:val="00FB500E"/>
    <w:rsid w:val="00FB5455"/>
    <w:rsid w:val="00FB6161"/>
    <w:rsid w:val="00FB7195"/>
    <w:rsid w:val="00FC1AA0"/>
    <w:rsid w:val="00FC296B"/>
    <w:rsid w:val="00FC3D4A"/>
    <w:rsid w:val="00FC3EE3"/>
    <w:rsid w:val="00FD337F"/>
    <w:rsid w:val="00FD7D06"/>
    <w:rsid w:val="00FE2CCF"/>
    <w:rsid w:val="00FE4921"/>
    <w:rsid w:val="00FE7991"/>
    <w:rsid w:val="00FF1A59"/>
    <w:rsid w:val="00FF2EFE"/>
    <w:rsid w:val="00FF38D7"/>
    <w:rsid w:val="00FF4C1A"/>
    <w:rsid w:val="00FF615B"/>
    <w:rsid w:val="00FF6B53"/>
    <w:rsid w:val="1A92A08D"/>
    <w:rsid w:val="3C96BA9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66DB5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B3C"/>
    <w:pPr>
      <w:spacing w:after="0" w:line="240" w:lineRule="auto"/>
    </w:pPr>
    <w:rPr>
      <w:rFonts w:ascii="Calibri" w:hAnsi="Calibri" w:cs="Calibri"/>
      <w:kern w:val="0"/>
      <w:lang w:eastAsia="en-GB"/>
      <w14:ligatures w14:val="none"/>
    </w:rPr>
  </w:style>
  <w:style w:type="paragraph" w:styleId="Heading1">
    <w:name w:val="heading 1"/>
    <w:basedOn w:val="Normal"/>
    <w:next w:val="Normal"/>
    <w:link w:val="Heading1Char"/>
    <w:autoRedefine/>
    <w:uiPriority w:val="9"/>
    <w:qFormat/>
    <w:rsid w:val="00FC296B"/>
    <w:pPr>
      <w:keepNext/>
      <w:keepLines/>
      <w:spacing w:before="240" w:after="120" w:line="360" w:lineRule="auto"/>
      <w:jc w:val="both"/>
      <w:outlineLvl w:val="0"/>
    </w:pPr>
    <w:rPr>
      <w:rFonts w:ascii="Times New Roman" w:eastAsiaTheme="majorEastAsia" w:hAnsi="Times New Roman" w:cstheme="majorBidi"/>
      <w:b/>
      <w:sz w:val="32"/>
      <w:szCs w:val="32"/>
      <w:lang w:eastAsia="zh-CN"/>
    </w:rPr>
  </w:style>
  <w:style w:type="paragraph" w:styleId="Heading2">
    <w:name w:val="heading 2"/>
    <w:basedOn w:val="Normal"/>
    <w:next w:val="Normal"/>
    <w:link w:val="Heading2Char"/>
    <w:autoRedefine/>
    <w:uiPriority w:val="9"/>
    <w:unhideWhenUsed/>
    <w:qFormat/>
    <w:rsid w:val="00FC296B"/>
    <w:pPr>
      <w:keepNext/>
      <w:keepLines/>
      <w:spacing w:before="120" w:after="120" w:line="360" w:lineRule="auto"/>
      <w:jc w:val="both"/>
      <w:outlineLvl w:val="1"/>
    </w:pPr>
    <w:rPr>
      <w:rFonts w:ascii="Times New Roman" w:eastAsiaTheme="majorEastAsia" w:hAnsi="Times New Roman" w:cstheme="majorBidi"/>
      <w:i/>
      <w:kern w:val="2"/>
      <w:sz w:val="28"/>
      <w:szCs w:val="26"/>
      <w:lang w:eastAsia="en-US"/>
      <w14:ligatures w14:val="standardContextual"/>
    </w:rPr>
  </w:style>
  <w:style w:type="paragraph" w:styleId="Heading3">
    <w:name w:val="heading 3"/>
    <w:basedOn w:val="Normal"/>
    <w:next w:val="Normal"/>
    <w:link w:val="Heading3Char"/>
    <w:autoRedefine/>
    <w:uiPriority w:val="9"/>
    <w:unhideWhenUsed/>
    <w:qFormat/>
    <w:rsid w:val="00FC296B"/>
    <w:pPr>
      <w:keepNext/>
      <w:keepLines/>
      <w:spacing w:before="120" w:after="120" w:line="360" w:lineRule="auto"/>
      <w:jc w:val="both"/>
      <w:outlineLvl w:val="2"/>
    </w:pPr>
    <w:rPr>
      <w:rFonts w:ascii="Times New Roman" w:eastAsiaTheme="majorEastAsia" w:hAnsi="Times New Roman" w:cs="Times New Roman"/>
      <w:i/>
      <w:kern w:val="2"/>
      <w:sz w:val="28"/>
      <w:szCs w:val="24"/>
      <w:lang w:eastAsia="en-US"/>
      <w14:ligatures w14:val="standardContextual"/>
    </w:rPr>
  </w:style>
  <w:style w:type="paragraph" w:styleId="Heading4">
    <w:name w:val="heading 4"/>
    <w:basedOn w:val="Normal"/>
    <w:next w:val="Normal"/>
    <w:link w:val="Heading4Char"/>
    <w:autoRedefine/>
    <w:uiPriority w:val="9"/>
    <w:unhideWhenUsed/>
    <w:qFormat/>
    <w:rsid w:val="00FC296B"/>
    <w:pPr>
      <w:keepNext/>
      <w:keepLines/>
      <w:spacing w:before="40" w:after="240" w:line="360" w:lineRule="auto"/>
      <w:jc w:val="both"/>
      <w:outlineLvl w:val="3"/>
    </w:pPr>
    <w:rPr>
      <w:rFonts w:ascii="Times New Roman" w:eastAsiaTheme="majorEastAsia" w:hAnsi="Times New Roman" w:cs="Times New Roman"/>
      <w:iCs/>
      <w:color w:val="000000" w:themeColor="text1"/>
      <w:sz w:val="24"/>
      <w:szCs w:val="24"/>
      <w:lang w:eastAsia="zh-CN"/>
    </w:rPr>
  </w:style>
  <w:style w:type="paragraph" w:styleId="Heading5">
    <w:name w:val="heading 5"/>
    <w:basedOn w:val="Normal"/>
    <w:next w:val="Normal"/>
    <w:link w:val="Heading5Char"/>
    <w:uiPriority w:val="9"/>
    <w:unhideWhenUsed/>
    <w:qFormat/>
    <w:rsid w:val="00FC296B"/>
    <w:pPr>
      <w:keepNext/>
      <w:keepLines/>
      <w:spacing w:before="200" w:line="259" w:lineRule="auto"/>
      <w:outlineLvl w:val="4"/>
    </w:pPr>
    <w:rPr>
      <w:rFonts w:asciiTheme="majorHAnsi" w:eastAsiaTheme="majorEastAsia" w:hAnsiTheme="majorHAnsi" w:cstheme="majorBidi"/>
      <w:color w:val="1F3763" w:themeColor="accent1" w:themeShade="7F"/>
      <w:kern w:val="2"/>
      <w:sz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32B3C"/>
    <w:pPr>
      <w:spacing w:before="100" w:beforeAutospacing="1" w:after="100" w:afterAutospacing="1"/>
    </w:pPr>
  </w:style>
  <w:style w:type="paragraph" w:customStyle="1" w:styleId="Default">
    <w:name w:val="Default"/>
    <w:rsid w:val="00016B7C"/>
    <w:pPr>
      <w:autoSpaceDE w:val="0"/>
      <w:autoSpaceDN w:val="0"/>
      <w:adjustRightInd w:val="0"/>
      <w:spacing w:after="0" w:line="240" w:lineRule="auto"/>
    </w:pPr>
    <w:rPr>
      <w:rFonts w:ascii="Myriad Pro" w:hAnsi="Myriad Pro" w:cs="Myriad Pro"/>
      <w:color w:val="000000"/>
      <w:kern w:val="0"/>
      <w:sz w:val="24"/>
      <w:szCs w:val="24"/>
    </w:rPr>
  </w:style>
  <w:style w:type="character" w:styleId="CommentReference">
    <w:name w:val="annotation reference"/>
    <w:basedOn w:val="DefaultParagraphFont"/>
    <w:uiPriority w:val="99"/>
    <w:semiHidden/>
    <w:unhideWhenUsed/>
    <w:rsid w:val="00CE4B7F"/>
    <w:rPr>
      <w:sz w:val="16"/>
      <w:szCs w:val="16"/>
    </w:rPr>
  </w:style>
  <w:style w:type="paragraph" w:styleId="CommentText">
    <w:name w:val="annotation text"/>
    <w:basedOn w:val="Normal"/>
    <w:link w:val="CommentTextChar"/>
    <w:uiPriority w:val="99"/>
    <w:unhideWhenUsed/>
    <w:rsid w:val="00CE4B7F"/>
    <w:rPr>
      <w:sz w:val="20"/>
      <w:szCs w:val="20"/>
    </w:rPr>
  </w:style>
  <w:style w:type="character" w:customStyle="1" w:styleId="CommentTextChar">
    <w:name w:val="Comment Text Char"/>
    <w:basedOn w:val="DefaultParagraphFont"/>
    <w:link w:val="CommentText"/>
    <w:uiPriority w:val="99"/>
    <w:rsid w:val="00CE4B7F"/>
    <w:rPr>
      <w:rFonts w:ascii="Calibri" w:hAnsi="Calibri" w:cs="Calibri"/>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CE4B7F"/>
    <w:rPr>
      <w:b/>
      <w:bCs/>
    </w:rPr>
  </w:style>
  <w:style w:type="character" w:customStyle="1" w:styleId="CommentSubjectChar">
    <w:name w:val="Comment Subject Char"/>
    <w:basedOn w:val="CommentTextChar"/>
    <w:link w:val="CommentSubject"/>
    <w:uiPriority w:val="99"/>
    <w:semiHidden/>
    <w:rsid w:val="00CE4B7F"/>
    <w:rPr>
      <w:rFonts w:ascii="Calibri" w:hAnsi="Calibri" w:cs="Calibri"/>
      <w:b/>
      <w:bCs/>
      <w:kern w:val="0"/>
      <w:sz w:val="20"/>
      <w:szCs w:val="20"/>
      <w:lang w:eastAsia="en-GB"/>
      <w14:ligatures w14:val="none"/>
    </w:rPr>
  </w:style>
  <w:style w:type="paragraph" w:styleId="Header">
    <w:name w:val="header"/>
    <w:basedOn w:val="Normal"/>
    <w:link w:val="HeaderChar"/>
    <w:uiPriority w:val="99"/>
    <w:unhideWhenUsed/>
    <w:rsid w:val="00E60C7E"/>
    <w:pPr>
      <w:tabs>
        <w:tab w:val="center" w:pos="4513"/>
        <w:tab w:val="right" w:pos="9026"/>
      </w:tabs>
    </w:pPr>
  </w:style>
  <w:style w:type="character" w:customStyle="1" w:styleId="HeaderChar">
    <w:name w:val="Header Char"/>
    <w:basedOn w:val="DefaultParagraphFont"/>
    <w:link w:val="Header"/>
    <w:uiPriority w:val="99"/>
    <w:rsid w:val="00E60C7E"/>
    <w:rPr>
      <w:rFonts w:ascii="Calibri" w:hAnsi="Calibri" w:cs="Calibri"/>
      <w:kern w:val="0"/>
      <w:lang w:eastAsia="en-GB"/>
      <w14:ligatures w14:val="none"/>
    </w:rPr>
  </w:style>
  <w:style w:type="paragraph" w:styleId="Footer">
    <w:name w:val="footer"/>
    <w:basedOn w:val="Normal"/>
    <w:link w:val="FooterChar"/>
    <w:uiPriority w:val="99"/>
    <w:unhideWhenUsed/>
    <w:rsid w:val="00E60C7E"/>
    <w:pPr>
      <w:tabs>
        <w:tab w:val="center" w:pos="4513"/>
        <w:tab w:val="right" w:pos="9026"/>
      </w:tabs>
    </w:pPr>
  </w:style>
  <w:style w:type="character" w:customStyle="1" w:styleId="FooterChar">
    <w:name w:val="Footer Char"/>
    <w:basedOn w:val="DefaultParagraphFont"/>
    <w:link w:val="Footer"/>
    <w:uiPriority w:val="99"/>
    <w:rsid w:val="00E60C7E"/>
    <w:rPr>
      <w:rFonts w:ascii="Calibri" w:hAnsi="Calibri" w:cs="Calibri"/>
      <w:kern w:val="0"/>
      <w:lang w:eastAsia="en-GB"/>
      <w14:ligatures w14:val="none"/>
    </w:rPr>
  </w:style>
  <w:style w:type="character" w:styleId="Hyperlink">
    <w:name w:val="Hyperlink"/>
    <w:basedOn w:val="DefaultParagraphFont"/>
    <w:uiPriority w:val="99"/>
    <w:unhideWhenUsed/>
    <w:rsid w:val="00824EDA"/>
    <w:rPr>
      <w:color w:val="0563C1" w:themeColor="hyperlink"/>
      <w:u w:val="single"/>
    </w:rPr>
  </w:style>
  <w:style w:type="character" w:styleId="UnresolvedMention">
    <w:name w:val="Unresolved Mention"/>
    <w:basedOn w:val="DefaultParagraphFont"/>
    <w:uiPriority w:val="99"/>
    <w:semiHidden/>
    <w:unhideWhenUsed/>
    <w:rsid w:val="00824EDA"/>
    <w:rPr>
      <w:color w:val="605E5C"/>
      <w:shd w:val="clear" w:color="auto" w:fill="E1DFDD"/>
    </w:rPr>
  </w:style>
  <w:style w:type="character" w:customStyle="1" w:styleId="text-token-text-secondary">
    <w:name w:val="text-token-text-secondary"/>
    <w:basedOn w:val="DefaultParagraphFont"/>
    <w:rsid w:val="00356818"/>
  </w:style>
  <w:style w:type="character" w:styleId="FollowedHyperlink">
    <w:name w:val="FollowedHyperlink"/>
    <w:basedOn w:val="DefaultParagraphFont"/>
    <w:uiPriority w:val="99"/>
    <w:semiHidden/>
    <w:unhideWhenUsed/>
    <w:rsid w:val="00356818"/>
    <w:rPr>
      <w:color w:val="954F72" w:themeColor="followedHyperlink"/>
      <w:u w:val="single"/>
    </w:rPr>
  </w:style>
  <w:style w:type="paragraph" w:styleId="ListParagraph">
    <w:name w:val="List Paragraph"/>
    <w:basedOn w:val="Normal"/>
    <w:uiPriority w:val="34"/>
    <w:qFormat/>
    <w:rsid w:val="00C67063"/>
    <w:pPr>
      <w:spacing w:after="160" w:line="259" w:lineRule="auto"/>
      <w:ind w:left="720"/>
      <w:contextualSpacing/>
    </w:pPr>
    <w:rPr>
      <w:rFonts w:ascii="Arial" w:hAnsi="Arial" w:cstheme="minorBidi"/>
      <w:kern w:val="2"/>
      <w:sz w:val="24"/>
      <w:lang w:eastAsia="en-US"/>
      <w14:ligatures w14:val="standardContextual"/>
    </w:rPr>
  </w:style>
  <w:style w:type="character" w:customStyle="1" w:styleId="hgkelc">
    <w:name w:val="hgkelc"/>
    <w:basedOn w:val="DefaultParagraphFont"/>
    <w:rsid w:val="00C67063"/>
  </w:style>
  <w:style w:type="paragraph" w:styleId="Revision">
    <w:name w:val="Revision"/>
    <w:hidden/>
    <w:uiPriority w:val="99"/>
    <w:semiHidden/>
    <w:rsid w:val="00322F71"/>
    <w:pPr>
      <w:spacing w:after="0" w:line="240" w:lineRule="auto"/>
    </w:pPr>
    <w:rPr>
      <w:rFonts w:ascii="Calibri" w:hAnsi="Calibri" w:cs="Calibri"/>
      <w:kern w:val="0"/>
      <w:lang w:eastAsia="en-GB"/>
      <w14:ligatures w14:val="none"/>
    </w:rPr>
  </w:style>
  <w:style w:type="character" w:customStyle="1" w:styleId="Heading1Char">
    <w:name w:val="Heading 1 Char"/>
    <w:basedOn w:val="DefaultParagraphFont"/>
    <w:link w:val="Heading1"/>
    <w:uiPriority w:val="9"/>
    <w:rsid w:val="00FC296B"/>
    <w:rPr>
      <w:rFonts w:ascii="Times New Roman" w:eastAsiaTheme="majorEastAsia" w:hAnsi="Times New Roman" w:cstheme="majorBidi"/>
      <w:b/>
      <w:kern w:val="0"/>
      <w:sz w:val="32"/>
      <w:szCs w:val="32"/>
      <w:lang w:eastAsia="zh-CN"/>
      <w14:ligatures w14:val="none"/>
    </w:rPr>
  </w:style>
  <w:style w:type="character" w:customStyle="1" w:styleId="Heading2Char">
    <w:name w:val="Heading 2 Char"/>
    <w:basedOn w:val="DefaultParagraphFont"/>
    <w:link w:val="Heading2"/>
    <w:uiPriority w:val="9"/>
    <w:rsid w:val="00FC296B"/>
    <w:rPr>
      <w:rFonts w:ascii="Times New Roman" w:eastAsiaTheme="majorEastAsia" w:hAnsi="Times New Roman" w:cstheme="majorBidi"/>
      <w:i/>
      <w:sz w:val="28"/>
      <w:szCs w:val="26"/>
    </w:rPr>
  </w:style>
  <w:style w:type="character" w:customStyle="1" w:styleId="Heading3Char">
    <w:name w:val="Heading 3 Char"/>
    <w:basedOn w:val="DefaultParagraphFont"/>
    <w:link w:val="Heading3"/>
    <w:uiPriority w:val="9"/>
    <w:rsid w:val="00FC296B"/>
    <w:rPr>
      <w:rFonts w:ascii="Times New Roman" w:eastAsiaTheme="majorEastAsia" w:hAnsi="Times New Roman" w:cs="Times New Roman"/>
      <w:i/>
      <w:sz w:val="28"/>
      <w:szCs w:val="24"/>
    </w:rPr>
  </w:style>
  <w:style w:type="character" w:customStyle="1" w:styleId="Heading4Char">
    <w:name w:val="Heading 4 Char"/>
    <w:basedOn w:val="DefaultParagraphFont"/>
    <w:link w:val="Heading4"/>
    <w:uiPriority w:val="9"/>
    <w:rsid w:val="00FC296B"/>
    <w:rPr>
      <w:rFonts w:ascii="Times New Roman" w:eastAsiaTheme="majorEastAsia" w:hAnsi="Times New Roman" w:cs="Times New Roman"/>
      <w:iCs/>
      <w:color w:val="000000" w:themeColor="text1"/>
      <w:kern w:val="0"/>
      <w:sz w:val="24"/>
      <w:szCs w:val="24"/>
      <w:lang w:eastAsia="zh-CN"/>
      <w14:ligatures w14:val="none"/>
    </w:rPr>
  </w:style>
  <w:style w:type="character" w:customStyle="1" w:styleId="Heading5Char">
    <w:name w:val="Heading 5 Char"/>
    <w:basedOn w:val="DefaultParagraphFont"/>
    <w:link w:val="Heading5"/>
    <w:uiPriority w:val="9"/>
    <w:rsid w:val="00FC296B"/>
    <w:rPr>
      <w:rFonts w:asciiTheme="majorHAnsi" w:eastAsiaTheme="majorEastAsia" w:hAnsiTheme="majorHAnsi" w:cstheme="majorBidi"/>
      <w:color w:val="1F3763" w:themeColor="accent1" w:themeShade="7F"/>
      <w:sz w:val="24"/>
    </w:rPr>
  </w:style>
  <w:style w:type="character" w:styleId="Emphasis">
    <w:name w:val="Emphasis"/>
    <w:basedOn w:val="DefaultParagraphFont"/>
    <w:uiPriority w:val="20"/>
    <w:qFormat/>
    <w:rsid w:val="00FC296B"/>
    <w:rPr>
      <w:i/>
      <w:iCs/>
    </w:rPr>
  </w:style>
  <w:style w:type="paragraph" w:styleId="FootnoteText">
    <w:name w:val="footnote text"/>
    <w:basedOn w:val="Normal"/>
    <w:link w:val="FootnoteTextChar"/>
    <w:uiPriority w:val="99"/>
    <w:semiHidden/>
    <w:unhideWhenUsed/>
    <w:rsid w:val="00FC296B"/>
    <w:rPr>
      <w:rFonts w:eastAsia="Calibri"/>
      <w:sz w:val="20"/>
      <w:szCs w:val="20"/>
    </w:rPr>
  </w:style>
  <w:style w:type="character" w:customStyle="1" w:styleId="FootnoteTextChar">
    <w:name w:val="Footnote Text Char"/>
    <w:basedOn w:val="DefaultParagraphFont"/>
    <w:link w:val="FootnoteText"/>
    <w:uiPriority w:val="99"/>
    <w:semiHidden/>
    <w:rsid w:val="00FC296B"/>
    <w:rPr>
      <w:rFonts w:ascii="Calibri" w:eastAsia="Calibri" w:hAnsi="Calibri" w:cs="Calibri"/>
      <w:kern w:val="0"/>
      <w:sz w:val="20"/>
      <w:szCs w:val="20"/>
      <w:lang w:eastAsia="en-GB"/>
      <w14:ligatures w14:val="none"/>
    </w:rPr>
  </w:style>
  <w:style w:type="character" w:styleId="FootnoteReference">
    <w:name w:val="footnote reference"/>
    <w:basedOn w:val="DefaultParagraphFont"/>
    <w:uiPriority w:val="99"/>
    <w:semiHidden/>
    <w:unhideWhenUsed/>
    <w:rsid w:val="00FC296B"/>
    <w:rPr>
      <w:vertAlign w:val="superscript"/>
    </w:rPr>
  </w:style>
  <w:style w:type="character" w:customStyle="1" w:styleId="Mention1">
    <w:name w:val="Mention1"/>
    <w:basedOn w:val="DefaultParagraphFont"/>
    <w:uiPriority w:val="99"/>
    <w:unhideWhenUsed/>
    <w:rsid w:val="00FC296B"/>
    <w:rPr>
      <w:color w:val="2B579A"/>
      <w:shd w:val="clear" w:color="auto" w:fill="E1DFDD"/>
    </w:rPr>
  </w:style>
  <w:style w:type="paragraph" w:customStyle="1" w:styleId="pf0">
    <w:name w:val="pf0"/>
    <w:basedOn w:val="Normal"/>
    <w:rsid w:val="00FC296B"/>
    <w:pPr>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FC296B"/>
    <w:rPr>
      <w:rFonts w:ascii="Segoe UI" w:hAnsi="Segoe UI" w:cs="Segoe UI" w:hint="default"/>
      <w:sz w:val="18"/>
      <w:szCs w:val="18"/>
    </w:rPr>
  </w:style>
  <w:style w:type="paragraph" w:styleId="Caption">
    <w:name w:val="caption"/>
    <w:basedOn w:val="Normal"/>
    <w:next w:val="Normal"/>
    <w:uiPriority w:val="35"/>
    <w:unhideWhenUsed/>
    <w:qFormat/>
    <w:rsid w:val="00FC296B"/>
    <w:pPr>
      <w:spacing w:after="200"/>
    </w:pPr>
    <w:rPr>
      <w:rFonts w:ascii="Arial" w:hAnsi="Arial" w:cstheme="minorBidi"/>
      <w:i/>
      <w:iCs/>
      <w:kern w:val="2"/>
      <w:sz w:val="24"/>
      <w:szCs w:val="18"/>
      <w:lang w:eastAsia="en-US"/>
      <w14:ligatures w14:val="standardContextual"/>
    </w:rPr>
  </w:style>
  <w:style w:type="character" w:customStyle="1" w:styleId="sv-string-viewer">
    <w:name w:val="sv-string-viewer"/>
    <w:basedOn w:val="DefaultParagraphFont"/>
    <w:rsid w:val="00FC296B"/>
  </w:style>
  <w:style w:type="table" w:customStyle="1" w:styleId="GridTable1Light-Accent11">
    <w:name w:val="Grid Table 1 Light - Accent 11"/>
    <w:basedOn w:val="TableNormal"/>
    <w:uiPriority w:val="46"/>
    <w:rsid w:val="00FC296B"/>
    <w:pPr>
      <w:spacing w:after="0" w:line="240" w:lineRule="auto"/>
    </w:pPr>
    <w:rPr>
      <w:rFonts w:eastAsiaTheme="minorEastAsia"/>
      <w:kern w:val="0"/>
      <w:sz w:val="24"/>
      <w:szCs w:val="24"/>
      <w:lang w:eastAsia="zh-CN"/>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FC296B"/>
    <w:rPr>
      <w:color w:val="605E5C"/>
      <w:shd w:val="clear" w:color="auto" w:fill="E1DFDD"/>
    </w:rPr>
  </w:style>
  <w:style w:type="paragraph" w:customStyle="1" w:styleId="referencetext">
    <w:name w:val="referencetext"/>
    <w:basedOn w:val="Normal"/>
    <w:rsid w:val="00FC296B"/>
    <w:pPr>
      <w:spacing w:before="100" w:beforeAutospacing="1" w:after="100" w:afterAutospacing="1"/>
    </w:pPr>
    <w:rPr>
      <w:rFonts w:ascii="Times New Roman" w:eastAsia="Times New Roman" w:hAnsi="Times New Roman" w:cs="Times New Roman"/>
      <w:sz w:val="24"/>
      <w:szCs w:val="24"/>
      <w:lang w:eastAsia="zh-CN"/>
    </w:rPr>
  </w:style>
  <w:style w:type="table" w:styleId="TableGrid">
    <w:name w:val="Table Grid"/>
    <w:basedOn w:val="TableNormal"/>
    <w:uiPriority w:val="59"/>
    <w:rsid w:val="00FC296B"/>
    <w:pPr>
      <w:spacing w:after="0" w:line="240" w:lineRule="auto"/>
    </w:pPr>
    <w:rPr>
      <w:rFonts w:eastAsiaTheme="minorEastAsia"/>
      <w:kern w:val="0"/>
      <w:sz w:val="24"/>
      <w:szCs w:val="24"/>
      <w:lang w:eastAsia="zh-CN"/>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f11">
    <w:name w:val="cf11"/>
    <w:basedOn w:val="DefaultParagraphFont"/>
    <w:rsid w:val="00FC296B"/>
    <w:rPr>
      <w:rFonts w:ascii="Segoe UI" w:hAnsi="Segoe UI" w:cs="Segoe UI" w:hint="default"/>
      <w:i/>
      <w:iCs/>
      <w:sz w:val="18"/>
      <w:szCs w:val="18"/>
    </w:rPr>
  </w:style>
  <w:style w:type="character" w:styleId="PageNumber">
    <w:name w:val="page number"/>
    <w:basedOn w:val="DefaultParagraphFont"/>
    <w:uiPriority w:val="99"/>
    <w:semiHidden/>
    <w:unhideWhenUsed/>
    <w:rsid w:val="00FC296B"/>
  </w:style>
  <w:style w:type="paragraph" w:styleId="TOCHeading">
    <w:name w:val="TOC Heading"/>
    <w:basedOn w:val="Heading1"/>
    <w:next w:val="Normal"/>
    <w:uiPriority w:val="39"/>
    <w:unhideWhenUsed/>
    <w:qFormat/>
    <w:rsid w:val="00FC296B"/>
    <w:pPr>
      <w:spacing w:after="0" w:line="259" w:lineRule="auto"/>
      <w:outlineLvl w:val="9"/>
    </w:pPr>
    <w:rPr>
      <w:rFonts w:asciiTheme="majorHAnsi" w:hAnsiTheme="majorHAnsi"/>
      <w:b w:val="0"/>
      <w:color w:val="2F5496" w:themeColor="accent1" w:themeShade="BF"/>
      <w:lang w:val="en-US" w:eastAsia="en-US"/>
    </w:rPr>
  </w:style>
  <w:style w:type="paragraph" w:styleId="TOC1">
    <w:name w:val="toc 1"/>
    <w:basedOn w:val="Normal"/>
    <w:next w:val="Normal"/>
    <w:autoRedefine/>
    <w:uiPriority w:val="39"/>
    <w:unhideWhenUsed/>
    <w:rsid w:val="00FC296B"/>
    <w:pPr>
      <w:spacing w:after="100" w:line="259" w:lineRule="auto"/>
    </w:pPr>
    <w:rPr>
      <w:rFonts w:ascii="Arial" w:hAnsi="Arial" w:cstheme="minorBidi"/>
      <w:kern w:val="2"/>
      <w:sz w:val="24"/>
      <w:lang w:eastAsia="en-US"/>
      <w14:ligatures w14:val="standardContextual"/>
    </w:rPr>
  </w:style>
  <w:style w:type="paragraph" w:styleId="TOC2">
    <w:name w:val="toc 2"/>
    <w:basedOn w:val="Normal"/>
    <w:next w:val="Normal"/>
    <w:autoRedefine/>
    <w:uiPriority w:val="39"/>
    <w:unhideWhenUsed/>
    <w:rsid w:val="00FC296B"/>
    <w:pPr>
      <w:spacing w:after="100" w:line="259" w:lineRule="auto"/>
      <w:ind w:left="240"/>
    </w:pPr>
    <w:rPr>
      <w:rFonts w:ascii="Arial" w:hAnsi="Arial" w:cstheme="minorBidi"/>
      <w:kern w:val="2"/>
      <w:sz w:val="24"/>
      <w:lang w:eastAsia="en-US"/>
      <w14:ligatures w14:val="standardContextual"/>
    </w:rPr>
  </w:style>
  <w:style w:type="paragraph" w:styleId="TOC3">
    <w:name w:val="toc 3"/>
    <w:basedOn w:val="Normal"/>
    <w:next w:val="Normal"/>
    <w:autoRedefine/>
    <w:uiPriority w:val="39"/>
    <w:unhideWhenUsed/>
    <w:rsid w:val="00FC296B"/>
    <w:pPr>
      <w:spacing w:after="100" w:line="259" w:lineRule="auto"/>
      <w:ind w:left="480"/>
    </w:pPr>
    <w:rPr>
      <w:rFonts w:ascii="Arial" w:hAnsi="Arial" w:cstheme="minorBidi"/>
      <w:kern w:val="2"/>
      <w:sz w:val="24"/>
      <w:lang w:eastAsia="en-US"/>
      <w14:ligatures w14:val="standardContextual"/>
    </w:rPr>
  </w:style>
  <w:style w:type="paragraph" w:styleId="EndnoteText">
    <w:name w:val="endnote text"/>
    <w:basedOn w:val="Normal"/>
    <w:link w:val="EndnoteTextChar"/>
    <w:uiPriority w:val="99"/>
    <w:semiHidden/>
    <w:unhideWhenUsed/>
    <w:rsid w:val="00FC296B"/>
    <w:rPr>
      <w:rFonts w:ascii="Arial" w:hAnsi="Arial" w:cstheme="minorBidi"/>
      <w:kern w:val="2"/>
      <w:sz w:val="20"/>
      <w:szCs w:val="20"/>
      <w:lang w:eastAsia="en-US"/>
      <w14:ligatures w14:val="standardContextual"/>
    </w:rPr>
  </w:style>
  <w:style w:type="character" w:customStyle="1" w:styleId="EndnoteTextChar">
    <w:name w:val="Endnote Text Char"/>
    <w:basedOn w:val="DefaultParagraphFont"/>
    <w:link w:val="EndnoteText"/>
    <w:uiPriority w:val="99"/>
    <w:semiHidden/>
    <w:rsid w:val="00FC296B"/>
    <w:rPr>
      <w:rFonts w:ascii="Arial" w:hAnsi="Arial"/>
      <w:sz w:val="20"/>
      <w:szCs w:val="20"/>
    </w:rPr>
  </w:style>
  <w:style w:type="character" w:styleId="EndnoteReference">
    <w:name w:val="endnote reference"/>
    <w:basedOn w:val="DefaultParagraphFont"/>
    <w:uiPriority w:val="99"/>
    <w:semiHidden/>
    <w:unhideWhenUsed/>
    <w:rsid w:val="00FC296B"/>
    <w:rPr>
      <w:vertAlign w:val="superscript"/>
    </w:rPr>
  </w:style>
  <w:style w:type="paragraph" w:styleId="BalloonText">
    <w:name w:val="Balloon Text"/>
    <w:basedOn w:val="Normal"/>
    <w:link w:val="BalloonTextChar"/>
    <w:uiPriority w:val="99"/>
    <w:semiHidden/>
    <w:unhideWhenUsed/>
    <w:rsid w:val="00FC296B"/>
    <w:rPr>
      <w:rFonts w:ascii="Tahoma" w:hAnsi="Tahoma" w:cs="Tahoma"/>
      <w:kern w:val="2"/>
      <w:sz w:val="16"/>
      <w:szCs w:val="16"/>
      <w:lang w:eastAsia="en-US"/>
      <w14:ligatures w14:val="standardContextual"/>
    </w:rPr>
  </w:style>
  <w:style w:type="character" w:customStyle="1" w:styleId="BalloonTextChar">
    <w:name w:val="Balloon Text Char"/>
    <w:basedOn w:val="DefaultParagraphFont"/>
    <w:link w:val="BalloonText"/>
    <w:uiPriority w:val="99"/>
    <w:semiHidden/>
    <w:rsid w:val="00FC296B"/>
    <w:rPr>
      <w:rFonts w:ascii="Tahoma" w:hAnsi="Tahoma" w:cs="Tahoma"/>
      <w:sz w:val="16"/>
      <w:szCs w:val="16"/>
    </w:rPr>
  </w:style>
  <w:style w:type="paragraph" w:customStyle="1" w:styleId="MyStyle1">
    <w:name w:val="My Style1"/>
    <w:basedOn w:val="Heading2"/>
    <w:link w:val="MyStyle1Char"/>
    <w:qFormat/>
    <w:rsid w:val="00FC296B"/>
    <w:pPr>
      <w:keepNext w:val="0"/>
      <w:keepLines w:val="0"/>
      <w:spacing w:before="0" w:after="160" w:line="480" w:lineRule="auto"/>
      <w:jc w:val="left"/>
    </w:pPr>
    <w:rPr>
      <w:rFonts w:cs="Times New Roman"/>
      <w:b/>
      <w:bCs/>
      <w:iCs/>
      <w:sz w:val="24"/>
    </w:rPr>
  </w:style>
  <w:style w:type="character" w:customStyle="1" w:styleId="MyStyle1Char">
    <w:name w:val="My Style1 Char"/>
    <w:basedOn w:val="Heading2Char"/>
    <w:link w:val="MyStyle1"/>
    <w:rsid w:val="00FC296B"/>
    <w:rPr>
      <w:rFonts w:ascii="Times New Roman" w:eastAsiaTheme="majorEastAsia" w:hAnsi="Times New Roman" w:cs="Times New Roman"/>
      <w:b/>
      <w:bCs/>
      <w:i/>
      <w:iCs/>
      <w:sz w:val="24"/>
      <w:szCs w:val="26"/>
    </w:rPr>
  </w:style>
  <w:style w:type="character" w:styleId="PlaceholderText">
    <w:name w:val="Placeholder Text"/>
    <w:basedOn w:val="DefaultParagraphFont"/>
    <w:uiPriority w:val="99"/>
    <w:semiHidden/>
    <w:rsid w:val="00FC296B"/>
    <w:rPr>
      <w:color w:val="808080"/>
    </w:rPr>
  </w:style>
  <w:style w:type="table" w:styleId="TableGridLight">
    <w:name w:val="Grid Table Light"/>
    <w:basedOn w:val="TableNormal"/>
    <w:uiPriority w:val="40"/>
    <w:rsid w:val="00FC29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FC29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C296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FC29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C296B"/>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94600">
      <w:bodyDiv w:val="1"/>
      <w:marLeft w:val="0"/>
      <w:marRight w:val="0"/>
      <w:marTop w:val="0"/>
      <w:marBottom w:val="0"/>
      <w:divBdr>
        <w:top w:val="none" w:sz="0" w:space="0" w:color="auto"/>
        <w:left w:val="none" w:sz="0" w:space="0" w:color="auto"/>
        <w:bottom w:val="none" w:sz="0" w:space="0" w:color="auto"/>
        <w:right w:val="none" w:sz="0" w:space="0" w:color="auto"/>
      </w:divBdr>
    </w:div>
    <w:div w:id="11616996">
      <w:bodyDiv w:val="1"/>
      <w:marLeft w:val="0"/>
      <w:marRight w:val="0"/>
      <w:marTop w:val="0"/>
      <w:marBottom w:val="0"/>
      <w:divBdr>
        <w:top w:val="none" w:sz="0" w:space="0" w:color="auto"/>
        <w:left w:val="none" w:sz="0" w:space="0" w:color="auto"/>
        <w:bottom w:val="none" w:sz="0" w:space="0" w:color="auto"/>
        <w:right w:val="none" w:sz="0" w:space="0" w:color="auto"/>
      </w:divBdr>
    </w:div>
    <w:div w:id="133834775">
      <w:bodyDiv w:val="1"/>
      <w:marLeft w:val="0"/>
      <w:marRight w:val="0"/>
      <w:marTop w:val="0"/>
      <w:marBottom w:val="0"/>
      <w:divBdr>
        <w:top w:val="none" w:sz="0" w:space="0" w:color="auto"/>
        <w:left w:val="none" w:sz="0" w:space="0" w:color="auto"/>
        <w:bottom w:val="none" w:sz="0" w:space="0" w:color="auto"/>
        <w:right w:val="none" w:sz="0" w:space="0" w:color="auto"/>
      </w:divBdr>
    </w:div>
    <w:div w:id="340595894">
      <w:bodyDiv w:val="1"/>
      <w:marLeft w:val="0"/>
      <w:marRight w:val="0"/>
      <w:marTop w:val="0"/>
      <w:marBottom w:val="0"/>
      <w:divBdr>
        <w:top w:val="none" w:sz="0" w:space="0" w:color="auto"/>
        <w:left w:val="none" w:sz="0" w:space="0" w:color="auto"/>
        <w:bottom w:val="none" w:sz="0" w:space="0" w:color="auto"/>
        <w:right w:val="none" w:sz="0" w:space="0" w:color="auto"/>
      </w:divBdr>
    </w:div>
    <w:div w:id="518080595">
      <w:bodyDiv w:val="1"/>
      <w:marLeft w:val="0"/>
      <w:marRight w:val="0"/>
      <w:marTop w:val="0"/>
      <w:marBottom w:val="0"/>
      <w:divBdr>
        <w:top w:val="none" w:sz="0" w:space="0" w:color="auto"/>
        <w:left w:val="none" w:sz="0" w:space="0" w:color="auto"/>
        <w:bottom w:val="none" w:sz="0" w:space="0" w:color="auto"/>
        <w:right w:val="none" w:sz="0" w:space="0" w:color="auto"/>
      </w:divBdr>
    </w:div>
    <w:div w:id="562253102">
      <w:bodyDiv w:val="1"/>
      <w:marLeft w:val="0"/>
      <w:marRight w:val="0"/>
      <w:marTop w:val="0"/>
      <w:marBottom w:val="0"/>
      <w:divBdr>
        <w:top w:val="none" w:sz="0" w:space="0" w:color="auto"/>
        <w:left w:val="none" w:sz="0" w:space="0" w:color="auto"/>
        <w:bottom w:val="none" w:sz="0" w:space="0" w:color="auto"/>
        <w:right w:val="none" w:sz="0" w:space="0" w:color="auto"/>
      </w:divBdr>
    </w:div>
    <w:div w:id="659969536">
      <w:bodyDiv w:val="1"/>
      <w:marLeft w:val="0"/>
      <w:marRight w:val="0"/>
      <w:marTop w:val="0"/>
      <w:marBottom w:val="0"/>
      <w:divBdr>
        <w:top w:val="none" w:sz="0" w:space="0" w:color="auto"/>
        <w:left w:val="none" w:sz="0" w:space="0" w:color="auto"/>
        <w:bottom w:val="none" w:sz="0" w:space="0" w:color="auto"/>
        <w:right w:val="none" w:sz="0" w:space="0" w:color="auto"/>
      </w:divBdr>
    </w:div>
    <w:div w:id="814639168">
      <w:bodyDiv w:val="1"/>
      <w:marLeft w:val="0"/>
      <w:marRight w:val="0"/>
      <w:marTop w:val="0"/>
      <w:marBottom w:val="0"/>
      <w:divBdr>
        <w:top w:val="none" w:sz="0" w:space="0" w:color="auto"/>
        <w:left w:val="none" w:sz="0" w:space="0" w:color="auto"/>
        <w:bottom w:val="none" w:sz="0" w:space="0" w:color="auto"/>
        <w:right w:val="none" w:sz="0" w:space="0" w:color="auto"/>
      </w:divBdr>
    </w:div>
    <w:div w:id="832457065">
      <w:bodyDiv w:val="1"/>
      <w:marLeft w:val="0"/>
      <w:marRight w:val="0"/>
      <w:marTop w:val="0"/>
      <w:marBottom w:val="0"/>
      <w:divBdr>
        <w:top w:val="none" w:sz="0" w:space="0" w:color="auto"/>
        <w:left w:val="none" w:sz="0" w:space="0" w:color="auto"/>
        <w:bottom w:val="none" w:sz="0" w:space="0" w:color="auto"/>
        <w:right w:val="none" w:sz="0" w:space="0" w:color="auto"/>
      </w:divBdr>
    </w:div>
    <w:div w:id="1117600764">
      <w:bodyDiv w:val="1"/>
      <w:marLeft w:val="0"/>
      <w:marRight w:val="0"/>
      <w:marTop w:val="0"/>
      <w:marBottom w:val="0"/>
      <w:divBdr>
        <w:top w:val="none" w:sz="0" w:space="0" w:color="auto"/>
        <w:left w:val="none" w:sz="0" w:space="0" w:color="auto"/>
        <w:bottom w:val="none" w:sz="0" w:space="0" w:color="auto"/>
        <w:right w:val="none" w:sz="0" w:space="0" w:color="auto"/>
      </w:divBdr>
      <w:divsChild>
        <w:div w:id="786118101">
          <w:marLeft w:val="0"/>
          <w:marRight w:val="0"/>
          <w:marTop w:val="0"/>
          <w:marBottom w:val="0"/>
          <w:divBdr>
            <w:top w:val="none" w:sz="0" w:space="0" w:color="auto"/>
            <w:left w:val="none" w:sz="0" w:space="0" w:color="auto"/>
            <w:bottom w:val="none" w:sz="0" w:space="0" w:color="auto"/>
            <w:right w:val="none" w:sz="0" w:space="0" w:color="auto"/>
          </w:divBdr>
        </w:div>
      </w:divsChild>
    </w:div>
    <w:div w:id="1139033437">
      <w:bodyDiv w:val="1"/>
      <w:marLeft w:val="0"/>
      <w:marRight w:val="0"/>
      <w:marTop w:val="0"/>
      <w:marBottom w:val="0"/>
      <w:divBdr>
        <w:top w:val="none" w:sz="0" w:space="0" w:color="auto"/>
        <w:left w:val="none" w:sz="0" w:space="0" w:color="auto"/>
        <w:bottom w:val="none" w:sz="0" w:space="0" w:color="auto"/>
        <w:right w:val="none" w:sz="0" w:space="0" w:color="auto"/>
      </w:divBdr>
    </w:div>
    <w:div w:id="1217083645">
      <w:bodyDiv w:val="1"/>
      <w:marLeft w:val="0"/>
      <w:marRight w:val="0"/>
      <w:marTop w:val="0"/>
      <w:marBottom w:val="0"/>
      <w:divBdr>
        <w:top w:val="none" w:sz="0" w:space="0" w:color="auto"/>
        <w:left w:val="none" w:sz="0" w:space="0" w:color="auto"/>
        <w:bottom w:val="none" w:sz="0" w:space="0" w:color="auto"/>
        <w:right w:val="none" w:sz="0" w:space="0" w:color="auto"/>
      </w:divBdr>
    </w:div>
    <w:div w:id="1315257787">
      <w:bodyDiv w:val="1"/>
      <w:marLeft w:val="0"/>
      <w:marRight w:val="0"/>
      <w:marTop w:val="0"/>
      <w:marBottom w:val="0"/>
      <w:divBdr>
        <w:top w:val="none" w:sz="0" w:space="0" w:color="auto"/>
        <w:left w:val="none" w:sz="0" w:space="0" w:color="auto"/>
        <w:bottom w:val="none" w:sz="0" w:space="0" w:color="auto"/>
        <w:right w:val="none" w:sz="0" w:space="0" w:color="auto"/>
      </w:divBdr>
    </w:div>
    <w:div w:id="1340423144">
      <w:bodyDiv w:val="1"/>
      <w:marLeft w:val="0"/>
      <w:marRight w:val="0"/>
      <w:marTop w:val="0"/>
      <w:marBottom w:val="0"/>
      <w:divBdr>
        <w:top w:val="none" w:sz="0" w:space="0" w:color="auto"/>
        <w:left w:val="none" w:sz="0" w:space="0" w:color="auto"/>
        <w:bottom w:val="none" w:sz="0" w:space="0" w:color="auto"/>
        <w:right w:val="none" w:sz="0" w:space="0" w:color="auto"/>
      </w:divBdr>
    </w:div>
    <w:div w:id="1411271606">
      <w:bodyDiv w:val="1"/>
      <w:marLeft w:val="0"/>
      <w:marRight w:val="0"/>
      <w:marTop w:val="0"/>
      <w:marBottom w:val="0"/>
      <w:divBdr>
        <w:top w:val="none" w:sz="0" w:space="0" w:color="auto"/>
        <w:left w:val="none" w:sz="0" w:space="0" w:color="auto"/>
        <w:bottom w:val="none" w:sz="0" w:space="0" w:color="auto"/>
        <w:right w:val="none" w:sz="0" w:space="0" w:color="auto"/>
      </w:divBdr>
    </w:div>
    <w:div w:id="1914504669">
      <w:bodyDiv w:val="1"/>
      <w:marLeft w:val="0"/>
      <w:marRight w:val="0"/>
      <w:marTop w:val="0"/>
      <w:marBottom w:val="0"/>
      <w:divBdr>
        <w:top w:val="none" w:sz="0" w:space="0" w:color="auto"/>
        <w:left w:val="none" w:sz="0" w:space="0" w:color="auto"/>
        <w:bottom w:val="none" w:sz="0" w:space="0" w:color="auto"/>
        <w:right w:val="none" w:sz="0" w:space="0" w:color="auto"/>
      </w:divBdr>
    </w:div>
    <w:div w:id="1941185319">
      <w:bodyDiv w:val="1"/>
      <w:marLeft w:val="0"/>
      <w:marRight w:val="0"/>
      <w:marTop w:val="0"/>
      <w:marBottom w:val="0"/>
      <w:divBdr>
        <w:top w:val="none" w:sz="0" w:space="0" w:color="auto"/>
        <w:left w:val="none" w:sz="0" w:space="0" w:color="auto"/>
        <w:bottom w:val="none" w:sz="0" w:space="0" w:color="auto"/>
        <w:right w:val="none" w:sz="0" w:space="0" w:color="auto"/>
      </w:divBdr>
    </w:div>
    <w:div w:id="1972438933">
      <w:bodyDiv w:val="1"/>
      <w:marLeft w:val="0"/>
      <w:marRight w:val="0"/>
      <w:marTop w:val="0"/>
      <w:marBottom w:val="0"/>
      <w:divBdr>
        <w:top w:val="none" w:sz="0" w:space="0" w:color="auto"/>
        <w:left w:val="none" w:sz="0" w:space="0" w:color="auto"/>
        <w:bottom w:val="none" w:sz="0" w:space="0" w:color="auto"/>
        <w:right w:val="none" w:sz="0" w:space="0" w:color="auto"/>
      </w:divBdr>
    </w:div>
    <w:div w:id="2008362467">
      <w:bodyDiv w:val="1"/>
      <w:marLeft w:val="0"/>
      <w:marRight w:val="0"/>
      <w:marTop w:val="0"/>
      <w:marBottom w:val="0"/>
      <w:divBdr>
        <w:top w:val="none" w:sz="0" w:space="0" w:color="auto"/>
        <w:left w:val="none" w:sz="0" w:space="0" w:color="auto"/>
        <w:bottom w:val="none" w:sz="0" w:space="0" w:color="auto"/>
        <w:right w:val="none" w:sz="0" w:space="0" w:color="auto"/>
      </w:divBdr>
    </w:div>
    <w:div w:id="2102413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C58701-7A1C-4731-943C-DC2377D8EDC9}">
  <ds:schemaRefs>
    <ds:schemaRef ds:uri="http://schemas.openxmlformats.org/officeDocument/2006/bibliography"/>
  </ds:schemaRefs>
</ds:datastoreItem>
</file>

<file path=docMetadata/LabelInfo.xml><?xml version="1.0" encoding="utf-8"?>
<clbl:labelList xmlns:clbl="http://schemas.microsoft.com/office/2020/mipLabelMetadata">
  <clbl:label id="{5f35c3da-39ae-4632-9ac1-afc2f25d2852}" enabled="0" method="" siteId="{5f35c3da-39ae-4632-9ac1-afc2f25d2852}" removed="1"/>
</clbl:labelList>
</file>

<file path=docProps/app.xml><?xml version="1.0" encoding="utf-8"?>
<Properties xmlns="http://schemas.openxmlformats.org/officeDocument/2006/extended-properties" xmlns:vt="http://schemas.openxmlformats.org/officeDocument/2006/docPropsVTypes">
  <Template>Normal</Template>
  <TotalTime>0</TotalTime>
  <Pages>39</Pages>
  <Words>9152</Words>
  <Characters>52172</Characters>
  <Application>Microsoft Office Word</Application>
  <DocSecurity>0</DocSecurity>
  <Lines>434</Lines>
  <Paragraphs>122</Paragraphs>
  <ScaleCrop>false</ScaleCrop>
  <Company/>
  <LinksUpToDate>false</LinksUpToDate>
  <CharactersWithSpaces>61202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2024-08-05T14:37:00Z</dcterms:created>
  <dcterms:modified xsi:type="dcterms:W3CDTF">2024-08-05T14:37:00Z</dcterms:modified>
</cp:coreProperties>
</file>