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894F38" w14:textId="16D0D18E" w:rsidR="00B2727B" w:rsidRPr="00EA0D7A" w:rsidRDefault="009C78C3" w:rsidP="00776AAF">
      <w:pPr>
        <w:jc w:val="center"/>
        <w:rPr>
          <w:rFonts w:asciiTheme="majorBidi" w:hAnsiTheme="majorBidi" w:cstheme="majorBidi"/>
          <w:b/>
          <w:bCs/>
          <w:sz w:val="24"/>
          <w:szCs w:val="24"/>
        </w:rPr>
      </w:pPr>
      <w:r w:rsidRPr="00EA0D7A">
        <w:rPr>
          <w:rFonts w:asciiTheme="majorBidi" w:hAnsiTheme="majorBidi" w:cstheme="majorBidi"/>
          <w:b/>
          <w:bCs/>
          <w:sz w:val="24"/>
          <w:szCs w:val="24"/>
        </w:rPr>
        <w:t>Identification of the Key Challenges in Credit Risk Management: A Qualitative Approach</w:t>
      </w:r>
    </w:p>
    <w:p w14:paraId="0BD754C8" w14:textId="77777777" w:rsidR="0074242B" w:rsidRDefault="0074242B" w:rsidP="00776AAF">
      <w:pPr>
        <w:jc w:val="center"/>
        <w:rPr>
          <w:rFonts w:asciiTheme="majorBidi" w:hAnsiTheme="majorBidi" w:cstheme="majorBidi"/>
          <w:b/>
          <w:bCs/>
          <w:sz w:val="32"/>
          <w:szCs w:val="32"/>
        </w:rPr>
      </w:pPr>
    </w:p>
    <w:p w14:paraId="447617CA" w14:textId="77777777" w:rsidR="00EA0D7A" w:rsidRDefault="0074242B" w:rsidP="0074242B">
      <w:pPr>
        <w:jc w:val="center"/>
        <w:rPr>
          <w:rFonts w:asciiTheme="majorBidi" w:hAnsiTheme="majorBidi" w:cstheme="majorBidi"/>
          <w:color w:val="000000"/>
          <w:sz w:val="20"/>
          <w:szCs w:val="20"/>
        </w:rPr>
      </w:pPr>
      <w:r w:rsidRPr="0074242B">
        <w:rPr>
          <w:rFonts w:asciiTheme="majorBidi" w:hAnsiTheme="majorBidi" w:cstheme="majorBidi"/>
          <w:color w:val="000000"/>
          <w:sz w:val="20"/>
          <w:szCs w:val="20"/>
        </w:rPr>
        <w:t>Odai Aljaloudi</w:t>
      </w:r>
      <w:r w:rsidRPr="0074242B">
        <w:rPr>
          <w:rFonts w:asciiTheme="majorBidi" w:hAnsiTheme="majorBidi" w:cstheme="majorBidi"/>
          <w:color w:val="000000"/>
          <w:sz w:val="20"/>
          <w:szCs w:val="20"/>
          <w:vertAlign w:val="superscript"/>
        </w:rPr>
        <w:t>1</w:t>
      </w:r>
      <w:r w:rsidRPr="0074242B">
        <w:rPr>
          <w:rFonts w:asciiTheme="majorBidi" w:hAnsiTheme="majorBidi" w:cstheme="majorBidi"/>
          <w:color w:val="000000"/>
          <w:sz w:val="20"/>
          <w:szCs w:val="20"/>
        </w:rPr>
        <w:t>; Mouhamed Thiam</w:t>
      </w:r>
      <w:r w:rsidRPr="0074242B">
        <w:rPr>
          <w:rFonts w:asciiTheme="majorBidi" w:hAnsiTheme="majorBidi" w:cstheme="majorBidi"/>
          <w:color w:val="000000"/>
          <w:sz w:val="20"/>
          <w:szCs w:val="20"/>
          <w:vertAlign w:val="superscript"/>
        </w:rPr>
        <w:t>2</w:t>
      </w:r>
      <w:r w:rsidRPr="0074242B">
        <w:rPr>
          <w:rFonts w:asciiTheme="majorBidi" w:hAnsiTheme="majorBidi" w:cstheme="majorBidi"/>
          <w:color w:val="000000"/>
          <w:sz w:val="20"/>
          <w:szCs w:val="20"/>
        </w:rPr>
        <w:t>; Tamer Darwish</w:t>
      </w:r>
      <w:r w:rsidRPr="0074242B">
        <w:rPr>
          <w:rFonts w:asciiTheme="majorBidi" w:hAnsiTheme="majorBidi" w:cstheme="majorBidi"/>
          <w:color w:val="000000"/>
          <w:sz w:val="20"/>
          <w:szCs w:val="20"/>
          <w:vertAlign w:val="superscript"/>
        </w:rPr>
        <w:t>3</w:t>
      </w:r>
      <w:r w:rsidRPr="0074242B">
        <w:rPr>
          <w:rFonts w:asciiTheme="majorBidi" w:hAnsiTheme="majorBidi" w:cstheme="majorBidi"/>
          <w:color w:val="000000"/>
          <w:sz w:val="20"/>
          <w:szCs w:val="20"/>
        </w:rPr>
        <w:t>; Muath Abdel Qader</w:t>
      </w:r>
      <w:r w:rsidRPr="0074242B">
        <w:rPr>
          <w:rFonts w:asciiTheme="majorBidi" w:hAnsiTheme="majorBidi" w:cstheme="majorBidi"/>
          <w:color w:val="000000"/>
          <w:sz w:val="20"/>
          <w:szCs w:val="20"/>
          <w:vertAlign w:val="superscript"/>
        </w:rPr>
        <w:t>4</w:t>
      </w:r>
      <w:r w:rsidRPr="0074242B">
        <w:rPr>
          <w:rFonts w:asciiTheme="majorBidi" w:hAnsiTheme="majorBidi" w:cstheme="majorBidi"/>
          <w:color w:val="000000"/>
          <w:sz w:val="20"/>
          <w:szCs w:val="20"/>
        </w:rPr>
        <w:t>; Mohmad Al-Mahdwi</w:t>
      </w:r>
      <w:r w:rsidRPr="0074242B">
        <w:rPr>
          <w:rFonts w:asciiTheme="majorBidi" w:hAnsiTheme="majorBidi" w:cstheme="majorBidi"/>
          <w:color w:val="000000"/>
          <w:sz w:val="20"/>
          <w:szCs w:val="20"/>
          <w:vertAlign w:val="superscript"/>
        </w:rPr>
        <w:t>5</w:t>
      </w:r>
      <w:r w:rsidRPr="0074242B">
        <w:rPr>
          <w:rFonts w:asciiTheme="majorBidi" w:hAnsiTheme="majorBidi" w:cstheme="majorBidi"/>
          <w:color w:val="000000"/>
          <w:sz w:val="20"/>
          <w:szCs w:val="20"/>
        </w:rPr>
        <w:t xml:space="preserve"> and </w:t>
      </w:r>
    </w:p>
    <w:p w14:paraId="548DC25D" w14:textId="2B1E4CD3" w:rsidR="0074242B" w:rsidRPr="0074242B" w:rsidRDefault="0074242B" w:rsidP="0074242B">
      <w:pPr>
        <w:jc w:val="center"/>
        <w:rPr>
          <w:rFonts w:asciiTheme="majorBidi" w:hAnsiTheme="majorBidi" w:cstheme="majorBidi"/>
          <w:b/>
          <w:bCs/>
          <w:sz w:val="20"/>
          <w:szCs w:val="20"/>
        </w:rPr>
      </w:pPr>
      <w:r w:rsidRPr="0074242B">
        <w:rPr>
          <w:rFonts w:asciiTheme="majorBidi" w:hAnsiTheme="majorBidi" w:cstheme="majorBidi"/>
          <w:color w:val="000000"/>
          <w:sz w:val="20"/>
          <w:szCs w:val="20"/>
        </w:rPr>
        <w:t>Moheeb Abualqumboz</w:t>
      </w:r>
      <w:r w:rsidRPr="0074242B">
        <w:rPr>
          <w:rFonts w:asciiTheme="majorBidi" w:hAnsiTheme="majorBidi" w:cstheme="majorBidi"/>
          <w:color w:val="000000"/>
          <w:sz w:val="20"/>
          <w:szCs w:val="20"/>
          <w:vertAlign w:val="superscript"/>
        </w:rPr>
        <w:t>6</w:t>
      </w:r>
    </w:p>
    <w:p w14:paraId="3A63B7BF" w14:textId="16BE8097" w:rsidR="0074242B" w:rsidRDefault="0074242B" w:rsidP="0074242B">
      <w:pPr>
        <w:spacing w:after="0" w:line="360" w:lineRule="auto"/>
        <w:jc w:val="both"/>
        <w:rPr>
          <w:rFonts w:ascii="Times New Roman" w:hAnsi="Times New Roman" w:cs="Times New Roman"/>
          <w:i/>
          <w:iCs/>
          <w:sz w:val="20"/>
          <w:szCs w:val="20"/>
        </w:rPr>
      </w:pPr>
      <w:r>
        <w:rPr>
          <w:rFonts w:ascii="Times New Roman" w:hAnsi="Times New Roman" w:cs="Times New Roman"/>
          <w:i/>
          <w:iCs/>
          <w:sz w:val="20"/>
          <w:szCs w:val="20"/>
          <w:vertAlign w:val="superscript"/>
        </w:rPr>
        <w:t>1,3,4</w:t>
      </w:r>
      <w:r w:rsidRPr="00953B2A">
        <w:rPr>
          <w:rFonts w:ascii="Times New Roman" w:hAnsi="Times New Roman" w:cs="Times New Roman"/>
          <w:i/>
          <w:iCs/>
          <w:sz w:val="20"/>
          <w:szCs w:val="20"/>
        </w:rPr>
        <w:t xml:space="preserve">School of Business, Computing and Social Sciences, University of Gloucestershire, UK. </w:t>
      </w:r>
    </w:p>
    <w:p w14:paraId="49ED45C1" w14:textId="59FB3883" w:rsidR="0074242B" w:rsidRDefault="0074242B" w:rsidP="0074242B">
      <w:pPr>
        <w:spacing w:after="0" w:line="360" w:lineRule="auto"/>
        <w:jc w:val="both"/>
        <w:rPr>
          <w:rFonts w:ascii="Times New Roman" w:hAnsi="Times New Roman" w:cs="Times New Roman"/>
          <w:i/>
          <w:iCs/>
          <w:sz w:val="20"/>
          <w:szCs w:val="20"/>
        </w:rPr>
      </w:pPr>
      <w:r w:rsidRPr="0074242B">
        <w:rPr>
          <w:rFonts w:ascii="Times New Roman" w:hAnsi="Times New Roman" w:cs="Times New Roman"/>
          <w:i/>
          <w:iCs/>
          <w:sz w:val="20"/>
          <w:szCs w:val="20"/>
          <w:vertAlign w:val="superscript"/>
        </w:rPr>
        <w:t>2</w:t>
      </w:r>
      <w:r w:rsidRPr="0074242B">
        <w:rPr>
          <w:rFonts w:ascii="Times New Roman" w:hAnsi="Times New Roman" w:cs="Times New Roman"/>
          <w:i/>
          <w:iCs/>
          <w:sz w:val="20"/>
          <w:szCs w:val="20"/>
        </w:rPr>
        <w:t>Nottingham Business School</w:t>
      </w:r>
      <w:r>
        <w:rPr>
          <w:rFonts w:ascii="Times New Roman" w:hAnsi="Times New Roman" w:cs="Times New Roman"/>
          <w:i/>
          <w:iCs/>
          <w:sz w:val="20"/>
          <w:szCs w:val="20"/>
        </w:rPr>
        <w:t xml:space="preserve">, </w:t>
      </w:r>
      <w:r w:rsidRPr="0074242B">
        <w:rPr>
          <w:rFonts w:ascii="Times New Roman" w:hAnsi="Times New Roman" w:cs="Times New Roman"/>
          <w:i/>
          <w:iCs/>
          <w:sz w:val="20"/>
          <w:szCs w:val="20"/>
        </w:rPr>
        <w:t>Nottingham Trent University</w:t>
      </w:r>
      <w:r>
        <w:rPr>
          <w:rFonts w:ascii="Times New Roman" w:hAnsi="Times New Roman" w:cs="Times New Roman"/>
          <w:i/>
          <w:iCs/>
          <w:sz w:val="20"/>
          <w:szCs w:val="20"/>
        </w:rPr>
        <w:t xml:space="preserve">, </w:t>
      </w:r>
      <w:r w:rsidRPr="0074242B">
        <w:rPr>
          <w:rFonts w:ascii="Times New Roman" w:hAnsi="Times New Roman" w:cs="Times New Roman"/>
          <w:i/>
          <w:iCs/>
          <w:sz w:val="20"/>
          <w:szCs w:val="20"/>
        </w:rPr>
        <w:t>Nottingham</w:t>
      </w:r>
      <w:r>
        <w:rPr>
          <w:rFonts w:ascii="Times New Roman" w:hAnsi="Times New Roman" w:cs="Times New Roman"/>
          <w:i/>
          <w:iCs/>
          <w:sz w:val="20"/>
          <w:szCs w:val="20"/>
        </w:rPr>
        <w:t>, UK.</w:t>
      </w:r>
    </w:p>
    <w:p w14:paraId="5745C7B9" w14:textId="000D72A6" w:rsidR="0074242B" w:rsidRDefault="0074242B" w:rsidP="0074242B">
      <w:pPr>
        <w:spacing w:after="0" w:line="360" w:lineRule="auto"/>
        <w:jc w:val="both"/>
        <w:rPr>
          <w:rFonts w:ascii="Times New Roman" w:hAnsi="Times New Roman" w:cs="Times New Roman"/>
          <w:i/>
          <w:iCs/>
          <w:sz w:val="20"/>
          <w:szCs w:val="20"/>
        </w:rPr>
      </w:pPr>
      <w:r>
        <w:rPr>
          <w:rFonts w:ascii="Times New Roman" w:hAnsi="Times New Roman" w:cs="Times New Roman"/>
          <w:i/>
          <w:iCs/>
          <w:sz w:val="20"/>
          <w:szCs w:val="20"/>
          <w:vertAlign w:val="superscript"/>
        </w:rPr>
        <w:t>5</w:t>
      </w:r>
      <w:r w:rsidRPr="00953B2A">
        <w:rPr>
          <w:rFonts w:ascii="Times New Roman" w:hAnsi="Times New Roman" w:cs="Times New Roman"/>
          <w:i/>
          <w:iCs/>
          <w:sz w:val="20"/>
          <w:szCs w:val="20"/>
        </w:rPr>
        <w:t xml:space="preserve">School of Computing, Engineering and Digital Technologies, Teesside University, Middlesbrough, UK. </w:t>
      </w:r>
    </w:p>
    <w:p w14:paraId="572AC033" w14:textId="40A7BEBF" w:rsidR="0074242B" w:rsidRPr="00953B2A" w:rsidRDefault="0074242B" w:rsidP="0074242B">
      <w:pPr>
        <w:spacing w:after="0" w:line="360" w:lineRule="auto"/>
        <w:jc w:val="both"/>
        <w:rPr>
          <w:rFonts w:ascii="Times New Roman" w:hAnsi="Times New Roman" w:cs="Times New Roman"/>
          <w:i/>
          <w:iCs/>
          <w:sz w:val="20"/>
          <w:szCs w:val="20"/>
        </w:rPr>
      </w:pPr>
      <w:r w:rsidRPr="0074242B">
        <w:rPr>
          <w:rFonts w:ascii="Times New Roman" w:hAnsi="Times New Roman" w:cs="Times New Roman"/>
          <w:i/>
          <w:iCs/>
          <w:sz w:val="20"/>
          <w:szCs w:val="20"/>
          <w:vertAlign w:val="superscript"/>
        </w:rPr>
        <w:t>6</w:t>
      </w:r>
      <w:r w:rsidRPr="0074242B">
        <w:rPr>
          <w:rFonts w:ascii="Times New Roman" w:hAnsi="Times New Roman" w:cs="Times New Roman"/>
          <w:i/>
          <w:iCs/>
          <w:sz w:val="20"/>
          <w:szCs w:val="20"/>
        </w:rPr>
        <w:t>School of Leadership and Business, Liverpool John Moores University, Oryx Universal College, Doha, Qatar</w:t>
      </w:r>
      <w:r>
        <w:rPr>
          <w:rFonts w:ascii="Times New Roman" w:hAnsi="Times New Roman" w:cs="Times New Roman"/>
          <w:i/>
          <w:iCs/>
          <w:sz w:val="20"/>
          <w:szCs w:val="20"/>
        </w:rPr>
        <w:t>.</w:t>
      </w:r>
    </w:p>
    <w:p w14:paraId="26556A91" w14:textId="77777777" w:rsidR="0074242B" w:rsidRPr="00953B2A" w:rsidRDefault="0074242B" w:rsidP="0074242B">
      <w:pPr>
        <w:spacing w:after="0" w:line="360" w:lineRule="auto"/>
        <w:rPr>
          <w:rFonts w:ascii="Times New Roman" w:hAnsi="Times New Roman" w:cs="Times New Roman"/>
          <w:i/>
          <w:iCs/>
          <w:sz w:val="20"/>
          <w:szCs w:val="20"/>
          <w:u w:val="single"/>
        </w:rPr>
      </w:pPr>
      <w:r>
        <w:rPr>
          <w:rFonts w:ascii="Times New Roman" w:hAnsi="Times New Roman" w:cs="Times New Roman"/>
          <w:i/>
          <w:iCs/>
          <w:sz w:val="20"/>
          <w:szCs w:val="20"/>
        </w:rPr>
        <w:t xml:space="preserve">*Corresponding: </w:t>
      </w:r>
      <w:hyperlink r:id="rId7" w:history="1">
        <w:r w:rsidRPr="00573163">
          <w:rPr>
            <w:rStyle w:val="Hyperlink"/>
            <w:rFonts w:asciiTheme="majorBidi" w:hAnsiTheme="majorBidi" w:cstheme="majorBidi"/>
            <w:sz w:val="20"/>
            <w:szCs w:val="20"/>
          </w:rPr>
          <w:t>odaialjaloudi@connect.glos.ac.uk</w:t>
        </w:r>
      </w:hyperlink>
      <w:r w:rsidRPr="00573163">
        <w:rPr>
          <w:rFonts w:asciiTheme="majorBidi" w:hAnsiTheme="majorBidi" w:cstheme="majorBidi"/>
          <w:sz w:val="20"/>
          <w:szCs w:val="20"/>
        </w:rPr>
        <w:t xml:space="preserve"> </w:t>
      </w:r>
    </w:p>
    <w:p w14:paraId="35E5F459" w14:textId="77777777" w:rsidR="0074242B" w:rsidRPr="00573163" w:rsidRDefault="0074242B" w:rsidP="0074242B">
      <w:pPr>
        <w:spacing w:after="0" w:line="240" w:lineRule="auto"/>
        <w:jc w:val="both"/>
        <w:rPr>
          <w:rFonts w:asciiTheme="majorBidi" w:hAnsiTheme="majorBidi" w:cstheme="majorBidi"/>
          <w:sz w:val="20"/>
          <w:szCs w:val="20"/>
        </w:rPr>
      </w:pPr>
    </w:p>
    <w:p w14:paraId="01285BEB" w14:textId="77777777" w:rsidR="0074242B" w:rsidRDefault="0074242B" w:rsidP="00776AAF">
      <w:pPr>
        <w:jc w:val="center"/>
        <w:rPr>
          <w:rFonts w:asciiTheme="majorBidi" w:hAnsiTheme="majorBidi" w:cstheme="majorBidi"/>
          <w:b/>
          <w:bCs/>
          <w:sz w:val="32"/>
          <w:szCs w:val="32"/>
        </w:rPr>
      </w:pPr>
    </w:p>
    <w:p w14:paraId="3188E77F" w14:textId="77777777" w:rsidR="0074242B" w:rsidRDefault="0074242B" w:rsidP="00776AAF">
      <w:pPr>
        <w:jc w:val="center"/>
        <w:rPr>
          <w:rFonts w:asciiTheme="majorBidi" w:hAnsiTheme="majorBidi" w:cstheme="majorBidi"/>
          <w:b/>
          <w:bCs/>
          <w:sz w:val="32"/>
          <w:szCs w:val="32"/>
        </w:rPr>
      </w:pPr>
    </w:p>
    <w:p w14:paraId="276A2B6F" w14:textId="77777777" w:rsidR="0074242B" w:rsidRDefault="0074242B" w:rsidP="00776AAF">
      <w:pPr>
        <w:jc w:val="center"/>
        <w:rPr>
          <w:rFonts w:asciiTheme="majorBidi" w:hAnsiTheme="majorBidi" w:cstheme="majorBidi"/>
          <w:b/>
          <w:bCs/>
          <w:sz w:val="32"/>
          <w:szCs w:val="32"/>
        </w:rPr>
      </w:pPr>
    </w:p>
    <w:p w14:paraId="3A1E9C0A" w14:textId="77777777" w:rsidR="0074242B" w:rsidRDefault="0074242B" w:rsidP="00776AAF">
      <w:pPr>
        <w:jc w:val="center"/>
        <w:rPr>
          <w:rFonts w:asciiTheme="majorBidi" w:hAnsiTheme="majorBidi" w:cstheme="majorBidi"/>
          <w:b/>
          <w:bCs/>
          <w:sz w:val="32"/>
          <w:szCs w:val="32"/>
        </w:rPr>
      </w:pPr>
    </w:p>
    <w:p w14:paraId="2F7507FE" w14:textId="77777777" w:rsidR="0074242B" w:rsidRDefault="0074242B" w:rsidP="00776AAF">
      <w:pPr>
        <w:jc w:val="center"/>
        <w:rPr>
          <w:rFonts w:asciiTheme="majorBidi" w:hAnsiTheme="majorBidi" w:cstheme="majorBidi"/>
          <w:b/>
          <w:bCs/>
          <w:sz w:val="32"/>
          <w:szCs w:val="32"/>
        </w:rPr>
      </w:pPr>
    </w:p>
    <w:p w14:paraId="6C17B9B0" w14:textId="77777777" w:rsidR="0074242B" w:rsidRDefault="0074242B" w:rsidP="00776AAF">
      <w:pPr>
        <w:jc w:val="center"/>
        <w:rPr>
          <w:rFonts w:asciiTheme="majorBidi" w:hAnsiTheme="majorBidi" w:cstheme="majorBidi"/>
          <w:b/>
          <w:bCs/>
          <w:sz w:val="32"/>
          <w:szCs w:val="32"/>
        </w:rPr>
      </w:pPr>
    </w:p>
    <w:p w14:paraId="39F21688" w14:textId="77777777" w:rsidR="0074242B" w:rsidRDefault="0074242B" w:rsidP="00776AAF">
      <w:pPr>
        <w:jc w:val="center"/>
        <w:rPr>
          <w:rFonts w:asciiTheme="majorBidi" w:hAnsiTheme="majorBidi" w:cstheme="majorBidi"/>
          <w:b/>
          <w:bCs/>
          <w:sz w:val="32"/>
          <w:szCs w:val="32"/>
        </w:rPr>
      </w:pPr>
    </w:p>
    <w:p w14:paraId="08C8D13A" w14:textId="77777777" w:rsidR="0074242B" w:rsidRDefault="0074242B" w:rsidP="00776AAF">
      <w:pPr>
        <w:jc w:val="center"/>
        <w:rPr>
          <w:rFonts w:asciiTheme="majorBidi" w:hAnsiTheme="majorBidi" w:cstheme="majorBidi"/>
          <w:b/>
          <w:bCs/>
          <w:sz w:val="32"/>
          <w:szCs w:val="32"/>
        </w:rPr>
      </w:pPr>
    </w:p>
    <w:p w14:paraId="3422EBC4" w14:textId="77777777" w:rsidR="0074242B" w:rsidRDefault="0074242B" w:rsidP="00776AAF">
      <w:pPr>
        <w:jc w:val="center"/>
        <w:rPr>
          <w:rFonts w:asciiTheme="majorBidi" w:hAnsiTheme="majorBidi" w:cstheme="majorBidi"/>
          <w:b/>
          <w:bCs/>
          <w:sz w:val="32"/>
          <w:szCs w:val="32"/>
        </w:rPr>
      </w:pPr>
    </w:p>
    <w:p w14:paraId="4A8B06BE" w14:textId="77777777" w:rsidR="0074242B" w:rsidRDefault="0074242B" w:rsidP="00776AAF">
      <w:pPr>
        <w:jc w:val="center"/>
        <w:rPr>
          <w:rFonts w:asciiTheme="majorBidi" w:hAnsiTheme="majorBidi" w:cstheme="majorBidi"/>
          <w:b/>
          <w:bCs/>
          <w:sz w:val="32"/>
          <w:szCs w:val="32"/>
        </w:rPr>
      </w:pPr>
    </w:p>
    <w:p w14:paraId="434269CE" w14:textId="77777777" w:rsidR="0074242B" w:rsidRDefault="0074242B" w:rsidP="00776AAF">
      <w:pPr>
        <w:jc w:val="center"/>
        <w:rPr>
          <w:rFonts w:asciiTheme="majorBidi" w:hAnsiTheme="majorBidi" w:cstheme="majorBidi"/>
          <w:b/>
          <w:bCs/>
          <w:sz w:val="32"/>
          <w:szCs w:val="32"/>
        </w:rPr>
      </w:pPr>
    </w:p>
    <w:p w14:paraId="26B9D3BC" w14:textId="77777777" w:rsidR="0074242B" w:rsidRDefault="0074242B" w:rsidP="00776AAF">
      <w:pPr>
        <w:jc w:val="center"/>
        <w:rPr>
          <w:rFonts w:asciiTheme="majorBidi" w:hAnsiTheme="majorBidi" w:cstheme="majorBidi"/>
          <w:b/>
          <w:bCs/>
          <w:sz w:val="32"/>
          <w:szCs w:val="32"/>
        </w:rPr>
      </w:pPr>
    </w:p>
    <w:p w14:paraId="12F8A701" w14:textId="77777777" w:rsidR="0074242B" w:rsidRDefault="0074242B" w:rsidP="00776AAF">
      <w:pPr>
        <w:jc w:val="center"/>
        <w:rPr>
          <w:rFonts w:asciiTheme="majorBidi" w:hAnsiTheme="majorBidi" w:cstheme="majorBidi"/>
          <w:b/>
          <w:bCs/>
          <w:sz w:val="32"/>
          <w:szCs w:val="32"/>
        </w:rPr>
      </w:pPr>
    </w:p>
    <w:p w14:paraId="6BF536D9" w14:textId="77777777" w:rsidR="0074242B" w:rsidRDefault="0074242B" w:rsidP="00776AAF">
      <w:pPr>
        <w:jc w:val="center"/>
        <w:rPr>
          <w:rFonts w:asciiTheme="majorBidi" w:hAnsiTheme="majorBidi" w:cstheme="majorBidi"/>
          <w:b/>
          <w:bCs/>
          <w:sz w:val="32"/>
          <w:szCs w:val="32"/>
        </w:rPr>
      </w:pPr>
    </w:p>
    <w:p w14:paraId="50BE18FB" w14:textId="77777777" w:rsidR="0074242B" w:rsidRDefault="0074242B" w:rsidP="00776AAF">
      <w:pPr>
        <w:jc w:val="center"/>
        <w:rPr>
          <w:rFonts w:asciiTheme="majorBidi" w:hAnsiTheme="majorBidi" w:cstheme="majorBidi"/>
          <w:b/>
          <w:bCs/>
          <w:sz w:val="32"/>
          <w:szCs w:val="32"/>
        </w:rPr>
      </w:pPr>
    </w:p>
    <w:p w14:paraId="211F52AB" w14:textId="77777777" w:rsidR="0074242B" w:rsidRDefault="0074242B" w:rsidP="00776AAF">
      <w:pPr>
        <w:jc w:val="center"/>
        <w:rPr>
          <w:rFonts w:asciiTheme="majorBidi" w:hAnsiTheme="majorBidi" w:cstheme="majorBidi"/>
          <w:b/>
          <w:bCs/>
          <w:sz w:val="32"/>
          <w:szCs w:val="32"/>
        </w:rPr>
      </w:pPr>
    </w:p>
    <w:p w14:paraId="7CB06CA2" w14:textId="77777777" w:rsidR="0074242B" w:rsidRDefault="0074242B" w:rsidP="00776AAF">
      <w:pPr>
        <w:jc w:val="center"/>
        <w:rPr>
          <w:rFonts w:asciiTheme="majorBidi" w:hAnsiTheme="majorBidi" w:cstheme="majorBidi"/>
          <w:b/>
          <w:bCs/>
          <w:sz w:val="32"/>
          <w:szCs w:val="32"/>
        </w:rPr>
      </w:pPr>
    </w:p>
    <w:p w14:paraId="08941617" w14:textId="77777777" w:rsidR="009C78C3" w:rsidRDefault="009C78C3" w:rsidP="00776AAF">
      <w:pPr>
        <w:rPr>
          <w:rFonts w:asciiTheme="majorBidi" w:hAnsiTheme="majorBidi" w:cstheme="majorBidi"/>
          <w:sz w:val="24"/>
          <w:szCs w:val="24"/>
        </w:rPr>
      </w:pPr>
    </w:p>
    <w:p w14:paraId="58E43302" w14:textId="77777777" w:rsidR="00195A74" w:rsidRDefault="00195A74" w:rsidP="001B6A24">
      <w:pPr>
        <w:spacing w:line="360" w:lineRule="auto"/>
        <w:jc w:val="both"/>
        <w:rPr>
          <w:rFonts w:asciiTheme="majorBidi" w:hAnsiTheme="majorBidi" w:cstheme="majorBidi"/>
          <w:i/>
          <w:iCs/>
          <w:sz w:val="20"/>
          <w:szCs w:val="20"/>
        </w:rPr>
      </w:pPr>
      <w:r w:rsidRPr="00EE6309">
        <w:rPr>
          <w:rFonts w:ascii="Times New Roman" w:hAnsi="Times New Roman" w:cs="Times New Roman"/>
          <w:b/>
          <w:bCs/>
        </w:rPr>
        <w:lastRenderedPageBreak/>
        <w:t>ABSTRACT</w:t>
      </w:r>
      <w:r>
        <w:rPr>
          <w:rFonts w:asciiTheme="majorBidi" w:hAnsiTheme="majorBidi" w:cstheme="majorBidi"/>
          <w:i/>
          <w:iCs/>
          <w:sz w:val="20"/>
          <w:szCs w:val="20"/>
        </w:rPr>
        <w:t xml:space="preserve"> </w:t>
      </w:r>
    </w:p>
    <w:p w14:paraId="616DD462" w14:textId="2FFB5B24" w:rsidR="009C78C3" w:rsidRPr="0074242B" w:rsidRDefault="00195A74" w:rsidP="001B6A24">
      <w:pPr>
        <w:spacing w:line="360" w:lineRule="auto"/>
        <w:jc w:val="both"/>
        <w:rPr>
          <w:rFonts w:asciiTheme="majorBidi" w:hAnsiTheme="majorBidi" w:cstheme="majorBidi"/>
          <w:i/>
          <w:iCs/>
          <w:sz w:val="20"/>
          <w:szCs w:val="20"/>
        </w:rPr>
      </w:pPr>
      <w:r>
        <w:rPr>
          <w:rFonts w:asciiTheme="majorBidi" w:hAnsiTheme="majorBidi" w:cstheme="majorBidi"/>
          <w:i/>
          <w:iCs/>
          <w:sz w:val="20"/>
          <w:szCs w:val="20"/>
        </w:rPr>
        <w:t>The purpose of this research</w:t>
      </w:r>
      <w:r w:rsidR="001B6A24" w:rsidRPr="0074242B">
        <w:rPr>
          <w:rFonts w:asciiTheme="majorBidi" w:hAnsiTheme="majorBidi" w:cstheme="majorBidi"/>
          <w:i/>
          <w:iCs/>
          <w:sz w:val="20"/>
          <w:szCs w:val="20"/>
        </w:rPr>
        <w:t xml:space="preserve"> is to identify and categorise the key challenges facing credit risk management in Jordanian commercial banks. A qualitative research approach was adopted to achieve this, using a systematic literature review and</w:t>
      </w:r>
      <w:r>
        <w:rPr>
          <w:rFonts w:asciiTheme="majorBidi" w:hAnsiTheme="majorBidi" w:cstheme="majorBidi"/>
          <w:i/>
          <w:iCs/>
          <w:sz w:val="20"/>
          <w:szCs w:val="20"/>
        </w:rPr>
        <w:t xml:space="preserve"> a</w:t>
      </w:r>
      <w:r w:rsidR="001B6A24" w:rsidRPr="0074242B">
        <w:rPr>
          <w:rFonts w:asciiTheme="majorBidi" w:hAnsiTheme="majorBidi" w:cstheme="majorBidi"/>
          <w:i/>
          <w:iCs/>
          <w:sz w:val="20"/>
          <w:szCs w:val="20"/>
        </w:rPr>
        <w:t xml:space="preserve"> focus group session with credit risk experts in Jordan. A total of 20 credit risk management challenges were identified and classified under four categories: regulatory challenges, operational challenges, technological challenges, and economic challenges. This research significantly contributes to the knowledge base by identifying key challenges associated with credit risk management in Jordanian commercial banks. The findings offer practical implications for academia, policy makers, and decision-makers, providing a deeper understanding of challenges within Jordanian commercial banks' credit risk management. Additionally, it provides valuable insights into the current credit risk management landscape in developing nations like Jordan.</w:t>
      </w:r>
    </w:p>
    <w:p w14:paraId="0C60141D" w14:textId="7630D261" w:rsidR="001B6A24" w:rsidRPr="001B6A24" w:rsidRDefault="0074242B" w:rsidP="001B6A24">
      <w:pPr>
        <w:spacing w:line="360" w:lineRule="auto"/>
        <w:jc w:val="both"/>
        <w:rPr>
          <w:rFonts w:asciiTheme="majorBidi" w:hAnsiTheme="majorBidi" w:cstheme="majorBidi"/>
          <w:sz w:val="20"/>
          <w:szCs w:val="20"/>
        </w:rPr>
      </w:pPr>
      <w:r w:rsidRPr="00A10DF1">
        <w:rPr>
          <w:rFonts w:ascii="Times New Roman" w:hAnsi="Times New Roman" w:cs="Times New Roman"/>
          <w:i/>
          <w:iCs/>
          <w:sz w:val="20"/>
          <w:szCs w:val="20"/>
          <w:lang w:val="en-MY"/>
        </w:rPr>
        <w:t>Keywords</w:t>
      </w:r>
      <w:r w:rsidR="001B6A24">
        <w:rPr>
          <w:rFonts w:asciiTheme="majorBidi" w:hAnsiTheme="majorBidi" w:cstheme="majorBidi"/>
          <w:sz w:val="20"/>
          <w:szCs w:val="20"/>
        </w:rPr>
        <w:t>: Credit risk management</w:t>
      </w:r>
      <w:r>
        <w:rPr>
          <w:rFonts w:asciiTheme="majorBidi" w:hAnsiTheme="majorBidi" w:cstheme="majorBidi"/>
          <w:sz w:val="20"/>
          <w:szCs w:val="20"/>
        </w:rPr>
        <w:t>;</w:t>
      </w:r>
      <w:r w:rsidR="001B6A24">
        <w:rPr>
          <w:rFonts w:asciiTheme="majorBidi" w:hAnsiTheme="majorBidi" w:cstheme="majorBidi"/>
          <w:sz w:val="20"/>
          <w:szCs w:val="20"/>
        </w:rPr>
        <w:t xml:space="preserve"> credit risk challenges</w:t>
      </w:r>
      <w:r>
        <w:rPr>
          <w:rFonts w:asciiTheme="majorBidi" w:hAnsiTheme="majorBidi" w:cstheme="majorBidi"/>
          <w:sz w:val="20"/>
          <w:szCs w:val="20"/>
        </w:rPr>
        <w:t>;</w:t>
      </w:r>
      <w:r w:rsidR="001B6A24">
        <w:rPr>
          <w:rFonts w:asciiTheme="majorBidi" w:hAnsiTheme="majorBidi" w:cstheme="majorBidi"/>
          <w:sz w:val="20"/>
          <w:szCs w:val="20"/>
        </w:rPr>
        <w:t xml:space="preserve"> commercial banks</w:t>
      </w:r>
      <w:r>
        <w:rPr>
          <w:rFonts w:asciiTheme="majorBidi" w:hAnsiTheme="majorBidi" w:cstheme="majorBidi"/>
          <w:sz w:val="20"/>
          <w:szCs w:val="20"/>
        </w:rPr>
        <w:t>;</w:t>
      </w:r>
      <w:r w:rsidR="001B6A24">
        <w:rPr>
          <w:rFonts w:asciiTheme="majorBidi" w:hAnsiTheme="majorBidi" w:cstheme="majorBidi"/>
          <w:sz w:val="20"/>
          <w:szCs w:val="20"/>
        </w:rPr>
        <w:t xml:space="preserve"> Jordan</w:t>
      </w:r>
      <w:r>
        <w:rPr>
          <w:rFonts w:asciiTheme="majorBidi" w:hAnsiTheme="majorBidi" w:cstheme="majorBidi"/>
          <w:sz w:val="20"/>
          <w:szCs w:val="20"/>
        </w:rPr>
        <w:t>.</w:t>
      </w:r>
      <w:r w:rsidR="001B6A24">
        <w:rPr>
          <w:rFonts w:asciiTheme="majorBidi" w:hAnsiTheme="majorBidi" w:cstheme="majorBidi"/>
          <w:sz w:val="20"/>
          <w:szCs w:val="20"/>
        </w:rPr>
        <w:t xml:space="preserve"> </w:t>
      </w:r>
    </w:p>
    <w:p w14:paraId="6B625545" w14:textId="77777777" w:rsidR="00EA0D7A" w:rsidRDefault="00EA0D7A" w:rsidP="00EA0D7A">
      <w:pPr>
        <w:spacing w:line="360" w:lineRule="auto"/>
        <w:jc w:val="both"/>
        <w:rPr>
          <w:rFonts w:asciiTheme="majorBidi" w:hAnsiTheme="majorBidi" w:cstheme="majorBidi"/>
        </w:rPr>
      </w:pPr>
      <w:r w:rsidRPr="0084598D">
        <w:rPr>
          <w:rFonts w:asciiTheme="majorBidi" w:hAnsiTheme="majorBidi" w:cstheme="majorBidi"/>
          <w:b/>
          <w:bCs/>
        </w:rPr>
        <w:t>INTRODUCTION</w:t>
      </w:r>
      <w:r w:rsidR="009A3D31" w:rsidRPr="0074242B">
        <w:rPr>
          <w:rFonts w:asciiTheme="majorBidi" w:hAnsiTheme="majorBidi" w:cstheme="majorBidi"/>
          <w:b/>
          <w:bCs/>
        </w:rPr>
        <w:br/>
      </w:r>
      <w:r w:rsidR="0085070C" w:rsidRPr="0074242B">
        <w:rPr>
          <w:rFonts w:asciiTheme="majorBidi" w:hAnsiTheme="majorBidi" w:cstheme="majorBidi"/>
        </w:rPr>
        <w:t xml:space="preserve">In an era marked by financial complexities, dynamic market conditions, and evolving regulatory landscapes, the management of credit risk stands as an essential concern for banks worldwide. The central role that banks play in facilitating economic growth is undeniable, yet the challenges they face in maintaining robust credit risk management strategies are challenging (Zouari‐Hadiji, 2023). This academic article delves into the diverse challenges confronting banks in their effective credit risk management. Effectively managing credit risk is crucial for the operations of banks, with the objective of evaluating and minimizing potential risks linked to lending and credit activities being paramount (Ekinci and Poyraz, 2019). Nevertheless, banks face diverse challenges that impact their capacity to proficiently handle credit risk (Chaibi and Ftiti, 2015; Kagoyire and Shukla, 2016). From navigating intricate regulatory frameworks to utilizing technological advancements, and contending with economic uncertainties to addressing environmental and social considerations, the complexities surrounding credit risk management demand detailed exploration (Gong et al., 2023). </w:t>
      </w:r>
    </w:p>
    <w:p w14:paraId="246AF14C" w14:textId="22DBF568" w:rsidR="00D44454" w:rsidRPr="00EA0D7A" w:rsidRDefault="0085070C" w:rsidP="00EA0D7A">
      <w:pPr>
        <w:spacing w:line="360" w:lineRule="auto"/>
        <w:jc w:val="both"/>
        <w:rPr>
          <w:rFonts w:asciiTheme="majorBidi" w:hAnsiTheme="majorBidi" w:cstheme="majorBidi"/>
          <w:b/>
          <w:bCs/>
        </w:rPr>
      </w:pPr>
      <w:r w:rsidRPr="0074242B">
        <w:rPr>
          <w:rFonts w:asciiTheme="majorBidi" w:hAnsiTheme="majorBidi" w:cstheme="majorBidi"/>
        </w:rPr>
        <w:t xml:space="preserve">Financial institutions as banks become increasingly interconnected in the globalized economy, challenges pertaining to cross-border transactions, cybersecurity, and counterparty risks have emerged as critical considerations in credit risk management (Peihani, 2022). The relentless pace of technological innovation has presented both opportunities and challenges, with banks needing to utilize advanced analytics, artificial intelligence, and big data while also addressing cybersecurity vulnerabilities inherent in digital transformations (Kumar et al., 2023). The legal and compliance landscape is continually evolving, necessitating banks to remain vigilant in ensuring adherence to an ever-expanding array of regulations and ethical standards (Okodugha, 2021). Reputational risks, intimately tied to public perception and ethical business practices, further underscore the importance of a holistic and responsible approach to credit risk management (Doorley and Garcia, 2015). Furthermore, the ongoing macroeconomic uncertainties, including fluctuations in interest rates, inflation, and broader economic conditions, inject an additional layer of complexity into the credit risk management </w:t>
      </w:r>
      <w:r w:rsidRPr="0074242B">
        <w:rPr>
          <w:rFonts w:asciiTheme="majorBidi" w:hAnsiTheme="majorBidi" w:cstheme="majorBidi"/>
        </w:rPr>
        <w:lastRenderedPageBreak/>
        <w:t xml:space="preserve">landscape. (Popoyan et al., 2017) Adapting to these macroeconomic shifts requires banks to continuously reassess their risk models and make strategic adjustments to ensure resilience in the face of economic volatility. The human element in credit risk management cannot be overlooked, as banks grapple with challenges related to talent acquisition, skill development, and staff retention (Blacker and McConnell, 2015). </w:t>
      </w:r>
      <w:r w:rsidR="000C13D6" w:rsidRPr="0074242B">
        <w:rPr>
          <w:rFonts w:asciiTheme="majorBidi" w:hAnsiTheme="majorBidi" w:cstheme="majorBidi"/>
        </w:rPr>
        <w:t xml:space="preserve"> </w:t>
      </w:r>
      <w:r w:rsidR="0061390D" w:rsidRPr="0074242B">
        <w:rPr>
          <w:rFonts w:asciiTheme="majorBidi" w:hAnsiTheme="majorBidi" w:cstheme="majorBidi"/>
        </w:rPr>
        <w:t>Developing</w:t>
      </w:r>
      <w:r w:rsidR="0061390D" w:rsidRPr="0074242B">
        <w:rPr>
          <w:rFonts w:asciiTheme="majorBidi" w:hAnsiTheme="majorBidi" w:cstheme="majorBidi"/>
          <w:b/>
          <w:bCs/>
        </w:rPr>
        <w:t xml:space="preserve"> </w:t>
      </w:r>
      <w:r w:rsidR="000C13D6" w:rsidRPr="0074242B">
        <w:rPr>
          <w:rFonts w:asciiTheme="majorBidi" w:hAnsiTheme="majorBidi" w:cstheme="majorBidi"/>
        </w:rPr>
        <w:t xml:space="preserve">a workforce equipped with the expertise to navigate the </w:t>
      </w:r>
      <w:r w:rsidR="0061390D" w:rsidRPr="0074242B">
        <w:rPr>
          <w:rFonts w:asciiTheme="majorBidi" w:hAnsiTheme="majorBidi" w:cstheme="majorBidi"/>
        </w:rPr>
        <w:t>complexities</w:t>
      </w:r>
      <w:r w:rsidR="000C13D6" w:rsidRPr="0074242B">
        <w:rPr>
          <w:rFonts w:asciiTheme="majorBidi" w:hAnsiTheme="majorBidi" w:cstheme="majorBidi"/>
        </w:rPr>
        <w:t xml:space="preserve"> of credit risk </w:t>
      </w:r>
      <w:r w:rsidR="0061390D" w:rsidRPr="0074242B">
        <w:rPr>
          <w:rFonts w:asciiTheme="majorBidi" w:hAnsiTheme="majorBidi" w:cstheme="majorBidi"/>
        </w:rPr>
        <w:t>management</w:t>
      </w:r>
      <w:r w:rsidR="000C13D6" w:rsidRPr="0074242B">
        <w:rPr>
          <w:rFonts w:asciiTheme="majorBidi" w:hAnsiTheme="majorBidi" w:cstheme="majorBidi"/>
        </w:rPr>
        <w:t xml:space="preserve"> is crucial for the successful implementation of risk management strategies</w:t>
      </w:r>
      <w:r w:rsidR="00765539" w:rsidRPr="0074242B">
        <w:rPr>
          <w:rFonts w:asciiTheme="majorBidi" w:hAnsiTheme="majorBidi" w:cstheme="majorBidi"/>
        </w:rPr>
        <w:t xml:space="preserve"> (Habbal et al., 2024)</w:t>
      </w:r>
      <w:r w:rsidR="000C13D6" w:rsidRPr="0074242B">
        <w:rPr>
          <w:rFonts w:asciiTheme="majorBidi" w:hAnsiTheme="majorBidi" w:cstheme="majorBidi"/>
        </w:rPr>
        <w:t>. As industry dynamics evolve, the demand for skilled professionals capable of integrating financial acumen with technological proficiency becomes increasingly pronounced</w:t>
      </w:r>
      <w:r w:rsidR="003E16BD" w:rsidRPr="0074242B">
        <w:rPr>
          <w:rFonts w:asciiTheme="majorBidi" w:hAnsiTheme="majorBidi" w:cstheme="majorBidi"/>
        </w:rPr>
        <w:t xml:space="preserve"> (Jackson, 2019)</w:t>
      </w:r>
      <w:r w:rsidR="000C13D6" w:rsidRPr="0074242B">
        <w:rPr>
          <w:rFonts w:asciiTheme="majorBidi" w:hAnsiTheme="majorBidi" w:cstheme="majorBidi"/>
        </w:rPr>
        <w:t>. Portfolio diversification poses another challenge, as banks strive to achieve a delicate equilibrium between minimi</w:t>
      </w:r>
      <w:r w:rsidR="00645592" w:rsidRPr="0074242B">
        <w:rPr>
          <w:rFonts w:asciiTheme="majorBidi" w:hAnsiTheme="majorBidi" w:cstheme="majorBidi"/>
        </w:rPr>
        <w:t>s</w:t>
      </w:r>
      <w:r w:rsidR="000C13D6" w:rsidRPr="0074242B">
        <w:rPr>
          <w:rFonts w:asciiTheme="majorBidi" w:hAnsiTheme="majorBidi" w:cstheme="majorBidi"/>
        </w:rPr>
        <w:t>ing concentration risk and optimi</w:t>
      </w:r>
      <w:r w:rsidR="00645592" w:rsidRPr="0074242B">
        <w:rPr>
          <w:rFonts w:asciiTheme="majorBidi" w:hAnsiTheme="majorBidi" w:cstheme="majorBidi"/>
        </w:rPr>
        <w:t>s</w:t>
      </w:r>
      <w:r w:rsidR="000C13D6" w:rsidRPr="0074242B">
        <w:rPr>
          <w:rFonts w:asciiTheme="majorBidi" w:hAnsiTheme="majorBidi" w:cstheme="majorBidi"/>
        </w:rPr>
        <w:t>ing portfolio profitability</w:t>
      </w:r>
      <w:r w:rsidR="003E16BD" w:rsidRPr="0074242B">
        <w:rPr>
          <w:rFonts w:asciiTheme="majorBidi" w:hAnsiTheme="majorBidi" w:cstheme="majorBidi"/>
        </w:rPr>
        <w:t xml:space="preserve"> (Caccioli et al., 2014)</w:t>
      </w:r>
      <w:r w:rsidR="000C13D6" w:rsidRPr="0074242B">
        <w:rPr>
          <w:rFonts w:asciiTheme="majorBidi" w:hAnsiTheme="majorBidi" w:cstheme="majorBidi"/>
        </w:rPr>
        <w:t xml:space="preserve">. Striking this balance necessitates a detailed understanding of market trends, customer </w:t>
      </w:r>
      <w:r w:rsidR="007F74A2" w:rsidRPr="0074242B">
        <w:rPr>
          <w:rFonts w:asciiTheme="majorBidi" w:hAnsiTheme="majorBidi" w:cstheme="majorBidi"/>
        </w:rPr>
        <w:t>behaviour</w:t>
      </w:r>
      <w:r w:rsidR="000C13D6" w:rsidRPr="0074242B">
        <w:rPr>
          <w:rFonts w:asciiTheme="majorBidi" w:hAnsiTheme="majorBidi" w:cstheme="majorBidi"/>
        </w:rPr>
        <w:t>, and industry-specific dynamics, requiring constant monitoring and adjustment of credit portfolios</w:t>
      </w:r>
      <w:r w:rsidR="003E16BD" w:rsidRPr="0074242B">
        <w:rPr>
          <w:rFonts w:asciiTheme="majorBidi" w:hAnsiTheme="majorBidi" w:cstheme="majorBidi"/>
        </w:rPr>
        <w:t xml:space="preserve"> (Aljaloudi, 2018)</w:t>
      </w:r>
      <w:r w:rsidR="000C13D6" w:rsidRPr="0074242B">
        <w:rPr>
          <w:rFonts w:asciiTheme="majorBidi" w:hAnsiTheme="majorBidi" w:cstheme="majorBidi"/>
        </w:rPr>
        <w:t xml:space="preserve">. </w:t>
      </w:r>
    </w:p>
    <w:p w14:paraId="0C10773E" w14:textId="367E2C18" w:rsidR="00EA0D7A" w:rsidRDefault="009C4109" w:rsidP="00EA0D7A">
      <w:pPr>
        <w:spacing w:after="120" w:line="360" w:lineRule="auto"/>
        <w:jc w:val="both"/>
        <w:rPr>
          <w:rFonts w:asciiTheme="majorBidi" w:hAnsiTheme="majorBidi" w:cstheme="majorBidi"/>
        </w:rPr>
      </w:pPr>
      <w:r w:rsidRPr="0074242B">
        <w:rPr>
          <w:rFonts w:asciiTheme="majorBidi" w:hAnsiTheme="majorBidi" w:cstheme="majorBidi"/>
        </w:rPr>
        <w:t xml:space="preserve">While limited studies have concentrated on the identification of challenges in credit risk management within the banking sector, a significant knowledge gap persists, particularly concerning the qualitative analysis of these challenges. This study addresses this gap by focusing on the challenges of credit risk management in commercial banks in Jordan, an emerging market. The existing body of research predominantly employs quantitative methods, relying on statistical analyses and numerical models to measure credit risk challenges. </w:t>
      </w:r>
      <w:r w:rsidR="0006151A" w:rsidRPr="0074242B">
        <w:rPr>
          <w:rFonts w:asciiTheme="majorBidi" w:hAnsiTheme="majorBidi" w:cstheme="majorBidi"/>
        </w:rPr>
        <w:t xml:space="preserve">The scarcity of in-depth qualitative exploration creates a barrier to a detailed understanding of contextual factors, subjective perceptions, and complex dynamics influencing credit risk management decisions in banks. </w:t>
      </w:r>
      <w:r w:rsidRPr="0074242B">
        <w:rPr>
          <w:rFonts w:asciiTheme="majorBidi" w:hAnsiTheme="majorBidi" w:cstheme="majorBidi"/>
        </w:rPr>
        <w:t xml:space="preserve">Integrating qualitative methodologies, including literature reviews and focus group sessions, offers a unique opportunity to capture the perspectives of industry experts, practitioners, and decision makers. This holistic approach not only provides a more comprehensive view of challenges but also enables the identification of </w:t>
      </w:r>
      <w:r w:rsidR="00AE6C6D" w:rsidRPr="0074242B">
        <w:rPr>
          <w:rFonts w:asciiTheme="majorBidi" w:hAnsiTheme="majorBidi" w:cstheme="majorBidi"/>
        </w:rPr>
        <w:t>detailed</w:t>
      </w:r>
      <w:r w:rsidRPr="0074242B">
        <w:rPr>
          <w:rFonts w:asciiTheme="majorBidi" w:hAnsiTheme="majorBidi" w:cstheme="majorBidi"/>
        </w:rPr>
        <w:t>, context-specific issues often overlooked by quantitative methods alone. Addressing this knowledge gap is imperative for the development of informed and contextually relevant credit risk management practices, enhancing the resilience and adaptability of banks in the ever-evolving economic landscape of emerging markets like Jordan.</w:t>
      </w:r>
      <w:r w:rsidR="00EA0D7A">
        <w:rPr>
          <w:rFonts w:asciiTheme="majorBidi" w:hAnsiTheme="majorBidi" w:cstheme="majorBidi"/>
        </w:rPr>
        <w:t xml:space="preserve"> To this end, the aim of this research is</w:t>
      </w:r>
      <w:r w:rsidRPr="0074242B">
        <w:rPr>
          <w:rFonts w:asciiTheme="majorBidi" w:hAnsiTheme="majorBidi" w:cstheme="majorBidi"/>
          <w:vanish/>
        </w:rPr>
        <w:t>Top of Form</w:t>
      </w:r>
      <w:r w:rsidR="00EA0D7A">
        <w:rPr>
          <w:rFonts w:asciiTheme="majorBidi" w:hAnsiTheme="majorBidi" w:cstheme="majorBidi"/>
        </w:rPr>
        <w:t xml:space="preserve"> </w:t>
      </w:r>
      <w:r w:rsidR="008B0EA6" w:rsidRPr="0074242B">
        <w:rPr>
          <w:rFonts w:asciiTheme="majorBidi" w:hAnsiTheme="majorBidi" w:cstheme="majorBidi"/>
        </w:rPr>
        <w:t>to systematically understand and categori</w:t>
      </w:r>
      <w:r w:rsidR="00645592" w:rsidRPr="0074242B">
        <w:rPr>
          <w:rFonts w:asciiTheme="majorBidi" w:hAnsiTheme="majorBidi" w:cstheme="majorBidi"/>
        </w:rPr>
        <w:t>s</w:t>
      </w:r>
      <w:r w:rsidR="008B0EA6" w:rsidRPr="0074242B">
        <w:rPr>
          <w:rFonts w:asciiTheme="majorBidi" w:hAnsiTheme="majorBidi" w:cstheme="majorBidi"/>
        </w:rPr>
        <w:t xml:space="preserve">e challenges inherent in the field of credit risk management. </w:t>
      </w:r>
    </w:p>
    <w:p w14:paraId="3F340CD7" w14:textId="77777777" w:rsidR="00EA0D7A" w:rsidRPr="0084598D" w:rsidRDefault="00EA0D7A" w:rsidP="00EA0D7A">
      <w:pPr>
        <w:spacing w:after="120" w:line="360" w:lineRule="auto"/>
        <w:jc w:val="both"/>
        <w:rPr>
          <w:rFonts w:asciiTheme="majorBidi" w:hAnsiTheme="majorBidi" w:cstheme="majorBidi"/>
          <w:b/>
          <w:bCs/>
          <w:color w:val="000000" w:themeColor="text1"/>
          <w:shd w:val="clear" w:color="auto" w:fill="FFFFFF"/>
        </w:rPr>
      </w:pPr>
      <w:r w:rsidRPr="0084598D">
        <w:rPr>
          <w:rFonts w:asciiTheme="majorBidi" w:hAnsiTheme="majorBidi" w:cstheme="majorBidi"/>
          <w:b/>
          <w:bCs/>
          <w:color w:val="000000" w:themeColor="text1"/>
          <w:shd w:val="clear" w:color="auto" w:fill="FFFFFF"/>
        </w:rPr>
        <w:t>METHODOLOGY</w:t>
      </w:r>
    </w:p>
    <w:p w14:paraId="05B3418D" w14:textId="6A457E59" w:rsidR="00144404" w:rsidRPr="0074242B" w:rsidRDefault="00144404" w:rsidP="00A0064D">
      <w:pPr>
        <w:spacing w:after="0" w:line="360" w:lineRule="auto"/>
        <w:jc w:val="both"/>
        <w:rPr>
          <w:rFonts w:asciiTheme="majorBidi" w:hAnsiTheme="majorBidi" w:cstheme="majorBidi"/>
        </w:rPr>
      </w:pPr>
      <w:r w:rsidRPr="0074242B">
        <w:rPr>
          <w:rFonts w:asciiTheme="majorBidi" w:hAnsiTheme="majorBidi" w:cstheme="majorBidi"/>
        </w:rPr>
        <w:t>In this study, a qualitative research approach has been adopted to attain a comprehensive understanding. The research relies on insights and expertise from experts and existing literature as the primary method for data collection and analysis. This qualitative approach emphasi</w:t>
      </w:r>
      <w:r w:rsidR="00F7715F" w:rsidRPr="0074242B">
        <w:rPr>
          <w:rFonts w:asciiTheme="majorBidi" w:hAnsiTheme="majorBidi" w:cstheme="majorBidi"/>
        </w:rPr>
        <w:t>s</w:t>
      </w:r>
      <w:r w:rsidRPr="0074242B">
        <w:rPr>
          <w:rFonts w:asciiTheme="majorBidi" w:hAnsiTheme="majorBidi" w:cstheme="majorBidi"/>
        </w:rPr>
        <w:t>es the richness of narrative data and expert perspectives to deepen the understanding of the subject matter.</w:t>
      </w:r>
    </w:p>
    <w:p w14:paraId="50EB2455" w14:textId="77777777" w:rsidR="00F92603" w:rsidRPr="0074242B" w:rsidRDefault="00FA45F4" w:rsidP="00F92603">
      <w:pPr>
        <w:spacing w:after="0" w:line="240" w:lineRule="auto"/>
        <w:rPr>
          <w:rFonts w:asciiTheme="majorBidi" w:hAnsiTheme="majorBidi" w:cstheme="majorBidi"/>
          <w:b/>
          <w:bCs/>
        </w:rPr>
      </w:pPr>
      <w:r w:rsidRPr="0074242B">
        <w:rPr>
          <w:rFonts w:asciiTheme="majorBidi" w:hAnsiTheme="majorBidi" w:cstheme="majorBidi"/>
          <w:noProof/>
        </w:rPr>
        <w:lastRenderedPageBreak/>
        <w:drawing>
          <wp:inline distT="0" distB="0" distL="0" distR="0" wp14:anchorId="2FA3CD32" wp14:editId="79953A9E">
            <wp:extent cx="5731510" cy="925195"/>
            <wp:effectExtent l="0" t="0" r="2540" b="8255"/>
            <wp:docPr id="965744557" name="Picture 2" descr="A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44557" name="Picture 2" descr="A white rectangular sign with black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31510" cy="925195"/>
                    </a:xfrm>
                    <a:prstGeom prst="rect">
                      <a:avLst/>
                    </a:prstGeom>
                  </pic:spPr>
                </pic:pic>
              </a:graphicData>
            </a:graphic>
          </wp:inline>
        </w:drawing>
      </w:r>
    </w:p>
    <w:p w14:paraId="3EEDDAE0" w14:textId="2B739D92" w:rsidR="00F92603" w:rsidRPr="0074242B" w:rsidRDefault="00F92603" w:rsidP="00F92603">
      <w:pPr>
        <w:spacing w:after="0" w:line="240" w:lineRule="auto"/>
        <w:rPr>
          <w:rFonts w:asciiTheme="majorBidi" w:hAnsiTheme="majorBidi" w:cstheme="majorBidi"/>
          <w:i/>
          <w:iCs/>
        </w:rPr>
      </w:pPr>
      <w:r w:rsidRPr="0074242B">
        <w:rPr>
          <w:rFonts w:asciiTheme="majorBidi" w:hAnsiTheme="majorBidi" w:cstheme="majorBidi"/>
          <w:i/>
          <w:iCs/>
        </w:rPr>
        <w:t xml:space="preserve">Figure 1. Research process </w:t>
      </w:r>
    </w:p>
    <w:p w14:paraId="095D8372" w14:textId="77777777" w:rsidR="00F92603" w:rsidRPr="0074242B" w:rsidRDefault="00F92603" w:rsidP="00F92603">
      <w:pPr>
        <w:rPr>
          <w:rFonts w:asciiTheme="majorBidi" w:hAnsiTheme="majorBidi" w:cstheme="majorBidi"/>
          <w:b/>
          <w:bCs/>
        </w:rPr>
      </w:pPr>
    </w:p>
    <w:p w14:paraId="7B1F2BF2" w14:textId="77777777" w:rsidR="00F92603" w:rsidRPr="0074242B" w:rsidRDefault="00E6384E" w:rsidP="00F92603">
      <w:pPr>
        <w:rPr>
          <w:rFonts w:asciiTheme="majorBidi" w:hAnsiTheme="majorBidi" w:cstheme="majorBidi"/>
          <w:b/>
          <w:bCs/>
        </w:rPr>
      </w:pPr>
      <w:r w:rsidRPr="0074242B">
        <w:rPr>
          <w:rFonts w:asciiTheme="majorBidi" w:eastAsia="Times New Roman" w:hAnsiTheme="majorBidi" w:cstheme="majorBidi"/>
          <w:b/>
          <w:bCs/>
        </w:rPr>
        <w:t>Data collection</w:t>
      </w:r>
    </w:p>
    <w:p w14:paraId="2A44F945" w14:textId="516699DA" w:rsidR="00E6384E" w:rsidRDefault="00E6384E" w:rsidP="00F92603">
      <w:pPr>
        <w:rPr>
          <w:rFonts w:asciiTheme="majorBidi" w:eastAsia="Times New Roman" w:hAnsiTheme="majorBidi" w:cstheme="majorBidi"/>
          <w:b/>
          <w:bCs/>
          <w:i/>
          <w:iCs/>
        </w:rPr>
      </w:pPr>
      <w:bookmarkStart w:id="0" w:name="_Hlk135066784"/>
      <w:r w:rsidRPr="0074242B">
        <w:rPr>
          <w:rFonts w:asciiTheme="majorBidi" w:eastAsia="Times New Roman" w:hAnsiTheme="majorBidi" w:cstheme="majorBidi"/>
          <w:b/>
          <w:bCs/>
          <w:i/>
          <w:iCs/>
        </w:rPr>
        <w:t>Systematic Literature Review</w:t>
      </w:r>
    </w:p>
    <w:p w14:paraId="331B8A55" w14:textId="6058918D" w:rsidR="00E6384E" w:rsidRPr="0074242B" w:rsidRDefault="00E6384E" w:rsidP="00E6384E">
      <w:pPr>
        <w:spacing w:after="0" w:line="360" w:lineRule="auto"/>
        <w:jc w:val="both"/>
        <w:rPr>
          <w:rFonts w:asciiTheme="majorBidi" w:eastAsia="Times New Roman" w:hAnsiTheme="majorBidi" w:cstheme="majorBidi"/>
        </w:rPr>
      </w:pPr>
      <w:r w:rsidRPr="0074242B">
        <w:rPr>
          <w:rFonts w:asciiTheme="majorBidi" w:eastAsia="Times New Roman" w:hAnsiTheme="majorBidi" w:cstheme="majorBidi"/>
        </w:rPr>
        <w:t>In this research, a systematic literature review was adopted as a method to first identify categories of credit risk management practices, then categories of challenges facing credit risk management, and thirdly, bank performance indicators. A systematic literature review is a type of review that collects multiple research studies and summarises them to answer a research question using rigorous methods (Gough et al., 2017</w:t>
      </w:r>
      <w:r w:rsidR="00E04698">
        <w:rPr>
          <w:rFonts w:asciiTheme="majorBidi" w:eastAsia="Times New Roman" w:hAnsiTheme="majorBidi" w:cstheme="majorBidi"/>
        </w:rPr>
        <w:t xml:space="preserve">; </w:t>
      </w:r>
      <w:r w:rsidR="00E04698">
        <w:rPr>
          <w:rFonts w:ascii="Arial" w:hAnsi="Arial" w:cs="Arial"/>
          <w:color w:val="222222"/>
          <w:sz w:val="20"/>
          <w:szCs w:val="20"/>
          <w:shd w:val="clear" w:color="auto" w:fill="FFFFFF"/>
        </w:rPr>
        <w:t>Al-Mhdawi et al., 2023</w:t>
      </w:r>
      <w:r w:rsidRPr="0074242B">
        <w:rPr>
          <w:rFonts w:asciiTheme="majorBidi" w:eastAsia="Times New Roman" w:hAnsiTheme="majorBidi" w:cstheme="majorBidi"/>
        </w:rPr>
        <w:t>). Conducting a systematic and comprehensive literature review concerning the tools and techniques of credit risk management on commercial banks performance. This method was chosen due to the following benefits: According to Cook and Murowchick (2014)</w:t>
      </w:r>
      <w:r w:rsidR="00E04698">
        <w:rPr>
          <w:rFonts w:asciiTheme="majorBidi" w:eastAsia="Times New Roman" w:hAnsiTheme="majorBidi" w:cstheme="majorBidi"/>
        </w:rPr>
        <w:t xml:space="preserve">, </w:t>
      </w:r>
      <w:r w:rsidRPr="0074242B">
        <w:rPr>
          <w:rFonts w:asciiTheme="majorBidi" w:eastAsia="Times New Roman" w:hAnsiTheme="majorBidi" w:cstheme="majorBidi"/>
        </w:rPr>
        <w:t>Fink (2019)</w:t>
      </w:r>
      <w:r w:rsidR="00E04698">
        <w:rPr>
          <w:rFonts w:asciiTheme="majorBidi" w:eastAsia="Times New Roman" w:hAnsiTheme="majorBidi" w:cstheme="majorBidi"/>
        </w:rPr>
        <w:t xml:space="preserve"> and </w:t>
      </w:r>
      <w:r w:rsidR="00E04698">
        <w:rPr>
          <w:rFonts w:ascii="Arial" w:hAnsi="Arial" w:cs="Arial"/>
          <w:color w:val="222222"/>
          <w:sz w:val="20"/>
          <w:szCs w:val="20"/>
          <w:shd w:val="clear" w:color="auto" w:fill="FFFFFF"/>
        </w:rPr>
        <w:t>Al-Mhdawi et al. (2024a)</w:t>
      </w:r>
      <w:r w:rsidRPr="0074242B">
        <w:rPr>
          <w:rFonts w:asciiTheme="majorBidi" w:eastAsia="Times New Roman" w:hAnsiTheme="majorBidi" w:cstheme="majorBidi"/>
        </w:rPr>
        <w:t>, (1) it helps to identify new approaches; (2) to interpret prior studies; (3) to prevent duplication of previous work and establish the theoretical framework and methodological focus of the research; (4) to assess available work and reports concerning the subject; (5) to show a summary of the modern issues; (6) to indicate the gaps in comprehension of the field to support the work; (7) to structure a basis for the indicated topic that needs to be marked in the research; and (8) to develop research questions for the next stage of the study (De Carvalho et al., 2017). Gough et al. (2017) described the major activities of a systematic review as follows: finding relevant research, methodically critiquing research reports, synthesi</w:t>
      </w:r>
      <w:r w:rsidR="00645592" w:rsidRPr="0074242B">
        <w:rPr>
          <w:rFonts w:asciiTheme="majorBidi" w:eastAsia="Times New Roman" w:hAnsiTheme="majorBidi" w:cstheme="majorBidi"/>
        </w:rPr>
        <w:t>s</w:t>
      </w:r>
      <w:r w:rsidRPr="0074242B">
        <w:rPr>
          <w:rFonts w:asciiTheme="majorBidi" w:eastAsia="Times New Roman" w:hAnsiTheme="majorBidi" w:cstheme="majorBidi"/>
        </w:rPr>
        <w:t>ing findings, and understanding the research's results. To achieve this objective, a three-stage process was adopted in this research, which is detailed in the following subsections:</w:t>
      </w:r>
    </w:p>
    <w:p w14:paraId="4296B68C" w14:textId="77777777" w:rsidR="00E6384E" w:rsidRPr="0074242B" w:rsidRDefault="00E6384E" w:rsidP="00E6384E">
      <w:pPr>
        <w:numPr>
          <w:ilvl w:val="0"/>
          <w:numId w:val="1"/>
        </w:numPr>
        <w:spacing w:after="0" w:line="360" w:lineRule="auto"/>
        <w:ind w:left="357" w:hanging="357"/>
        <w:jc w:val="both"/>
        <w:rPr>
          <w:rFonts w:asciiTheme="majorBidi" w:eastAsia="Times New Roman" w:hAnsiTheme="majorBidi" w:cstheme="majorBidi"/>
          <w:lang w:val="en-US"/>
        </w:rPr>
      </w:pPr>
      <w:r w:rsidRPr="0074242B">
        <w:rPr>
          <w:rFonts w:asciiTheme="majorBidi" w:eastAsia="Times New Roman" w:hAnsiTheme="majorBidi" w:cstheme="majorBidi"/>
          <w:lang w:val="en-US"/>
        </w:rPr>
        <w:t>Journal Selection</w:t>
      </w:r>
    </w:p>
    <w:p w14:paraId="2AE5E045" w14:textId="77777777" w:rsidR="00E6384E" w:rsidRDefault="00E6384E" w:rsidP="00E6384E">
      <w:pPr>
        <w:spacing w:after="0" w:line="360" w:lineRule="auto"/>
        <w:jc w:val="both"/>
        <w:rPr>
          <w:rFonts w:asciiTheme="majorBidi" w:eastAsia="Times New Roman" w:hAnsiTheme="majorBidi" w:cstheme="majorBidi"/>
        </w:rPr>
      </w:pPr>
      <w:r w:rsidRPr="0074242B">
        <w:rPr>
          <w:rFonts w:asciiTheme="majorBidi" w:eastAsia="Times New Roman" w:hAnsiTheme="majorBidi" w:cstheme="majorBidi"/>
        </w:rPr>
        <w:t>Journals that have an important impact and a prominent position in the research community of risk management were selected. Purposive or selective sampling (Alam, 2020) was used to choose the journals. This means that only those journals were considered that had been used by many authors to do literature reviews and content analysis on credit risk-related topics in banks (Abdelrahim, 2013; Zou and Li, 2014; Alshatti, 2015; Shahid et al., 2019). Also, the Scimago journal ranking (SJR) was referred to when choosing the journals. Journals that have quartiles Q1, Q2, Q3, and Q4 based on the SJR were considered. Furthermore, the journals were selected based on their quartiles of Q1, Q2, Q3, and Q4. Despite the fact that some journals are not included in the Scimago journal ranking, they were included in this research because of their relevance. </w:t>
      </w:r>
    </w:p>
    <w:p w14:paraId="356A4959" w14:textId="77777777" w:rsidR="00195A74" w:rsidRDefault="00195A74" w:rsidP="00E6384E">
      <w:pPr>
        <w:spacing w:after="0" w:line="360" w:lineRule="auto"/>
        <w:jc w:val="both"/>
        <w:rPr>
          <w:rFonts w:asciiTheme="majorBidi" w:eastAsia="Times New Roman" w:hAnsiTheme="majorBidi" w:cstheme="majorBidi"/>
        </w:rPr>
      </w:pPr>
    </w:p>
    <w:p w14:paraId="35D5AD3E" w14:textId="77777777" w:rsidR="00195A74" w:rsidRPr="0074242B" w:rsidRDefault="00195A74" w:rsidP="00E6384E">
      <w:pPr>
        <w:spacing w:after="0" w:line="360" w:lineRule="auto"/>
        <w:jc w:val="both"/>
        <w:rPr>
          <w:rFonts w:asciiTheme="majorBidi" w:eastAsia="Times New Roman" w:hAnsiTheme="majorBidi" w:cstheme="majorBidi"/>
        </w:rPr>
      </w:pPr>
    </w:p>
    <w:p w14:paraId="4FD96E83" w14:textId="77777777" w:rsidR="00E6384E" w:rsidRPr="0074242B" w:rsidRDefault="00E6384E" w:rsidP="00E6384E">
      <w:pPr>
        <w:numPr>
          <w:ilvl w:val="0"/>
          <w:numId w:val="1"/>
        </w:numPr>
        <w:spacing w:after="0" w:line="360" w:lineRule="auto"/>
        <w:ind w:left="357" w:hanging="357"/>
        <w:jc w:val="both"/>
        <w:rPr>
          <w:rFonts w:asciiTheme="majorBidi" w:eastAsia="Times New Roman" w:hAnsiTheme="majorBidi" w:cstheme="majorBidi"/>
          <w:lang w:val="en-US"/>
        </w:rPr>
      </w:pPr>
      <w:r w:rsidRPr="0074242B">
        <w:rPr>
          <w:rFonts w:asciiTheme="majorBidi" w:eastAsia="Times New Roman" w:hAnsiTheme="majorBidi" w:cstheme="majorBidi"/>
          <w:lang w:val="en-US"/>
        </w:rPr>
        <w:lastRenderedPageBreak/>
        <w:t>Article Selection</w:t>
      </w:r>
    </w:p>
    <w:p w14:paraId="63718150" w14:textId="67A05402" w:rsidR="00E6384E" w:rsidRPr="0074242B" w:rsidRDefault="00E6384E" w:rsidP="00E6384E">
      <w:pPr>
        <w:spacing w:after="0" w:line="360" w:lineRule="auto"/>
        <w:jc w:val="both"/>
        <w:rPr>
          <w:rFonts w:asciiTheme="majorBidi" w:eastAsia="Times New Roman" w:hAnsiTheme="majorBidi" w:cstheme="majorBidi"/>
        </w:rPr>
      </w:pPr>
      <w:r w:rsidRPr="0074242B">
        <w:rPr>
          <w:rFonts w:asciiTheme="majorBidi" w:eastAsia="Times New Roman" w:hAnsiTheme="majorBidi" w:cstheme="majorBidi"/>
        </w:rPr>
        <w:t>Searches for relevant articles were performed using Google Scholar and Scopus (Elsevier’s abstract and citation databases). Keywords used for searching the articles included credit risk, credit risk management practices, credit risk identification, credit risk understanding, credit risk assessment and analysis, credit risk monitoring and controlling, challenges of credit risk management practices, bank performance, and commercial banks. The keywords were selected from previously published articles (Shieler et al., 2017; Ali and Oudatb, 2020; RASA, 2021) that conducted a review on credit risk-related topics, and they were based on an initial examination of common keywords used in credit risk management-related articles published in the banking domain. The search was conducted using the title, abstract, and keyword fields of the aforementioned search engines. The search was restricted to articles published from 2011 to 2021 (inclusive). As a result, 175 articles were initially retrieved from the selected journals. The contents of the articles were further examined, and the number of articles was reduced to 35. </w:t>
      </w:r>
    </w:p>
    <w:p w14:paraId="147ABF38" w14:textId="77777777" w:rsidR="00E6384E" w:rsidRPr="0074242B" w:rsidRDefault="00E6384E" w:rsidP="00E6384E">
      <w:pPr>
        <w:numPr>
          <w:ilvl w:val="0"/>
          <w:numId w:val="1"/>
        </w:numPr>
        <w:spacing w:after="0" w:line="360" w:lineRule="auto"/>
        <w:ind w:left="357" w:hanging="357"/>
        <w:jc w:val="both"/>
        <w:rPr>
          <w:rFonts w:asciiTheme="majorBidi" w:eastAsia="Times New Roman" w:hAnsiTheme="majorBidi" w:cstheme="majorBidi"/>
          <w:lang w:val="en-US"/>
        </w:rPr>
      </w:pPr>
      <w:r w:rsidRPr="0074242B">
        <w:rPr>
          <w:rFonts w:asciiTheme="majorBidi" w:eastAsia="Times New Roman" w:hAnsiTheme="majorBidi" w:cstheme="majorBidi"/>
          <w:lang w:val="en-US"/>
        </w:rPr>
        <w:t>Content Analysis</w:t>
      </w:r>
    </w:p>
    <w:p w14:paraId="10B6B953" w14:textId="77777777" w:rsidR="00D2137F" w:rsidRPr="0074242B" w:rsidRDefault="00E6384E" w:rsidP="00EA0D7A">
      <w:pPr>
        <w:spacing w:after="120" w:line="360" w:lineRule="auto"/>
        <w:jc w:val="both"/>
        <w:rPr>
          <w:rFonts w:asciiTheme="majorBidi" w:eastAsia="Times New Roman" w:hAnsiTheme="majorBidi" w:cstheme="majorBidi"/>
        </w:rPr>
      </w:pPr>
      <w:r w:rsidRPr="0074242B">
        <w:rPr>
          <w:rFonts w:asciiTheme="majorBidi" w:eastAsia="Times New Roman" w:hAnsiTheme="majorBidi" w:cstheme="majorBidi"/>
        </w:rPr>
        <w:t>Once the articles were identified, detailed content analysis was carried out in order to (1) profile the selected articles based on type of journal, year of publication, and number of authors per article; (2) characterise the banks considered for credit risk management in the selected articles based on region and type; (3) examine common credit risk management practices, challenges of credit risk management, and category names used for classifying credit risk in the selected articles; and (4) systematically identify and categorise common credit risk management practices from the selected articles. According to Krippendorff (2018), content analysis is a research method for figuring out the most important parts of written, spoken, or visual communication messages and making valid inferences from them. It can be done qualitatively or quantitatively, depending on the type of project and the questions to be answered (White and Marsh, 2006; Bengtsson, 2016). In this research, a combination of both qualitative and quantitative content analysis was adopted.</w:t>
      </w:r>
    </w:p>
    <w:p w14:paraId="48DECDBC" w14:textId="2816E0B1" w:rsidR="00E6384E" w:rsidRPr="0074242B" w:rsidRDefault="00E6384E" w:rsidP="00D2137F">
      <w:pPr>
        <w:spacing w:after="0" w:line="360" w:lineRule="auto"/>
        <w:jc w:val="both"/>
        <w:rPr>
          <w:rFonts w:asciiTheme="majorBidi" w:eastAsia="Times New Roman" w:hAnsiTheme="majorBidi" w:cstheme="majorBidi"/>
          <w:b/>
          <w:bCs/>
          <w:i/>
          <w:iCs/>
        </w:rPr>
      </w:pPr>
      <w:r w:rsidRPr="0074242B">
        <w:rPr>
          <w:rFonts w:asciiTheme="majorBidi" w:eastAsia="Times New Roman" w:hAnsiTheme="majorBidi" w:cstheme="majorBidi"/>
          <w:b/>
          <w:bCs/>
          <w:i/>
          <w:iCs/>
        </w:rPr>
        <w:t>Focus group session</w:t>
      </w:r>
    </w:p>
    <w:p w14:paraId="6D734E22" w14:textId="7DBE7C95" w:rsidR="00E04698" w:rsidRDefault="00E6384E" w:rsidP="00EA0D7A">
      <w:pPr>
        <w:spacing w:after="120" w:line="360" w:lineRule="auto"/>
        <w:jc w:val="both"/>
        <w:rPr>
          <w:rFonts w:asciiTheme="majorBidi" w:eastAsia="MS Mincho" w:hAnsiTheme="majorBidi" w:cstheme="majorBidi"/>
        </w:rPr>
      </w:pPr>
      <w:r w:rsidRPr="0074242B">
        <w:rPr>
          <w:rFonts w:asciiTheme="majorBidi" w:eastAsia="MS Mincho" w:hAnsiTheme="majorBidi" w:cstheme="majorBidi"/>
        </w:rPr>
        <w:t>A focus group session is a qualitative research method that involves a structured and guided discussion with a small group of participants, typically ranging from 6 to 12 individuals (Nyumba et al., 2018</w:t>
      </w:r>
      <w:r w:rsidR="00E04698">
        <w:rPr>
          <w:rFonts w:asciiTheme="majorBidi" w:eastAsia="MS Mincho" w:hAnsiTheme="majorBidi" w:cstheme="majorBidi"/>
        </w:rPr>
        <w:t xml:space="preserve">; </w:t>
      </w:r>
      <w:r w:rsidR="00E04698" w:rsidRPr="00EA0D7A">
        <w:rPr>
          <w:rFonts w:asciiTheme="majorBidi" w:eastAsia="MS Mincho" w:hAnsiTheme="majorBidi" w:cstheme="majorBidi"/>
        </w:rPr>
        <w:t>Al-Mhdawi et al., 2022</w:t>
      </w:r>
      <w:r w:rsidRPr="0074242B">
        <w:rPr>
          <w:rFonts w:asciiTheme="majorBidi" w:eastAsia="MS Mincho" w:hAnsiTheme="majorBidi" w:cstheme="majorBidi"/>
        </w:rPr>
        <w:t>). The discussion is facilitated by a moderator who poses open-ended questions and encourages participants to express their opinions, experiences, and insights on a specific research topic (Stewart and Shamdasani, 2014). Focus group sessions aim to explore and understand the diverse perspectives, attitudes, and perceptions of the participants regarding the chosen subject matter (Kitzinger, 1995; Escalada and Heong, 2014</w:t>
      </w:r>
      <w:r w:rsidR="00E04698">
        <w:rPr>
          <w:rFonts w:asciiTheme="majorBidi" w:eastAsia="MS Mincho" w:hAnsiTheme="majorBidi" w:cstheme="majorBidi"/>
        </w:rPr>
        <w:t xml:space="preserve">; </w:t>
      </w:r>
      <w:r w:rsidR="00E04698" w:rsidRPr="00EA0D7A">
        <w:rPr>
          <w:rFonts w:asciiTheme="majorBidi" w:eastAsia="MS Mincho" w:hAnsiTheme="majorBidi" w:cstheme="majorBidi"/>
        </w:rPr>
        <w:t>Al-Mhdawi et al., 2024b</w:t>
      </w:r>
      <w:r w:rsidRPr="0074242B">
        <w:rPr>
          <w:rFonts w:asciiTheme="majorBidi" w:eastAsia="MS Mincho" w:hAnsiTheme="majorBidi" w:cstheme="majorBidi"/>
        </w:rPr>
        <w:t>).</w:t>
      </w:r>
    </w:p>
    <w:p w14:paraId="38222802" w14:textId="5F49D58D" w:rsidR="00E6384E" w:rsidRPr="0074242B" w:rsidRDefault="00E6384E" w:rsidP="00EA0D7A">
      <w:pPr>
        <w:spacing w:after="120" w:line="360" w:lineRule="auto"/>
        <w:jc w:val="both"/>
        <w:rPr>
          <w:rFonts w:asciiTheme="majorBidi" w:eastAsia="MS Mincho" w:hAnsiTheme="majorBidi" w:cstheme="majorBidi"/>
        </w:rPr>
      </w:pPr>
      <w:r w:rsidRPr="0074242B">
        <w:rPr>
          <w:rFonts w:asciiTheme="majorBidi" w:eastAsia="MS Mincho" w:hAnsiTheme="majorBidi" w:cstheme="majorBidi"/>
        </w:rPr>
        <w:t xml:space="preserve">According to Gill et al. (2008); Harrell and Bradley (2009); Barbour and Barbour (2018); Khoa et al. (2023), Focus group sessions are invaluable for data collection in research for several reasons. Firstly, they enable in-depth exploration of research topics, providing a platform for participants to candidly </w:t>
      </w:r>
      <w:r w:rsidRPr="0074242B">
        <w:rPr>
          <w:rFonts w:asciiTheme="majorBidi" w:eastAsia="MS Mincho" w:hAnsiTheme="majorBidi" w:cstheme="majorBidi"/>
        </w:rPr>
        <w:lastRenderedPageBreak/>
        <w:t>express their thoughts and experiences, thereby allowing researchers to gain profound insights into the subject matter. Moreover, focus groups assemble individuals from diverse backgrounds, fostering a rich tapestry of perspectives and opinions that enhance the data's breadth and depth. Furthermore, the dynamic interactions among participants during group discussions often lead to the emergence of innovative ideas and the clarification of existing concepts through constructive dialogue. Additionally, focus group sessions yield qualitative data rich in detail, providing access to participants' attitudes, motivations, and emotions, aspects not easily captured through quantitative methods alone. These sessions also facilitate an understanding of contextual factors that influence participants' views and behaviors, shedding light on the "why" behind their responses. Furthermore, focus groups serve as a fertile ground for idea generation and concept testing, enabling researchers to present new concepts or prototypes and gather immediate feedback. Importantly, when combined with other research methods like surveys or interviews, data triangulation is enhanced, boosting the validity and reliability of research findings. Focus group sessions are also valuable in the exploratory phase, generating hypotheses or research questions for further quantitative investigation. Additionally, these sessions empower participants by allowing them to contribute their knowledge and opinions to the research process, fostering a sense of involvement and ownership. Lastly, focus group findings can inform subsequent research phases, such as survey design or experiment development, ensuring that these phases are grounded in a deep understanding of the research topic.</w:t>
      </w:r>
    </w:p>
    <w:p w14:paraId="11659CBC" w14:textId="0E8A00B5" w:rsidR="00E6384E" w:rsidRPr="0074242B" w:rsidRDefault="00E6384E" w:rsidP="00EA0D7A">
      <w:pPr>
        <w:spacing w:after="120" w:line="360" w:lineRule="auto"/>
        <w:jc w:val="both"/>
        <w:rPr>
          <w:rFonts w:asciiTheme="majorBidi" w:eastAsia="MS Mincho" w:hAnsiTheme="majorBidi" w:cstheme="majorBidi"/>
        </w:rPr>
      </w:pPr>
      <w:r w:rsidRPr="0074242B">
        <w:rPr>
          <w:rFonts w:asciiTheme="majorBidi" w:eastAsia="MS Mincho" w:hAnsiTheme="majorBidi" w:cstheme="majorBidi"/>
        </w:rPr>
        <w:t xml:space="preserve">Both focus group sessions and interviews serve as valuable qualitative research methods, each offering distinct advantages (Finch et al., 2003). Focus group sessions, in particular, present several merits over interviews (Morgan, 2002). Firstly, they facilitate group interaction and dynamics, fostering dynamic discussions where diverse perspectives and ideas emerge organically (Millward, 2012). This interaction can lead to deeper insights and a more comprehensive understanding of the research topic compared to one-on-one interviews (Freeman, 2006). Additionally, focus group sessions offer efficiency benefits, allowing researchers to gather insights from multiple participants simultaneously, making them particularly advantageous for collecting data from larger participant groups within constrained timeframes (Lederman, 1990; Marrelli, 2008). Furthermore, they are often a cost-effective option, especially when dealing with relatively larger sample sizes, as they reduce the need for individual interview sessions (Escalada and Heong, 2014). Moreover, focus group sessions provide a platform for observing natural group dynamics, shedding light on social norms, peer influence, and collective decision-making processes that might remain hidden in individual interviews (Carey and Asbury, 2016). They also encourage brainstorming and idea generation, with participants building upon each other's thoughts, leading to creative solutions and novel insights (Ritter and Mostert, 2018). Furthermore, the group setting can foster open and candid discussions, making participants feel less pressured than in one-on-one interviews, which can result in richer data (Stokes and Bergin, 2006). Lastly, by bringing together participants with diverse backgrounds and experiences, focus group sessions contribute to a </w:t>
      </w:r>
      <w:r w:rsidRPr="0074242B">
        <w:rPr>
          <w:rFonts w:asciiTheme="majorBidi" w:eastAsia="MS Mincho" w:hAnsiTheme="majorBidi" w:cstheme="majorBidi"/>
        </w:rPr>
        <w:lastRenderedPageBreak/>
        <w:t>more comprehensive and holistic understanding of the research topic, as they capture a wide array of perspectives (Smithson, 2000; Rodriguez et al., 2011).</w:t>
      </w:r>
    </w:p>
    <w:p w14:paraId="62B5D121" w14:textId="1B7FBD33" w:rsidR="00D96E3F" w:rsidRPr="0074242B" w:rsidRDefault="00E6384E" w:rsidP="00E6384E">
      <w:pPr>
        <w:spacing w:after="0" w:line="360" w:lineRule="auto"/>
        <w:jc w:val="both"/>
        <w:rPr>
          <w:rFonts w:asciiTheme="majorBidi" w:eastAsia="MS Mincho" w:hAnsiTheme="majorBidi" w:cstheme="majorBidi"/>
        </w:rPr>
      </w:pPr>
      <w:r w:rsidRPr="0074242B">
        <w:rPr>
          <w:rFonts w:asciiTheme="majorBidi" w:eastAsia="MS Mincho" w:hAnsiTheme="majorBidi" w:cstheme="majorBidi"/>
        </w:rPr>
        <w:t>In this study, a focus group session was conducted with 9 experts in the field of credit risk working in Jordanian commercial banks in order to: (1) to further validate the identified credit risk management practices and their implementation challenges from the systematic literature review stage of this adopted methodology; and (2) to identify best credit risk management practices in the context of Jordanian commercial banking. In the process of participant selection, the researcher employed a purposive or expert sampling approach. This method falls under non-probability sampling, where the facilitator or researcher reaches out to individuals recogni</w:t>
      </w:r>
      <w:r w:rsidR="00645592" w:rsidRPr="0074242B">
        <w:rPr>
          <w:rFonts w:asciiTheme="majorBidi" w:eastAsia="MS Mincho" w:hAnsiTheme="majorBidi" w:cstheme="majorBidi"/>
        </w:rPr>
        <w:t>s</w:t>
      </w:r>
      <w:r w:rsidRPr="0074242B">
        <w:rPr>
          <w:rFonts w:asciiTheme="majorBidi" w:eastAsia="MS Mincho" w:hAnsiTheme="majorBidi" w:cstheme="majorBidi"/>
        </w:rPr>
        <w:t>ed as experts in the field, as outlined by Creswell and Creswell (2017).</w:t>
      </w:r>
      <w:r w:rsidR="00D96E3F" w:rsidRPr="0074242B">
        <w:rPr>
          <w:rFonts w:asciiTheme="majorBidi" w:eastAsia="MS Mincho" w:hAnsiTheme="majorBidi" w:cstheme="majorBidi"/>
        </w:rPr>
        <w:t xml:space="preserve"> </w:t>
      </w:r>
      <w:r w:rsidRPr="0074242B">
        <w:rPr>
          <w:rFonts w:asciiTheme="majorBidi" w:eastAsia="MS Mincho" w:hAnsiTheme="majorBidi" w:cstheme="majorBidi"/>
        </w:rPr>
        <w:t>During the session with the focus group, the following questions served as the guiding questions:</w:t>
      </w:r>
    </w:p>
    <w:p w14:paraId="023AA122" w14:textId="760CC386" w:rsidR="00E6384E" w:rsidRPr="0074242B" w:rsidRDefault="00E6384E" w:rsidP="00E6384E">
      <w:pPr>
        <w:spacing w:after="0" w:line="360" w:lineRule="auto"/>
        <w:jc w:val="both"/>
        <w:rPr>
          <w:rFonts w:asciiTheme="majorBidi" w:eastAsia="MS Mincho" w:hAnsiTheme="majorBidi" w:cstheme="majorBidi"/>
        </w:rPr>
      </w:pPr>
      <w:r w:rsidRPr="0074242B">
        <w:rPr>
          <w:rFonts w:asciiTheme="majorBidi" w:eastAsia="MS Mincho" w:hAnsiTheme="majorBidi" w:cstheme="majorBidi"/>
        </w:rPr>
        <w:t>Q1: What are the challenges facing the implementation of credit risk management practices in the Jordanian context? </w:t>
      </w:r>
    </w:p>
    <w:p w14:paraId="1E4437BF" w14:textId="77777777" w:rsidR="00E6384E" w:rsidRPr="0074242B" w:rsidRDefault="00E6384E" w:rsidP="00E6384E">
      <w:pPr>
        <w:spacing w:after="0" w:line="360" w:lineRule="auto"/>
        <w:jc w:val="both"/>
        <w:rPr>
          <w:rFonts w:asciiTheme="majorBidi" w:eastAsia="MS Mincho" w:hAnsiTheme="majorBidi" w:cstheme="majorBidi"/>
        </w:rPr>
      </w:pPr>
      <w:r w:rsidRPr="0074242B">
        <w:rPr>
          <w:rFonts w:asciiTheme="majorBidi" w:eastAsia="MS Mincho" w:hAnsiTheme="majorBidi" w:cstheme="majorBidi"/>
        </w:rPr>
        <w:t>Q2: What categories do these challenges fall into?</w:t>
      </w:r>
    </w:p>
    <w:p w14:paraId="3A1B5C2D" w14:textId="77777777" w:rsidR="00E6384E" w:rsidRPr="0074242B" w:rsidRDefault="00E6384E" w:rsidP="00EA0D7A">
      <w:pPr>
        <w:spacing w:after="120" w:line="360" w:lineRule="auto"/>
        <w:jc w:val="both"/>
        <w:rPr>
          <w:rFonts w:asciiTheme="majorBidi" w:eastAsia="MS Mincho" w:hAnsiTheme="majorBidi" w:cstheme="majorBidi"/>
        </w:rPr>
      </w:pPr>
      <w:r w:rsidRPr="0074242B">
        <w:rPr>
          <w:rFonts w:asciiTheme="majorBidi" w:eastAsia="MS Mincho" w:hAnsiTheme="majorBidi" w:cstheme="majorBidi"/>
        </w:rPr>
        <w:t>Q3: What are the best credit risk management practices that can be employed to enhance banks performance?</w:t>
      </w:r>
    </w:p>
    <w:bookmarkEnd w:id="0"/>
    <w:p w14:paraId="79FED0FF" w14:textId="77777777" w:rsidR="00EA0D7A" w:rsidRDefault="00EA0D7A" w:rsidP="00EA0D7A">
      <w:pPr>
        <w:spacing w:after="60" w:line="360" w:lineRule="auto"/>
        <w:outlineLvl w:val="2"/>
        <w:rPr>
          <w:rFonts w:asciiTheme="majorBidi" w:hAnsiTheme="majorBidi" w:cstheme="majorBidi"/>
          <w:b/>
          <w:bCs/>
          <w:color w:val="000000" w:themeColor="text1"/>
        </w:rPr>
      </w:pPr>
      <w:r w:rsidRPr="0084598D">
        <w:rPr>
          <w:rFonts w:asciiTheme="majorBidi" w:hAnsiTheme="majorBidi" w:cstheme="majorBidi"/>
          <w:b/>
          <w:bCs/>
          <w:color w:val="000000" w:themeColor="text1"/>
        </w:rPr>
        <w:t>RESULTS AND DISCUSSION</w:t>
      </w:r>
    </w:p>
    <w:p w14:paraId="2FAE7410" w14:textId="74017619" w:rsidR="00A6583B" w:rsidRPr="0074242B" w:rsidRDefault="00A6583B" w:rsidP="00A6583B">
      <w:pPr>
        <w:spacing w:after="0" w:line="360" w:lineRule="auto"/>
        <w:jc w:val="both"/>
        <w:rPr>
          <w:rFonts w:asciiTheme="majorBidi" w:hAnsiTheme="majorBidi" w:cstheme="majorBidi"/>
          <w:b/>
          <w:bCs/>
          <w:i/>
          <w:iCs/>
          <w:kern w:val="2"/>
          <w14:ligatures w14:val="standardContextual"/>
        </w:rPr>
      </w:pPr>
      <w:r w:rsidRPr="0074242B">
        <w:rPr>
          <w:rFonts w:asciiTheme="majorBidi" w:hAnsiTheme="majorBidi" w:cstheme="majorBidi"/>
          <w:b/>
          <w:bCs/>
          <w:i/>
          <w:iCs/>
          <w:kern w:val="2"/>
          <w14:ligatures w14:val="standardContextual"/>
        </w:rPr>
        <w:t>Systematic literature review outputs</w:t>
      </w:r>
    </w:p>
    <w:p w14:paraId="52A74D19" w14:textId="7424DD17" w:rsidR="00A6583B" w:rsidRPr="0074242B" w:rsidRDefault="00A6583B" w:rsidP="00A6583B">
      <w:pPr>
        <w:spacing w:after="0" w:line="360" w:lineRule="auto"/>
        <w:jc w:val="both"/>
        <w:rPr>
          <w:rFonts w:asciiTheme="majorBidi" w:eastAsia="Times New Roman" w:hAnsiTheme="majorBidi" w:cstheme="majorBidi"/>
          <w:lang w:eastAsia="en-GB"/>
        </w:rPr>
      </w:pPr>
      <w:r w:rsidRPr="0074242B">
        <w:rPr>
          <w:rFonts w:asciiTheme="majorBidi" w:eastAsia="Times New Roman" w:hAnsiTheme="majorBidi" w:cstheme="majorBidi"/>
          <w:lang w:eastAsia="en-GB"/>
        </w:rPr>
        <w:t>Utili</w:t>
      </w:r>
      <w:r w:rsidR="00645592" w:rsidRPr="0074242B">
        <w:rPr>
          <w:rFonts w:asciiTheme="majorBidi" w:eastAsia="Times New Roman" w:hAnsiTheme="majorBidi" w:cstheme="majorBidi"/>
          <w:lang w:eastAsia="en-GB"/>
        </w:rPr>
        <w:t>s</w:t>
      </w:r>
      <w:r w:rsidRPr="0074242B">
        <w:rPr>
          <w:rFonts w:asciiTheme="majorBidi" w:eastAsia="Times New Roman" w:hAnsiTheme="majorBidi" w:cstheme="majorBidi"/>
          <w:lang w:eastAsia="en-GB"/>
        </w:rPr>
        <w:t xml:space="preserve">ing the inclusion criteria outlined in the methodology of the adopted studya total of 175 papers related to credit risk practices and their associated challenges spanning from 2012 to 2022 were identified. In order to assess the appropriateness of these articles, their titles and abstracts were screened to determine their eligibility for inclusion in the systematic literature review. Following a thorough screening of the complete texts of the initially identified 175 articles, only 36 were considered suitable and relevant for further in-depth analysis. The chosen journals for inclusion were </w:t>
      </w:r>
      <w:r w:rsidRPr="0074242B">
        <w:rPr>
          <w:rFonts w:asciiTheme="majorBidi" w:eastAsia="Times New Roman" w:hAnsiTheme="majorBidi" w:cstheme="majorBidi"/>
          <w:iCs/>
          <w:lang w:val="en-US" w:eastAsia="en-GB"/>
        </w:rPr>
        <w:t>Cogent Economics &amp; Finance, Asian Transactions on Basic and Applied Sciences, Business and Financial Affairs, Business and Economics Journal, International Journal of Risk Assessment and Management, Journal of Risk and Financial Management, Risk Management in Financial Institutions, ISRA International Journal of Islamic Finance, Academy of Accounting and Financial Studies Journal, Journal of Business and Finance, Journal of Commerce and Accounting Research, International Journal of Innovation, Creativity and Change, International Journal of Islamic Economics and Finance Studies, Arabian Journal of Business and Management Review, Entrepreneurship &amp; Organi</w:t>
      </w:r>
      <w:r w:rsidR="00645592" w:rsidRPr="0074242B">
        <w:rPr>
          <w:rFonts w:asciiTheme="majorBidi" w:eastAsia="Times New Roman" w:hAnsiTheme="majorBidi" w:cstheme="majorBidi"/>
          <w:iCs/>
          <w:lang w:val="en-US" w:eastAsia="en-GB"/>
        </w:rPr>
        <w:t>s</w:t>
      </w:r>
      <w:r w:rsidRPr="0074242B">
        <w:rPr>
          <w:rFonts w:asciiTheme="majorBidi" w:eastAsia="Times New Roman" w:hAnsiTheme="majorBidi" w:cstheme="majorBidi"/>
          <w:iCs/>
          <w:lang w:val="en-US" w:eastAsia="en-GB"/>
        </w:rPr>
        <w:t xml:space="preserve">ation Management, Investment management and financial innovations, International Journal of Finance &amp; Banking Studies, Review of Development Finance, The International Journal of Business &amp; Management, Procedia Computer Science, Journal of Islamic Accounting and Business Research, International Journal of Economics and Financial Issues, African Journal of Business Management, International journal of economics and finance, University of Haripur Journal of Management, Jurnal Ilmu Manajemen &amp; </w:t>
      </w:r>
      <w:r w:rsidRPr="0074242B">
        <w:rPr>
          <w:rFonts w:asciiTheme="majorBidi" w:eastAsia="Times New Roman" w:hAnsiTheme="majorBidi" w:cstheme="majorBidi"/>
          <w:iCs/>
          <w:lang w:val="en-US" w:eastAsia="en-GB"/>
        </w:rPr>
        <w:lastRenderedPageBreak/>
        <w:t>Ekonomika, South Asian Journal of Management, Independent journal of management &amp; production, Global Business Review, European Journal of Sustainable Development, Accounting and management Information systems, International Journal of Recent Research in Social Sciences and Humanities, Journal of Applied and Advanced Research, The Journal of Asian Finance, Economics and Business, Asian Review of Accounting, Journal of Business &amp; Financial Affairs, International Journal of Business and Management and Journal of Banking and Financial Dynamics.</w:t>
      </w:r>
      <w:r w:rsidRPr="0074242B">
        <w:rPr>
          <w:rFonts w:asciiTheme="majorBidi" w:eastAsia="Times New Roman" w:hAnsiTheme="majorBidi" w:cstheme="majorBidi"/>
          <w:lang w:eastAsia="en-GB"/>
        </w:rPr>
        <w:t xml:space="preserve"> </w:t>
      </w:r>
    </w:p>
    <w:p w14:paraId="77459644" w14:textId="66DF0297" w:rsidR="00A6583B" w:rsidRPr="0074242B" w:rsidRDefault="00A6583B" w:rsidP="00EA0D7A">
      <w:pPr>
        <w:spacing w:after="120" w:line="360" w:lineRule="auto"/>
        <w:jc w:val="both"/>
        <w:rPr>
          <w:rFonts w:asciiTheme="majorBidi" w:eastAsia="Times New Roman" w:hAnsiTheme="majorBidi" w:cstheme="majorBidi"/>
          <w:lang w:eastAsia="en-GB"/>
        </w:rPr>
      </w:pPr>
      <w:r w:rsidRPr="0074242B">
        <w:rPr>
          <w:rFonts w:asciiTheme="majorBidi" w:eastAsia="Times New Roman" w:hAnsiTheme="majorBidi" w:cstheme="majorBidi"/>
          <w:lang w:eastAsia="en-GB"/>
        </w:rPr>
        <w:t xml:space="preserve">Ultimately, in this </w:t>
      </w:r>
      <w:r w:rsidR="00D96E3F" w:rsidRPr="0074242B">
        <w:rPr>
          <w:rFonts w:asciiTheme="majorBidi" w:eastAsia="Times New Roman" w:hAnsiTheme="majorBidi" w:cstheme="majorBidi"/>
          <w:lang w:eastAsia="en-GB"/>
        </w:rPr>
        <w:t>study</w:t>
      </w:r>
      <w:r w:rsidRPr="0074242B">
        <w:rPr>
          <w:rFonts w:asciiTheme="majorBidi" w:eastAsia="Times New Roman" w:hAnsiTheme="majorBidi" w:cstheme="majorBidi"/>
          <w:lang w:eastAsia="en-GB"/>
        </w:rPr>
        <w:t xml:space="preserve">, a systematic literature review revealed a total of </w:t>
      </w:r>
      <w:r w:rsidR="00D96E3F" w:rsidRPr="0074242B">
        <w:rPr>
          <w:rFonts w:asciiTheme="majorBidi" w:eastAsia="Times New Roman" w:hAnsiTheme="majorBidi" w:cstheme="majorBidi"/>
          <w:lang w:eastAsia="en-GB"/>
        </w:rPr>
        <w:t xml:space="preserve">27 </w:t>
      </w:r>
      <w:r w:rsidRPr="0074242B">
        <w:rPr>
          <w:rFonts w:asciiTheme="majorBidi" w:eastAsia="Times New Roman" w:hAnsiTheme="majorBidi" w:cstheme="majorBidi"/>
          <w:lang w:eastAsia="en-GB"/>
        </w:rPr>
        <w:t>factors categorised under four distinct groups representing</w:t>
      </w:r>
      <w:r w:rsidR="00D96E3F" w:rsidRPr="0074242B">
        <w:rPr>
          <w:rFonts w:asciiTheme="majorBidi" w:eastAsia="Times New Roman" w:hAnsiTheme="majorBidi" w:cstheme="majorBidi"/>
          <w:lang w:eastAsia="en-GB"/>
        </w:rPr>
        <w:t xml:space="preserve"> regulatory challenges, operational challenges, technological challenges, and economic challenges.</w:t>
      </w:r>
    </w:p>
    <w:p w14:paraId="43A294E8" w14:textId="4781DF7F" w:rsidR="00A6583B" w:rsidRPr="0074242B" w:rsidRDefault="00EA0D7A" w:rsidP="00A6583B">
      <w:pPr>
        <w:spacing w:after="0" w:line="360" w:lineRule="auto"/>
        <w:jc w:val="both"/>
        <w:rPr>
          <w:rFonts w:asciiTheme="majorBidi" w:hAnsiTheme="majorBidi" w:cstheme="majorBidi"/>
          <w:b/>
          <w:bCs/>
          <w:i/>
          <w:iCs/>
          <w:kern w:val="2"/>
          <w14:ligatures w14:val="standardContextual"/>
        </w:rPr>
      </w:pPr>
      <w:r>
        <w:rPr>
          <w:rFonts w:asciiTheme="majorBidi" w:hAnsiTheme="majorBidi" w:cstheme="majorBidi"/>
          <w:b/>
          <w:bCs/>
          <w:i/>
          <w:iCs/>
          <w:kern w:val="2"/>
          <w14:ligatures w14:val="standardContextual"/>
        </w:rPr>
        <w:t>C</w:t>
      </w:r>
      <w:r w:rsidR="00A6583B" w:rsidRPr="0074242B">
        <w:rPr>
          <w:rFonts w:asciiTheme="majorBidi" w:hAnsiTheme="majorBidi" w:cstheme="majorBidi"/>
          <w:b/>
          <w:bCs/>
          <w:i/>
          <w:iCs/>
          <w:kern w:val="2"/>
          <w14:ligatures w14:val="standardContextual"/>
        </w:rPr>
        <w:t>haracteristics</w:t>
      </w:r>
      <w:r>
        <w:rPr>
          <w:rFonts w:asciiTheme="majorBidi" w:hAnsiTheme="majorBidi" w:cstheme="majorBidi"/>
          <w:b/>
          <w:bCs/>
          <w:i/>
          <w:iCs/>
          <w:kern w:val="2"/>
          <w14:ligatures w14:val="standardContextual"/>
        </w:rPr>
        <w:t xml:space="preserve"> of the focus group session participants </w:t>
      </w:r>
      <w:r w:rsidR="00A6583B" w:rsidRPr="0074242B">
        <w:rPr>
          <w:rFonts w:asciiTheme="majorBidi" w:hAnsiTheme="majorBidi" w:cstheme="majorBidi"/>
          <w:b/>
          <w:bCs/>
          <w:i/>
          <w:iCs/>
          <w:kern w:val="2"/>
          <w14:ligatures w14:val="standardContextual"/>
        </w:rPr>
        <w:t xml:space="preserve"> </w:t>
      </w:r>
    </w:p>
    <w:p w14:paraId="4F3758D4" w14:textId="77777777" w:rsidR="00A6583B" w:rsidRPr="0074242B" w:rsidRDefault="00A6583B" w:rsidP="00A6583B">
      <w:pPr>
        <w:spacing w:after="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Nine credit experts who met the stringent criteria of possessing a minimum of 10 years of experience in the field of credit risk management within Jordanian commercial banks were thoughtfully chosen to participate in the focus group session. These seasoned professionals brought a wealth of practical knowledge and insights to the discussion, making them well-qualified contributors to the research process. Their collective expertise aimed to enrich the qualitative data collected during the session, enhancing the depth and relevance of the research findings.</w:t>
      </w:r>
    </w:p>
    <w:p w14:paraId="1957A0F9" w14:textId="77777777" w:rsidR="00A6583B" w:rsidRPr="0074242B" w:rsidRDefault="00A6583B" w:rsidP="00A6583B">
      <w:pPr>
        <w:spacing w:after="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The participants in the focus group session were carefully selected to represent a diverse cross-section of roles within Jordanian commercial banks, contributing to a well-rounded discussion. The demographic characteristics of the focus group sample were as follows:</w:t>
      </w:r>
    </w:p>
    <w:p w14:paraId="51C72FC5" w14:textId="685B05E9" w:rsidR="00A6583B" w:rsidRPr="0074242B" w:rsidRDefault="00A6583B" w:rsidP="00A6583B">
      <w:pPr>
        <w:numPr>
          <w:ilvl w:val="0"/>
          <w:numId w:val="2"/>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Risk Committee Members (3 Participants):</w:t>
      </w:r>
      <w:r w:rsidRPr="0074242B">
        <w:rPr>
          <w:rFonts w:asciiTheme="majorBidi" w:hAnsiTheme="majorBidi" w:cstheme="majorBidi"/>
          <w:kern w:val="2"/>
          <w14:ligatures w14:val="standardContextual"/>
        </w:rPr>
        <w:t xml:space="preserve"> These individuals, with their speciali</w:t>
      </w:r>
      <w:r w:rsidR="00645592" w:rsidRPr="0074242B">
        <w:rPr>
          <w:rFonts w:asciiTheme="majorBidi" w:hAnsiTheme="majorBidi" w:cstheme="majorBidi"/>
          <w:kern w:val="2"/>
          <w14:ligatures w14:val="standardContextual"/>
        </w:rPr>
        <w:t>s</w:t>
      </w:r>
      <w:r w:rsidRPr="0074242B">
        <w:rPr>
          <w:rFonts w:asciiTheme="majorBidi" w:hAnsiTheme="majorBidi" w:cstheme="majorBidi"/>
          <w:kern w:val="2"/>
          <w14:ligatures w14:val="standardContextual"/>
        </w:rPr>
        <w:t>ed focus on risk management at the strategic level, provided valuable insights into high-level decision-making and the overarching risk management framework within the banks. Their roles typically involve setting risk management policies and guidelines.</w:t>
      </w:r>
    </w:p>
    <w:p w14:paraId="61808510" w14:textId="77777777" w:rsidR="00A6583B" w:rsidRPr="0074242B" w:rsidRDefault="00A6583B" w:rsidP="00A6583B">
      <w:pPr>
        <w:numPr>
          <w:ilvl w:val="0"/>
          <w:numId w:val="2"/>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Credit Risk Committee Members (4 Participants):</w:t>
      </w:r>
      <w:r w:rsidRPr="0074242B">
        <w:rPr>
          <w:rFonts w:asciiTheme="majorBidi" w:hAnsiTheme="majorBidi" w:cstheme="majorBidi"/>
          <w:kern w:val="2"/>
          <w14:ligatures w14:val="standardContextual"/>
        </w:rPr>
        <w:t xml:space="preserve"> This group, consisting of experienced credit risk committee members, brought a wealth of expertise in evaluating and overseeing credit risk at the institutional level. They often play a pivotal role in assessing and mitigating credit risk for the bank's portfolios.</w:t>
      </w:r>
    </w:p>
    <w:p w14:paraId="1A7D9141" w14:textId="77777777" w:rsidR="00A6583B" w:rsidRPr="0074242B" w:rsidRDefault="00A6583B" w:rsidP="00EA0D7A">
      <w:pPr>
        <w:numPr>
          <w:ilvl w:val="0"/>
          <w:numId w:val="2"/>
        </w:numPr>
        <w:spacing w:after="12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Credit Risk Management Employees (2 Participants):</w:t>
      </w:r>
      <w:r w:rsidRPr="0074242B">
        <w:rPr>
          <w:rFonts w:asciiTheme="majorBidi" w:hAnsiTheme="majorBidi" w:cstheme="majorBidi"/>
          <w:kern w:val="2"/>
          <w14:ligatures w14:val="standardContextual"/>
        </w:rPr>
        <w:t xml:space="preserve"> The inclusion of credit risk management employees added an operational perspective to the discussion. These individuals, who are directly involved in the day-to-day management of credit risk, shared practical insights into the challenges and best practices encountered during their roles.</w:t>
      </w:r>
    </w:p>
    <w:p w14:paraId="5E3A274E" w14:textId="77777777" w:rsidR="00A6583B" w:rsidRPr="0074242B" w:rsidRDefault="00A6583B" w:rsidP="00A6583B">
      <w:pPr>
        <w:spacing w:after="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By including individuals from these diverse roles, the focus group session aimed to capture a comprehensive range of perspectives, spanning strategic, committee-level decision-making to hands-on credit risk management practices. This diversity in roles and experiences enriched the depth of the discussions and allowed for a more holistic exploration of the research topic in the context of Jordanian commercial banks' credit risk management.</w:t>
      </w:r>
    </w:p>
    <w:p w14:paraId="7802BA1E" w14:textId="77777777" w:rsidR="00A6583B" w:rsidRPr="0074242B" w:rsidRDefault="00A6583B" w:rsidP="00A6583B">
      <w:pPr>
        <w:spacing w:after="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lastRenderedPageBreak/>
        <w:t>The participants in the focus group session also exhibited a range of educational backgrounds, reflecting a diversity of qualifications within the sample. The breakdown of the participants' educational levels was as follows:</w:t>
      </w:r>
    </w:p>
    <w:p w14:paraId="1BAB087D" w14:textId="77777777" w:rsidR="00A6583B" w:rsidRPr="0074242B" w:rsidRDefault="00A6583B" w:rsidP="00A6583B">
      <w:pPr>
        <w:numPr>
          <w:ilvl w:val="0"/>
          <w:numId w:val="3"/>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Bachelor's Participants (5 Individuals):</w:t>
      </w:r>
      <w:r w:rsidRPr="0074242B">
        <w:rPr>
          <w:rFonts w:asciiTheme="majorBidi" w:hAnsiTheme="majorBidi" w:cstheme="majorBidi"/>
          <w:kern w:val="2"/>
          <w14:ligatures w14:val="standardContextual"/>
        </w:rPr>
        <w:t xml:space="preserve"> These participants held undergraduate degrees, typically in fields related to finance, economics, or business administration. Their bachelor's-level education provided them with a strong foundational knowledge in the field of banking and credit risk management.</w:t>
      </w:r>
    </w:p>
    <w:p w14:paraId="0B7152FE" w14:textId="71D5EF67" w:rsidR="00A6583B" w:rsidRPr="0074242B" w:rsidRDefault="00A6583B" w:rsidP="00A6583B">
      <w:pPr>
        <w:numPr>
          <w:ilvl w:val="0"/>
          <w:numId w:val="3"/>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Master's Participants (3 Individuals):</w:t>
      </w:r>
      <w:r w:rsidRPr="0074242B">
        <w:rPr>
          <w:rFonts w:asciiTheme="majorBidi" w:hAnsiTheme="majorBidi" w:cstheme="majorBidi"/>
          <w:kern w:val="2"/>
          <w14:ligatures w14:val="standardContextual"/>
        </w:rPr>
        <w:t xml:space="preserve"> This group consisted of individuals who had pursued advanced education, holding master's degrees in areas relevant to finance, risk management, or related fields. Their postgraduate education indicated a higher level of speciali</w:t>
      </w:r>
      <w:r w:rsidR="00645592" w:rsidRPr="0074242B">
        <w:rPr>
          <w:rFonts w:asciiTheme="majorBidi" w:hAnsiTheme="majorBidi" w:cstheme="majorBidi"/>
          <w:kern w:val="2"/>
          <w14:ligatures w14:val="standardContextual"/>
        </w:rPr>
        <w:t>s</w:t>
      </w:r>
      <w:r w:rsidRPr="0074242B">
        <w:rPr>
          <w:rFonts w:asciiTheme="majorBidi" w:hAnsiTheme="majorBidi" w:cstheme="majorBidi"/>
          <w:kern w:val="2"/>
          <w14:ligatures w14:val="standardContextual"/>
        </w:rPr>
        <w:t>ation and expertise in the subject matter.</w:t>
      </w:r>
    </w:p>
    <w:p w14:paraId="15899ADD" w14:textId="77777777" w:rsidR="00A6583B" w:rsidRPr="0074242B" w:rsidRDefault="00A6583B" w:rsidP="00A6583B">
      <w:pPr>
        <w:numPr>
          <w:ilvl w:val="0"/>
          <w:numId w:val="3"/>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PhD Participant (1 Individual):</w:t>
      </w:r>
      <w:r w:rsidRPr="0074242B">
        <w:rPr>
          <w:rFonts w:asciiTheme="majorBidi" w:hAnsiTheme="majorBidi" w:cstheme="majorBidi"/>
          <w:kern w:val="2"/>
          <w14:ligatures w14:val="standardContextual"/>
        </w:rPr>
        <w:t xml:space="preserve"> The presence of a participant with a Ph.D. underscored the focus group's commitment to including a highly educated expert. A Ph.D. level of education typically signifies a deep understanding of the subject matter and often indicates a significant contribution to the field through research and scholarship.</w:t>
      </w:r>
    </w:p>
    <w:p w14:paraId="5B06D9CA" w14:textId="77777777" w:rsidR="00A6583B" w:rsidRPr="0074242B" w:rsidRDefault="00A6583B" w:rsidP="00EA0D7A">
      <w:pPr>
        <w:spacing w:after="12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The varied educational backgrounds of the focus group session participants contributed to a multidimensional discussion, where insights were drawn from both practical experience and academic knowledge. This diversity in educational qualifications added depth to the exploration of credit risk management within Jordanian commercial banks and ensured a well-rounded perspective during the session.</w:t>
      </w:r>
    </w:p>
    <w:p w14:paraId="30DDFB7E" w14:textId="2AF1967F" w:rsidR="00A6583B" w:rsidRPr="0074242B" w:rsidRDefault="00A6583B" w:rsidP="00A6583B">
      <w:pPr>
        <w:spacing w:after="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The participants in the focus group session brought a wealth of experience to the discussion, with varying years of practical expertise in the field of credit risk management. Their collective years of experience spanned a wide range, providing a comprehensive perspective on the subject matter. The breakdown of their years of experience was as follows:</w:t>
      </w:r>
    </w:p>
    <w:p w14:paraId="4F05D3D5" w14:textId="77777777" w:rsidR="00A6583B" w:rsidRPr="0074242B" w:rsidRDefault="00A6583B" w:rsidP="00A6583B">
      <w:pPr>
        <w:numPr>
          <w:ilvl w:val="0"/>
          <w:numId w:val="4"/>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Participants with 10-15 Years of Experience (5 Individuals):</w:t>
      </w:r>
      <w:r w:rsidRPr="0074242B">
        <w:rPr>
          <w:rFonts w:asciiTheme="majorBidi" w:hAnsiTheme="majorBidi" w:cstheme="majorBidi"/>
          <w:kern w:val="2"/>
          <w14:ligatures w14:val="standardContextual"/>
        </w:rPr>
        <w:t xml:space="preserve"> These individuals offered valuable insights based on a decade or more of hands-on experience in credit risk management within Jordanian commercial banks. Their expertise, gained over the course of their careers, covered various economic cycles and industry developments.</w:t>
      </w:r>
    </w:p>
    <w:p w14:paraId="2D9C8206" w14:textId="77777777" w:rsidR="00A6583B" w:rsidRPr="0074242B" w:rsidRDefault="00A6583B" w:rsidP="00A6583B">
      <w:pPr>
        <w:numPr>
          <w:ilvl w:val="0"/>
          <w:numId w:val="4"/>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Participants with 16-20 Years of Experience (3 Individuals):</w:t>
      </w:r>
      <w:r w:rsidRPr="0074242B">
        <w:rPr>
          <w:rFonts w:asciiTheme="majorBidi" w:hAnsiTheme="majorBidi" w:cstheme="majorBidi"/>
          <w:kern w:val="2"/>
          <w14:ligatures w14:val="standardContextual"/>
        </w:rPr>
        <w:t xml:space="preserve"> This group had accumulated significant experience, with a focus on credit risk management, spanning over 15 years. Their extensive tenure in the field contributed a deep understanding of both historical and contemporary credit risk challenges and practices.</w:t>
      </w:r>
    </w:p>
    <w:p w14:paraId="6834EC61" w14:textId="77777777" w:rsidR="00A6583B" w:rsidRPr="0074242B" w:rsidRDefault="00A6583B" w:rsidP="00A6583B">
      <w:pPr>
        <w:numPr>
          <w:ilvl w:val="0"/>
          <w:numId w:val="4"/>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Participants with 21-25 Years of Experience (1 Individual):</w:t>
      </w:r>
      <w:r w:rsidRPr="0074242B">
        <w:rPr>
          <w:rFonts w:asciiTheme="majorBidi" w:hAnsiTheme="majorBidi" w:cstheme="majorBidi"/>
          <w:kern w:val="2"/>
          <w14:ligatures w14:val="standardContextual"/>
        </w:rPr>
        <w:t xml:space="preserve"> The presence of a participant with over two decades of experience underscored the session's commitment to including a highly experienced expert. With more than two decades of hands-on experience in credit risk management, this individual offered a unique and long-term perspective on the evolution of credit risk practices.</w:t>
      </w:r>
    </w:p>
    <w:p w14:paraId="515D3B06" w14:textId="4D3C89C8" w:rsidR="00A6583B" w:rsidRPr="0074242B" w:rsidRDefault="00A6583B" w:rsidP="00EA0D7A">
      <w:pPr>
        <w:spacing w:after="12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lastRenderedPageBreak/>
        <w:t xml:space="preserve">The diverse range of years of experience among the participants ensured that the focus group discussions drew from a wellspring of practical knowledge. This spectrum of experience allowed for a </w:t>
      </w:r>
      <w:r w:rsidR="00AE6C6D" w:rsidRPr="0074242B">
        <w:rPr>
          <w:rFonts w:asciiTheme="majorBidi" w:hAnsiTheme="majorBidi" w:cstheme="majorBidi"/>
          <w:kern w:val="2"/>
          <w14:ligatures w14:val="standardContextual"/>
        </w:rPr>
        <w:t>detailed</w:t>
      </w:r>
      <w:r w:rsidRPr="0074242B">
        <w:rPr>
          <w:rFonts w:asciiTheme="majorBidi" w:hAnsiTheme="majorBidi" w:cstheme="majorBidi"/>
          <w:kern w:val="2"/>
          <w14:ligatures w14:val="standardContextual"/>
        </w:rPr>
        <w:t xml:space="preserve"> exploration of credit risk management within Jordanian commercial banks, taking into account historical contexts and the evolution of industry practices over time.</w:t>
      </w:r>
    </w:p>
    <w:p w14:paraId="00AE43B4" w14:textId="5B81358A" w:rsidR="00A6583B" w:rsidRPr="0074242B" w:rsidRDefault="00A6583B" w:rsidP="00A6583B">
      <w:pPr>
        <w:spacing w:after="0" w:line="360" w:lineRule="auto"/>
        <w:jc w:val="both"/>
        <w:rPr>
          <w:rFonts w:asciiTheme="majorBidi" w:hAnsiTheme="majorBidi" w:cstheme="majorBidi"/>
          <w:b/>
          <w:bCs/>
          <w:i/>
          <w:iCs/>
          <w:kern w:val="2"/>
          <w14:ligatures w14:val="standardContextual"/>
        </w:rPr>
      </w:pPr>
      <w:r w:rsidRPr="0074242B">
        <w:rPr>
          <w:rFonts w:asciiTheme="majorBidi" w:hAnsiTheme="majorBidi" w:cstheme="majorBidi"/>
          <w:b/>
          <w:bCs/>
          <w:i/>
          <w:iCs/>
          <w:kern w:val="2"/>
          <w14:ligatures w14:val="standardContextual"/>
        </w:rPr>
        <w:t>Content analysis for the focus group session</w:t>
      </w:r>
    </w:p>
    <w:p w14:paraId="386800CC" w14:textId="63F0F92D" w:rsidR="00A6583B" w:rsidRPr="0074242B" w:rsidRDefault="00A6583B" w:rsidP="00A6583B">
      <w:pPr>
        <w:spacing w:after="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In this study, a content analysis approach was employed to examine the qualitative data derived from the focus group session. As described by Vaismoradi et al., (2013), qualitative content analysis involves a systematic exploration of textual content, seeking to understand who communicates what to whom, why, to what extent, and with what consequences, all in a qualitative context. The primary objective is to methodically distill extensive text material into a succinct summary of key findings (Mayring, 2014). It's important to note that qualitative content analysis is a reflective procedure that deviates from the conventional linear approach (McLafferty, 2004). Unlike a straightforward sequence of "Step 1, 2, 3, done!" (Erlingsson and Brysiewicz, 2017), it's an ongoing process involving the identification and condensation of meaning units, coding, categori</w:t>
      </w:r>
      <w:r w:rsidR="00645592" w:rsidRPr="0074242B">
        <w:rPr>
          <w:rFonts w:asciiTheme="majorBidi" w:hAnsiTheme="majorBidi" w:cstheme="majorBidi"/>
          <w:kern w:val="2"/>
          <w14:ligatures w14:val="standardContextual"/>
        </w:rPr>
        <w:t>s</w:t>
      </w:r>
      <w:r w:rsidRPr="0074242B">
        <w:rPr>
          <w:rFonts w:asciiTheme="majorBidi" w:hAnsiTheme="majorBidi" w:cstheme="majorBidi"/>
          <w:kern w:val="2"/>
          <w14:ligatures w14:val="standardContextual"/>
        </w:rPr>
        <w:t>ation, and continuous reflection on the initial analysis.</w:t>
      </w:r>
    </w:p>
    <w:p w14:paraId="08F352A1" w14:textId="05C702B1" w:rsidR="00A6583B" w:rsidRPr="0074242B" w:rsidRDefault="00A6583B" w:rsidP="00EA0D7A">
      <w:pPr>
        <w:spacing w:after="12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 xml:space="preserve">In this </w:t>
      </w:r>
      <w:r w:rsidR="00CC589E" w:rsidRPr="0074242B">
        <w:rPr>
          <w:rFonts w:asciiTheme="majorBidi" w:hAnsiTheme="majorBidi" w:cstheme="majorBidi"/>
          <w:kern w:val="2"/>
          <w14:ligatures w14:val="standardContextual"/>
        </w:rPr>
        <w:t>study</w:t>
      </w:r>
      <w:r w:rsidRPr="0074242B">
        <w:rPr>
          <w:rFonts w:asciiTheme="majorBidi" w:hAnsiTheme="majorBidi" w:cstheme="majorBidi"/>
          <w:kern w:val="2"/>
          <w14:ligatures w14:val="standardContextual"/>
        </w:rPr>
        <w:t>, the initial step after recording interviews involved translating them from Arabic, the local language, into English. Subsequently, the researcher engaged in a comprehensive review of the interview transcripts, conducting initial screening and content filtration. This initial stage allowed the researcher to gain an understanding of the central points and insights conveyed by the participants. The text was then dissected into smaller units for further examination. Following this, the researcher generated codes to label the condensed meaning units, organi</w:t>
      </w:r>
      <w:r w:rsidR="00645592" w:rsidRPr="0074242B">
        <w:rPr>
          <w:rFonts w:asciiTheme="majorBidi" w:hAnsiTheme="majorBidi" w:cstheme="majorBidi"/>
          <w:kern w:val="2"/>
          <w14:ligatures w14:val="standardContextual"/>
        </w:rPr>
        <w:t>s</w:t>
      </w:r>
      <w:r w:rsidRPr="0074242B">
        <w:rPr>
          <w:rFonts w:asciiTheme="majorBidi" w:hAnsiTheme="majorBidi" w:cstheme="majorBidi"/>
          <w:kern w:val="2"/>
          <w14:ligatures w14:val="standardContextual"/>
        </w:rPr>
        <w:t xml:space="preserve">ing these codes into a set of categories. These categories, in turn, were grouped under specific thematic headings. </w:t>
      </w:r>
    </w:p>
    <w:p w14:paraId="67813603" w14:textId="14E18680" w:rsidR="00A6583B" w:rsidRPr="0074242B" w:rsidRDefault="00A6583B" w:rsidP="004D45F5">
      <w:pPr>
        <w:spacing w:after="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Qualitative content analysis is a robust research method employed to systematically explore and comprehend textual data (Vaismoradi et al., 2013). In the context of our study, this study embarked on a qualitative content analysis journey to delve into the challenges of credit risk management practices within Jordanian commercial banks. According to Mayring, (2014) and Lindgren et al. (2023), this process involves several essential steps, beginning with the identification of meaning units within interview transcripts and focus group discussions (Step 1). These meaning units are subsequently condensed to capture the core content (Step 2) and then systematically coded (Step 3). In this exploration, the researcher aimed to uncover the intricate factors and categories associated with credit risk challenges (Step 4) and, ultimately, synthesi</w:t>
      </w:r>
      <w:r w:rsidR="00645592" w:rsidRPr="0074242B">
        <w:rPr>
          <w:rFonts w:asciiTheme="majorBidi" w:hAnsiTheme="majorBidi" w:cstheme="majorBidi"/>
          <w:kern w:val="2"/>
          <w14:ligatures w14:val="standardContextual"/>
        </w:rPr>
        <w:t>s</w:t>
      </w:r>
      <w:r w:rsidRPr="0074242B">
        <w:rPr>
          <w:rFonts w:asciiTheme="majorBidi" w:hAnsiTheme="majorBidi" w:cstheme="majorBidi"/>
          <w:kern w:val="2"/>
          <w14:ligatures w14:val="standardContextual"/>
        </w:rPr>
        <w:t xml:space="preserve">e these findings into overarching themes (Step 5). This approach allows to gain a comprehensive understanding of the challenges faced by Jordanian commercial banks in managing credit risk practices, contributing to a richer and deeper understanding of the broader research endeavor. </w:t>
      </w:r>
    </w:p>
    <w:p w14:paraId="6301F63E" w14:textId="5D56667E" w:rsidR="00A6583B" w:rsidRPr="0074242B" w:rsidRDefault="00A6583B" w:rsidP="00A6583B">
      <w:pPr>
        <w:spacing w:after="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 xml:space="preserve">To this end, in this </w:t>
      </w:r>
      <w:r w:rsidR="00CC589E" w:rsidRPr="0074242B">
        <w:rPr>
          <w:rFonts w:asciiTheme="majorBidi" w:hAnsiTheme="majorBidi" w:cstheme="majorBidi"/>
          <w:kern w:val="2"/>
          <w14:ligatures w14:val="standardContextual"/>
        </w:rPr>
        <w:t>study</w:t>
      </w:r>
      <w:r w:rsidRPr="0074242B">
        <w:rPr>
          <w:rFonts w:asciiTheme="majorBidi" w:hAnsiTheme="majorBidi" w:cstheme="majorBidi"/>
          <w:kern w:val="2"/>
          <w14:ligatures w14:val="standardContextual"/>
        </w:rPr>
        <w:t xml:space="preserve">, the focus group session outputs revealed that out of the total of 27 challenges in credit risk management practice factors identified from the systematic literature review, only 20 challenges were considered relevant to the Jordanian commercial banking context. These challenges </w:t>
      </w:r>
      <w:r w:rsidRPr="0074242B">
        <w:rPr>
          <w:rFonts w:asciiTheme="majorBidi" w:hAnsiTheme="majorBidi" w:cstheme="majorBidi"/>
          <w:kern w:val="2"/>
          <w14:ligatures w14:val="standardContextual"/>
        </w:rPr>
        <w:lastRenderedPageBreak/>
        <w:t>fall into four primary categories: regulatory challenges, operational challenges, technological challenges, and economic challenges.</w:t>
      </w:r>
    </w:p>
    <w:p w14:paraId="7EAA2EFC" w14:textId="0DDB74A9" w:rsidR="00A6583B" w:rsidRPr="0074242B" w:rsidRDefault="009C78C3" w:rsidP="00A6583B">
      <w:pPr>
        <w:spacing w:after="0" w:line="360" w:lineRule="auto"/>
        <w:jc w:val="both"/>
        <w:rPr>
          <w:rFonts w:asciiTheme="majorBidi" w:hAnsiTheme="majorBidi" w:cstheme="majorBidi"/>
          <w:b/>
          <w:bCs/>
          <w:i/>
          <w:iCs/>
          <w:kern w:val="2"/>
          <w14:ligatures w14:val="standardContextual"/>
        </w:rPr>
      </w:pPr>
      <w:bookmarkStart w:id="1" w:name="_Hlk142438778"/>
      <w:r w:rsidRPr="0074242B">
        <w:rPr>
          <w:rFonts w:asciiTheme="majorBidi" w:hAnsiTheme="majorBidi" w:cstheme="majorBidi"/>
          <w:b/>
          <w:bCs/>
          <w:i/>
          <w:iCs/>
          <w:kern w:val="2"/>
          <w14:ligatures w14:val="standardContextual"/>
        </w:rPr>
        <w:t xml:space="preserve">Identfied </w:t>
      </w:r>
      <w:r w:rsidR="00A6583B" w:rsidRPr="0074242B">
        <w:rPr>
          <w:rFonts w:asciiTheme="majorBidi" w:hAnsiTheme="majorBidi" w:cstheme="majorBidi"/>
          <w:b/>
          <w:bCs/>
          <w:i/>
          <w:iCs/>
          <w:kern w:val="2"/>
          <w14:ligatures w14:val="standardContextual"/>
        </w:rPr>
        <w:t xml:space="preserve">credit risk management </w:t>
      </w:r>
      <w:bookmarkEnd w:id="1"/>
      <w:r w:rsidRPr="0074242B">
        <w:rPr>
          <w:rFonts w:asciiTheme="majorBidi" w:hAnsiTheme="majorBidi" w:cstheme="majorBidi"/>
          <w:b/>
          <w:bCs/>
          <w:i/>
          <w:iCs/>
          <w:kern w:val="2"/>
          <w14:ligatures w14:val="standardContextual"/>
        </w:rPr>
        <w:t xml:space="preserve">challenges and their </w:t>
      </w:r>
      <w:r w:rsidR="00D924AF" w:rsidRPr="0074242B">
        <w:rPr>
          <w:rFonts w:asciiTheme="majorBidi" w:hAnsiTheme="majorBidi" w:cstheme="majorBidi"/>
          <w:b/>
          <w:bCs/>
          <w:i/>
          <w:iCs/>
          <w:kern w:val="2"/>
          <w14:ligatures w14:val="standardContextual"/>
        </w:rPr>
        <w:t>categories</w:t>
      </w:r>
      <w:r w:rsidRPr="0074242B">
        <w:rPr>
          <w:rFonts w:asciiTheme="majorBidi" w:hAnsiTheme="majorBidi" w:cstheme="majorBidi"/>
          <w:b/>
          <w:bCs/>
          <w:i/>
          <w:iCs/>
          <w:kern w:val="2"/>
          <w14:ligatures w14:val="standardContextual"/>
        </w:rPr>
        <w:t xml:space="preserve"> </w:t>
      </w:r>
    </w:p>
    <w:p w14:paraId="61D96FA2" w14:textId="77777777" w:rsidR="00A6583B" w:rsidRDefault="00A6583B" w:rsidP="00A6583B">
      <w:pPr>
        <w:spacing w:after="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Credit risk management is a critical aspect of banking operations, aiming to assess and mitigate the potential risks associated with lending and credit activities (Ekinci and Poyraz, 2019). However, banks encounter various challenges that affect their ability to effectively manage credit risk (Chaibi and Ftiti, 2015; Kagoyire and Shukla, 2016). Table 1 below presents the identified challenges to credit risk management practices in Jordanian commercial banks.</w:t>
      </w:r>
    </w:p>
    <w:p w14:paraId="55BADF80" w14:textId="77777777" w:rsidR="00C32280" w:rsidRPr="0074242B" w:rsidRDefault="00C32280" w:rsidP="00A6583B">
      <w:pPr>
        <w:spacing w:after="0" w:line="360" w:lineRule="auto"/>
        <w:jc w:val="both"/>
        <w:rPr>
          <w:rFonts w:asciiTheme="majorBidi" w:hAnsiTheme="majorBidi" w:cstheme="majorBidi"/>
          <w:kern w:val="2"/>
          <w14:ligatures w14:val="standardContextual"/>
        </w:rPr>
      </w:pPr>
    </w:p>
    <w:p w14:paraId="428C5120" w14:textId="77777777" w:rsidR="00A6583B" w:rsidRPr="00EA0D7A" w:rsidRDefault="00A6583B" w:rsidP="00A6583B">
      <w:pPr>
        <w:spacing w:line="240" w:lineRule="auto"/>
        <w:jc w:val="center"/>
        <w:rPr>
          <w:rFonts w:asciiTheme="majorBidi" w:hAnsiTheme="majorBidi" w:cstheme="majorBidi"/>
          <w:kern w:val="2"/>
          <w:sz w:val="28"/>
          <w:szCs w:val="28"/>
          <w14:ligatures w14:val="standardContextual"/>
        </w:rPr>
      </w:pPr>
      <w:bookmarkStart w:id="2" w:name="_Hlk145108435"/>
      <w:r w:rsidRPr="00EA0D7A">
        <w:rPr>
          <w:rFonts w:asciiTheme="majorBidi" w:hAnsiTheme="majorBidi" w:cstheme="majorBidi"/>
          <w:b/>
          <w:bCs/>
          <w:kern w:val="2"/>
          <w14:ligatures w14:val="standardContextual"/>
        </w:rPr>
        <w:t>Table 4.1.</w:t>
      </w:r>
      <w:r w:rsidRPr="00EA0D7A">
        <w:rPr>
          <w:rFonts w:asciiTheme="majorBidi" w:hAnsiTheme="majorBidi" w:cstheme="majorBidi"/>
          <w:kern w:val="2"/>
          <w:sz w:val="28"/>
          <w:szCs w:val="28"/>
          <w14:ligatures w14:val="standardContextual"/>
        </w:rPr>
        <w:t xml:space="preserve"> </w:t>
      </w:r>
      <w:r w:rsidRPr="00EA0D7A">
        <w:rPr>
          <w:rFonts w:asciiTheme="majorBidi" w:hAnsiTheme="majorBidi" w:cstheme="majorBidi"/>
          <w:kern w:val="2"/>
          <w14:ligatures w14:val="standardContextual"/>
        </w:rPr>
        <w:t>challenges of credit risk management (source: researcher)</w:t>
      </w:r>
      <w:bookmarkEnd w:id="2"/>
    </w:p>
    <w:tbl>
      <w:tblPr>
        <w:tblStyle w:val="TableGrid1"/>
        <w:tblW w:w="5000" w:type="pct"/>
        <w:tblLook w:val="04A0" w:firstRow="1" w:lastRow="0" w:firstColumn="1" w:lastColumn="0" w:noHBand="0" w:noVBand="1"/>
      </w:tblPr>
      <w:tblGrid>
        <w:gridCol w:w="563"/>
        <w:gridCol w:w="3828"/>
        <w:gridCol w:w="2699"/>
        <w:gridCol w:w="963"/>
        <w:gridCol w:w="963"/>
      </w:tblGrid>
      <w:tr w:rsidR="00EA029C" w:rsidRPr="0074242B" w14:paraId="1556E847" w14:textId="38870A2D" w:rsidTr="00C32280">
        <w:trPr>
          <w:cantSplit/>
          <w:trHeight w:val="1357"/>
        </w:trPr>
        <w:tc>
          <w:tcPr>
            <w:tcW w:w="312" w:type="pct"/>
            <w:shd w:val="clear" w:color="auto" w:fill="FFFFFF" w:themeFill="background1"/>
            <w:textDirection w:val="btLr"/>
          </w:tcPr>
          <w:p w14:paraId="1C112161" w14:textId="77777777" w:rsidR="00EA029C" w:rsidRPr="0074242B" w:rsidRDefault="00EA029C" w:rsidP="00C32280">
            <w:pPr>
              <w:ind w:left="113" w:right="113"/>
              <w:jc w:val="center"/>
              <w:rPr>
                <w:rFonts w:asciiTheme="majorBidi" w:hAnsiTheme="majorBidi" w:cstheme="majorBidi"/>
                <w:b/>
                <w:bCs/>
              </w:rPr>
            </w:pPr>
            <w:r w:rsidRPr="0074242B">
              <w:rPr>
                <w:rFonts w:asciiTheme="majorBidi" w:hAnsiTheme="majorBidi" w:cstheme="majorBidi"/>
                <w:b/>
                <w:bCs/>
              </w:rPr>
              <w:t>Categories</w:t>
            </w:r>
          </w:p>
        </w:tc>
        <w:tc>
          <w:tcPr>
            <w:tcW w:w="2123" w:type="pct"/>
            <w:shd w:val="clear" w:color="auto" w:fill="FFFFFF" w:themeFill="background1"/>
          </w:tcPr>
          <w:p w14:paraId="21EED3F3" w14:textId="77777777" w:rsidR="00C32280" w:rsidRDefault="00C32280" w:rsidP="00EA0D7A">
            <w:pPr>
              <w:jc w:val="center"/>
              <w:rPr>
                <w:rFonts w:asciiTheme="majorBidi" w:hAnsiTheme="majorBidi" w:cstheme="majorBidi"/>
                <w:b/>
                <w:bCs/>
              </w:rPr>
            </w:pPr>
          </w:p>
          <w:p w14:paraId="2B01419F" w14:textId="77777777" w:rsidR="00C32280" w:rsidRDefault="00C32280" w:rsidP="00EA0D7A">
            <w:pPr>
              <w:jc w:val="center"/>
              <w:rPr>
                <w:rFonts w:asciiTheme="majorBidi" w:hAnsiTheme="majorBidi" w:cstheme="majorBidi"/>
                <w:b/>
                <w:bCs/>
              </w:rPr>
            </w:pPr>
          </w:p>
          <w:p w14:paraId="583A372A" w14:textId="6245CE1E" w:rsidR="00EA029C" w:rsidRPr="0074242B" w:rsidRDefault="00EA029C" w:rsidP="00EA0D7A">
            <w:pPr>
              <w:jc w:val="center"/>
              <w:rPr>
                <w:rFonts w:asciiTheme="majorBidi" w:hAnsiTheme="majorBidi" w:cstheme="majorBidi"/>
                <w:b/>
                <w:bCs/>
              </w:rPr>
            </w:pPr>
            <w:r w:rsidRPr="0074242B">
              <w:rPr>
                <w:rFonts w:asciiTheme="majorBidi" w:hAnsiTheme="majorBidi" w:cstheme="majorBidi"/>
                <w:b/>
                <w:bCs/>
              </w:rPr>
              <w:t>Challenges</w:t>
            </w:r>
          </w:p>
        </w:tc>
        <w:tc>
          <w:tcPr>
            <w:tcW w:w="1497" w:type="pct"/>
            <w:shd w:val="clear" w:color="auto" w:fill="FFFFFF" w:themeFill="background1"/>
          </w:tcPr>
          <w:p w14:paraId="169704B8" w14:textId="77777777" w:rsidR="00C32280" w:rsidRDefault="00C32280" w:rsidP="00EA0D7A">
            <w:pPr>
              <w:jc w:val="center"/>
              <w:rPr>
                <w:rFonts w:asciiTheme="majorBidi" w:hAnsiTheme="majorBidi" w:cstheme="majorBidi"/>
                <w:b/>
                <w:bCs/>
              </w:rPr>
            </w:pPr>
          </w:p>
          <w:p w14:paraId="2A8D82FD" w14:textId="77777777" w:rsidR="00C32280" w:rsidRDefault="00C32280" w:rsidP="00EA0D7A">
            <w:pPr>
              <w:jc w:val="center"/>
              <w:rPr>
                <w:rFonts w:asciiTheme="majorBidi" w:hAnsiTheme="majorBidi" w:cstheme="majorBidi"/>
                <w:b/>
                <w:bCs/>
              </w:rPr>
            </w:pPr>
          </w:p>
          <w:p w14:paraId="4C63378D" w14:textId="3A9CC064" w:rsidR="00EA029C" w:rsidRPr="0074242B" w:rsidRDefault="00EA0D7A" w:rsidP="00EA0D7A">
            <w:pPr>
              <w:jc w:val="center"/>
              <w:rPr>
                <w:rFonts w:asciiTheme="majorBidi" w:hAnsiTheme="majorBidi" w:cstheme="majorBidi"/>
                <w:b/>
                <w:bCs/>
              </w:rPr>
            </w:pPr>
            <w:r>
              <w:rPr>
                <w:rFonts w:asciiTheme="majorBidi" w:hAnsiTheme="majorBidi" w:cstheme="majorBidi"/>
                <w:b/>
                <w:bCs/>
              </w:rPr>
              <w:t xml:space="preserve">Source </w:t>
            </w:r>
          </w:p>
        </w:tc>
        <w:tc>
          <w:tcPr>
            <w:tcW w:w="534" w:type="pct"/>
            <w:shd w:val="clear" w:color="auto" w:fill="FFFFFF" w:themeFill="background1"/>
          </w:tcPr>
          <w:p w14:paraId="61884FA0" w14:textId="77777777" w:rsidR="00C32280" w:rsidRDefault="00C32280" w:rsidP="00EA0D7A">
            <w:pPr>
              <w:jc w:val="center"/>
              <w:rPr>
                <w:rFonts w:asciiTheme="majorBidi" w:hAnsiTheme="majorBidi" w:cstheme="majorBidi"/>
                <w:b/>
                <w:bCs/>
              </w:rPr>
            </w:pPr>
          </w:p>
          <w:p w14:paraId="49095087" w14:textId="11E6E267" w:rsidR="00EA029C" w:rsidRPr="0074242B" w:rsidRDefault="00EA029C" w:rsidP="00EA0D7A">
            <w:pPr>
              <w:jc w:val="center"/>
              <w:rPr>
                <w:rFonts w:asciiTheme="majorBidi" w:hAnsiTheme="majorBidi" w:cstheme="majorBidi"/>
                <w:b/>
                <w:bCs/>
              </w:rPr>
            </w:pPr>
            <w:r w:rsidRPr="0074242B">
              <w:rPr>
                <w:rFonts w:asciiTheme="majorBidi" w:hAnsiTheme="majorBidi" w:cstheme="majorBidi"/>
                <w:b/>
                <w:bCs/>
              </w:rPr>
              <w:t>No. of articles</w:t>
            </w:r>
          </w:p>
        </w:tc>
        <w:tc>
          <w:tcPr>
            <w:tcW w:w="534" w:type="pct"/>
            <w:shd w:val="clear" w:color="auto" w:fill="FFFFFF" w:themeFill="background1"/>
          </w:tcPr>
          <w:p w14:paraId="175FD658" w14:textId="77777777" w:rsidR="00C32280" w:rsidRDefault="00C32280" w:rsidP="00EA0D7A">
            <w:pPr>
              <w:jc w:val="center"/>
              <w:rPr>
                <w:rFonts w:asciiTheme="majorBidi" w:hAnsiTheme="majorBidi" w:cstheme="majorBidi"/>
                <w:b/>
                <w:bCs/>
              </w:rPr>
            </w:pPr>
          </w:p>
          <w:p w14:paraId="2F9E43C7" w14:textId="45638E88" w:rsidR="00EA029C" w:rsidRPr="0074242B" w:rsidRDefault="00EA029C" w:rsidP="00EA0D7A">
            <w:pPr>
              <w:jc w:val="center"/>
              <w:rPr>
                <w:rFonts w:asciiTheme="majorBidi" w:hAnsiTheme="majorBidi" w:cstheme="majorBidi"/>
                <w:b/>
                <w:bCs/>
              </w:rPr>
            </w:pPr>
            <w:r w:rsidRPr="0074242B">
              <w:rPr>
                <w:rFonts w:asciiTheme="majorBidi" w:hAnsiTheme="majorBidi" w:cstheme="majorBidi"/>
                <w:b/>
                <w:bCs/>
              </w:rPr>
              <w:t>% of articles</w:t>
            </w:r>
          </w:p>
        </w:tc>
      </w:tr>
      <w:tr w:rsidR="00EA029C" w:rsidRPr="0074242B" w14:paraId="51CE2149" w14:textId="659B048E" w:rsidTr="00C32280">
        <w:trPr>
          <w:trHeight w:val="976"/>
        </w:trPr>
        <w:tc>
          <w:tcPr>
            <w:tcW w:w="312" w:type="pct"/>
            <w:vMerge w:val="restart"/>
            <w:textDirection w:val="btLr"/>
          </w:tcPr>
          <w:p w14:paraId="3223D9B0" w14:textId="77777777" w:rsidR="00EA029C" w:rsidRPr="00C32280" w:rsidRDefault="00EA029C" w:rsidP="00C32280">
            <w:pPr>
              <w:ind w:left="113" w:right="113"/>
              <w:jc w:val="center"/>
              <w:rPr>
                <w:rFonts w:asciiTheme="majorBidi" w:hAnsiTheme="majorBidi" w:cstheme="majorBidi"/>
              </w:rPr>
            </w:pPr>
            <w:r w:rsidRPr="00C32280">
              <w:rPr>
                <w:rFonts w:asciiTheme="majorBidi" w:hAnsiTheme="majorBidi" w:cstheme="majorBidi"/>
              </w:rPr>
              <w:t>Regulatory Challenges</w:t>
            </w:r>
          </w:p>
        </w:tc>
        <w:tc>
          <w:tcPr>
            <w:tcW w:w="2123" w:type="pct"/>
          </w:tcPr>
          <w:p w14:paraId="24630304"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RC1. Changes in the regulatory environment on the bank's ability to effectively manage credit risk.</w:t>
            </w:r>
          </w:p>
        </w:tc>
        <w:tc>
          <w:tcPr>
            <w:tcW w:w="1497" w:type="pct"/>
          </w:tcPr>
          <w:p w14:paraId="05776E46" w14:textId="1F58C707" w:rsidR="00EA029C" w:rsidRPr="0074242B" w:rsidRDefault="00EA029C" w:rsidP="00B51951">
            <w:pPr>
              <w:jc w:val="both"/>
              <w:rPr>
                <w:rFonts w:asciiTheme="majorBidi" w:hAnsiTheme="majorBidi" w:cstheme="majorBidi"/>
              </w:rPr>
            </w:pPr>
            <w:r w:rsidRPr="0074242B">
              <w:rPr>
                <w:rFonts w:asciiTheme="majorBidi" w:hAnsiTheme="majorBidi" w:cstheme="majorBidi"/>
              </w:rPr>
              <w:t xml:space="preserve">BCBS, </w:t>
            </w:r>
            <w:r w:rsidR="00195A74">
              <w:rPr>
                <w:rFonts w:asciiTheme="majorBidi" w:hAnsiTheme="majorBidi" w:cstheme="majorBidi"/>
              </w:rPr>
              <w:t>(</w:t>
            </w:r>
            <w:r w:rsidRPr="0074242B">
              <w:rPr>
                <w:rFonts w:asciiTheme="majorBidi" w:hAnsiTheme="majorBidi" w:cstheme="majorBidi"/>
              </w:rPr>
              <w:t>2010</w:t>
            </w:r>
            <w:r w:rsidR="00195A74">
              <w:rPr>
                <w:rFonts w:asciiTheme="majorBidi" w:hAnsiTheme="majorBidi" w:cstheme="majorBidi"/>
              </w:rPr>
              <w:t>)</w:t>
            </w:r>
            <w:r w:rsidRPr="0074242B">
              <w:rPr>
                <w:rFonts w:asciiTheme="majorBidi" w:hAnsiTheme="majorBidi" w:cstheme="majorBidi"/>
              </w:rPr>
              <w:t>;</w:t>
            </w:r>
            <w:r w:rsidRPr="0074242B">
              <w:rPr>
                <w:rFonts w:asciiTheme="majorBidi" w:hAnsiTheme="majorBidi" w:cstheme="majorBidi"/>
                <w:bCs/>
              </w:rPr>
              <w:t xml:space="preserve"> </w:t>
            </w:r>
            <w:r w:rsidRPr="0074242B">
              <w:rPr>
                <w:rFonts w:asciiTheme="majorBidi" w:hAnsiTheme="majorBidi" w:cstheme="majorBidi"/>
              </w:rPr>
              <w:t>H</w:t>
            </w:r>
            <w:r w:rsidR="00DB61AD" w:rsidRPr="0074242B">
              <w:rPr>
                <w:rFonts w:asciiTheme="majorBidi" w:hAnsiTheme="majorBidi" w:cstheme="majorBidi"/>
              </w:rPr>
              <w:t>a</w:t>
            </w:r>
            <w:r w:rsidRPr="0074242B">
              <w:rPr>
                <w:rFonts w:asciiTheme="majorBidi" w:hAnsiTheme="majorBidi" w:cstheme="majorBidi"/>
              </w:rPr>
              <w:t>rle</w:t>
            </w:r>
            <w:r w:rsidRPr="0074242B">
              <w:rPr>
                <w:rFonts w:asciiTheme="majorBidi" w:hAnsiTheme="majorBidi" w:cstheme="majorBidi"/>
                <w:bCs/>
              </w:rPr>
              <w:t xml:space="preserve"> et al.</w:t>
            </w:r>
            <w:r w:rsidR="00195A74">
              <w:rPr>
                <w:rFonts w:asciiTheme="majorBidi" w:hAnsiTheme="majorBidi" w:cstheme="majorBidi"/>
                <w:bCs/>
              </w:rPr>
              <w:t xml:space="preserve"> (</w:t>
            </w:r>
            <w:r w:rsidRPr="0074242B">
              <w:rPr>
                <w:rFonts w:asciiTheme="majorBidi" w:hAnsiTheme="majorBidi" w:cstheme="majorBidi"/>
                <w:bCs/>
              </w:rPr>
              <w:t>2010</w:t>
            </w:r>
            <w:r w:rsidR="00195A74">
              <w:rPr>
                <w:rFonts w:asciiTheme="majorBidi" w:hAnsiTheme="majorBidi" w:cstheme="majorBidi"/>
                <w:bCs/>
              </w:rPr>
              <w:t>)</w:t>
            </w:r>
            <w:r w:rsidRPr="0074242B">
              <w:rPr>
                <w:rFonts w:asciiTheme="majorBidi" w:hAnsiTheme="majorBidi" w:cstheme="majorBidi"/>
                <w:bCs/>
              </w:rPr>
              <w:t>; Ouamar</w:t>
            </w:r>
            <w:r w:rsidR="00195A74">
              <w:rPr>
                <w:rFonts w:asciiTheme="majorBidi" w:hAnsiTheme="majorBidi" w:cstheme="majorBidi"/>
                <w:bCs/>
              </w:rPr>
              <w:t xml:space="preserve"> (</w:t>
            </w:r>
            <w:r w:rsidRPr="0074242B">
              <w:rPr>
                <w:rFonts w:asciiTheme="majorBidi" w:hAnsiTheme="majorBidi" w:cstheme="majorBidi"/>
                <w:bCs/>
              </w:rPr>
              <w:t>2013</w:t>
            </w:r>
            <w:r w:rsidR="00195A74">
              <w:rPr>
                <w:rFonts w:asciiTheme="majorBidi" w:hAnsiTheme="majorBidi" w:cstheme="majorBidi"/>
                <w:bCs/>
              </w:rPr>
              <w:t>)</w:t>
            </w:r>
            <w:r w:rsidRPr="0074242B">
              <w:rPr>
                <w:rFonts w:asciiTheme="majorBidi" w:hAnsiTheme="majorBidi" w:cstheme="majorBidi"/>
                <w:bCs/>
              </w:rPr>
              <w:t>;</w:t>
            </w:r>
            <w:r w:rsidRPr="0074242B">
              <w:rPr>
                <w:rFonts w:asciiTheme="majorBidi" w:hAnsiTheme="majorBidi" w:cstheme="majorBidi"/>
              </w:rPr>
              <w:t xml:space="preserve"> Abbas et al.</w:t>
            </w:r>
            <w:r w:rsidR="00195A74">
              <w:rPr>
                <w:rFonts w:asciiTheme="majorBidi" w:hAnsiTheme="majorBidi" w:cstheme="majorBidi"/>
              </w:rPr>
              <w:t xml:space="preserve"> (</w:t>
            </w:r>
            <w:r w:rsidRPr="0074242B">
              <w:rPr>
                <w:rFonts w:asciiTheme="majorBidi" w:hAnsiTheme="majorBidi" w:cstheme="majorBidi"/>
              </w:rPr>
              <w:t>2014</w:t>
            </w:r>
            <w:r w:rsidR="00195A74">
              <w:rPr>
                <w:rFonts w:asciiTheme="majorBidi" w:hAnsiTheme="majorBidi" w:cstheme="majorBidi"/>
              </w:rPr>
              <w:t>)</w:t>
            </w:r>
            <w:r w:rsidRPr="0074242B">
              <w:rPr>
                <w:rFonts w:asciiTheme="majorBidi" w:hAnsiTheme="majorBidi" w:cstheme="majorBidi"/>
              </w:rPr>
              <w:t>; Shisia et al</w:t>
            </w:r>
            <w:r w:rsidR="00195A74">
              <w:rPr>
                <w:rFonts w:asciiTheme="majorBidi" w:hAnsiTheme="majorBidi" w:cstheme="majorBidi"/>
              </w:rPr>
              <w:t>. (</w:t>
            </w:r>
            <w:r w:rsidRPr="0074242B">
              <w:rPr>
                <w:rFonts w:asciiTheme="majorBidi" w:hAnsiTheme="majorBidi" w:cstheme="majorBidi"/>
              </w:rPr>
              <w:t>2014</w:t>
            </w:r>
            <w:r w:rsidR="00195A74">
              <w:rPr>
                <w:rFonts w:asciiTheme="majorBidi" w:hAnsiTheme="majorBidi" w:cstheme="majorBidi"/>
              </w:rPr>
              <w:t>)</w:t>
            </w:r>
            <w:r w:rsidRPr="0074242B">
              <w:rPr>
                <w:rFonts w:asciiTheme="majorBidi" w:hAnsiTheme="majorBidi" w:cstheme="majorBidi"/>
              </w:rPr>
              <w:t>; Moro et al,</w:t>
            </w:r>
            <w:r w:rsidR="00195A74">
              <w:rPr>
                <w:rFonts w:asciiTheme="majorBidi" w:hAnsiTheme="majorBidi" w:cstheme="majorBidi"/>
              </w:rPr>
              <w:t xml:space="preserve"> (</w:t>
            </w:r>
            <w:r w:rsidRPr="0074242B">
              <w:rPr>
                <w:rFonts w:asciiTheme="majorBidi" w:hAnsiTheme="majorBidi" w:cstheme="majorBidi"/>
              </w:rPr>
              <w:t>2016</w:t>
            </w:r>
            <w:r w:rsidR="00195A74">
              <w:rPr>
                <w:rFonts w:asciiTheme="majorBidi" w:hAnsiTheme="majorBidi" w:cstheme="majorBidi"/>
              </w:rPr>
              <w:t>)</w:t>
            </w:r>
            <w:r w:rsidRPr="0074242B">
              <w:rPr>
                <w:rFonts w:asciiTheme="majorBidi" w:hAnsiTheme="majorBidi" w:cstheme="majorBidi"/>
              </w:rPr>
              <w:t xml:space="preserve">; Siddiqi, </w:t>
            </w:r>
            <w:r w:rsidR="00195A74">
              <w:rPr>
                <w:rFonts w:asciiTheme="majorBidi" w:hAnsiTheme="majorBidi" w:cstheme="majorBidi"/>
              </w:rPr>
              <w:t>(</w:t>
            </w:r>
            <w:r w:rsidRPr="0074242B">
              <w:rPr>
                <w:rFonts w:asciiTheme="majorBidi" w:hAnsiTheme="majorBidi" w:cstheme="majorBidi"/>
              </w:rPr>
              <w:t>2017</w:t>
            </w:r>
            <w:r w:rsidR="00195A74">
              <w:rPr>
                <w:rFonts w:asciiTheme="majorBidi" w:hAnsiTheme="majorBidi" w:cstheme="majorBidi"/>
              </w:rPr>
              <w:t>)</w:t>
            </w:r>
            <w:r w:rsidRPr="0074242B">
              <w:rPr>
                <w:rFonts w:asciiTheme="majorBidi" w:hAnsiTheme="majorBidi" w:cstheme="majorBidi"/>
              </w:rPr>
              <w:t>; Abbas et al.</w:t>
            </w:r>
            <w:r w:rsidR="00195A74">
              <w:rPr>
                <w:rFonts w:asciiTheme="majorBidi" w:hAnsiTheme="majorBidi" w:cstheme="majorBidi"/>
              </w:rPr>
              <w:t xml:space="preserve"> (</w:t>
            </w:r>
            <w:r w:rsidRPr="0074242B">
              <w:rPr>
                <w:rFonts w:asciiTheme="majorBidi" w:hAnsiTheme="majorBidi" w:cstheme="majorBidi"/>
              </w:rPr>
              <w:t>2019</w:t>
            </w:r>
            <w:r w:rsidR="00195A74">
              <w:rPr>
                <w:rFonts w:asciiTheme="majorBidi" w:hAnsiTheme="majorBidi" w:cstheme="majorBidi"/>
              </w:rPr>
              <w:t>)</w:t>
            </w:r>
          </w:p>
        </w:tc>
        <w:tc>
          <w:tcPr>
            <w:tcW w:w="534" w:type="pct"/>
          </w:tcPr>
          <w:p w14:paraId="49DDC901" w14:textId="34FE3FA6" w:rsidR="00EA029C" w:rsidRPr="0074242B" w:rsidRDefault="002F0AE2" w:rsidP="00EA0D7A">
            <w:pPr>
              <w:jc w:val="center"/>
              <w:rPr>
                <w:rFonts w:asciiTheme="majorBidi" w:hAnsiTheme="majorBidi" w:cstheme="majorBidi"/>
              </w:rPr>
            </w:pPr>
            <w:r w:rsidRPr="0074242B">
              <w:rPr>
                <w:rFonts w:asciiTheme="majorBidi" w:hAnsiTheme="majorBidi" w:cstheme="majorBidi"/>
              </w:rPr>
              <w:t>8</w:t>
            </w:r>
          </w:p>
        </w:tc>
        <w:tc>
          <w:tcPr>
            <w:tcW w:w="534" w:type="pct"/>
          </w:tcPr>
          <w:p w14:paraId="070A9E92" w14:textId="503DB8EC" w:rsidR="00701F59" w:rsidRPr="0074242B" w:rsidRDefault="00701F59" w:rsidP="00EA0D7A">
            <w:pPr>
              <w:jc w:val="center"/>
              <w:rPr>
                <w:rFonts w:asciiTheme="majorBidi" w:hAnsiTheme="majorBidi" w:cstheme="majorBidi"/>
              </w:rPr>
            </w:pPr>
            <w:r w:rsidRPr="0074242B">
              <w:rPr>
                <w:rFonts w:asciiTheme="majorBidi" w:hAnsiTheme="majorBidi" w:cstheme="majorBidi"/>
              </w:rPr>
              <w:t>0.</w:t>
            </w:r>
            <w:r w:rsidR="00D2137F" w:rsidRPr="0074242B">
              <w:rPr>
                <w:rFonts w:asciiTheme="majorBidi" w:hAnsiTheme="majorBidi" w:cstheme="majorBidi"/>
              </w:rPr>
              <w:t>33</w:t>
            </w:r>
          </w:p>
        </w:tc>
      </w:tr>
      <w:tr w:rsidR="00EA029C" w:rsidRPr="0074242B" w14:paraId="7B30112B" w14:textId="3D71F87E" w:rsidTr="00C32280">
        <w:trPr>
          <w:trHeight w:val="565"/>
        </w:trPr>
        <w:tc>
          <w:tcPr>
            <w:tcW w:w="312" w:type="pct"/>
            <w:vMerge/>
            <w:textDirection w:val="btLr"/>
          </w:tcPr>
          <w:p w14:paraId="6BDFCDA6" w14:textId="77777777" w:rsidR="00EA029C" w:rsidRPr="00C32280" w:rsidRDefault="00EA029C" w:rsidP="00C32280">
            <w:pPr>
              <w:ind w:left="113" w:right="113"/>
              <w:jc w:val="center"/>
              <w:rPr>
                <w:rFonts w:asciiTheme="majorBidi" w:hAnsiTheme="majorBidi" w:cstheme="majorBidi"/>
              </w:rPr>
            </w:pPr>
          </w:p>
        </w:tc>
        <w:tc>
          <w:tcPr>
            <w:tcW w:w="2123" w:type="pct"/>
          </w:tcPr>
          <w:p w14:paraId="03E15B3C"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RC2.The bank's inability to take on new business opportunities as a result of regulatory changes.</w:t>
            </w:r>
          </w:p>
        </w:tc>
        <w:tc>
          <w:tcPr>
            <w:tcW w:w="1497" w:type="pct"/>
          </w:tcPr>
          <w:p w14:paraId="7775BF12" w14:textId="681DEAD0" w:rsidR="00EA029C" w:rsidRPr="0074242B" w:rsidRDefault="00195A74" w:rsidP="00195A74">
            <w:pPr>
              <w:jc w:val="both"/>
              <w:rPr>
                <w:rFonts w:asciiTheme="majorBidi" w:hAnsiTheme="majorBidi" w:cstheme="majorBidi"/>
              </w:rPr>
            </w:pPr>
            <w:r w:rsidRPr="00195A74">
              <w:rPr>
                <w:rFonts w:asciiTheme="majorBidi" w:hAnsiTheme="majorBidi" w:cstheme="majorBidi"/>
              </w:rPr>
              <w:t>BCBS, (2010); Ouamar, (2013); Moro et al., (2016); Bazarbash, (2019)</w:t>
            </w:r>
          </w:p>
        </w:tc>
        <w:tc>
          <w:tcPr>
            <w:tcW w:w="534" w:type="pct"/>
          </w:tcPr>
          <w:p w14:paraId="0EE85DFD" w14:textId="5EE93FB1" w:rsidR="00EA029C" w:rsidRPr="0074242B" w:rsidRDefault="002F0AE2" w:rsidP="00EA0D7A">
            <w:pPr>
              <w:jc w:val="center"/>
              <w:rPr>
                <w:rFonts w:asciiTheme="majorBidi" w:hAnsiTheme="majorBidi" w:cstheme="majorBidi"/>
              </w:rPr>
            </w:pPr>
            <w:r w:rsidRPr="0074242B">
              <w:rPr>
                <w:rFonts w:asciiTheme="majorBidi" w:hAnsiTheme="majorBidi" w:cstheme="majorBidi"/>
              </w:rPr>
              <w:t>4</w:t>
            </w:r>
          </w:p>
        </w:tc>
        <w:tc>
          <w:tcPr>
            <w:tcW w:w="534" w:type="pct"/>
          </w:tcPr>
          <w:p w14:paraId="1B2134CE" w14:textId="77777777" w:rsidR="00D2137F" w:rsidRPr="0074242B" w:rsidRDefault="00D2137F" w:rsidP="00EA0D7A">
            <w:pPr>
              <w:jc w:val="center"/>
              <w:rPr>
                <w:rFonts w:asciiTheme="majorBidi" w:hAnsiTheme="majorBidi" w:cstheme="majorBidi"/>
              </w:rPr>
            </w:pPr>
            <w:r w:rsidRPr="0074242B">
              <w:rPr>
                <w:rFonts w:asciiTheme="majorBidi" w:hAnsiTheme="majorBidi" w:cstheme="majorBidi"/>
              </w:rPr>
              <w:t>0.16</w:t>
            </w:r>
          </w:p>
          <w:p w14:paraId="5856CF1E" w14:textId="33CB58FA" w:rsidR="00701F59" w:rsidRPr="0074242B" w:rsidRDefault="00701F59" w:rsidP="00EA0D7A">
            <w:pPr>
              <w:jc w:val="center"/>
              <w:rPr>
                <w:rFonts w:asciiTheme="majorBidi" w:hAnsiTheme="majorBidi" w:cstheme="majorBidi"/>
              </w:rPr>
            </w:pPr>
          </w:p>
        </w:tc>
      </w:tr>
      <w:tr w:rsidR="00EA029C" w:rsidRPr="0074242B" w14:paraId="7C721570" w14:textId="15548778" w:rsidTr="00C32280">
        <w:trPr>
          <w:trHeight w:val="448"/>
        </w:trPr>
        <w:tc>
          <w:tcPr>
            <w:tcW w:w="312" w:type="pct"/>
            <w:vMerge/>
            <w:textDirection w:val="btLr"/>
          </w:tcPr>
          <w:p w14:paraId="7E0F93BB" w14:textId="77777777" w:rsidR="00EA029C" w:rsidRPr="00C32280" w:rsidRDefault="00EA029C" w:rsidP="00C32280">
            <w:pPr>
              <w:ind w:left="113" w:right="113"/>
              <w:jc w:val="center"/>
              <w:rPr>
                <w:rFonts w:asciiTheme="majorBidi" w:hAnsiTheme="majorBidi" w:cstheme="majorBidi"/>
              </w:rPr>
            </w:pPr>
          </w:p>
        </w:tc>
        <w:tc>
          <w:tcPr>
            <w:tcW w:w="2123" w:type="pct"/>
          </w:tcPr>
          <w:p w14:paraId="36A3698A"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RC3. The bank's inability to demonstrate to the regulator that it has a robust and comprehensive risk management framework in place, particularly when regulatory requirements change frequently.</w:t>
            </w:r>
          </w:p>
        </w:tc>
        <w:tc>
          <w:tcPr>
            <w:tcW w:w="1497" w:type="pct"/>
          </w:tcPr>
          <w:p w14:paraId="52A41979" w14:textId="0C1703FB" w:rsidR="00EA029C" w:rsidRPr="0074242B" w:rsidRDefault="00C32280" w:rsidP="00C32280">
            <w:pPr>
              <w:jc w:val="both"/>
              <w:rPr>
                <w:rFonts w:asciiTheme="majorBidi" w:hAnsiTheme="majorBidi" w:cstheme="majorBidi"/>
              </w:rPr>
            </w:pPr>
            <w:r w:rsidRPr="00C32280">
              <w:rPr>
                <w:rFonts w:asciiTheme="majorBidi" w:hAnsiTheme="majorBidi" w:cstheme="majorBidi"/>
              </w:rPr>
              <w:t>BCBS, (2010); Harle et al., (2010); Ouamar, (2013); Abbas et al., (2014); Shisia et al., (2014); Moro et al., (2016); Siddiqi, (2017)</w:t>
            </w:r>
          </w:p>
        </w:tc>
        <w:tc>
          <w:tcPr>
            <w:tcW w:w="534" w:type="pct"/>
          </w:tcPr>
          <w:p w14:paraId="27872BDE" w14:textId="353D4414" w:rsidR="00EA029C" w:rsidRPr="0074242B" w:rsidRDefault="002F0AE2" w:rsidP="00EA0D7A">
            <w:pPr>
              <w:jc w:val="center"/>
              <w:rPr>
                <w:rFonts w:asciiTheme="majorBidi" w:hAnsiTheme="majorBidi" w:cstheme="majorBidi"/>
              </w:rPr>
            </w:pPr>
            <w:r w:rsidRPr="0074242B">
              <w:rPr>
                <w:rFonts w:asciiTheme="majorBidi" w:hAnsiTheme="majorBidi" w:cstheme="majorBidi"/>
              </w:rPr>
              <w:t>7</w:t>
            </w:r>
          </w:p>
        </w:tc>
        <w:tc>
          <w:tcPr>
            <w:tcW w:w="534" w:type="pct"/>
          </w:tcPr>
          <w:p w14:paraId="66DDCAB4" w14:textId="4F78FD3D" w:rsidR="00EA029C" w:rsidRPr="0074242B" w:rsidRDefault="00701F59" w:rsidP="00EA0D7A">
            <w:pPr>
              <w:jc w:val="center"/>
              <w:rPr>
                <w:rFonts w:asciiTheme="majorBidi" w:hAnsiTheme="majorBidi" w:cstheme="majorBidi"/>
              </w:rPr>
            </w:pPr>
            <w:r w:rsidRPr="0074242B">
              <w:rPr>
                <w:rFonts w:asciiTheme="majorBidi" w:hAnsiTheme="majorBidi" w:cstheme="majorBidi"/>
              </w:rPr>
              <w:t>0.</w:t>
            </w:r>
            <w:r w:rsidR="00D2137F" w:rsidRPr="0074242B">
              <w:rPr>
                <w:rFonts w:asciiTheme="majorBidi" w:hAnsiTheme="majorBidi" w:cstheme="majorBidi"/>
              </w:rPr>
              <w:t>29</w:t>
            </w:r>
          </w:p>
        </w:tc>
      </w:tr>
      <w:tr w:rsidR="00EA029C" w:rsidRPr="0074242B" w14:paraId="762BC986" w14:textId="65B63980" w:rsidTr="00C32280">
        <w:trPr>
          <w:trHeight w:val="646"/>
        </w:trPr>
        <w:tc>
          <w:tcPr>
            <w:tcW w:w="312" w:type="pct"/>
            <w:vMerge/>
            <w:textDirection w:val="btLr"/>
          </w:tcPr>
          <w:p w14:paraId="3FAD6BC3" w14:textId="77777777" w:rsidR="00EA029C" w:rsidRPr="00C32280" w:rsidRDefault="00EA029C" w:rsidP="00C32280">
            <w:pPr>
              <w:ind w:left="113" w:right="113"/>
              <w:jc w:val="center"/>
              <w:rPr>
                <w:rFonts w:asciiTheme="majorBidi" w:hAnsiTheme="majorBidi" w:cstheme="majorBidi"/>
              </w:rPr>
            </w:pPr>
          </w:p>
        </w:tc>
        <w:tc>
          <w:tcPr>
            <w:tcW w:w="2123" w:type="pct"/>
          </w:tcPr>
          <w:p w14:paraId="7B0BFE43"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RC4. Changes in the regulatory environment have cost and time implications.</w:t>
            </w:r>
          </w:p>
        </w:tc>
        <w:tc>
          <w:tcPr>
            <w:tcW w:w="1497" w:type="pct"/>
          </w:tcPr>
          <w:p w14:paraId="16BD45CF" w14:textId="3721E06D" w:rsidR="00EA029C" w:rsidRPr="0074242B" w:rsidRDefault="00C32280" w:rsidP="00C32280">
            <w:pPr>
              <w:jc w:val="both"/>
              <w:rPr>
                <w:rFonts w:asciiTheme="majorBidi" w:hAnsiTheme="majorBidi" w:cstheme="majorBidi"/>
              </w:rPr>
            </w:pPr>
            <w:r w:rsidRPr="00C32280">
              <w:rPr>
                <w:rFonts w:asciiTheme="majorBidi" w:hAnsiTheme="majorBidi" w:cstheme="majorBidi"/>
              </w:rPr>
              <w:t>BCBS, (2010); Harle et al., (2010); Ouamar, (2013); Abbas et al., (2014); Shisia et al., (2014); Moro et al., (2016); Alonso and Carbo, (2020)</w:t>
            </w:r>
          </w:p>
        </w:tc>
        <w:tc>
          <w:tcPr>
            <w:tcW w:w="534" w:type="pct"/>
          </w:tcPr>
          <w:p w14:paraId="3820C507" w14:textId="0A697C19" w:rsidR="00EA029C" w:rsidRPr="0074242B" w:rsidRDefault="002F0AE2" w:rsidP="00EA0D7A">
            <w:pPr>
              <w:jc w:val="center"/>
              <w:rPr>
                <w:rFonts w:asciiTheme="majorBidi" w:hAnsiTheme="majorBidi" w:cstheme="majorBidi"/>
              </w:rPr>
            </w:pPr>
            <w:r w:rsidRPr="0074242B">
              <w:rPr>
                <w:rFonts w:asciiTheme="majorBidi" w:hAnsiTheme="majorBidi" w:cstheme="majorBidi"/>
              </w:rPr>
              <w:t>7</w:t>
            </w:r>
          </w:p>
        </w:tc>
        <w:tc>
          <w:tcPr>
            <w:tcW w:w="534" w:type="pct"/>
          </w:tcPr>
          <w:p w14:paraId="1AC8C2BD" w14:textId="54499253" w:rsidR="00EA029C" w:rsidRPr="0074242B" w:rsidRDefault="00701F59" w:rsidP="00EA0D7A">
            <w:pPr>
              <w:jc w:val="center"/>
              <w:rPr>
                <w:rFonts w:asciiTheme="majorBidi" w:hAnsiTheme="majorBidi" w:cstheme="majorBidi"/>
              </w:rPr>
            </w:pPr>
            <w:r w:rsidRPr="0074242B">
              <w:rPr>
                <w:rFonts w:asciiTheme="majorBidi" w:hAnsiTheme="majorBidi" w:cstheme="majorBidi"/>
              </w:rPr>
              <w:t>0.</w:t>
            </w:r>
            <w:r w:rsidR="00D2137F" w:rsidRPr="0074242B">
              <w:rPr>
                <w:rFonts w:asciiTheme="majorBidi" w:hAnsiTheme="majorBidi" w:cstheme="majorBidi"/>
                <w:kern w:val="0"/>
                <w14:ligatures w14:val="none"/>
              </w:rPr>
              <w:t xml:space="preserve"> </w:t>
            </w:r>
            <w:r w:rsidR="00D2137F" w:rsidRPr="0074242B">
              <w:rPr>
                <w:rFonts w:asciiTheme="majorBidi" w:hAnsiTheme="majorBidi" w:cstheme="majorBidi"/>
              </w:rPr>
              <w:t>29</w:t>
            </w:r>
          </w:p>
        </w:tc>
      </w:tr>
      <w:tr w:rsidR="00EA029C" w:rsidRPr="0074242B" w14:paraId="7AF84925" w14:textId="22E37AF8" w:rsidTr="00C32280">
        <w:trPr>
          <w:trHeight w:val="543"/>
        </w:trPr>
        <w:tc>
          <w:tcPr>
            <w:tcW w:w="312" w:type="pct"/>
            <w:vMerge w:val="restart"/>
            <w:textDirection w:val="btLr"/>
          </w:tcPr>
          <w:p w14:paraId="5BCFF018" w14:textId="77777777" w:rsidR="00EA029C" w:rsidRPr="00C32280" w:rsidRDefault="00EA029C" w:rsidP="00C32280">
            <w:pPr>
              <w:ind w:left="113" w:right="113"/>
              <w:rPr>
                <w:rFonts w:asciiTheme="majorBidi" w:hAnsiTheme="majorBidi" w:cstheme="majorBidi"/>
              </w:rPr>
            </w:pPr>
            <w:r w:rsidRPr="00C32280">
              <w:rPr>
                <w:rFonts w:asciiTheme="majorBidi" w:hAnsiTheme="majorBidi" w:cstheme="majorBidi"/>
              </w:rPr>
              <w:t>Operational Challenges</w:t>
            </w:r>
          </w:p>
        </w:tc>
        <w:tc>
          <w:tcPr>
            <w:tcW w:w="2123" w:type="pct"/>
          </w:tcPr>
          <w:p w14:paraId="533A9DC3"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OC1. Ineffectiveness and inefficiency of risk management systems.</w:t>
            </w:r>
          </w:p>
        </w:tc>
        <w:tc>
          <w:tcPr>
            <w:tcW w:w="1497" w:type="pct"/>
          </w:tcPr>
          <w:p w14:paraId="0AC321E7" w14:textId="7A87F836" w:rsidR="00EA029C" w:rsidRPr="0074242B" w:rsidRDefault="00C32280" w:rsidP="00C32280">
            <w:pPr>
              <w:jc w:val="both"/>
              <w:rPr>
                <w:rFonts w:asciiTheme="majorBidi" w:hAnsiTheme="majorBidi" w:cstheme="majorBidi"/>
              </w:rPr>
            </w:pPr>
            <w:r w:rsidRPr="00C32280">
              <w:rPr>
                <w:rFonts w:asciiTheme="majorBidi" w:hAnsiTheme="majorBidi" w:cstheme="majorBidi"/>
              </w:rPr>
              <w:t>BCBS, (2006); Njanike, (2009); Härle et al., (2010); Basaha et al., (2021)</w:t>
            </w:r>
          </w:p>
        </w:tc>
        <w:tc>
          <w:tcPr>
            <w:tcW w:w="534" w:type="pct"/>
          </w:tcPr>
          <w:p w14:paraId="3D5DDD70" w14:textId="0BCA93D7" w:rsidR="00EA029C" w:rsidRPr="0074242B" w:rsidRDefault="002F0AE2" w:rsidP="00EA0D7A">
            <w:pPr>
              <w:jc w:val="center"/>
              <w:rPr>
                <w:rFonts w:asciiTheme="majorBidi" w:hAnsiTheme="majorBidi" w:cstheme="majorBidi"/>
              </w:rPr>
            </w:pPr>
            <w:r w:rsidRPr="0074242B">
              <w:rPr>
                <w:rFonts w:asciiTheme="majorBidi" w:hAnsiTheme="majorBidi" w:cstheme="majorBidi"/>
              </w:rPr>
              <w:t>4</w:t>
            </w:r>
          </w:p>
        </w:tc>
        <w:tc>
          <w:tcPr>
            <w:tcW w:w="534" w:type="pct"/>
          </w:tcPr>
          <w:p w14:paraId="0BF13950" w14:textId="0A64015A" w:rsidR="00EA029C" w:rsidRPr="0074242B" w:rsidRDefault="00077180" w:rsidP="00EA0D7A">
            <w:pPr>
              <w:jc w:val="center"/>
              <w:rPr>
                <w:rFonts w:asciiTheme="majorBidi" w:hAnsiTheme="majorBidi" w:cstheme="majorBidi"/>
              </w:rPr>
            </w:pPr>
            <w:r w:rsidRPr="0074242B">
              <w:rPr>
                <w:rFonts w:asciiTheme="majorBidi" w:hAnsiTheme="majorBidi" w:cstheme="majorBidi"/>
              </w:rPr>
              <w:t>0.</w:t>
            </w:r>
            <w:r w:rsidR="00D2137F" w:rsidRPr="0074242B">
              <w:rPr>
                <w:rFonts w:asciiTheme="majorBidi" w:hAnsiTheme="majorBidi" w:cstheme="majorBidi"/>
              </w:rPr>
              <w:t>16</w:t>
            </w:r>
          </w:p>
        </w:tc>
      </w:tr>
      <w:tr w:rsidR="00EA029C" w:rsidRPr="0074242B" w14:paraId="13BC0E54" w14:textId="403074E6" w:rsidTr="00C32280">
        <w:trPr>
          <w:trHeight w:val="692"/>
        </w:trPr>
        <w:tc>
          <w:tcPr>
            <w:tcW w:w="312" w:type="pct"/>
            <w:vMerge/>
            <w:textDirection w:val="btLr"/>
          </w:tcPr>
          <w:p w14:paraId="221B136B" w14:textId="77777777" w:rsidR="00EA029C" w:rsidRPr="00C32280" w:rsidRDefault="00EA029C" w:rsidP="00C32280">
            <w:pPr>
              <w:ind w:left="113" w:right="113"/>
              <w:jc w:val="center"/>
              <w:rPr>
                <w:rFonts w:asciiTheme="majorBidi" w:hAnsiTheme="majorBidi" w:cstheme="majorBidi"/>
              </w:rPr>
            </w:pPr>
          </w:p>
        </w:tc>
        <w:tc>
          <w:tcPr>
            <w:tcW w:w="2123" w:type="pct"/>
          </w:tcPr>
          <w:p w14:paraId="03C4B6D5"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OC2. Insufficient resources and expertise for credit risk management.</w:t>
            </w:r>
          </w:p>
        </w:tc>
        <w:tc>
          <w:tcPr>
            <w:tcW w:w="1497" w:type="pct"/>
          </w:tcPr>
          <w:p w14:paraId="2CA6BD61" w14:textId="23556060" w:rsidR="00EA029C" w:rsidRPr="0074242B" w:rsidRDefault="00C32280" w:rsidP="00C32280">
            <w:pPr>
              <w:jc w:val="both"/>
              <w:rPr>
                <w:rFonts w:asciiTheme="majorBidi" w:hAnsiTheme="majorBidi" w:cstheme="majorBidi"/>
              </w:rPr>
            </w:pPr>
            <w:r w:rsidRPr="00C32280">
              <w:rPr>
                <w:rFonts w:asciiTheme="majorBidi" w:hAnsiTheme="majorBidi" w:cstheme="majorBidi"/>
              </w:rPr>
              <w:t>BCBS, (2006); Njanike, (2009); BCBS, (2011); Abdelrahim, (2013); Heydari and Abdoli, (2015); Basaha et al., (2021)</w:t>
            </w:r>
          </w:p>
        </w:tc>
        <w:tc>
          <w:tcPr>
            <w:tcW w:w="534" w:type="pct"/>
          </w:tcPr>
          <w:p w14:paraId="388A4EB1" w14:textId="10AEC6B7" w:rsidR="00EA029C" w:rsidRPr="0074242B" w:rsidRDefault="002F0AE2" w:rsidP="00EA0D7A">
            <w:pPr>
              <w:jc w:val="center"/>
              <w:rPr>
                <w:rFonts w:asciiTheme="majorBidi" w:hAnsiTheme="majorBidi" w:cstheme="majorBidi"/>
              </w:rPr>
            </w:pPr>
            <w:r w:rsidRPr="0074242B">
              <w:rPr>
                <w:rFonts w:asciiTheme="majorBidi" w:hAnsiTheme="majorBidi" w:cstheme="majorBidi"/>
              </w:rPr>
              <w:t>6</w:t>
            </w:r>
          </w:p>
        </w:tc>
        <w:tc>
          <w:tcPr>
            <w:tcW w:w="534" w:type="pct"/>
          </w:tcPr>
          <w:p w14:paraId="1E01764C" w14:textId="7F6F9725" w:rsidR="00EA029C" w:rsidRPr="0074242B" w:rsidRDefault="00077180" w:rsidP="00EA0D7A">
            <w:pPr>
              <w:jc w:val="center"/>
              <w:rPr>
                <w:rFonts w:asciiTheme="majorBidi" w:hAnsiTheme="majorBidi" w:cstheme="majorBidi"/>
              </w:rPr>
            </w:pPr>
            <w:r w:rsidRPr="0074242B">
              <w:rPr>
                <w:rFonts w:asciiTheme="majorBidi" w:hAnsiTheme="majorBidi" w:cstheme="majorBidi"/>
              </w:rPr>
              <w:t>0.</w:t>
            </w:r>
            <w:r w:rsidR="00D2137F" w:rsidRPr="0074242B">
              <w:rPr>
                <w:rFonts w:asciiTheme="majorBidi" w:hAnsiTheme="majorBidi" w:cstheme="majorBidi"/>
              </w:rPr>
              <w:t>25</w:t>
            </w:r>
          </w:p>
        </w:tc>
      </w:tr>
      <w:tr w:rsidR="00EA029C" w:rsidRPr="0074242B" w14:paraId="190F7440" w14:textId="3923F3D0" w:rsidTr="00C32280">
        <w:trPr>
          <w:trHeight w:val="504"/>
        </w:trPr>
        <w:tc>
          <w:tcPr>
            <w:tcW w:w="312" w:type="pct"/>
            <w:vMerge/>
            <w:textDirection w:val="btLr"/>
          </w:tcPr>
          <w:p w14:paraId="307E690F" w14:textId="77777777" w:rsidR="00EA029C" w:rsidRPr="00C32280" w:rsidRDefault="00EA029C" w:rsidP="00C32280">
            <w:pPr>
              <w:ind w:left="113" w:right="113"/>
              <w:jc w:val="center"/>
              <w:rPr>
                <w:rFonts w:asciiTheme="majorBidi" w:hAnsiTheme="majorBidi" w:cstheme="majorBidi"/>
              </w:rPr>
            </w:pPr>
          </w:p>
        </w:tc>
        <w:tc>
          <w:tcPr>
            <w:tcW w:w="2123" w:type="pct"/>
          </w:tcPr>
          <w:p w14:paraId="7C91354B"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OC3. Lack of integration of credit risk management processes with overall business strategy.</w:t>
            </w:r>
          </w:p>
        </w:tc>
        <w:tc>
          <w:tcPr>
            <w:tcW w:w="1497" w:type="pct"/>
          </w:tcPr>
          <w:p w14:paraId="69B67E12" w14:textId="40BA3BCD" w:rsidR="00EA029C" w:rsidRPr="0074242B" w:rsidRDefault="00C32280" w:rsidP="00C32280">
            <w:pPr>
              <w:jc w:val="both"/>
              <w:rPr>
                <w:rFonts w:asciiTheme="majorBidi" w:hAnsiTheme="majorBidi" w:cstheme="majorBidi"/>
              </w:rPr>
            </w:pPr>
            <w:r w:rsidRPr="00C32280">
              <w:rPr>
                <w:rFonts w:asciiTheme="majorBidi" w:hAnsiTheme="majorBidi" w:cstheme="majorBidi"/>
              </w:rPr>
              <w:t>BCBS, (2006); Njanike, (2009); Moges et al., (2013); Basaha et al., (2021)</w:t>
            </w:r>
          </w:p>
        </w:tc>
        <w:tc>
          <w:tcPr>
            <w:tcW w:w="534" w:type="pct"/>
          </w:tcPr>
          <w:p w14:paraId="7FB11892" w14:textId="491F5DAB" w:rsidR="00EA029C" w:rsidRPr="0074242B" w:rsidRDefault="002F0AE2" w:rsidP="00EA0D7A">
            <w:pPr>
              <w:jc w:val="center"/>
              <w:rPr>
                <w:rFonts w:asciiTheme="majorBidi" w:hAnsiTheme="majorBidi" w:cstheme="majorBidi"/>
              </w:rPr>
            </w:pPr>
            <w:r w:rsidRPr="0074242B">
              <w:rPr>
                <w:rFonts w:asciiTheme="majorBidi" w:hAnsiTheme="majorBidi" w:cstheme="majorBidi"/>
              </w:rPr>
              <w:t>4</w:t>
            </w:r>
          </w:p>
        </w:tc>
        <w:tc>
          <w:tcPr>
            <w:tcW w:w="534" w:type="pct"/>
          </w:tcPr>
          <w:p w14:paraId="334D40DD" w14:textId="5E487D99" w:rsidR="00EA029C" w:rsidRPr="0074242B" w:rsidRDefault="00077180" w:rsidP="00EA0D7A">
            <w:pPr>
              <w:jc w:val="center"/>
              <w:rPr>
                <w:rFonts w:asciiTheme="majorBidi" w:hAnsiTheme="majorBidi" w:cstheme="majorBidi"/>
              </w:rPr>
            </w:pPr>
            <w:r w:rsidRPr="0074242B">
              <w:rPr>
                <w:rFonts w:asciiTheme="majorBidi" w:hAnsiTheme="majorBidi" w:cstheme="majorBidi"/>
              </w:rPr>
              <w:t>0.</w:t>
            </w:r>
            <w:r w:rsidR="00D2137F" w:rsidRPr="0074242B">
              <w:rPr>
                <w:rFonts w:asciiTheme="majorBidi" w:hAnsiTheme="majorBidi" w:cstheme="majorBidi"/>
              </w:rPr>
              <w:t>16</w:t>
            </w:r>
          </w:p>
        </w:tc>
      </w:tr>
      <w:tr w:rsidR="00EA029C" w:rsidRPr="0074242B" w14:paraId="0DB0AAE2" w14:textId="35BE3102" w:rsidTr="00C32280">
        <w:trPr>
          <w:trHeight w:val="512"/>
        </w:trPr>
        <w:tc>
          <w:tcPr>
            <w:tcW w:w="312" w:type="pct"/>
            <w:vMerge w:val="restart"/>
            <w:textDirection w:val="btLr"/>
          </w:tcPr>
          <w:p w14:paraId="7B0EDF80" w14:textId="77777777" w:rsidR="00EA029C" w:rsidRPr="00C32280" w:rsidRDefault="00EA029C" w:rsidP="00C32280">
            <w:pPr>
              <w:ind w:left="113" w:right="113"/>
              <w:jc w:val="center"/>
              <w:rPr>
                <w:rFonts w:asciiTheme="majorBidi" w:hAnsiTheme="majorBidi" w:cstheme="majorBidi"/>
              </w:rPr>
            </w:pPr>
            <w:r w:rsidRPr="00C32280">
              <w:rPr>
                <w:rFonts w:asciiTheme="majorBidi" w:hAnsiTheme="majorBidi" w:cstheme="majorBidi"/>
              </w:rPr>
              <w:lastRenderedPageBreak/>
              <w:t>Technological Challenges</w:t>
            </w:r>
          </w:p>
        </w:tc>
        <w:tc>
          <w:tcPr>
            <w:tcW w:w="2123" w:type="pct"/>
          </w:tcPr>
          <w:p w14:paraId="04A1299D" w14:textId="1354A3B5" w:rsidR="00EA029C" w:rsidRPr="0074242B" w:rsidRDefault="00EA029C" w:rsidP="00B51951">
            <w:pPr>
              <w:jc w:val="both"/>
              <w:rPr>
                <w:rFonts w:asciiTheme="majorBidi" w:hAnsiTheme="majorBidi" w:cstheme="majorBidi"/>
              </w:rPr>
            </w:pPr>
            <w:r w:rsidRPr="0074242B">
              <w:rPr>
                <w:rFonts w:asciiTheme="majorBidi" w:hAnsiTheme="majorBidi" w:cstheme="majorBidi"/>
              </w:rPr>
              <w:t>TC1. Inability to effectively use technology to manage and analy</w:t>
            </w:r>
            <w:r w:rsidR="00645592" w:rsidRPr="0074242B">
              <w:rPr>
                <w:rFonts w:asciiTheme="majorBidi" w:hAnsiTheme="majorBidi" w:cstheme="majorBidi"/>
              </w:rPr>
              <w:t>s</w:t>
            </w:r>
            <w:r w:rsidRPr="0074242B">
              <w:rPr>
                <w:rFonts w:asciiTheme="majorBidi" w:hAnsiTheme="majorBidi" w:cstheme="majorBidi"/>
              </w:rPr>
              <w:t>e large amounts of data.</w:t>
            </w:r>
          </w:p>
        </w:tc>
        <w:tc>
          <w:tcPr>
            <w:tcW w:w="1497" w:type="pct"/>
          </w:tcPr>
          <w:p w14:paraId="35C6261B" w14:textId="74F17460" w:rsidR="00EA029C" w:rsidRPr="0074242B" w:rsidRDefault="00C32280" w:rsidP="00C32280">
            <w:pPr>
              <w:jc w:val="both"/>
              <w:rPr>
                <w:rFonts w:asciiTheme="majorBidi" w:hAnsiTheme="majorBidi" w:cstheme="majorBidi"/>
              </w:rPr>
            </w:pPr>
            <w:r w:rsidRPr="00C32280">
              <w:rPr>
                <w:rFonts w:asciiTheme="majorBidi" w:hAnsiTheme="majorBidi" w:cstheme="majorBidi"/>
              </w:rPr>
              <w:t>BCBS, (2006); Moges et al., (2013); Bazarbash, (2019); Wen et al., (2021)</w:t>
            </w:r>
          </w:p>
        </w:tc>
        <w:tc>
          <w:tcPr>
            <w:tcW w:w="534" w:type="pct"/>
          </w:tcPr>
          <w:p w14:paraId="0B732224" w14:textId="535935D9" w:rsidR="00EA029C" w:rsidRPr="0074242B" w:rsidRDefault="002F0AE2" w:rsidP="00EA0D7A">
            <w:pPr>
              <w:jc w:val="center"/>
              <w:rPr>
                <w:rFonts w:asciiTheme="majorBidi" w:hAnsiTheme="majorBidi" w:cstheme="majorBidi"/>
              </w:rPr>
            </w:pPr>
            <w:r w:rsidRPr="0074242B">
              <w:rPr>
                <w:rFonts w:asciiTheme="majorBidi" w:hAnsiTheme="majorBidi" w:cstheme="majorBidi"/>
              </w:rPr>
              <w:t>4</w:t>
            </w:r>
          </w:p>
        </w:tc>
        <w:tc>
          <w:tcPr>
            <w:tcW w:w="534" w:type="pct"/>
          </w:tcPr>
          <w:p w14:paraId="5C6AE195" w14:textId="17DE2DFB" w:rsidR="00EA029C" w:rsidRPr="0074242B" w:rsidRDefault="00077180" w:rsidP="00EA0D7A">
            <w:pPr>
              <w:jc w:val="center"/>
              <w:rPr>
                <w:rFonts w:asciiTheme="majorBidi" w:hAnsiTheme="majorBidi" w:cstheme="majorBidi"/>
              </w:rPr>
            </w:pPr>
            <w:r w:rsidRPr="0074242B">
              <w:rPr>
                <w:rFonts w:asciiTheme="majorBidi" w:hAnsiTheme="majorBidi" w:cstheme="majorBidi"/>
              </w:rPr>
              <w:t>0.16</w:t>
            </w:r>
          </w:p>
        </w:tc>
      </w:tr>
      <w:tr w:rsidR="00EA029C" w:rsidRPr="0074242B" w14:paraId="361C5520" w14:textId="0B5CF264" w:rsidTr="00C32280">
        <w:trPr>
          <w:trHeight w:val="662"/>
        </w:trPr>
        <w:tc>
          <w:tcPr>
            <w:tcW w:w="312" w:type="pct"/>
            <w:vMerge/>
            <w:textDirection w:val="btLr"/>
          </w:tcPr>
          <w:p w14:paraId="4D98681B" w14:textId="77777777" w:rsidR="00EA029C" w:rsidRPr="00C32280" w:rsidRDefault="00EA029C" w:rsidP="00C32280">
            <w:pPr>
              <w:ind w:left="113" w:right="113"/>
              <w:jc w:val="center"/>
              <w:rPr>
                <w:rFonts w:asciiTheme="majorBidi" w:hAnsiTheme="majorBidi" w:cstheme="majorBidi"/>
              </w:rPr>
            </w:pPr>
          </w:p>
        </w:tc>
        <w:tc>
          <w:tcPr>
            <w:tcW w:w="2123" w:type="pct"/>
          </w:tcPr>
          <w:p w14:paraId="6ADEC300"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TC2. Incompatibility or lack of integration with other systems and inability to share data across different departments and business units.</w:t>
            </w:r>
          </w:p>
        </w:tc>
        <w:tc>
          <w:tcPr>
            <w:tcW w:w="1497" w:type="pct"/>
          </w:tcPr>
          <w:p w14:paraId="7EEBC61D" w14:textId="1F7DA2BC" w:rsidR="00EA029C" w:rsidRPr="0074242B" w:rsidRDefault="00C32280" w:rsidP="00C32280">
            <w:pPr>
              <w:jc w:val="both"/>
              <w:rPr>
                <w:rFonts w:asciiTheme="majorBidi" w:hAnsiTheme="majorBidi" w:cstheme="majorBidi"/>
              </w:rPr>
            </w:pPr>
            <w:r w:rsidRPr="00C32280">
              <w:rPr>
                <w:rFonts w:asciiTheme="majorBidi" w:hAnsiTheme="majorBidi" w:cstheme="majorBidi"/>
              </w:rPr>
              <w:t>BCBS, (2006); Moges et al., (2013); Campanella et al., (2017); Wen et al., (2021)</w:t>
            </w:r>
          </w:p>
        </w:tc>
        <w:tc>
          <w:tcPr>
            <w:tcW w:w="534" w:type="pct"/>
          </w:tcPr>
          <w:p w14:paraId="7C1D9F3F" w14:textId="2AD2E6EC" w:rsidR="00EA029C" w:rsidRPr="0074242B" w:rsidRDefault="002F0AE2" w:rsidP="00EA0D7A">
            <w:pPr>
              <w:jc w:val="center"/>
              <w:rPr>
                <w:rFonts w:asciiTheme="majorBidi" w:hAnsiTheme="majorBidi" w:cstheme="majorBidi"/>
              </w:rPr>
            </w:pPr>
            <w:r w:rsidRPr="0074242B">
              <w:rPr>
                <w:rFonts w:asciiTheme="majorBidi" w:hAnsiTheme="majorBidi" w:cstheme="majorBidi"/>
              </w:rPr>
              <w:t>4</w:t>
            </w:r>
          </w:p>
        </w:tc>
        <w:tc>
          <w:tcPr>
            <w:tcW w:w="534" w:type="pct"/>
          </w:tcPr>
          <w:p w14:paraId="07CB90F7" w14:textId="77B5CC94" w:rsidR="00EA029C" w:rsidRPr="0074242B" w:rsidRDefault="00077180" w:rsidP="00EA0D7A">
            <w:pPr>
              <w:jc w:val="center"/>
              <w:rPr>
                <w:rFonts w:asciiTheme="majorBidi" w:hAnsiTheme="majorBidi" w:cstheme="majorBidi"/>
              </w:rPr>
            </w:pPr>
            <w:r w:rsidRPr="0074242B">
              <w:rPr>
                <w:rFonts w:asciiTheme="majorBidi" w:hAnsiTheme="majorBidi" w:cstheme="majorBidi"/>
              </w:rPr>
              <w:t>0.16</w:t>
            </w:r>
          </w:p>
        </w:tc>
      </w:tr>
      <w:tr w:rsidR="00EA029C" w:rsidRPr="0074242B" w14:paraId="7AD21729" w14:textId="278514C5" w:rsidTr="00C32280">
        <w:trPr>
          <w:trHeight w:val="900"/>
        </w:trPr>
        <w:tc>
          <w:tcPr>
            <w:tcW w:w="312" w:type="pct"/>
            <w:vMerge/>
            <w:textDirection w:val="btLr"/>
          </w:tcPr>
          <w:p w14:paraId="77FA7993" w14:textId="77777777" w:rsidR="00EA029C" w:rsidRPr="00C32280" w:rsidRDefault="00EA029C" w:rsidP="00C32280">
            <w:pPr>
              <w:ind w:left="113" w:right="113"/>
              <w:jc w:val="center"/>
              <w:rPr>
                <w:rFonts w:asciiTheme="majorBidi" w:hAnsiTheme="majorBidi" w:cstheme="majorBidi"/>
              </w:rPr>
            </w:pPr>
          </w:p>
        </w:tc>
        <w:tc>
          <w:tcPr>
            <w:tcW w:w="2123" w:type="pct"/>
          </w:tcPr>
          <w:p w14:paraId="5F16EB25"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TC3. Failing to find the appropriate balance between automation and human intervention in credit risk management can impact decision-making accuracy and the ability to manage risks effectively.</w:t>
            </w:r>
          </w:p>
        </w:tc>
        <w:tc>
          <w:tcPr>
            <w:tcW w:w="1497" w:type="pct"/>
          </w:tcPr>
          <w:p w14:paraId="46704828" w14:textId="77777777" w:rsidR="00C32280" w:rsidRPr="00C32280" w:rsidRDefault="00C32280" w:rsidP="00C32280">
            <w:pPr>
              <w:jc w:val="both"/>
              <w:rPr>
                <w:rFonts w:asciiTheme="majorBidi" w:hAnsiTheme="majorBidi" w:cstheme="majorBidi"/>
              </w:rPr>
            </w:pPr>
            <w:r w:rsidRPr="00C32280">
              <w:rPr>
                <w:rFonts w:asciiTheme="majorBidi" w:hAnsiTheme="majorBidi" w:cstheme="majorBidi"/>
              </w:rPr>
              <w:t>BCBS, (2006); Misheva et al., (2021)</w:t>
            </w:r>
          </w:p>
          <w:p w14:paraId="17F3B0CB" w14:textId="7B6CF360" w:rsidR="00EA029C" w:rsidRPr="0074242B" w:rsidRDefault="00EA029C" w:rsidP="006766C3">
            <w:pPr>
              <w:jc w:val="both"/>
              <w:rPr>
                <w:rFonts w:asciiTheme="majorBidi" w:hAnsiTheme="majorBidi" w:cstheme="majorBidi"/>
              </w:rPr>
            </w:pPr>
          </w:p>
        </w:tc>
        <w:tc>
          <w:tcPr>
            <w:tcW w:w="534" w:type="pct"/>
          </w:tcPr>
          <w:p w14:paraId="37AB1EA9" w14:textId="77F1B9F5" w:rsidR="00EA029C" w:rsidRPr="0074242B" w:rsidRDefault="002F0AE2" w:rsidP="00EA0D7A">
            <w:pPr>
              <w:jc w:val="center"/>
              <w:rPr>
                <w:rFonts w:asciiTheme="majorBidi" w:hAnsiTheme="majorBidi" w:cstheme="majorBidi"/>
              </w:rPr>
            </w:pPr>
            <w:r w:rsidRPr="0074242B">
              <w:rPr>
                <w:rFonts w:asciiTheme="majorBidi" w:hAnsiTheme="majorBidi" w:cstheme="majorBidi"/>
              </w:rPr>
              <w:t>2</w:t>
            </w:r>
          </w:p>
        </w:tc>
        <w:tc>
          <w:tcPr>
            <w:tcW w:w="534" w:type="pct"/>
          </w:tcPr>
          <w:p w14:paraId="377A9685" w14:textId="7A93CF7D" w:rsidR="00EA029C" w:rsidRPr="0074242B" w:rsidRDefault="00077180" w:rsidP="00EA0D7A">
            <w:pPr>
              <w:jc w:val="center"/>
              <w:rPr>
                <w:rFonts w:asciiTheme="majorBidi" w:hAnsiTheme="majorBidi" w:cstheme="majorBidi"/>
              </w:rPr>
            </w:pPr>
            <w:r w:rsidRPr="0074242B">
              <w:rPr>
                <w:rFonts w:asciiTheme="majorBidi" w:hAnsiTheme="majorBidi" w:cstheme="majorBidi"/>
              </w:rPr>
              <w:t>0.08</w:t>
            </w:r>
          </w:p>
        </w:tc>
      </w:tr>
      <w:tr w:rsidR="00EA029C" w:rsidRPr="0074242B" w14:paraId="042BD880" w14:textId="74ED34B2" w:rsidTr="00C32280">
        <w:trPr>
          <w:trHeight w:val="544"/>
        </w:trPr>
        <w:tc>
          <w:tcPr>
            <w:tcW w:w="312" w:type="pct"/>
            <w:vMerge/>
            <w:textDirection w:val="btLr"/>
          </w:tcPr>
          <w:p w14:paraId="68CF81AB" w14:textId="77777777" w:rsidR="00EA029C" w:rsidRPr="00C32280" w:rsidRDefault="00EA029C" w:rsidP="00C32280">
            <w:pPr>
              <w:ind w:left="113" w:right="113"/>
              <w:jc w:val="center"/>
              <w:rPr>
                <w:rFonts w:asciiTheme="majorBidi" w:hAnsiTheme="majorBidi" w:cstheme="majorBidi"/>
              </w:rPr>
            </w:pPr>
          </w:p>
        </w:tc>
        <w:tc>
          <w:tcPr>
            <w:tcW w:w="2123" w:type="pct"/>
          </w:tcPr>
          <w:p w14:paraId="7BAE6E09"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TC4. Increased cyber threats and attacks, leading to data breaches and reputational damage.</w:t>
            </w:r>
          </w:p>
        </w:tc>
        <w:tc>
          <w:tcPr>
            <w:tcW w:w="1497" w:type="pct"/>
          </w:tcPr>
          <w:p w14:paraId="6DC04534" w14:textId="48F44650" w:rsidR="00EA029C" w:rsidRPr="0074242B" w:rsidRDefault="00C32280" w:rsidP="00C32280">
            <w:pPr>
              <w:jc w:val="both"/>
              <w:rPr>
                <w:rFonts w:asciiTheme="majorBidi" w:hAnsiTheme="majorBidi" w:cstheme="majorBidi"/>
              </w:rPr>
            </w:pPr>
            <w:r w:rsidRPr="00C32280">
              <w:rPr>
                <w:rFonts w:asciiTheme="majorBidi" w:hAnsiTheme="majorBidi" w:cstheme="majorBidi"/>
              </w:rPr>
              <w:t>BCBS, (2010); Soni, (2019); Hasan and Al-Ramadan, (2021); Almudaires and Almaiah, (2021)</w:t>
            </w:r>
          </w:p>
        </w:tc>
        <w:tc>
          <w:tcPr>
            <w:tcW w:w="534" w:type="pct"/>
          </w:tcPr>
          <w:p w14:paraId="0DE96492" w14:textId="0F77DE1F" w:rsidR="00EA029C" w:rsidRPr="0074242B" w:rsidRDefault="002F0AE2" w:rsidP="00EA0D7A">
            <w:pPr>
              <w:jc w:val="center"/>
              <w:rPr>
                <w:rFonts w:asciiTheme="majorBidi" w:hAnsiTheme="majorBidi" w:cstheme="majorBidi"/>
              </w:rPr>
            </w:pPr>
            <w:r w:rsidRPr="0074242B">
              <w:rPr>
                <w:rFonts w:asciiTheme="majorBidi" w:hAnsiTheme="majorBidi" w:cstheme="majorBidi"/>
              </w:rPr>
              <w:t>4</w:t>
            </w:r>
          </w:p>
        </w:tc>
        <w:tc>
          <w:tcPr>
            <w:tcW w:w="534" w:type="pct"/>
          </w:tcPr>
          <w:p w14:paraId="4B0B7C56" w14:textId="084E2595" w:rsidR="00EA029C" w:rsidRPr="0074242B" w:rsidRDefault="00077180" w:rsidP="00EA0D7A">
            <w:pPr>
              <w:jc w:val="center"/>
              <w:rPr>
                <w:rFonts w:asciiTheme="majorBidi" w:hAnsiTheme="majorBidi" w:cstheme="majorBidi"/>
              </w:rPr>
            </w:pPr>
            <w:r w:rsidRPr="0074242B">
              <w:rPr>
                <w:rFonts w:asciiTheme="majorBidi" w:hAnsiTheme="majorBidi" w:cstheme="majorBidi"/>
              </w:rPr>
              <w:t>0.16</w:t>
            </w:r>
          </w:p>
        </w:tc>
      </w:tr>
      <w:tr w:rsidR="00EA029C" w:rsidRPr="0074242B" w14:paraId="41D494DC" w14:textId="12ADC9D5" w:rsidTr="00C32280">
        <w:trPr>
          <w:trHeight w:val="802"/>
        </w:trPr>
        <w:tc>
          <w:tcPr>
            <w:tcW w:w="312" w:type="pct"/>
            <w:vMerge/>
            <w:textDirection w:val="btLr"/>
          </w:tcPr>
          <w:p w14:paraId="211D5CAD" w14:textId="77777777" w:rsidR="00EA029C" w:rsidRPr="00C32280" w:rsidRDefault="00EA029C" w:rsidP="00C32280">
            <w:pPr>
              <w:ind w:left="113" w:right="113"/>
              <w:jc w:val="center"/>
              <w:rPr>
                <w:rFonts w:asciiTheme="majorBidi" w:hAnsiTheme="majorBidi" w:cstheme="majorBidi"/>
              </w:rPr>
            </w:pPr>
          </w:p>
        </w:tc>
        <w:tc>
          <w:tcPr>
            <w:tcW w:w="2123" w:type="pct"/>
          </w:tcPr>
          <w:p w14:paraId="7E7918D5"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TC5. Possible technological system failure and downtime leading to operational disruptions and losses.</w:t>
            </w:r>
          </w:p>
        </w:tc>
        <w:tc>
          <w:tcPr>
            <w:tcW w:w="1497" w:type="pct"/>
          </w:tcPr>
          <w:p w14:paraId="06BAA83B" w14:textId="5BC4202D" w:rsidR="00EA029C" w:rsidRPr="0074242B" w:rsidRDefault="00C32280" w:rsidP="00C32280">
            <w:pPr>
              <w:jc w:val="both"/>
              <w:rPr>
                <w:rFonts w:asciiTheme="majorBidi" w:hAnsiTheme="majorBidi" w:cstheme="majorBidi"/>
              </w:rPr>
            </w:pPr>
            <w:r w:rsidRPr="00C32280">
              <w:rPr>
                <w:rFonts w:asciiTheme="majorBidi" w:hAnsiTheme="majorBidi" w:cstheme="majorBidi"/>
              </w:rPr>
              <w:t>Campanella et al., (2017); Bazarbash, (2019)</w:t>
            </w:r>
          </w:p>
        </w:tc>
        <w:tc>
          <w:tcPr>
            <w:tcW w:w="534" w:type="pct"/>
          </w:tcPr>
          <w:p w14:paraId="6DFE55AB" w14:textId="04911751" w:rsidR="00EA029C" w:rsidRPr="0074242B" w:rsidRDefault="002F0AE2" w:rsidP="00EA0D7A">
            <w:pPr>
              <w:jc w:val="center"/>
              <w:rPr>
                <w:rFonts w:asciiTheme="majorBidi" w:hAnsiTheme="majorBidi" w:cstheme="majorBidi"/>
              </w:rPr>
            </w:pPr>
            <w:r w:rsidRPr="0074242B">
              <w:rPr>
                <w:rFonts w:asciiTheme="majorBidi" w:hAnsiTheme="majorBidi" w:cstheme="majorBidi"/>
              </w:rPr>
              <w:t>2</w:t>
            </w:r>
          </w:p>
        </w:tc>
        <w:tc>
          <w:tcPr>
            <w:tcW w:w="534" w:type="pct"/>
          </w:tcPr>
          <w:p w14:paraId="3024BB02" w14:textId="4CBCE253" w:rsidR="00EA029C" w:rsidRPr="0074242B" w:rsidRDefault="00077180" w:rsidP="00EA0D7A">
            <w:pPr>
              <w:jc w:val="center"/>
              <w:rPr>
                <w:rFonts w:asciiTheme="majorBidi" w:hAnsiTheme="majorBidi" w:cstheme="majorBidi"/>
              </w:rPr>
            </w:pPr>
            <w:r w:rsidRPr="0074242B">
              <w:rPr>
                <w:rFonts w:asciiTheme="majorBidi" w:hAnsiTheme="majorBidi" w:cstheme="majorBidi"/>
              </w:rPr>
              <w:t>0.08</w:t>
            </w:r>
          </w:p>
        </w:tc>
      </w:tr>
      <w:tr w:rsidR="00EA029C" w:rsidRPr="0074242B" w14:paraId="7A9CA7E8" w14:textId="0C271246" w:rsidTr="00C32280">
        <w:trPr>
          <w:trHeight w:val="557"/>
        </w:trPr>
        <w:tc>
          <w:tcPr>
            <w:tcW w:w="312" w:type="pct"/>
            <w:vMerge w:val="restart"/>
            <w:textDirection w:val="btLr"/>
          </w:tcPr>
          <w:p w14:paraId="316546E7" w14:textId="77777777" w:rsidR="00EA029C" w:rsidRPr="00C32280" w:rsidRDefault="00EA029C" w:rsidP="00C32280">
            <w:pPr>
              <w:ind w:left="113" w:right="113"/>
              <w:jc w:val="center"/>
              <w:rPr>
                <w:rFonts w:asciiTheme="majorBidi" w:hAnsiTheme="majorBidi" w:cstheme="majorBidi"/>
              </w:rPr>
            </w:pPr>
            <w:r w:rsidRPr="00C32280">
              <w:rPr>
                <w:rFonts w:asciiTheme="majorBidi" w:hAnsiTheme="majorBidi" w:cstheme="majorBidi"/>
              </w:rPr>
              <w:t>Economic Challenges</w:t>
            </w:r>
          </w:p>
        </w:tc>
        <w:tc>
          <w:tcPr>
            <w:tcW w:w="2123" w:type="pct"/>
          </w:tcPr>
          <w:p w14:paraId="155DCDEF"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EC.1 Inability to effectively manage liquidity and capital, which leads to financial instability.</w:t>
            </w:r>
          </w:p>
        </w:tc>
        <w:tc>
          <w:tcPr>
            <w:tcW w:w="1497" w:type="pct"/>
          </w:tcPr>
          <w:p w14:paraId="77B4C3DC" w14:textId="71F62600" w:rsidR="00C32280" w:rsidRPr="00C32280" w:rsidRDefault="00C32280" w:rsidP="00C32280">
            <w:pPr>
              <w:jc w:val="both"/>
              <w:rPr>
                <w:rFonts w:asciiTheme="majorBidi" w:hAnsiTheme="majorBidi" w:cstheme="majorBidi"/>
              </w:rPr>
            </w:pPr>
            <w:r w:rsidRPr="00C32280">
              <w:rPr>
                <w:rFonts w:asciiTheme="majorBidi" w:hAnsiTheme="majorBidi" w:cstheme="majorBidi"/>
              </w:rPr>
              <w:t>BCBS, (2010)</w:t>
            </w:r>
          </w:p>
          <w:p w14:paraId="2974A2F7" w14:textId="77777777" w:rsidR="00EA029C" w:rsidRPr="0074242B" w:rsidRDefault="00EA029C" w:rsidP="00B51951">
            <w:pPr>
              <w:jc w:val="both"/>
              <w:rPr>
                <w:rFonts w:asciiTheme="majorBidi" w:hAnsiTheme="majorBidi" w:cstheme="majorBidi"/>
              </w:rPr>
            </w:pPr>
          </w:p>
        </w:tc>
        <w:tc>
          <w:tcPr>
            <w:tcW w:w="534" w:type="pct"/>
          </w:tcPr>
          <w:p w14:paraId="3E3F56E6" w14:textId="4D383FEA" w:rsidR="00EA029C" w:rsidRPr="0074242B" w:rsidRDefault="002F0AE2" w:rsidP="00EA0D7A">
            <w:pPr>
              <w:jc w:val="center"/>
              <w:rPr>
                <w:rFonts w:asciiTheme="majorBidi" w:hAnsiTheme="majorBidi" w:cstheme="majorBidi"/>
              </w:rPr>
            </w:pPr>
            <w:r w:rsidRPr="0074242B">
              <w:rPr>
                <w:rFonts w:asciiTheme="majorBidi" w:hAnsiTheme="majorBidi" w:cstheme="majorBidi"/>
              </w:rPr>
              <w:t>1</w:t>
            </w:r>
          </w:p>
        </w:tc>
        <w:tc>
          <w:tcPr>
            <w:tcW w:w="534" w:type="pct"/>
          </w:tcPr>
          <w:p w14:paraId="51F4B30A" w14:textId="4DCCD3F4" w:rsidR="00EA029C" w:rsidRPr="0074242B" w:rsidRDefault="00077180" w:rsidP="00EA0D7A">
            <w:pPr>
              <w:jc w:val="center"/>
              <w:rPr>
                <w:rFonts w:asciiTheme="majorBidi" w:hAnsiTheme="majorBidi" w:cstheme="majorBidi"/>
              </w:rPr>
            </w:pPr>
            <w:r w:rsidRPr="0074242B">
              <w:rPr>
                <w:rFonts w:asciiTheme="majorBidi" w:hAnsiTheme="majorBidi" w:cstheme="majorBidi"/>
              </w:rPr>
              <w:t>0.04</w:t>
            </w:r>
          </w:p>
        </w:tc>
      </w:tr>
      <w:tr w:rsidR="00EA029C" w:rsidRPr="0074242B" w14:paraId="3BD18C97" w14:textId="33855589" w:rsidTr="00C32280">
        <w:trPr>
          <w:trHeight w:val="693"/>
        </w:trPr>
        <w:tc>
          <w:tcPr>
            <w:tcW w:w="312" w:type="pct"/>
            <w:vMerge/>
          </w:tcPr>
          <w:p w14:paraId="66E268BD" w14:textId="77777777" w:rsidR="00EA029C" w:rsidRPr="0074242B" w:rsidRDefault="00EA029C" w:rsidP="00B51951">
            <w:pPr>
              <w:jc w:val="both"/>
              <w:rPr>
                <w:rFonts w:asciiTheme="majorBidi" w:hAnsiTheme="majorBidi" w:cstheme="majorBidi"/>
              </w:rPr>
            </w:pPr>
          </w:p>
        </w:tc>
        <w:tc>
          <w:tcPr>
            <w:tcW w:w="2123" w:type="pct"/>
          </w:tcPr>
          <w:p w14:paraId="16D90570"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EC2. Inability to effectively manage credit risk associated with different types of loans, including mortgages, consumer loans, and commercial loans.</w:t>
            </w:r>
          </w:p>
        </w:tc>
        <w:tc>
          <w:tcPr>
            <w:tcW w:w="1497" w:type="pct"/>
          </w:tcPr>
          <w:p w14:paraId="37E1FFD3" w14:textId="77777777" w:rsidR="00C32280" w:rsidRPr="00C32280" w:rsidRDefault="00C32280" w:rsidP="00C32280">
            <w:pPr>
              <w:jc w:val="both"/>
              <w:rPr>
                <w:rFonts w:asciiTheme="majorBidi" w:hAnsiTheme="majorBidi" w:cstheme="majorBidi"/>
              </w:rPr>
            </w:pPr>
            <w:r w:rsidRPr="00C32280">
              <w:rPr>
                <w:rFonts w:asciiTheme="majorBidi" w:hAnsiTheme="majorBidi" w:cstheme="majorBidi"/>
              </w:rPr>
              <w:t>BCBS, (2010); Penikas, (2020)</w:t>
            </w:r>
          </w:p>
          <w:p w14:paraId="385880AA" w14:textId="77777777" w:rsidR="00EA029C" w:rsidRPr="0074242B" w:rsidRDefault="00EA029C" w:rsidP="00B51951">
            <w:pPr>
              <w:jc w:val="both"/>
              <w:rPr>
                <w:rFonts w:asciiTheme="majorBidi" w:hAnsiTheme="majorBidi" w:cstheme="majorBidi"/>
              </w:rPr>
            </w:pPr>
          </w:p>
          <w:p w14:paraId="364CCFED" w14:textId="77777777" w:rsidR="00EA029C" w:rsidRPr="0074242B" w:rsidRDefault="00EA029C" w:rsidP="00B51951">
            <w:pPr>
              <w:jc w:val="both"/>
              <w:rPr>
                <w:rFonts w:asciiTheme="majorBidi" w:hAnsiTheme="majorBidi" w:cstheme="majorBidi"/>
              </w:rPr>
            </w:pPr>
          </w:p>
        </w:tc>
        <w:tc>
          <w:tcPr>
            <w:tcW w:w="534" w:type="pct"/>
          </w:tcPr>
          <w:p w14:paraId="4ED5787D" w14:textId="01F8C469" w:rsidR="00EA029C" w:rsidRPr="0074242B" w:rsidRDefault="002F0AE2" w:rsidP="00EA0D7A">
            <w:pPr>
              <w:jc w:val="center"/>
              <w:rPr>
                <w:rFonts w:asciiTheme="majorBidi" w:hAnsiTheme="majorBidi" w:cstheme="majorBidi"/>
              </w:rPr>
            </w:pPr>
            <w:r w:rsidRPr="0074242B">
              <w:rPr>
                <w:rFonts w:asciiTheme="majorBidi" w:hAnsiTheme="majorBidi" w:cstheme="majorBidi"/>
              </w:rPr>
              <w:t>2</w:t>
            </w:r>
          </w:p>
        </w:tc>
        <w:tc>
          <w:tcPr>
            <w:tcW w:w="534" w:type="pct"/>
          </w:tcPr>
          <w:p w14:paraId="1D2F2683" w14:textId="6DFEBB5E" w:rsidR="00EA029C" w:rsidRPr="0074242B" w:rsidRDefault="00077180" w:rsidP="00EA0D7A">
            <w:pPr>
              <w:jc w:val="center"/>
              <w:rPr>
                <w:rFonts w:asciiTheme="majorBidi" w:hAnsiTheme="majorBidi" w:cstheme="majorBidi"/>
              </w:rPr>
            </w:pPr>
            <w:r w:rsidRPr="0074242B">
              <w:rPr>
                <w:rFonts w:asciiTheme="majorBidi" w:hAnsiTheme="majorBidi" w:cstheme="majorBidi"/>
              </w:rPr>
              <w:t>0.08</w:t>
            </w:r>
          </w:p>
        </w:tc>
      </w:tr>
      <w:tr w:rsidR="00EA029C" w:rsidRPr="0074242B" w14:paraId="1F0AA483" w14:textId="34E53CD8" w:rsidTr="00C32280">
        <w:trPr>
          <w:trHeight w:val="661"/>
        </w:trPr>
        <w:tc>
          <w:tcPr>
            <w:tcW w:w="312" w:type="pct"/>
            <w:vMerge/>
          </w:tcPr>
          <w:p w14:paraId="710B605C" w14:textId="77777777" w:rsidR="00EA029C" w:rsidRPr="0074242B" w:rsidRDefault="00EA029C" w:rsidP="00B51951">
            <w:pPr>
              <w:jc w:val="both"/>
              <w:rPr>
                <w:rFonts w:asciiTheme="majorBidi" w:hAnsiTheme="majorBidi" w:cstheme="majorBidi"/>
              </w:rPr>
            </w:pPr>
          </w:p>
        </w:tc>
        <w:tc>
          <w:tcPr>
            <w:tcW w:w="2123" w:type="pct"/>
          </w:tcPr>
          <w:p w14:paraId="5C7C8BA7"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EC3. Inability to effectively manage credit risk associated with different types of borrowers, including individuals, corporations, and governments.</w:t>
            </w:r>
          </w:p>
        </w:tc>
        <w:tc>
          <w:tcPr>
            <w:tcW w:w="1497" w:type="pct"/>
          </w:tcPr>
          <w:p w14:paraId="5D4E471A" w14:textId="0287371A" w:rsidR="00EA029C" w:rsidRPr="0074242B" w:rsidRDefault="00C32280" w:rsidP="00C32280">
            <w:pPr>
              <w:jc w:val="both"/>
              <w:rPr>
                <w:rFonts w:asciiTheme="majorBidi" w:hAnsiTheme="majorBidi" w:cstheme="majorBidi"/>
              </w:rPr>
            </w:pPr>
            <w:r w:rsidRPr="00C32280">
              <w:rPr>
                <w:rFonts w:asciiTheme="majorBidi" w:hAnsiTheme="majorBidi" w:cstheme="majorBidi"/>
              </w:rPr>
              <w:t>BCBS, (2010); Abdelrahim, (2013); Penikas, (2020)</w:t>
            </w:r>
          </w:p>
        </w:tc>
        <w:tc>
          <w:tcPr>
            <w:tcW w:w="534" w:type="pct"/>
          </w:tcPr>
          <w:p w14:paraId="3086F7E4" w14:textId="3F939FCD" w:rsidR="00EA029C" w:rsidRPr="0074242B" w:rsidRDefault="002F0AE2" w:rsidP="00EA0D7A">
            <w:pPr>
              <w:jc w:val="center"/>
              <w:rPr>
                <w:rFonts w:asciiTheme="majorBidi" w:hAnsiTheme="majorBidi" w:cstheme="majorBidi"/>
              </w:rPr>
            </w:pPr>
            <w:r w:rsidRPr="0074242B">
              <w:rPr>
                <w:rFonts w:asciiTheme="majorBidi" w:hAnsiTheme="majorBidi" w:cstheme="majorBidi"/>
              </w:rPr>
              <w:t>3</w:t>
            </w:r>
          </w:p>
        </w:tc>
        <w:tc>
          <w:tcPr>
            <w:tcW w:w="534" w:type="pct"/>
          </w:tcPr>
          <w:p w14:paraId="595BE85C" w14:textId="73545838" w:rsidR="00EA029C" w:rsidRPr="0074242B" w:rsidRDefault="00077180" w:rsidP="00EA0D7A">
            <w:pPr>
              <w:jc w:val="center"/>
              <w:rPr>
                <w:rFonts w:asciiTheme="majorBidi" w:hAnsiTheme="majorBidi" w:cstheme="majorBidi"/>
              </w:rPr>
            </w:pPr>
            <w:r w:rsidRPr="0074242B">
              <w:rPr>
                <w:rFonts w:asciiTheme="majorBidi" w:hAnsiTheme="majorBidi" w:cstheme="majorBidi"/>
              </w:rPr>
              <w:t>0.12</w:t>
            </w:r>
          </w:p>
        </w:tc>
      </w:tr>
      <w:tr w:rsidR="00EA029C" w:rsidRPr="0074242B" w14:paraId="0B1BE651" w14:textId="35EDEC9C" w:rsidTr="00C32280">
        <w:trPr>
          <w:trHeight w:val="875"/>
        </w:trPr>
        <w:tc>
          <w:tcPr>
            <w:tcW w:w="312" w:type="pct"/>
            <w:vMerge/>
          </w:tcPr>
          <w:p w14:paraId="7655F6ED" w14:textId="77777777" w:rsidR="00EA029C" w:rsidRPr="0074242B" w:rsidRDefault="00EA029C" w:rsidP="00B51951">
            <w:pPr>
              <w:jc w:val="both"/>
              <w:rPr>
                <w:rFonts w:asciiTheme="majorBidi" w:hAnsiTheme="majorBidi" w:cstheme="majorBidi"/>
              </w:rPr>
            </w:pPr>
          </w:p>
        </w:tc>
        <w:tc>
          <w:tcPr>
            <w:tcW w:w="2123" w:type="pct"/>
          </w:tcPr>
          <w:p w14:paraId="5AEECAEC"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EC4. Unpredictable market fluctuations and economic conditions, resulting in potential credit losses.</w:t>
            </w:r>
          </w:p>
        </w:tc>
        <w:tc>
          <w:tcPr>
            <w:tcW w:w="1497" w:type="pct"/>
          </w:tcPr>
          <w:p w14:paraId="15EB9E12" w14:textId="7AC3056A" w:rsidR="00EA029C" w:rsidRPr="0074242B" w:rsidRDefault="00C32280" w:rsidP="00C32280">
            <w:pPr>
              <w:jc w:val="both"/>
              <w:rPr>
                <w:rFonts w:asciiTheme="majorBidi" w:hAnsiTheme="majorBidi" w:cstheme="majorBidi"/>
              </w:rPr>
            </w:pPr>
            <w:r w:rsidRPr="00C32280">
              <w:rPr>
                <w:rFonts w:asciiTheme="majorBidi" w:hAnsiTheme="majorBidi" w:cstheme="majorBidi"/>
              </w:rPr>
              <w:t>BCBS, (2010); Bazarbash, (2019); Alonso and Carbo, (2020); Bhatt et al., (2023)</w:t>
            </w:r>
          </w:p>
        </w:tc>
        <w:tc>
          <w:tcPr>
            <w:tcW w:w="534" w:type="pct"/>
          </w:tcPr>
          <w:p w14:paraId="7D98CF9E" w14:textId="1D664309" w:rsidR="00EA029C" w:rsidRPr="0074242B" w:rsidRDefault="002F0AE2" w:rsidP="00EA0D7A">
            <w:pPr>
              <w:jc w:val="center"/>
              <w:rPr>
                <w:rFonts w:asciiTheme="majorBidi" w:hAnsiTheme="majorBidi" w:cstheme="majorBidi"/>
              </w:rPr>
            </w:pPr>
            <w:r w:rsidRPr="0074242B">
              <w:rPr>
                <w:rFonts w:asciiTheme="majorBidi" w:hAnsiTheme="majorBidi" w:cstheme="majorBidi"/>
              </w:rPr>
              <w:t>4</w:t>
            </w:r>
          </w:p>
        </w:tc>
        <w:tc>
          <w:tcPr>
            <w:tcW w:w="534" w:type="pct"/>
          </w:tcPr>
          <w:p w14:paraId="039AF8B0" w14:textId="17B9C693" w:rsidR="00EA029C" w:rsidRPr="0074242B" w:rsidRDefault="00077180" w:rsidP="00EA0D7A">
            <w:pPr>
              <w:jc w:val="center"/>
              <w:rPr>
                <w:rFonts w:asciiTheme="majorBidi" w:hAnsiTheme="majorBidi" w:cstheme="majorBidi"/>
              </w:rPr>
            </w:pPr>
            <w:r w:rsidRPr="0074242B">
              <w:rPr>
                <w:rFonts w:asciiTheme="majorBidi" w:hAnsiTheme="majorBidi" w:cstheme="majorBidi"/>
              </w:rPr>
              <w:t>0.16</w:t>
            </w:r>
          </w:p>
        </w:tc>
      </w:tr>
      <w:tr w:rsidR="00EA029C" w:rsidRPr="0074242B" w14:paraId="5A22C47B" w14:textId="6B432D82" w:rsidTr="00C32280">
        <w:trPr>
          <w:trHeight w:val="456"/>
        </w:trPr>
        <w:tc>
          <w:tcPr>
            <w:tcW w:w="312" w:type="pct"/>
            <w:vMerge/>
          </w:tcPr>
          <w:p w14:paraId="485F79BB" w14:textId="77777777" w:rsidR="00EA029C" w:rsidRPr="0074242B" w:rsidRDefault="00EA029C" w:rsidP="00B51951">
            <w:pPr>
              <w:jc w:val="both"/>
              <w:rPr>
                <w:rFonts w:asciiTheme="majorBidi" w:hAnsiTheme="majorBidi" w:cstheme="majorBidi"/>
              </w:rPr>
            </w:pPr>
          </w:p>
        </w:tc>
        <w:tc>
          <w:tcPr>
            <w:tcW w:w="2123" w:type="pct"/>
          </w:tcPr>
          <w:p w14:paraId="11CDDFA4"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EC5. Changes in interest rates, exchange rates, and inflation rates, which can impact the value of financial assets and liabilities.</w:t>
            </w:r>
          </w:p>
        </w:tc>
        <w:tc>
          <w:tcPr>
            <w:tcW w:w="1497" w:type="pct"/>
          </w:tcPr>
          <w:p w14:paraId="22094EDA" w14:textId="7227D914" w:rsidR="00EA029C" w:rsidRPr="0074242B" w:rsidRDefault="00C32280" w:rsidP="00B51951">
            <w:pPr>
              <w:jc w:val="both"/>
              <w:rPr>
                <w:rFonts w:asciiTheme="majorBidi" w:hAnsiTheme="majorBidi" w:cstheme="majorBidi"/>
              </w:rPr>
            </w:pPr>
            <w:r w:rsidRPr="00C32280">
              <w:rPr>
                <w:rFonts w:asciiTheme="majorBidi" w:hAnsiTheme="majorBidi" w:cstheme="majorBidi"/>
              </w:rPr>
              <w:t>BCBS, (2010)</w:t>
            </w:r>
          </w:p>
        </w:tc>
        <w:tc>
          <w:tcPr>
            <w:tcW w:w="534" w:type="pct"/>
          </w:tcPr>
          <w:p w14:paraId="462C1A20" w14:textId="7726664A" w:rsidR="00EA029C" w:rsidRPr="0074242B" w:rsidRDefault="002F0AE2" w:rsidP="00EA0D7A">
            <w:pPr>
              <w:jc w:val="center"/>
              <w:rPr>
                <w:rFonts w:asciiTheme="majorBidi" w:hAnsiTheme="majorBidi" w:cstheme="majorBidi"/>
              </w:rPr>
            </w:pPr>
            <w:r w:rsidRPr="0074242B">
              <w:rPr>
                <w:rFonts w:asciiTheme="majorBidi" w:hAnsiTheme="majorBidi" w:cstheme="majorBidi"/>
              </w:rPr>
              <w:t>1</w:t>
            </w:r>
          </w:p>
        </w:tc>
        <w:tc>
          <w:tcPr>
            <w:tcW w:w="534" w:type="pct"/>
          </w:tcPr>
          <w:p w14:paraId="0B35CF90" w14:textId="24E1FE54" w:rsidR="00EA029C" w:rsidRPr="0074242B" w:rsidRDefault="00077180" w:rsidP="00EA0D7A">
            <w:pPr>
              <w:jc w:val="center"/>
              <w:rPr>
                <w:rFonts w:asciiTheme="majorBidi" w:hAnsiTheme="majorBidi" w:cstheme="majorBidi"/>
              </w:rPr>
            </w:pPr>
            <w:r w:rsidRPr="0074242B">
              <w:rPr>
                <w:rFonts w:asciiTheme="majorBidi" w:hAnsiTheme="majorBidi" w:cstheme="majorBidi"/>
              </w:rPr>
              <w:t>0.04</w:t>
            </w:r>
          </w:p>
        </w:tc>
      </w:tr>
      <w:tr w:rsidR="00EA029C" w:rsidRPr="0074242B" w14:paraId="2F6C9CFB" w14:textId="2A687A31" w:rsidTr="00C32280">
        <w:trPr>
          <w:trHeight w:val="450"/>
        </w:trPr>
        <w:tc>
          <w:tcPr>
            <w:tcW w:w="312" w:type="pct"/>
            <w:vMerge/>
          </w:tcPr>
          <w:p w14:paraId="02D880DF" w14:textId="77777777" w:rsidR="00EA029C" w:rsidRPr="0074242B" w:rsidRDefault="00EA029C" w:rsidP="00B51951">
            <w:pPr>
              <w:jc w:val="both"/>
              <w:rPr>
                <w:rFonts w:asciiTheme="majorBidi" w:hAnsiTheme="majorBidi" w:cstheme="majorBidi"/>
              </w:rPr>
            </w:pPr>
          </w:p>
        </w:tc>
        <w:tc>
          <w:tcPr>
            <w:tcW w:w="2123" w:type="pct"/>
          </w:tcPr>
          <w:p w14:paraId="46D4AADA"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EC6. Deterioration in the credit quality of borrowers due to economic events that can increase the likelihood of credit losses.</w:t>
            </w:r>
          </w:p>
        </w:tc>
        <w:tc>
          <w:tcPr>
            <w:tcW w:w="1497" w:type="pct"/>
          </w:tcPr>
          <w:p w14:paraId="67AB3DBE" w14:textId="7F6F1D58" w:rsidR="00EA029C" w:rsidRPr="0074242B" w:rsidRDefault="00C32280" w:rsidP="00B51951">
            <w:pPr>
              <w:jc w:val="both"/>
              <w:rPr>
                <w:rFonts w:asciiTheme="majorBidi" w:hAnsiTheme="majorBidi" w:cstheme="majorBidi"/>
              </w:rPr>
            </w:pPr>
            <w:r w:rsidRPr="00C32280">
              <w:rPr>
                <w:rFonts w:asciiTheme="majorBidi" w:hAnsiTheme="majorBidi" w:cstheme="majorBidi"/>
              </w:rPr>
              <w:t>BCBS, (2010);</w:t>
            </w:r>
            <w:r>
              <w:rPr>
                <w:rFonts w:asciiTheme="majorBidi" w:hAnsiTheme="majorBidi" w:cstheme="majorBidi"/>
              </w:rPr>
              <w:t xml:space="preserve"> </w:t>
            </w:r>
            <w:r w:rsidR="00EA029C" w:rsidRPr="0074242B">
              <w:rPr>
                <w:rFonts w:asciiTheme="majorBidi" w:hAnsiTheme="majorBidi" w:cstheme="majorBidi"/>
              </w:rPr>
              <w:t xml:space="preserve">Penikas, </w:t>
            </w:r>
            <w:r>
              <w:rPr>
                <w:rFonts w:asciiTheme="majorBidi" w:hAnsiTheme="majorBidi" w:cstheme="majorBidi"/>
              </w:rPr>
              <w:t>(</w:t>
            </w:r>
            <w:r w:rsidR="00EA029C" w:rsidRPr="0074242B">
              <w:rPr>
                <w:rFonts w:asciiTheme="majorBidi" w:hAnsiTheme="majorBidi" w:cstheme="majorBidi"/>
              </w:rPr>
              <w:t>2020</w:t>
            </w:r>
            <w:r>
              <w:rPr>
                <w:rFonts w:asciiTheme="majorBidi" w:hAnsiTheme="majorBidi" w:cstheme="majorBidi"/>
              </w:rPr>
              <w:t>)</w:t>
            </w:r>
          </w:p>
        </w:tc>
        <w:tc>
          <w:tcPr>
            <w:tcW w:w="534" w:type="pct"/>
          </w:tcPr>
          <w:p w14:paraId="1DA9D877" w14:textId="172F23AA" w:rsidR="00EA029C" w:rsidRPr="0074242B" w:rsidRDefault="002F0AE2" w:rsidP="00EA0D7A">
            <w:pPr>
              <w:jc w:val="center"/>
              <w:rPr>
                <w:rFonts w:asciiTheme="majorBidi" w:hAnsiTheme="majorBidi" w:cstheme="majorBidi"/>
              </w:rPr>
            </w:pPr>
            <w:r w:rsidRPr="0074242B">
              <w:rPr>
                <w:rFonts w:asciiTheme="majorBidi" w:hAnsiTheme="majorBidi" w:cstheme="majorBidi"/>
              </w:rPr>
              <w:t>2</w:t>
            </w:r>
          </w:p>
        </w:tc>
        <w:tc>
          <w:tcPr>
            <w:tcW w:w="534" w:type="pct"/>
          </w:tcPr>
          <w:p w14:paraId="05246A18" w14:textId="07621017" w:rsidR="00EA029C" w:rsidRPr="0074242B" w:rsidRDefault="00077180" w:rsidP="00EA0D7A">
            <w:pPr>
              <w:jc w:val="center"/>
              <w:rPr>
                <w:rFonts w:asciiTheme="majorBidi" w:hAnsiTheme="majorBidi" w:cstheme="majorBidi"/>
              </w:rPr>
            </w:pPr>
            <w:r w:rsidRPr="0074242B">
              <w:rPr>
                <w:rFonts w:asciiTheme="majorBidi" w:hAnsiTheme="majorBidi" w:cstheme="majorBidi"/>
              </w:rPr>
              <w:t>0.08</w:t>
            </w:r>
          </w:p>
        </w:tc>
      </w:tr>
      <w:tr w:rsidR="00EA029C" w:rsidRPr="0074242B" w14:paraId="6CFFC54C" w14:textId="6106C859" w:rsidTr="00C32280">
        <w:trPr>
          <w:trHeight w:val="416"/>
        </w:trPr>
        <w:tc>
          <w:tcPr>
            <w:tcW w:w="312" w:type="pct"/>
            <w:vMerge/>
          </w:tcPr>
          <w:p w14:paraId="74CF25CB" w14:textId="77777777" w:rsidR="00EA029C" w:rsidRPr="0074242B" w:rsidRDefault="00EA029C" w:rsidP="00B51951">
            <w:pPr>
              <w:jc w:val="both"/>
              <w:rPr>
                <w:rFonts w:asciiTheme="majorBidi" w:hAnsiTheme="majorBidi" w:cstheme="majorBidi"/>
              </w:rPr>
            </w:pPr>
          </w:p>
        </w:tc>
        <w:tc>
          <w:tcPr>
            <w:tcW w:w="2123" w:type="pct"/>
          </w:tcPr>
          <w:p w14:paraId="49E9CA11"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EC7. Adapting to changes in industry and market trends, such as changing customer preferences and new competitors, which may affect credit risk management practices.</w:t>
            </w:r>
          </w:p>
        </w:tc>
        <w:tc>
          <w:tcPr>
            <w:tcW w:w="1497" w:type="pct"/>
          </w:tcPr>
          <w:p w14:paraId="11921218" w14:textId="39D34CE3" w:rsidR="00EA029C" w:rsidRPr="0074242B" w:rsidRDefault="00C32280" w:rsidP="00B51951">
            <w:pPr>
              <w:jc w:val="both"/>
              <w:rPr>
                <w:rFonts w:asciiTheme="majorBidi" w:hAnsiTheme="majorBidi" w:cstheme="majorBidi"/>
              </w:rPr>
            </w:pPr>
            <w:r w:rsidRPr="00C32280">
              <w:rPr>
                <w:rFonts w:asciiTheme="majorBidi" w:hAnsiTheme="majorBidi" w:cstheme="majorBidi"/>
              </w:rPr>
              <w:t>BCBS, (2010)</w:t>
            </w:r>
          </w:p>
          <w:p w14:paraId="2BCCDB24" w14:textId="77777777" w:rsidR="00EA029C" w:rsidRPr="0074242B" w:rsidRDefault="00EA029C" w:rsidP="00B51951">
            <w:pPr>
              <w:jc w:val="both"/>
              <w:rPr>
                <w:rFonts w:asciiTheme="majorBidi" w:hAnsiTheme="majorBidi" w:cstheme="majorBidi"/>
              </w:rPr>
            </w:pPr>
          </w:p>
        </w:tc>
        <w:tc>
          <w:tcPr>
            <w:tcW w:w="534" w:type="pct"/>
          </w:tcPr>
          <w:p w14:paraId="551987BA" w14:textId="0677F120" w:rsidR="00EA029C" w:rsidRPr="0074242B" w:rsidRDefault="002F0AE2" w:rsidP="00EA0D7A">
            <w:pPr>
              <w:jc w:val="center"/>
              <w:rPr>
                <w:rFonts w:asciiTheme="majorBidi" w:hAnsiTheme="majorBidi" w:cstheme="majorBidi"/>
              </w:rPr>
            </w:pPr>
            <w:r w:rsidRPr="0074242B">
              <w:rPr>
                <w:rFonts w:asciiTheme="majorBidi" w:hAnsiTheme="majorBidi" w:cstheme="majorBidi"/>
              </w:rPr>
              <w:t>1</w:t>
            </w:r>
          </w:p>
        </w:tc>
        <w:tc>
          <w:tcPr>
            <w:tcW w:w="534" w:type="pct"/>
          </w:tcPr>
          <w:p w14:paraId="5C40EFEC" w14:textId="797BC559" w:rsidR="00EA029C" w:rsidRPr="0074242B" w:rsidRDefault="00077180" w:rsidP="00EA0D7A">
            <w:pPr>
              <w:jc w:val="center"/>
              <w:rPr>
                <w:rFonts w:asciiTheme="majorBidi" w:hAnsiTheme="majorBidi" w:cstheme="majorBidi"/>
              </w:rPr>
            </w:pPr>
            <w:r w:rsidRPr="0074242B">
              <w:rPr>
                <w:rFonts w:asciiTheme="majorBidi" w:hAnsiTheme="majorBidi" w:cstheme="majorBidi"/>
              </w:rPr>
              <w:t>0.04</w:t>
            </w:r>
          </w:p>
        </w:tc>
      </w:tr>
      <w:tr w:rsidR="00EA029C" w:rsidRPr="0074242B" w14:paraId="000F6D96" w14:textId="424118A9" w:rsidTr="00C32280">
        <w:trPr>
          <w:trHeight w:val="416"/>
        </w:trPr>
        <w:tc>
          <w:tcPr>
            <w:tcW w:w="312" w:type="pct"/>
            <w:vMerge/>
          </w:tcPr>
          <w:p w14:paraId="2B40F0EB" w14:textId="77777777" w:rsidR="00EA029C" w:rsidRPr="0074242B" w:rsidRDefault="00EA029C" w:rsidP="00B51951">
            <w:pPr>
              <w:jc w:val="both"/>
              <w:rPr>
                <w:rFonts w:asciiTheme="majorBidi" w:hAnsiTheme="majorBidi" w:cstheme="majorBidi"/>
              </w:rPr>
            </w:pPr>
          </w:p>
        </w:tc>
        <w:tc>
          <w:tcPr>
            <w:tcW w:w="2123" w:type="pct"/>
          </w:tcPr>
          <w:p w14:paraId="75672808" w14:textId="77777777" w:rsidR="00EA029C" w:rsidRPr="0074242B" w:rsidRDefault="00EA029C" w:rsidP="00B51951">
            <w:pPr>
              <w:jc w:val="both"/>
              <w:rPr>
                <w:rFonts w:asciiTheme="majorBidi" w:hAnsiTheme="majorBidi" w:cstheme="majorBidi"/>
              </w:rPr>
            </w:pPr>
            <w:r w:rsidRPr="0074242B">
              <w:rPr>
                <w:rFonts w:asciiTheme="majorBidi" w:hAnsiTheme="majorBidi" w:cstheme="majorBidi"/>
              </w:rPr>
              <w:t xml:space="preserve">EC8. Exposure to emerging markets and untested business models, which can pose a greater credit risk due to the greater degree of uncertainty and risks associated with these markets, could </w:t>
            </w:r>
            <w:r w:rsidRPr="0074242B">
              <w:rPr>
                <w:rFonts w:asciiTheme="majorBidi" w:hAnsiTheme="majorBidi" w:cstheme="majorBidi"/>
              </w:rPr>
              <w:lastRenderedPageBreak/>
              <w:t>threaten the viability of current credit risk management practices.</w:t>
            </w:r>
          </w:p>
        </w:tc>
        <w:tc>
          <w:tcPr>
            <w:tcW w:w="1497" w:type="pct"/>
          </w:tcPr>
          <w:p w14:paraId="1177B1BF" w14:textId="192D8813" w:rsidR="00EA029C" w:rsidRPr="0074242B" w:rsidRDefault="00C32280" w:rsidP="00B51951">
            <w:pPr>
              <w:jc w:val="both"/>
              <w:rPr>
                <w:rFonts w:asciiTheme="majorBidi" w:hAnsiTheme="majorBidi" w:cstheme="majorBidi"/>
              </w:rPr>
            </w:pPr>
            <w:r w:rsidRPr="00C32280">
              <w:rPr>
                <w:rFonts w:asciiTheme="majorBidi" w:hAnsiTheme="majorBidi" w:cstheme="majorBidi"/>
              </w:rPr>
              <w:lastRenderedPageBreak/>
              <w:t>BCBS, (2010);</w:t>
            </w:r>
            <w:r>
              <w:rPr>
                <w:rFonts w:asciiTheme="majorBidi" w:hAnsiTheme="majorBidi" w:cstheme="majorBidi"/>
              </w:rPr>
              <w:t xml:space="preserve"> </w:t>
            </w:r>
            <w:r w:rsidR="00EA029C" w:rsidRPr="0074242B">
              <w:rPr>
                <w:rFonts w:asciiTheme="majorBidi" w:hAnsiTheme="majorBidi" w:cstheme="majorBidi"/>
              </w:rPr>
              <w:t xml:space="preserve">Wen et al., </w:t>
            </w:r>
            <w:r>
              <w:rPr>
                <w:rFonts w:asciiTheme="majorBidi" w:hAnsiTheme="majorBidi" w:cstheme="majorBidi"/>
              </w:rPr>
              <w:t>(</w:t>
            </w:r>
            <w:r w:rsidR="00EA029C" w:rsidRPr="0074242B">
              <w:rPr>
                <w:rFonts w:asciiTheme="majorBidi" w:hAnsiTheme="majorBidi" w:cstheme="majorBidi"/>
              </w:rPr>
              <w:t>2021</w:t>
            </w:r>
            <w:r>
              <w:rPr>
                <w:rFonts w:asciiTheme="majorBidi" w:hAnsiTheme="majorBidi" w:cstheme="majorBidi"/>
              </w:rPr>
              <w:t>)</w:t>
            </w:r>
          </w:p>
          <w:p w14:paraId="37EAA329" w14:textId="77777777" w:rsidR="00EA029C" w:rsidRPr="0074242B" w:rsidRDefault="00EA029C" w:rsidP="00B51951">
            <w:pPr>
              <w:jc w:val="both"/>
              <w:rPr>
                <w:rFonts w:asciiTheme="majorBidi" w:hAnsiTheme="majorBidi" w:cstheme="majorBidi"/>
              </w:rPr>
            </w:pPr>
          </w:p>
          <w:p w14:paraId="3F822D44" w14:textId="77777777" w:rsidR="00EA029C" w:rsidRPr="0074242B" w:rsidRDefault="00EA029C" w:rsidP="00B51951">
            <w:pPr>
              <w:jc w:val="both"/>
              <w:rPr>
                <w:rFonts w:asciiTheme="majorBidi" w:hAnsiTheme="majorBidi" w:cstheme="majorBidi"/>
              </w:rPr>
            </w:pPr>
          </w:p>
        </w:tc>
        <w:tc>
          <w:tcPr>
            <w:tcW w:w="534" w:type="pct"/>
          </w:tcPr>
          <w:p w14:paraId="66AF2657" w14:textId="426A0D3A" w:rsidR="00EA029C" w:rsidRPr="0074242B" w:rsidRDefault="002F0AE2" w:rsidP="00EA0D7A">
            <w:pPr>
              <w:jc w:val="center"/>
              <w:rPr>
                <w:rFonts w:asciiTheme="majorBidi" w:hAnsiTheme="majorBidi" w:cstheme="majorBidi"/>
              </w:rPr>
            </w:pPr>
            <w:r w:rsidRPr="0074242B">
              <w:rPr>
                <w:rFonts w:asciiTheme="majorBidi" w:hAnsiTheme="majorBidi" w:cstheme="majorBidi"/>
              </w:rPr>
              <w:t>2</w:t>
            </w:r>
          </w:p>
        </w:tc>
        <w:tc>
          <w:tcPr>
            <w:tcW w:w="534" w:type="pct"/>
          </w:tcPr>
          <w:p w14:paraId="565BE2C3" w14:textId="170A477E" w:rsidR="00EA029C" w:rsidRPr="0074242B" w:rsidRDefault="00077180" w:rsidP="00EA0D7A">
            <w:pPr>
              <w:jc w:val="center"/>
              <w:rPr>
                <w:rFonts w:asciiTheme="majorBidi" w:hAnsiTheme="majorBidi" w:cstheme="majorBidi"/>
              </w:rPr>
            </w:pPr>
            <w:r w:rsidRPr="0074242B">
              <w:rPr>
                <w:rFonts w:asciiTheme="majorBidi" w:hAnsiTheme="majorBidi" w:cstheme="majorBidi"/>
              </w:rPr>
              <w:t>0.08</w:t>
            </w:r>
          </w:p>
        </w:tc>
      </w:tr>
    </w:tbl>
    <w:p w14:paraId="635B3B2C" w14:textId="77777777" w:rsidR="00D2137F" w:rsidRDefault="00D2137F" w:rsidP="00E40363">
      <w:pPr>
        <w:spacing w:after="0" w:line="360" w:lineRule="auto"/>
        <w:jc w:val="both"/>
        <w:rPr>
          <w:rFonts w:asciiTheme="majorBidi" w:hAnsiTheme="majorBidi" w:cstheme="majorBidi"/>
          <w:kern w:val="2"/>
          <w:sz w:val="20"/>
          <w:szCs w:val="20"/>
          <w14:ligatures w14:val="standardContextual"/>
        </w:rPr>
      </w:pPr>
    </w:p>
    <w:p w14:paraId="02355A46" w14:textId="77777777" w:rsidR="00E40363" w:rsidRPr="0074242B" w:rsidRDefault="00A9553E" w:rsidP="00E40363">
      <w:pPr>
        <w:spacing w:after="0" w:line="360" w:lineRule="auto"/>
        <w:jc w:val="both"/>
        <w:rPr>
          <w:rFonts w:asciiTheme="majorBidi" w:hAnsiTheme="majorBidi" w:cstheme="majorBidi"/>
          <w:kern w:val="2"/>
          <w14:ligatures w14:val="standardContextual"/>
        </w:rPr>
      </w:pPr>
      <w:r w:rsidRPr="0074242B">
        <w:rPr>
          <w:rFonts w:asciiTheme="majorBidi" w:hAnsiTheme="majorBidi" w:cstheme="majorBidi"/>
          <w:kern w:val="2"/>
          <w14:ligatures w14:val="standardContextual"/>
        </w:rPr>
        <w:t xml:space="preserve">In examining the 24 academic references encompassing the challenges of credit risk management in banks, an insightful analysis reveals the prominence of specific factors within distinct categories. In the </w:t>
      </w:r>
      <w:r w:rsidR="00CE5758" w:rsidRPr="0074242B">
        <w:rPr>
          <w:rFonts w:asciiTheme="majorBidi" w:hAnsiTheme="majorBidi" w:cstheme="majorBidi"/>
          <w:kern w:val="2"/>
          <w14:ligatures w14:val="standardContextual"/>
        </w:rPr>
        <w:t>r</w:t>
      </w:r>
      <w:r w:rsidRPr="0074242B">
        <w:rPr>
          <w:rFonts w:asciiTheme="majorBidi" w:hAnsiTheme="majorBidi" w:cstheme="majorBidi"/>
          <w:kern w:val="2"/>
          <w14:ligatures w14:val="standardContextual"/>
        </w:rPr>
        <w:t xml:space="preserve">egulatory </w:t>
      </w:r>
      <w:r w:rsidR="00CE5758" w:rsidRPr="0074242B">
        <w:rPr>
          <w:rFonts w:asciiTheme="majorBidi" w:hAnsiTheme="majorBidi" w:cstheme="majorBidi"/>
          <w:kern w:val="2"/>
          <w14:ligatures w14:val="standardContextual"/>
        </w:rPr>
        <w:t>c</w:t>
      </w:r>
      <w:r w:rsidRPr="0074242B">
        <w:rPr>
          <w:rFonts w:asciiTheme="majorBidi" w:hAnsiTheme="majorBidi" w:cstheme="majorBidi"/>
          <w:kern w:val="2"/>
          <w14:ligatures w14:val="standardContextual"/>
        </w:rPr>
        <w:t>hallenges category, factor RC1 emerges as a focal point, capturing the attention of scholars and practitioners, with a notable percentage of 0.</w:t>
      </w:r>
      <w:r w:rsidR="00D2137F" w:rsidRPr="0074242B">
        <w:rPr>
          <w:rFonts w:asciiTheme="majorBidi" w:hAnsiTheme="majorBidi" w:cstheme="majorBidi"/>
          <w:kern w:val="2"/>
          <w14:ligatures w14:val="standardContextual"/>
        </w:rPr>
        <w:t>33</w:t>
      </w:r>
      <w:r w:rsidRPr="0074242B">
        <w:rPr>
          <w:rFonts w:asciiTheme="majorBidi" w:hAnsiTheme="majorBidi" w:cstheme="majorBidi"/>
          <w:kern w:val="2"/>
          <w14:ligatures w14:val="standardContextual"/>
        </w:rPr>
        <w:t xml:space="preserve">. This underscores the substantial emphasis placed on regulatory hurdles as a critical aspect of credit risk management. Operational </w:t>
      </w:r>
      <w:r w:rsidR="00CE5758" w:rsidRPr="0074242B">
        <w:rPr>
          <w:rFonts w:asciiTheme="majorBidi" w:hAnsiTheme="majorBidi" w:cstheme="majorBidi"/>
          <w:kern w:val="2"/>
          <w14:ligatures w14:val="standardContextual"/>
        </w:rPr>
        <w:t>c</w:t>
      </w:r>
      <w:r w:rsidRPr="0074242B">
        <w:rPr>
          <w:rFonts w:asciiTheme="majorBidi" w:hAnsiTheme="majorBidi" w:cstheme="majorBidi"/>
          <w:kern w:val="2"/>
          <w14:ligatures w14:val="standardContextual"/>
        </w:rPr>
        <w:t>hallenges, on the other hand, bring attention to factor OC2, which garners the highest references and is associated with a substantial percentage of 0.</w:t>
      </w:r>
      <w:r w:rsidR="00C268B3" w:rsidRPr="0074242B">
        <w:rPr>
          <w:rFonts w:asciiTheme="majorBidi" w:hAnsiTheme="majorBidi" w:cstheme="majorBidi"/>
          <w:kern w:val="2"/>
          <w14:ligatures w14:val="standardContextual"/>
        </w:rPr>
        <w:t>2</w:t>
      </w:r>
      <w:r w:rsidR="00D96959" w:rsidRPr="0074242B">
        <w:rPr>
          <w:rFonts w:asciiTheme="majorBidi" w:hAnsiTheme="majorBidi" w:cstheme="majorBidi"/>
          <w:kern w:val="2"/>
          <w14:ligatures w14:val="standardContextual"/>
        </w:rPr>
        <w:t>5</w:t>
      </w:r>
      <w:r w:rsidRPr="0074242B">
        <w:rPr>
          <w:rFonts w:asciiTheme="majorBidi" w:hAnsiTheme="majorBidi" w:cstheme="majorBidi"/>
          <w:kern w:val="2"/>
          <w14:ligatures w14:val="standardContextual"/>
        </w:rPr>
        <w:t xml:space="preserve">. This highlights the significance placed on operational intricacies within the banking sector, shedding light on the multifaceted nature of challenges faced in daily operations. Moving on to </w:t>
      </w:r>
      <w:r w:rsidR="00CE5758" w:rsidRPr="0074242B">
        <w:rPr>
          <w:rFonts w:asciiTheme="majorBidi" w:hAnsiTheme="majorBidi" w:cstheme="majorBidi"/>
          <w:kern w:val="2"/>
          <w14:ligatures w14:val="standardContextual"/>
        </w:rPr>
        <w:t>t</w:t>
      </w:r>
      <w:r w:rsidRPr="0074242B">
        <w:rPr>
          <w:rFonts w:asciiTheme="majorBidi" w:hAnsiTheme="majorBidi" w:cstheme="majorBidi"/>
          <w:kern w:val="2"/>
          <w14:ligatures w14:val="standardContextual"/>
        </w:rPr>
        <w:t xml:space="preserve">echnological </w:t>
      </w:r>
      <w:r w:rsidR="00CE5758" w:rsidRPr="0074242B">
        <w:rPr>
          <w:rFonts w:asciiTheme="majorBidi" w:hAnsiTheme="majorBidi" w:cstheme="majorBidi"/>
          <w:kern w:val="2"/>
          <w14:ligatures w14:val="standardContextual"/>
        </w:rPr>
        <w:t>c</w:t>
      </w:r>
      <w:r w:rsidRPr="0074242B">
        <w:rPr>
          <w:rFonts w:asciiTheme="majorBidi" w:hAnsiTheme="majorBidi" w:cstheme="majorBidi"/>
          <w:kern w:val="2"/>
          <w14:ligatures w14:val="standardContextual"/>
        </w:rPr>
        <w:t xml:space="preserve">hallenges, factors </w:t>
      </w:r>
      <w:r w:rsidR="00C268B3" w:rsidRPr="0074242B">
        <w:rPr>
          <w:rFonts w:asciiTheme="majorBidi" w:hAnsiTheme="majorBidi" w:cstheme="majorBidi"/>
          <w:kern w:val="2"/>
          <w14:ligatures w14:val="standardContextual"/>
        </w:rPr>
        <w:t xml:space="preserve">TC1, </w:t>
      </w:r>
      <w:r w:rsidRPr="0074242B">
        <w:rPr>
          <w:rFonts w:asciiTheme="majorBidi" w:hAnsiTheme="majorBidi" w:cstheme="majorBidi"/>
          <w:kern w:val="2"/>
          <w14:ligatures w14:val="standardContextual"/>
        </w:rPr>
        <w:t>TC2 and TC4 jointly occupy the spotlight with the highest references, each registering a notable percentage of 0.</w:t>
      </w:r>
      <w:r w:rsidR="00C268B3" w:rsidRPr="0074242B">
        <w:rPr>
          <w:rFonts w:asciiTheme="majorBidi" w:hAnsiTheme="majorBidi" w:cstheme="majorBidi"/>
          <w:kern w:val="2"/>
          <w14:ligatures w14:val="standardContextual"/>
        </w:rPr>
        <w:t>16</w:t>
      </w:r>
      <w:r w:rsidRPr="0074242B">
        <w:rPr>
          <w:rFonts w:asciiTheme="majorBidi" w:hAnsiTheme="majorBidi" w:cstheme="majorBidi"/>
          <w:kern w:val="2"/>
          <w14:ligatures w14:val="standardContextual"/>
        </w:rPr>
        <w:t xml:space="preserve">. This underscores the growing recognition of technological advancements and their integral role in shaping credit risk management strategies. Lastly, in the </w:t>
      </w:r>
      <w:r w:rsidR="00CE5758" w:rsidRPr="0074242B">
        <w:rPr>
          <w:rFonts w:asciiTheme="majorBidi" w:hAnsiTheme="majorBidi" w:cstheme="majorBidi"/>
          <w:kern w:val="2"/>
          <w14:ligatures w14:val="standardContextual"/>
        </w:rPr>
        <w:t>e</w:t>
      </w:r>
      <w:r w:rsidRPr="0074242B">
        <w:rPr>
          <w:rFonts w:asciiTheme="majorBidi" w:hAnsiTheme="majorBidi" w:cstheme="majorBidi"/>
          <w:kern w:val="2"/>
          <w14:ligatures w14:val="standardContextual"/>
        </w:rPr>
        <w:t xml:space="preserve">conomic </w:t>
      </w:r>
      <w:r w:rsidR="00CE5758" w:rsidRPr="0074242B">
        <w:rPr>
          <w:rFonts w:asciiTheme="majorBidi" w:hAnsiTheme="majorBidi" w:cstheme="majorBidi"/>
          <w:kern w:val="2"/>
          <w14:ligatures w14:val="standardContextual"/>
        </w:rPr>
        <w:t>c</w:t>
      </w:r>
      <w:r w:rsidRPr="0074242B">
        <w:rPr>
          <w:rFonts w:asciiTheme="majorBidi" w:hAnsiTheme="majorBidi" w:cstheme="majorBidi"/>
          <w:kern w:val="2"/>
          <w14:ligatures w14:val="standardContextual"/>
        </w:rPr>
        <w:t>hallenges category, factor EC4 stands out with the highest references, commanding a notable percentage of 0.</w:t>
      </w:r>
      <w:r w:rsidR="00C268B3" w:rsidRPr="0074242B">
        <w:rPr>
          <w:rFonts w:asciiTheme="majorBidi" w:hAnsiTheme="majorBidi" w:cstheme="majorBidi"/>
          <w:kern w:val="2"/>
          <w14:ligatures w14:val="standardContextual"/>
        </w:rPr>
        <w:t>16</w:t>
      </w:r>
      <w:r w:rsidRPr="0074242B">
        <w:rPr>
          <w:rFonts w:asciiTheme="majorBidi" w:hAnsiTheme="majorBidi" w:cstheme="majorBidi"/>
          <w:kern w:val="2"/>
          <w14:ligatures w14:val="standardContextual"/>
        </w:rPr>
        <w:t>. This emphasi</w:t>
      </w:r>
      <w:r w:rsidR="00645592" w:rsidRPr="0074242B">
        <w:rPr>
          <w:rFonts w:asciiTheme="majorBidi" w:hAnsiTheme="majorBidi" w:cstheme="majorBidi"/>
          <w:kern w:val="2"/>
          <w14:ligatures w14:val="standardContextual"/>
        </w:rPr>
        <w:t>s</w:t>
      </w:r>
      <w:r w:rsidRPr="0074242B">
        <w:rPr>
          <w:rFonts w:asciiTheme="majorBidi" w:hAnsiTheme="majorBidi" w:cstheme="majorBidi"/>
          <w:kern w:val="2"/>
          <w14:ligatures w14:val="standardContextual"/>
        </w:rPr>
        <w:t xml:space="preserve">es the intricate relationship between economic conditions and the challenges banks encounter in managing credit risk. </w:t>
      </w:r>
      <w:r w:rsidR="00B23EAC" w:rsidRPr="0074242B">
        <w:rPr>
          <w:rFonts w:asciiTheme="majorBidi" w:hAnsiTheme="majorBidi" w:cstheme="majorBidi"/>
          <w:kern w:val="2"/>
          <w14:ligatures w14:val="standardContextual"/>
        </w:rPr>
        <w:t xml:space="preserve">The portrayal of these percentages offers a detailed understanding of the relative emphasis placed on specific challenges within each category, contributing valuable insights to the discourse on credit risk management in the banking sector. </w:t>
      </w:r>
    </w:p>
    <w:p w14:paraId="48D1A1FA" w14:textId="77777777" w:rsidR="00E40363" w:rsidRPr="0074242B" w:rsidRDefault="00A6583B" w:rsidP="00E40363">
      <w:pPr>
        <w:pStyle w:val="ListParagraph"/>
        <w:numPr>
          <w:ilvl w:val="0"/>
          <w:numId w:val="7"/>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Regulatory Challenges:</w:t>
      </w:r>
      <w:r w:rsidRPr="0074242B">
        <w:rPr>
          <w:rFonts w:asciiTheme="majorBidi" w:hAnsiTheme="majorBidi" w:cstheme="majorBidi"/>
          <w:kern w:val="2"/>
          <w14:ligatures w14:val="standardContextual"/>
        </w:rPr>
        <w:t xml:space="preserve"> Regulatory challenges have become increasingly significant in credit risk management for banks (Gudi</w:t>
      </w:r>
      <w:r w:rsidR="00F808C4" w:rsidRPr="0074242B">
        <w:rPr>
          <w:rFonts w:asciiTheme="majorBidi" w:hAnsiTheme="majorBidi" w:cstheme="majorBidi"/>
          <w:kern w:val="2"/>
          <w14:ligatures w14:val="standardContextual"/>
        </w:rPr>
        <w:t>n</w:t>
      </w:r>
      <w:r w:rsidRPr="0074242B">
        <w:rPr>
          <w:rFonts w:asciiTheme="majorBidi" w:hAnsiTheme="majorBidi" w:cstheme="majorBidi"/>
          <w:kern w:val="2"/>
          <w14:ligatures w14:val="standardContextual"/>
        </w:rPr>
        <w:t>o et al., 2022). The dynamic nature of regulatory frameworks, driven by global and regional regulatory bodies such as the Basel Committee on Banking Supervision, poses challenges for banks to ensure compliance with changing regulations (Flannery, 2016). Compliance costs, including the implementation of risk management systems and reporting requirements, can impose financial burdens on banks (Demirg</w:t>
      </w:r>
      <w:r w:rsidR="00774BB0" w:rsidRPr="0074242B">
        <w:rPr>
          <w:rFonts w:asciiTheme="majorBidi" w:hAnsiTheme="majorBidi" w:cstheme="majorBidi"/>
          <w:kern w:val="2"/>
          <w14:ligatures w14:val="standardContextual"/>
        </w:rPr>
        <w:t>uc</w:t>
      </w:r>
      <w:r w:rsidRPr="0074242B">
        <w:rPr>
          <w:rFonts w:asciiTheme="majorBidi" w:hAnsiTheme="majorBidi" w:cstheme="majorBidi"/>
          <w:kern w:val="2"/>
          <w14:ligatures w14:val="standardContextual"/>
        </w:rPr>
        <w:t>-Kunt et al., 2017). Additionally, regulatory changes may limit banks' flexibility in taking on new business opportunities, hindering their ability to adapt to market demands (Amidu, 2014;</w:t>
      </w:r>
      <w:r w:rsidRPr="0074242B">
        <w:rPr>
          <w:rFonts w:asciiTheme="majorBidi" w:hAnsiTheme="majorBidi" w:cstheme="majorBidi"/>
        </w:rPr>
        <w:t xml:space="preserve"> </w:t>
      </w:r>
      <w:r w:rsidRPr="0074242B">
        <w:rPr>
          <w:rFonts w:asciiTheme="majorBidi" w:hAnsiTheme="majorBidi" w:cstheme="majorBidi"/>
          <w:kern w:val="2"/>
          <w14:ligatures w14:val="standardContextual"/>
        </w:rPr>
        <w:t>Amidu and Issahaku, 2018). These challenges require banks to continuously monitor and adjust their risk management practices to align with evolving regulatory standards (Berger et al., 2016). Furthermore, banks must demonstrate to regulators that they have a robust and comprehensive risk management framework in place, which becomes challenging, particularly when regulatory requirements change frequently</w:t>
      </w:r>
      <w:r w:rsidRPr="0074242B">
        <w:rPr>
          <w:rFonts w:asciiTheme="majorBidi" w:hAnsiTheme="majorBidi" w:cstheme="majorBidi"/>
          <w:color w:val="222222"/>
          <w:shd w:val="clear" w:color="auto" w:fill="FFFFFF"/>
        </w:rPr>
        <w:t xml:space="preserve"> (</w:t>
      </w:r>
      <w:r w:rsidRPr="0074242B">
        <w:rPr>
          <w:rFonts w:asciiTheme="majorBidi" w:hAnsiTheme="majorBidi" w:cstheme="majorBidi"/>
          <w:kern w:val="2"/>
          <w14:ligatures w14:val="standardContextual"/>
        </w:rPr>
        <w:t>Errico and Sundararajan, 2002; Kandrac and Schlusche, 2017).</w:t>
      </w:r>
    </w:p>
    <w:p w14:paraId="7F1DA727" w14:textId="77777777" w:rsidR="00E40363" w:rsidRPr="0074242B" w:rsidRDefault="00A6583B" w:rsidP="00E40363">
      <w:pPr>
        <w:pStyle w:val="ListParagraph"/>
        <w:numPr>
          <w:ilvl w:val="0"/>
          <w:numId w:val="7"/>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kern w:val="2"/>
          <w14:ligatures w14:val="standardContextual"/>
        </w:rPr>
        <w:t>Operational Challenges:</w:t>
      </w:r>
      <w:r w:rsidRPr="0074242B">
        <w:rPr>
          <w:rFonts w:asciiTheme="majorBidi" w:hAnsiTheme="majorBidi" w:cstheme="majorBidi"/>
          <w:kern w:val="2"/>
          <w14:ligatures w14:val="standardContextual"/>
        </w:rPr>
        <w:t xml:space="preserve"> Operational challenges in credit risk management are related to internal processes, systems, and human resources within banks</w:t>
      </w:r>
      <w:r w:rsidRPr="0074242B">
        <w:rPr>
          <w:rFonts w:asciiTheme="majorBidi" w:hAnsiTheme="majorBidi" w:cstheme="majorBidi"/>
        </w:rPr>
        <w:t xml:space="preserve"> (</w:t>
      </w:r>
      <w:r w:rsidRPr="0074242B">
        <w:rPr>
          <w:rFonts w:asciiTheme="majorBidi" w:hAnsiTheme="majorBidi" w:cstheme="majorBidi"/>
          <w:kern w:val="2"/>
          <w14:ligatures w14:val="standardContextual"/>
        </w:rPr>
        <w:t>Bessis, 2011; Owojori, 2011). Inefficient credit approval processes, lack of standardi</w:t>
      </w:r>
      <w:r w:rsidR="00645592" w:rsidRPr="0074242B">
        <w:rPr>
          <w:rFonts w:asciiTheme="majorBidi" w:hAnsiTheme="majorBidi" w:cstheme="majorBidi"/>
          <w:kern w:val="2"/>
          <w14:ligatures w14:val="standardContextual"/>
        </w:rPr>
        <w:t>s</w:t>
      </w:r>
      <w:r w:rsidRPr="0074242B">
        <w:rPr>
          <w:rFonts w:asciiTheme="majorBidi" w:hAnsiTheme="majorBidi" w:cstheme="majorBidi"/>
          <w:kern w:val="2"/>
          <w14:ligatures w14:val="standardContextual"/>
        </w:rPr>
        <w:t xml:space="preserve">ed procedures, and inadequate documentation practices can lead to delays and errors in credit decision-making (Gadzo et al., 2019; Tongurai and </w:t>
      </w:r>
      <w:r w:rsidRPr="0074242B">
        <w:rPr>
          <w:rFonts w:asciiTheme="majorBidi" w:hAnsiTheme="majorBidi" w:cstheme="majorBidi"/>
          <w:kern w:val="2"/>
          <w14:ligatures w14:val="standardContextual"/>
        </w:rPr>
        <w:lastRenderedPageBreak/>
        <w:t>Vithessonthi, 2020). Insufficient data quality and availability pose challenges in accurately assessing and analy</w:t>
      </w:r>
      <w:r w:rsidR="00645592" w:rsidRPr="0074242B">
        <w:rPr>
          <w:rFonts w:asciiTheme="majorBidi" w:hAnsiTheme="majorBidi" w:cstheme="majorBidi"/>
          <w:kern w:val="2"/>
          <w14:ligatures w14:val="standardContextual"/>
        </w:rPr>
        <w:t>s</w:t>
      </w:r>
      <w:r w:rsidRPr="0074242B">
        <w:rPr>
          <w:rFonts w:asciiTheme="majorBidi" w:hAnsiTheme="majorBidi" w:cstheme="majorBidi"/>
          <w:kern w:val="2"/>
          <w14:ligatures w14:val="standardContextual"/>
        </w:rPr>
        <w:t xml:space="preserve">ing credit risk (Fuchs et al., 2012; Liu, 2020). Banks need to establish robust data management systems and implement effective credit assessment practices to enhance their risk management capabilities (Kalapodas and Thomson, 2006; Biswas et al., 2020). Furthermore, the availability of skilled personnel with expertise in credit risk management is crucial for successful risk management (Hussain, 2000; Jokipii &amp; Milne, 2011; Ala’a and Popoola, 2020). </w:t>
      </w:r>
    </w:p>
    <w:p w14:paraId="29F0DB72" w14:textId="77777777" w:rsidR="00E40363" w:rsidRPr="0074242B" w:rsidRDefault="00A6583B" w:rsidP="00E40363">
      <w:pPr>
        <w:pStyle w:val="ListParagraph"/>
        <w:numPr>
          <w:ilvl w:val="0"/>
          <w:numId w:val="7"/>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i/>
          <w:iCs/>
          <w:kern w:val="2"/>
          <w14:ligatures w14:val="standardContextual"/>
        </w:rPr>
        <w:t>Technological Challenges</w:t>
      </w:r>
      <w:r w:rsidRPr="0074242B">
        <w:rPr>
          <w:rFonts w:asciiTheme="majorBidi" w:hAnsiTheme="majorBidi" w:cstheme="majorBidi"/>
          <w:kern w:val="2"/>
          <w14:ligatures w14:val="standardContextual"/>
        </w:rPr>
        <w:t>: Technological advancements have brought both opportunities and challenges to credit risk management in banks (Bisht et al., 2022). The proliferation of FinTech and digital platforms has revolutioni</w:t>
      </w:r>
      <w:r w:rsidR="00645592" w:rsidRPr="0074242B">
        <w:rPr>
          <w:rFonts w:asciiTheme="majorBidi" w:hAnsiTheme="majorBidi" w:cstheme="majorBidi"/>
          <w:kern w:val="2"/>
          <w14:ligatures w14:val="standardContextual"/>
        </w:rPr>
        <w:t>s</w:t>
      </w:r>
      <w:r w:rsidRPr="0074242B">
        <w:rPr>
          <w:rFonts w:asciiTheme="majorBidi" w:hAnsiTheme="majorBidi" w:cstheme="majorBidi"/>
          <w:kern w:val="2"/>
          <w14:ligatures w14:val="standardContextual"/>
        </w:rPr>
        <w:t>ed the way banks operate and interact with customers (Li et al., 2020; Zhang et al., 2020). However, the adoption of new technologies presents challenges in integrating them into existing risk management systems (Moudud-Ul-Huq et al., 2020; Biswas et al., 2022). Banks must address data security concerns, ensure the reliability and accuracy of technology-driven risk models, and develop advanced analytics capabilities to effectively assess and monitor credit risk (Bahillo et al., 2016; Sarangi, 2018). Additionally, the rapid pace of technological innovation necessitates continuous learning and adaptation to stay abreast of emerging risks and opportunities (Aydos et al., 2019; Dwivedi et al., 2021).</w:t>
      </w:r>
    </w:p>
    <w:p w14:paraId="11813BD2" w14:textId="4D9270FF" w:rsidR="00EA0D7A" w:rsidRDefault="00A6583B" w:rsidP="00C32280">
      <w:pPr>
        <w:pStyle w:val="ListParagraph"/>
        <w:numPr>
          <w:ilvl w:val="0"/>
          <w:numId w:val="7"/>
        </w:numPr>
        <w:spacing w:after="0" w:line="360" w:lineRule="auto"/>
        <w:ind w:left="357" w:hanging="357"/>
        <w:jc w:val="both"/>
        <w:rPr>
          <w:rFonts w:asciiTheme="majorBidi" w:hAnsiTheme="majorBidi" w:cstheme="majorBidi"/>
          <w:kern w:val="2"/>
          <w14:ligatures w14:val="standardContextual"/>
        </w:rPr>
      </w:pPr>
      <w:r w:rsidRPr="0074242B">
        <w:rPr>
          <w:rFonts w:asciiTheme="majorBidi" w:hAnsiTheme="majorBidi" w:cstheme="majorBidi"/>
          <w:b/>
          <w:bCs/>
          <w:i/>
          <w:iCs/>
          <w:kern w:val="2"/>
          <w14:ligatures w14:val="standardContextual"/>
        </w:rPr>
        <w:t>Economic Challenges</w:t>
      </w:r>
      <w:r w:rsidRPr="0074242B">
        <w:rPr>
          <w:rFonts w:asciiTheme="majorBidi" w:hAnsiTheme="majorBidi" w:cstheme="majorBidi"/>
          <w:kern w:val="2"/>
          <w14:ligatures w14:val="standardContextual"/>
        </w:rPr>
        <w:t>: Economic challenges significantly impact credit risk management in banks (Weber et al., 2015). Economic downturns, changes in market conditions, and industry-specific shocks can affect borrower creditworthiness and asset quality (Guerschanik Calvo, 2013; Ma</w:t>
      </w:r>
      <w:r w:rsidR="00CE5758" w:rsidRPr="0074242B">
        <w:rPr>
          <w:rFonts w:asciiTheme="majorBidi" w:hAnsiTheme="majorBidi" w:cstheme="majorBidi"/>
          <w:kern w:val="2"/>
          <w14:ligatures w14:val="standardContextual"/>
        </w:rPr>
        <w:t>c</w:t>
      </w:r>
      <w:r w:rsidRPr="0074242B">
        <w:rPr>
          <w:rFonts w:asciiTheme="majorBidi" w:hAnsiTheme="majorBidi" w:cstheme="majorBidi"/>
          <w:kern w:val="2"/>
          <w14:ligatures w14:val="standardContextual"/>
        </w:rPr>
        <w:t>erinskienė et al., 2014). Banks face challenges in accurately assessing and pricing credit risk during periods of economic turbulence (Trueck and Rachev, 2009; Caouette et al., 2011). Sound economic forecasting, comprehensive stress testing, and scenario analysis are essential tools to manage credit risk under changing economic conditions (Ali and Daly, 2010; Nguyen et al., 2016). Moreover, banks must effectively monitor macroeconomic indicators, industry trends, and borrower-specific factors to proactively identify and mitigate potential credit risks (Salas and Saurina, 2002; Foglia, 2008; Almuraikhi, 2022).</w:t>
      </w:r>
    </w:p>
    <w:p w14:paraId="27E380E8" w14:textId="77777777" w:rsidR="00C32280" w:rsidRPr="00C32280" w:rsidRDefault="00C32280" w:rsidP="00C32280">
      <w:pPr>
        <w:pStyle w:val="ListParagraph"/>
        <w:spacing w:after="0" w:line="360" w:lineRule="auto"/>
        <w:ind w:left="357"/>
        <w:jc w:val="both"/>
        <w:rPr>
          <w:rFonts w:asciiTheme="majorBidi" w:hAnsiTheme="majorBidi" w:cstheme="majorBidi"/>
          <w:kern w:val="2"/>
          <w14:ligatures w14:val="standardContextual"/>
        </w:rPr>
      </w:pPr>
    </w:p>
    <w:p w14:paraId="66ED977B" w14:textId="38839600" w:rsidR="007152BC" w:rsidRPr="00EA0D7A" w:rsidRDefault="00EA0D7A" w:rsidP="00EA0D7A">
      <w:pPr>
        <w:shd w:val="clear" w:color="auto" w:fill="FFFFFF"/>
        <w:spacing w:line="360" w:lineRule="auto"/>
        <w:jc w:val="both"/>
        <w:rPr>
          <w:rFonts w:asciiTheme="majorBidi" w:hAnsiTheme="majorBidi" w:cstheme="majorBidi"/>
          <w:b/>
          <w:bCs/>
          <w:color w:val="000000" w:themeColor="text1"/>
          <w:shd w:val="clear" w:color="auto" w:fill="FFFFFF"/>
        </w:rPr>
      </w:pPr>
      <w:r w:rsidRPr="0084598D">
        <w:rPr>
          <w:rFonts w:asciiTheme="majorBidi" w:hAnsiTheme="majorBidi" w:cstheme="majorBidi"/>
          <w:b/>
          <w:bCs/>
          <w:color w:val="000000" w:themeColor="text1"/>
          <w:shd w:val="clear" w:color="auto" w:fill="FFFFFF"/>
        </w:rPr>
        <w:t>CONCLUSIONS</w:t>
      </w:r>
    </w:p>
    <w:p w14:paraId="1682C5FB" w14:textId="5C9E2F87" w:rsidR="00D4451F" w:rsidRPr="0074242B" w:rsidRDefault="00D4451F" w:rsidP="00E40363">
      <w:pPr>
        <w:spacing w:after="0" w:line="360" w:lineRule="auto"/>
        <w:contextualSpacing/>
        <w:jc w:val="both"/>
        <w:rPr>
          <w:rFonts w:asciiTheme="majorBidi" w:hAnsiTheme="majorBidi" w:cstheme="majorBidi"/>
        </w:rPr>
      </w:pPr>
      <w:r w:rsidRPr="0074242B">
        <w:rPr>
          <w:rFonts w:asciiTheme="majorBidi" w:hAnsiTheme="majorBidi" w:cstheme="majorBidi"/>
        </w:rPr>
        <w:t xml:space="preserve">Based on the results of this study, the main conclusions </w:t>
      </w:r>
      <w:r w:rsidR="009C78C3" w:rsidRPr="0074242B">
        <w:rPr>
          <w:rFonts w:asciiTheme="majorBidi" w:hAnsiTheme="majorBidi" w:cstheme="majorBidi"/>
        </w:rPr>
        <w:t>can be</w:t>
      </w:r>
      <w:r w:rsidRPr="0074242B">
        <w:rPr>
          <w:rFonts w:asciiTheme="majorBidi" w:hAnsiTheme="majorBidi" w:cstheme="majorBidi"/>
        </w:rPr>
        <w:t xml:space="preserve"> summari</w:t>
      </w:r>
      <w:r w:rsidR="009C78C3" w:rsidRPr="0074242B">
        <w:rPr>
          <w:rFonts w:asciiTheme="majorBidi" w:hAnsiTheme="majorBidi" w:cstheme="majorBidi"/>
        </w:rPr>
        <w:t>s</w:t>
      </w:r>
      <w:r w:rsidRPr="0074242B">
        <w:rPr>
          <w:rFonts w:asciiTheme="majorBidi" w:hAnsiTheme="majorBidi" w:cstheme="majorBidi"/>
        </w:rPr>
        <w:t>ed as follows:</w:t>
      </w:r>
    </w:p>
    <w:p w14:paraId="74945811" w14:textId="77777777" w:rsidR="00D4451F" w:rsidRPr="0074242B" w:rsidRDefault="00D4451F" w:rsidP="00E40363">
      <w:pPr>
        <w:numPr>
          <w:ilvl w:val="0"/>
          <w:numId w:val="6"/>
        </w:numPr>
        <w:spacing w:after="0" w:line="360" w:lineRule="auto"/>
        <w:ind w:left="360"/>
        <w:contextualSpacing/>
        <w:jc w:val="both"/>
        <w:rPr>
          <w:rFonts w:asciiTheme="majorBidi" w:hAnsiTheme="majorBidi" w:cstheme="majorBidi"/>
        </w:rPr>
      </w:pPr>
      <w:r w:rsidRPr="0074242B">
        <w:rPr>
          <w:rFonts w:asciiTheme="majorBidi" w:hAnsiTheme="majorBidi" w:cstheme="majorBidi"/>
        </w:rPr>
        <w:t>Credit risk management stands as a pivotal framework within Jordanian commercial banks that systematically tackles and addresses credit risks. This process not only bolsters financial stability but also fosters agility in navigating uncertainties. Enhanced communication among teams cultivates a culture of collaboration and proactive risk identification. Ultimately, credit risk management refines decision-making by amalgamating historical insights with forward-looking risk assessments. In the context of Jordan's financial sector, this practice becomes paramount for fortifying banking resilience, sustaining stakeholder trust, and propelling economic progress.</w:t>
      </w:r>
    </w:p>
    <w:p w14:paraId="71FB074B" w14:textId="041F798D" w:rsidR="00D4451F" w:rsidRPr="0074242B" w:rsidRDefault="00D4451F" w:rsidP="00E40363">
      <w:pPr>
        <w:numPr>
          <w:ilvl w:val="0"/>
          <w:numId w:val="6"/>
        </w:numPr>
        <w:spacing w:after="0" w:line="360" w:lineRule="auto"/>
        <w:ind w:left="357" w:hanging="357"/>
        <w:contextualSpacing/>
        <w:jc w:val="both"/>
        <w:rPr>
          <w:rFonts w:asciiTheme="majorBidi" w:hAnsiTheme="majorBidi" w:cstheme="majorBidi"/>
        </w:rPr>
      </w:pPr>
      <w:r w:rsidRPr="0074242B">
        <w:rPr>
          <w:rFonts w:asciiTheme="majorBidi" w:hAnsiTheme="majorBidi" w:cstheme="majorBidi"/>
        </w:rPr>
        <w:lastRenderedPageBreak/>
        <w:t>The attainment of optimal performance in credit risk management confronts challenges due to the following challenging factors; the impact of fluctuating interest rates, exchange rates, and inflation rates, which can impact the value of financial assets and liabilities. Also, insufficient resources and expertise for credit risk management. Additionally,  changes in the regulatory environment on the bank's ability to effectively manage credit risk. Moreover, incompatibility or lack of integration with other systems and inability to share data across different departments and business units.</w:t>
      </w:r>
    </w:p>
    <w:p w14:paraId="7A03802E" w14:textId="0E119648" w:rsidR="00D4451F" w:rsidRPr="0074242B" w:rsidRDefault="00D4451F" w:rsidP="00E40363">
      <w:pPr>
        <w:numPr>
          <w:ilvl w:val="0"/>
          <w:numId w:val="6"/>
        </w:numPr>
        <w:spacing w:after="0" w:line="360" w:lineRule="auto"/>
        <w:ind w:left="357" w:hanging="357"/>
        <w:contextualSpacing/>
        <w:jc w:val="both"/>
        <w:rPr>
          <w:rFonts w:asciiTheme="majorBidi" w:hAnsiTheme="majorBidi" w:cstheme="majorBidi"/>
        </w:rPr>
      </w:pPr>
      <w:r w:rsidRPr="0074242B">
        <w:rPr>
          <w:rFonts w:asciiTheme="majorBidi" w:hAnsiTheme="majorBidi" w:cstheme="majorBidi"/>
        </w:rPr>
        <w:t>Drawing from the findings of this study, it becomes evident that the performance of Jordanian commercial banks is significantly influenced by a range of notable challenges. These challenges manifest in various dimensions and can be systematically categori</w:t>
      </w:r>
      <w:r w:rsidR="00645592" w:rsidRPr="0074242B">
        <w:rPr>
          <w:rFonts w:asciiTheme="majorBidi" w:hAnsiTheme="majorBidi" w:cstheme="majorBidi"/>
        </w:rPr>
        <w:t>s</w:t>
      </w:r>
      <w:r w:rsidRPr="0074242B">
        <w:rPr>
          <w:rFonts w:asciiTheme="majorBidi" w:hAnsiTheme="majorBidi" w:cstheme="majorBidi"/>
        </w:rPr>
        <w:t>ed into four distinct groups: operational challenges, regulatory challenges, technological challenges, and economic challenges.</w:t>
      </w:r>
    </w:p>
    <w:p w14:paraId="17D8A027" w14:textId="0B97E37A" w:rsidR="00641759" w:rsidRPr="0074242B" w:rsidRDefault="00641759" w:rsidP="00774BB0">
      <w:pPr>
        <w:spacing w:after="0" w:line="240" w:lineRule="auto"/>
        <w:jc w:val="both"/>
        <w:rPr>
          <w:rFonts w:asciiTheme="majorBidi" w:hAnsiTheme="majorBidi" w:cstheme="majorBidi"/>
        </w:rPr>
      </w:pPr>
    </w:p>
    <w:p w14:paraId="28BBEEA1" w14:textId="77777777" w:rsidR="00DA53AF" w:rsidRPr="00EA0D7A" w:rsidRDefault="00DA53AF" w:rsidP="00EA0D7A">
      <w:pPr>
        <w:spacing w:after="120" w:line="360" w:lineRule="auto"/>
        <w:jc w:val="both"/>
        <w:rPr>
          <w:rFonts w:asciiTheme="majorBidi" w:hAnsiTheme="majorBidi" w:cstheme="majorBidi"/>
          <w:b/>
          <w:bCs/>
          <w:i/>
          <w:iCs/>
        </w:rPr>
      </w:pPr>
      <w:r w:rsidRPr="00EA0D7A">
        <w:rPr>
          <w:rFonts w:asciiTheme="majorBidi" w:hAnsiTheme="majorBidi" w:cstheme="majorBidi"/>
          <w:b/>
          <w:bCs/>
          <w:i/>
          <w:iCs/>
        </w:rPr>
        <w:t>Implications, Limitations, and Future Work</w:t>
      </w:r>
    </w:p>
    <w:p w14:paraId="3B9090EC" w14:textId="25EDA411" w:rsidR="00DA53AF" w:rsidRPr="0074242B" w:rsidRDefault="00DA53AF" w:rsidP="00DA53AF">
      <w:pPr>
        <w:spacing w:after="0" w:line="360" w:lineRule="auto"/>
        <w:jc w:val="both"/>
        <w:rPr>
          <w:rFonts w:asciiTheme="majorBidi" w:hAnsiTheme="majorBidi" w:cstheme="majorBidi"/>
        </w:rPr>
      </w:pPr>
      <w:r w:rsidRPr="0074242B">
        <w:rPr>
          <w:rFonts w:asciiTheme="majorBidi" w:hAnsiTheme="majorBidi" w:cstheme="majorBidi"/>
        </w:rPr>
        <w:t>This research significantly contributes to the knowledge base by identifying key challenges associated with credit risk management in Jordanian commercial banks. The findings offer practical implications for academia, policy, and decision-makers, providing a deeper understanding of challenges within Jordanian commercial banks' credit risk management. Additionally, it provides valuable insights into the current credit risk management landscape in developing nations like Jordan. The study scrutinizes the intricate interaction between these challenges and current banking practices, requiring assessment by credit risk experts.</w:t>
      </w:r>
    </w:p>
    <w:p w14:paraId="341490DE" w14:textId="77777777" w:rsidR="00DA53AF" w:rsidRPr="0074242B" w:rsidRDefault="00DA53AF" w:rsidP="00EA0D7A">
      <w:pPr>
        <w:spacing w:after="120" w:line="360" w:lineRule="auto"/>
        <w:jc w:val="both"/>
        <w:rPr>
          <w:rFonts w:asciiTheme="majorBidi" w:hAnsiTheme="majorBidi" w:cstheme="majorBidi"/>
        </w:rPr>
      </w:pPr>
      <w:r w:rsidRPr="0074242B">
        <w:rPr>
          <w:rFonts w:asciiTheme="majorBidi" w:hAnsiTheme="majorBidi" w:cstheme="majorBidi"/>
        </w:rPr>
        <w:t>Despite its contributions, this study has some limitations. It relies on insights from credit risk experts gathered through a focus group session, suggesting that incorporating alternative approaches such as interviews or in-depth case studies specific to individual banks could enhance the study's outcomes. The evaluation is confined to 21 challenges categorized into operational, regulatory, technological, and economic aspects. To offer a more comprehensive analysis, it is advisable to recognize and include additional pertinent factors within the study's scope. Furthermore, the research exclusively focuses on four challenge categories, and exploring the addition of new categories, such as those associated with political factors, could be considered for future studies, utilizing the methodology established in this research.</w:t>
      </w:r>
    </w:p>
    <w:p w14:paraId="1406540A" w14:textId="77777777" w:rsidR="00DA53AF" w:rsidRDefault="00DA53AF" w:rsidP="00DA53AF">
      <w:pPr>
        <w:spacing w:after="0" w:line="360" w:lineRule="auto"/>
        <w:jc w:val="both"/>
        <w:rPr>
          <w:rFonts w:asciiTheme="majorBidi" w:hAnsiTheme="majorBidi" w:cstheme="majorBidi"/>
        </w:rPr>
      </w:pPr>
      <w:r w:rsidRPr="0074242B">
        <w:rPr>
          <w:rFonts w:asciiTheme="majorBidi" w:hAnsiTheme="majorBidi" w:cstheme="majorBidi"/>
        </w:rPr>
        <w:t xml:space="preserve">For future work, comparing perspectives on credit risk management among varied risk experts involves examining internal risk experts' viewpoints in commercial banks, including members of risk committees, credit risk committee members, and credit risk department employees. This analysis is contrasted with the perspectives of external risk experts associated with regulatory bodies like the Central Bank of Jordan, aiming to reveal a comprehensive understanding of credit risk management practices from multiple angles. This approach can uncover differences and commonalities in how diverse stakeholders assess the efficacy of these practices and their impact on bank performance. The resulting insights can be instrumental in decision-making processes and contribute to the development </w:t>
      </w:r>
      <w:r w:rsidRPr="0074242B">
        <w:rPr>
          <w:rFonts w:asciiTheme="majorBidi" w:hAnsiTheme="majorBidi" w:cstheme="majorBidi"/>
        </w:rPr>
        <w:lastRenderedPageBreak/>
        <w:t>of more effective risk management strategies. Additionally, a detailed exploration is recommended to identify the underlying causes of significant challenges in credit risk management highlighted in this study. Utilizing quantitative methods such as Fuzzy Sets Theory and Analytical Hierarchy Process can assist researchers in unraveling contextual factors contributing to these challenges, providing a deeper comprehension of intricate relationships and implications for bank performance. Subsequently, the study can propose a comprehensive set of response strategies specifically tailored to address these challenges, grounded in contextual insights, and serving as practical tools for banks navigating similar issues.</w:t>
      </w:r>
    </w:p>
    <w:p w14:paraId="2B897066" w14:textId="77777777" w:rsidR="0074242B" w:rsidRDefault="0074242B" w:rsidP="00DA53AF">
      <w:pPr>
        <w:spacing w:after="0" w:line="360" w:lineRule="auto"/>
        <w:jc w:val="both"/>
        <w:rPr>
          <w:rFonts w:asciiTheme="majorBidi" w:hAnsiTheme="majorBidi" w:cstheme="majorBidi"/>
        </w:rPr>
      </w:pPr>
    </w:p>
    <w:p w14:paraId="32B0A008" w14:textId="77777777" w:rsidR="00E04698" w:rsidRPr="008769AF" w:rsidRDefault="00E04698" w:rsidP="00E04698">
      <w:pPr>
        <w:autoSpaceDE w:val="0"/>
        <w:autoSpaceDN w:val="0"/>
        <w:adjustRightInd w:val="0"/>
        <w:spacing w:after="240" w:line="240" w:lineRule="auto"/>
        <w:jc w:val="both"/>
        <w:rPr>
          <w:rFonts w:asciiTheme="majorBidi" w:hAnsiTheme="majorBidi" w:cstheme="majorBidi"/>
          <w:b/>
          <w:bCs/>
          <w:color w:val="000000" w:themeColor="text1"/>
          <w:highlight w:val="green"/>
          <w:shd w:val="clear" w:color="auto" w:fill="FFFFFF"/>
        </w:rPr>
      </w:pPr>
      <w:r w:rsidRPr="008769AF">
        <w:rPr>
          <w:rFonts w:asciiTheme="majorBidi" w:hAnsiTheme="majorBidi" w:cstheme="majorBidi"/>
          <w:b/>
          <w:bCs/>
          <w:color w:val="000000" w:themeColor="text1"/>
          <w:shd w:val="clear" w:color="auto" w:fill="FFFFFF"/>
        </w:rPr>
        <w:t>REFERENCES</w:t>
      </w:r>
    </w:p>
    <w:p w14:paraId="67C2C99A"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Abbas, A., Zaidi, S. A. H., Ahmad, W., &amp; Ashraf, R. (2014). Credit risk exposure and performance of banking sector of Pakistan. </w:t>
      </w:r>
      <w:r w:rsidRPr="00B448EC">
        <w:rPr>
          <w:rFonts w:asciiTheme="majorBidi" w:hAnsiTheme="majorBidi" w:cstheme="majorBidi"/>
          <w:i/>
          <w:iCs/>
          <w:sz w:val="20"/>
          <w:lang w:val="en-US"/>
        </w:rPr>
        <w:t>Journal of Basic and Applied Sciences</w:t>
      </w:r>
      <w:r w:rsidRPr="00B448EC">
        <w:rPr>
          <w:rFonts w:asciiTheme="majorBidi" w:hAnsiTheme="majorBidi" w:cstheme="majorBidi"/>
          <w:sz w:val="20"/>
          <w:lang w:val="en-US"/>
        </w:rPr>
        <w:t>, </w:t>
      </w:r>
      <w:r w:rsidRPr="00B448EC">
        <w:rPr>
          <w:rFonts w:asciiTheme="majorBidi" w:hAnsiTheme="majorBidi" w:cstheme="majorBidi"/>
          <w:i/>
          <w:iCs/>
          <w:sz w:val="20"/>
          <w:lang w:val="en-US"/>
        </w:rPr>
        <w:t>4</w:t>
      </w:r>
      <w:r w:rsidRPr="00B448EC">
        <w:rPr>
          <w:rFonts w:asciiTheme="majorBidi" w:hAnsiTheme="majorBidi" w:cstheme="majorBidi"/>
          <w:sz w:val="20"/>
          <w:lang w:val="en-US"/>
        </w:rPr>
        <w:t>(3), 240-245.</w:t>
      </w:r>
    </w:p>
    <w:p w14:paraId="36BD04D8"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Abdelrahim, K. E. (2013). Effectiveness of credit risk management of Saudi banks in the light of global financial crisis: A qualitative study. Asian Transactions on Basic and Applied Sciences, 3(2), 73-91.</w:t>
      </w:r>
    </w:p>
    <w:p w14:paraId="0C6FA6FE"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 xml:space="preserve">Alam, M. K. (2020). A systematic qualitative case study: Questions, data collection, NVivo analysis and saturation. Qualitative Research in Organizations and Management: An International Journal. </w:t>
      </w:r>
    </w:p>
    <w:p w14:paraId="32660D8E"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Ali, B. J., &amp; Oudat, M. S. (2020). Financial risk and the financial performance in listed commercial and investment banks in Bahrain bourse. International Journal of Innovation, Creativity and Change, 13(12), 160-180.</w:t>
      </w:r>
    </w:p>
    <w:p w14:paraId="1022CBAB"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Aljaloudi, H. O. (2018). The impact of conservatism policy on reporting quality in Jordanian banks sector. </w:t>
      </w:r>
      <w:r w:rsidRPr="00B448EC">
        <w:rPr>
          <w:rFonts w:asciiTheme="majorBidi" w:hAnsiTheme="majorBidi" w:cstheme="majorBidi"/>
          <w:i/>
          <w:iCs/>
          <w:sz w:val="20"/>
        </w:rPr>
        <w:t>Journal of Finance and Accounting</w:t>
      </w:r>
      <w:r w:rsidRPr="00B448EC">
        <w:rPr>
          <w:rFonts w:asciiTheme="majorBidi" w:hAnsiTheme="majorBidi" w:cstheme="majorBidi"/>
          <w:sz w:val="20"/>
        </w:rPr>
        <w:t>, </w:t>
      </w:r>
      <w:r w:rsidRPr="00B448EC">
        <w:rPr>
          <w:rFonts w:asciiTheme="majorBidi" w:hAnsiTheme="majorBidi" w:cstheme="majorBidi"/>
          <w:i/>
          <w:iCs/>
          <w:sz w:val="20"/>
        </w:rPr>
        <w:t>6</w:t>
      </w:r>
      <w:r w:rsidRPr="00B448EC">
        <w:rPr>
          <w:rFonts w:asciiTheme="majorBidi" w:hAnsiTheme="majorBidi" w:cstheme="majorBidi"/>
          <w:sz w:val="20"/>
        </w:rPr>
        <w:t>(3), 91-95.</w:t>
      </w:r>
    </w:p>
    <w:p w14:paraId="21EC12C0" w14:textId="77777777" w:rsidR="00EA0D7A" w:rsidRPr="00E04698" w:rsidRDefault="00EA0D7A" w:rsidP="00E04698">
      <w:pPr>
        <w:pStyle w:val="EndNoteBibliography"/>
        <w:ind w:left="720" w:hanging="720"/>
        <w:rPr>
          <w:rFonts w:asciiTheme="majorBidi" w:hAnsiTheme="majorBidi" w:cstheme="majorBidi"/>
          <w:color w:val="222222"/>
          <w:sz w:val="20"/>
          <w:shd w:val="clear" w:color="auto" w:fill="FFFFFF"/>
        </w:rPr>
      </w:pPr>
      <w:bookmarkStart w:id="3" w:name="_Hlk170496028"/>
      <w:r w:rsidRPr="001D147B">
        <w:rPr>
          <w:rFonts w:asciiTheme="majorBidi" w:hAnsiTheme="majorBidi" w:cstheme="majorBidi"/>
          <w:color w:val="222222"/>
          <w:sz w:val="20"/>
          <w:shd w:val="clear" w:color="auto" w:fill="FFFFFF"/>
        </w:rPr>
        <w:t>Al-Mhdawi</w:t>
      </w:r>
      <w:bookmarkEnd w:id="3"/>
      <w:r w:rsidRPr="001D147B">
        <w:rPr>
          <w:rFonts w:asciiTheme="majorBidi" w:hAnsiTheme="majorBidi" w:cstheme="majorBidi"/>
          <w:color w:val="222222"/>
          <w:sz w:val="20"/>
          <w:shd w:val="clear" w:color="auto" w:fill="FFFFFF"/>
        </w:rPr>
        <w:t>, M. K. S., Brito, M. P., Onggo, B. S., &amp; Rashid, H. A. (2022). Analyzing the impact of the COVID-19 pandemic risks on construction projects in developing countries: case of Iraq. In </w:t>
      </w:r>
      <w:r w:rsidRPr="001D147B">
        <w:rPr>
          <w:rFonts w:asciiTheme="majorBidi" w:hAnsiTheme="majorBidi" w:cstheme="majorBidi"/>
          <w:i/>
          <w:iCs/>
          <w:color w:val="222222"/>
          <w:sz w:val="20"/>
          <w:shd w:val="clear" w:color="auto" w:fill="FFFFFF"/>
        </w:rPr>
        <w:t>Construction Research Congress 2022</w:t>
      </w:r>
      <w:r w:rsidRPr="001D147B">
        <w:rPr>
          <w:rFonts w:asciiTheme="majorBidi" w:hAnsiTheme="majorBidi" w:cstheme="majorBidi"/>
          <w:color w:val="222222"/>
          <w:sz w:val="20"/>
          <w:shd w:val="clear" w:color="auto" w:fill="FFFFFF"/>
        </w:rPr>
        <w:t> (pp. 1013-1023).</w:t>
      </w:r>
    </w:p>
    <w:p w14:paraId="789808FE" w14:textId="77777777" w:rsidR="00EA0D7A" w:rsidRPr="00EA0D7A" w:rsidRDefault="00EA0D7A" w:rsidP="00EA0D7A">
      <w:pPr>
        <w:pStyle w:val="EndNoteBibliography"/>
        <w:ind w:left="720" w:hanging="720"/>
        <w:rPr>
          <w:rFonts w:asciiTheme="majorBidi" w:hAnsiTheme="majorBidi" w:cstheme="majorBidi"/>
          <w:color w:val="222222"/>
          <w:sz w:val="20"/>
          <w:shd w:val="clear" w:color="auto" w:fill="FFFFFF"/>
        </w:rPr>
      </w:pPr>
      <w:r w:rsidRPr="00EA0D7A">
        <w:rPr>
          <w:rFonts w:asciiTheme="majorBidi" w:hAnsiTheme="majorBidi" w:cstheme="majorBidi"/>
          <w:color w:val="222222"/>
          <w:sz w:val="20"/>
          <w:shd w:val="clear" w:color="auto" w:fill="FFFFFF"/>
        </w:rPr>
        <w:t>Al-Mhdawi, M. K. S., Brito, M., Onggo, B. S., Qazi, A., &amp; O'Connor, A. (2024b). COVID-19 emerging risk assessment for the construction industry of developing countries: evidence from Iraq. </w:t>
      </w:r>
      <w:r w:rsidRPr="00EA0D7A">
        <w:rPr>
          <w:rFonts w:asciiTheme="majorBidi" w:hAnsiTheme="majorBidi" w:cstheme="majorBidi"/>
          <w:i/>
          <w:iCs/>
          <w:color w:val="222222"/>
          <w:sz w:val="20"/>
          <w:shd w:val="clear" w:color="auto" w:fill="FFFFFF"/>
        </w:rPr>
        <w:t>International Journal of Construction Management</w:t>
      </w:r>
      <w:r w:rsidRPr="00EA0D7A">
        <w:rPr>
          <w:rFonts w:asciiTheme="majorBidi" w:hAnsiTheme="majorBidi" w:cstheme="majorBidi"/>
          <w:color w:val="222222"/>
          <w:sz w:val="20"/>
          <w:shd w:val="clear" w:color="auto" w:fill="FFFFFF"/>
        </w:rPr>
        <w:t>, </w:t>
      </w:r>
      <w:r w:rsidRPr="00EA0D7A">
        <w:rPr>
          <w:rFonts w:asciiTheme="majorBidi" w:hAnsiTheme="majorBidi" w:cstheme="majorBidi"/>
          <w:i/>
          <w:iCs/>
          <w:color w:val="222222"/>
          <w:sz w:val="20"/>
          <w:shd w:val="clear" w:color="auto" w:fill="FFFFFF"/>
        </w:rPr>
        <w:t>24</w:t>
      </w:r>
      <w:r w:rsidRPr="00EA0D7A">
        <w:rPr>
          <w:rFonts w:asciiTheme="majorBidi" w:hAnsiTheme="majorBidi" w:cstheme="majorBidi"/>
          <w:color w:val="222222"/>
          <w:sz w:val="20"/>
          <w:shd w:val="clear" w:color="auto" w:fill="FFFFFF"/>
        </w:rPr>
        <w:t>(7), 693-706.</w:t>
      </w:r>
    </w:p>
    <w:p w14:paraId="7B9DEFC8" w14:textId="77777777" w:rsidR="00EA0D7A" w:rsidRPr="00EA0D7A" w:rsidRDefault="00EA0D7A" w:rsidP="00EA0D7A">
      <w:pPr>
        <w:pStyle w:val="EndNoteBibliography"/>
        <w:ind w:left="720" w:hanging="720"/>
        <w:rPr>
          <w:rFonts w:asciiTheme="majorBidi" w:hAnsiTheme="majorBidi" w:cstheme="majorBidi"/>
          <w:color w:val="222222"/>
          <w:sz w:val="20"/>
          <w:shd w:val="clear" w:color="auto" w:fill="FFFFFF"/>
        </w:rPr>
      </w:pPr>
      <w:r w:rsidRPr="00EA0D7A">
        <w:rPr>
          <w:rFonts w:asciiTheme="majorBidi" w:hAnsiTheme="majorBidi" w:cstheme="majorBidi"/>
          <w:color w:val="222222"/>
          <w:sz w:val="20"/>
          <w:shd w:val="clear" w:color="auto" w:fill="FFFFFF"/>
        </w:rPr>
        <w:t>Al-Mhdawi, M. K. S., O'connor, A., Qazi, A., Rahimian, F., &amp; Dacre, N. (2024a). Review of studies on risk factors in critical infrastructure projects from 2011 to 2023. </w:t>
      </w:r>
      <w:r w:rsidRPr="00EA0D7A">
        <w:rPr>
          <w:rFonts w:asciiTheme="majorBidi" w:hAnsiTheme="majorBidi" w:cstheme="majorBidi"/>
          <w:i/>
          <w:iCs/>
          <w:color w:val="222222"/>
          <w:sz w:val="20"/>
          <w:shd w:val="clear" w:color="auto" w:fill="FFFFFF"/>
        </w:rPr>
        <w:t>Smart and Sustainable Built Environment</w:t>
      </w:r>
      <w:r w:rsidRPr="00EA0D7A">
        <w:rPr>
          <w:rFonts w:asciiTheme="majorBidi" w:hAnsiTheme="majorBidi" w:cstheme="majorBidi"/>
          <w:color w:val="222222"/>
          <w:sz w:val="20"/>
          <w:shd w:val="clear" w:color="auto" w:fill="FFFFFF"/>
        </w:rPr>
        <w:t>.</w:t>
      </w:r>
    </w:p>
    <w:p w14:paraId="7504C111" w14:textId="77777777" w:rsidR="00EA0D7A" w:rsidRPr="00EA0D7A" w:rsidRDefault="00EA0D7A" w:rsidP="00EA0D7A">
      <w:pPr>
        <w:pStyle w:val="EndNoteBibliography"/>
        <w:ind w:left="720" w:hanging="720"/>
        <w:rPr>
          <w:rFonts w:asciiTheme="majorBidi" w:hAnsiTheme="majorBidi" w:cstheme="majorBidi"/>
          <w:color w:val="222222"/>
          <w:sz w:val="20"/>
          <w:shd w:val="clear" w:color="auto" w:fill="FFFFFF"/>
        </w:rPr>
      </w:pPr>
      <w:r w:rsidRPr="00EA0D7A">
        <w:rPr>
          <w:rFonts w:asciiTheme="majorBidi" w:hAnsiTheme="majorBidi" w:cstheme="majorBidi"/>
          <w:color w:val="222222"/>
          <w:sz w:val="20"/>
          <w:shd w:val="clear" w:color="auto" w:fill="FFFFFF"/>
        </w:rPr>
        <w:t>Al-Mhdawi, M.K.S., Dacre, N., Brito, M., Baxter, D., Xu, K. and Young, C., 2023, March. An agile compliance framework for the european cooperation for space standardization. In </w:t>
      </w:r>
      <w:r w:rsidRPr="00EA0D7A">
        <w:rPr>
          <w:rFonts w:asciiTheme="majorBidi" w:hAnsiTheme="majorBidi" w:cstheme="majorBidi"/>
          <w:i/>
          <w:iCs/>
          <w:color w:val="222222"/>
          <w:sz w:val="20"/>
          <w:shd w:val="clear" w:color="auto" w:fill="FFFFFF"/>
        </w:rPr>
        <w:t>2023 IEEE Aerospace Conference</w:t>
      </w:r>
      <w:r w:rsidRPr="00EA0D7A">
        <w:rPr>
          <w:rFonts w:asciiTheme="majorBidi" w:hAnsiTheme="majorBidi" w:cstheme="majorBidi"/>
          <w:color w:val="222222"/>
          <w:sz w:val="20"/>
          <w:shd w:val="clear" w:color="auto" w:fill="FFFFFF"/>
        </w:rPr>
        <w:t> (pp. 1-12). IEEE.</w:t>
      </w:r>
    </w:p>
    <w:p w14:paraId="526F9B4A"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Alshatti, A. S. (2015). The effect of credit risk management on financial performance of the Jordanian commercial banks. Investment management and financial innovations, 12(1), 338-345.</w:t>
      </w:r>
    </w:p>
    <w:p w14:paraId="1EA5584D"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Barbour, R. S., &amp; Barbour, R. (2018). Doing focus groups (Vol. 4). sage.</w:t>
      </w:r>
    </w:p>
    <w:p w14:paraId="48394376"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Basaha, M. Y. A., Nawaib, S. N., &amp; Mohamadc, S. N. A. (2021). Credit Risk Assessment of Microfinancing Among Asnaf: Challenges and Solutions. ABOUT i-KEIZAC 2021, 57.</w:t>
      </w:r>
    </w:p>
    <w:p w14:paraId="57DDD644"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Basel Committee on Banking Supervision. (2006). Sound credit risk assessment and valuation for loans. Bank for International Settlements (BIS), 1-17.</w:t>
      </w:r>
    </w:p>
    <w:p w14:paraId="7471C4B8"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Basel Committee on Banking Supervision. (2010). Basel III: A global regulatory framework for more resilient banks and banking systems. Bank for International Settlements.</w:t>
      </w:r>
    </w:p>
    <w:p w14:paraId="4B94B4C3"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Bazarbash, M. (2019). Fintech in financial inclusion: machine learning applications in assessing credit risk. International Monetary Fund.</w:t>
      </w:r>
    </w:p>
    <w:p w14:paraId="22E788AA" w14:textId="77777777" w:rsidR="00EA0D7A" w:rsidRDefault="00EA0D7A" w:rsidP="00E04698">
      <w:pPr>
        <w:pStyle w:val="EndNoteBibliography"/>
        <w:ind w:left="720" w:hanging="720"/>
        <w:rPr>
          <w:rStyle w:val="Hyperlink"/>
          <w:rFonts w:asciiTheme="majorBidi" w:hAnsiTheme="majorBidi" w:cstheme="majorBidi"/>
          <w:sz w:val="20"/>
          <w:lang w:val="en-US"/>
        </w:rPr>
      </w:pPr>
      <w:r w:rsidRPr="00B448EC">
        <w:rPr>
          <w:rFonts w:asciiTheme="majorBidi" w:hAnsiTheme="majorBidi" w:cstheme="majorBidi"/>
          <w:sz w:val="20"/>
          <w:lang w:val="en-US"/>
        </w:rPr>
        <w:t xml:space="preserve">BCBS. (2015). Developments in credit risk management across sectors: current practices and recommendations. </w:t>
      </w:r>
      <w:hyperlink r:id="rId9" w:history="1">
        <w:r w:rsidRPr="00B448EC">
          <w:rPr>
            <w:rStyle w:val="Hyperlink"/>
            <w:rFonts w:asciiTheme="majorBidi" w:hAnsiTheme="majorBidi" w:cstheme="majorBidi"/>
            <w:sz w:val="20"/>
            <w:lang w:val="en-US"/>
          </w:rPr>
          <w:t>Developments in credit risk management across sectors: current practices and recommendations (bis.org)</w:t>
        </w:r>
      </w:hyperlink>
    </w:p>
    <w:p w14:paraId="2772A3D9"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Blacker, K., &amp; McConnell, P. (2015). </w:t>
      </w:r>
      <w:r w:rsidRPr="00B448EC">
        <w:rPr>
          <w:rFonts w:asciiTheme="majorBidi" w:hAnsiTheme="majorBidi" w:cstheme="majorBidi"/>
          <w:i/>
          <w:iCs/>
          <w:sz w:val="20"/>
        </w:rPr>
        <w:t>People Risk Management: A practical approach to managing the human factors that could harm your business</w:t>
      </w:r>
      <w:r w:rsidRPr="00B448EC">
        <w:rPr>
          <w:rFonts w:asciiTheme="majorBidi" w:hAnsiTheme="majorBidi" w:cstheme="majorBidi"/>
          <w:sz w:val="20"/>
        </w:rPr>
        <w:t>. Kogan Page Publishers.</w:t>
      </w:r>
    </w:p>
    <w:p w14:paraId="7404773F"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Caccioli, F., Shrestha, M., Moore, C., &amp; Farmer, J. D. (2014). Stability analysis of financial contagion due to overlapping portfolios. </w:t>
      </w:r>
      <w:r w:rsidRPr="00B448EC">
        <w:rPr>
          <w:rFonts w:asciiTheme="majorBidi" w:hAnsiTheme="majorBidi" w:cstheme="majorBidi"/>
          <w:i/>
          <w:iCs/>
          <w:sz w:val="20"/>
        </w:rPr>
        <w:t>Journal of Banking &amp; Finance</w:t>
      </w:r>
      <w:r w:rsidRPr="00B448EC">
        <w:rPr>
          <w:rFonts w:asciiTheme="majorBidi" w:hAnsiTheme="majorBidi" w:cstheme="majorBidi"/>
          <w:sz w:val="20"/>
        </w:rPr>
        <w:t>, </w:t>
      </w:r>
      <w:r w:rsidRPr="00B448EC">
        <w:rPr>
          <w:rFonts w:asciiTheme="majorBidi" w:hAnsiTheme="majorBidi" w:cstheme="majorBidi"/>
          <w:i/>
          <w:iCs/>
          <w:sz w:val="20"/>
        </w:rPr>
        <w:t>46</w:t>
      </w:r>
      <w:r w:rsidRPr="00B448EC">
        <w:rPr>
          <w:rFonts w:asciiTheme="majorBidi" w:hAnsiTheme="majorBidi" w:cstheme="majorBidi"/>
          <w:sz w:val="20"/>
        </w:rPr>
        <w:t>, 233-245.</w:t>
      </w:r>
    </w:p>
    <w:p w14:paraId="6A5FADA9"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Caccioli, F., Shrestha, M., Moore, C., &amp; Farmer, J. D. (2014). Stability analysis of financial contagion due to overlapping portfolios. </w:t>
      </w:r>
      <w:r w:rsidRPr="00B448EC">
        <w:rPr>
          <w:rFonts w:asciiTheme="majorBidi" w:hAnsiTheme="majorBidi" w:cstheme="majorBidi"/>
          <w:i/>
          <w:iCs/>
          <w:sz w:val="20"/>
        </w:rPr>
        <w:t>Journal of Banking &amp; Finance</w:t>
      </w:r>
      <w:r w:rsidRPr="00B448EC">
        <w:rPr>
          <w:rFonts w:asciiTheme="majorBidi" w:hAnsiTheme="majorBidi" w:cstheme="majorBidi"/>
          <w:sz w:val="20"/>
        </w:rPr>
        <w:t>, </w:t>
      </w:r>
      <w:r w:rsidRPr="00B448EC">
        <w:rPr>
          <w:rFonts w:asciiTheme="majorBidi" w:hAnsiTheme="majorBidi" w:cstheme="majorBidi"/>
          <w:i/>
          <w:iCs/>
          <w:sz w:val="20"/>
        </w:rPr>
        <w:t>46</w:t>
      </w:r>
      <w:r w:rsidRPr="00B448EC">
        <w:rPr>
          <w:rFonts w:asciiTheme="majorBidi" w:hAnsiTheme="majorBidi" w:cstheme="majorBidi"/>
          <w:sz w:val="20"/>
        </w:rPr>
        <w:t>, 233-245.</w:t>
      </w:r>
    </w:p>
    <w:p w14:paraId="73961D4F"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lastRenderedPageBreak/>
        <w:t>Campanella, F., Della Peruta, M. R., &amp; Del Giudice, M. (2017). The effects of technological innovation on the banking sector. Journal of the Knowledge Economy, 8, 356-368.</w:t>
      </w:r>
    </w:p>
    <w:p w14:paraId="60EF55A2"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Carey, M. A., &amp; Asbury, J. E. (2016). Focus group research (Vol. 9). Routledge.</w:t>
      </w:r>
    </w:p>
    <w:p w14:paraId="58B52475"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Chaibi, H., &amp; Ftiti, Z. (2015). Credit risk determinants: Evidence from a cross-country study. Research in international business and finance, 33, 1-16.</w:t>
      </w:r>
    </w:p>
    <w:p w14:paraId="384478F7"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 xml:space="preserve">Cook, K. E., &amp; Murowchick, E. (2014). Do literature review skills transfer from one course to another? Psychology Learning &amp; Teaching, 13(1), 3-11. </w:t>
      </w:r>
    </w:p>
    <w:p w14:paraId="35E17B1D" w14:textId="77777777" w:rsidR="00EA0D7A" w:rsidRDefault="00EA0D7A" w:rsidP="00E04698">
      <w:pPr>
        <w:pStyle w:val="EndNoteBibliography"/>
        <w:ind w:left="720" w:hanging="720"/>
        <w:rPr>
          <w:rFonts w:ascii="Arial" w:hAnsi="Arial" w:cs="Arial"/>
          <w:color w:val="222222"/>
          <w:sz w:val="20"/>
          <w:shd w:val="clear" w:color="auto" w:fill="FFFFFF"/>
        </w:rPr>
      </w:pPr>
      <w:r>
        <w:rPr>
          <w:rFonts w:ascii="Arial" w:hAnsi="Arial" w:cs="Arial"/>
          <w:color w:val="222222"/>
          <w:sz w:val="20"/>
          <w:shd w:val="clear" w:color="auto" w:fill="FFFFFF"/>
        </w:rPr>
        <w:t>Creswell, J. W., &amp; Creswell, J. D. (2017). </w:t>
      </w:r>
      <w:r>
        <w:rPr>
          <w:rFonts w:ascii="Arial" w:hAnsi="Arial" w:cs="Arial"/>
          <w:i/>
          <w:iCs/>
          <w:color w:val="222222"/>
          <w:sz w:val="20"/>
          <w:shd w:val="clear" w:color="auto" w:fill="FFFFFF"/>
        </w:rPr>
        <w:t>Research design: Qualitative, quantitative, and mixed methods approaches</w:t>
      </w:r>
      <w:r>
        <w:rPr>
          <w:rFonts w:ascii="Arial" w:hAnsi="Arial" w:cs="Arial"/>
          <w:color w:val="222222"/>
          <w:sz w:val="20"/>
          <w:shd w:val="clear" w:color="auto" w:fill="FFFFFF"/>
        </w:rPr>
        <w:t>. Sage publications.</w:t>
      </w:r>
    </w:p>
    <w:p w14:paraId="263CEA25"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De Carvalho, A. C. V., Granja, A. D., &amp; Da Silva, V. G. (2017). A systematic literature review on integrative lean and sustainability synergies over a building’s lifecycle. </w:t>
      </w:r>
      <w:r w:rsidRPr="00B448EC">
        <w:rPr>
          <w:rFonts w:asciiTheme="majorBidi" w:hAnsiTheme="majorBidi" w:cstheme="majorBidi"/>
          <w:i/>
          <w:iCs/>
          <w:sz w:val="20"/>
        </w:rPr>
        <w:t>Sustainability</w:t>
      </w:r>
      <w:r w:rsidRPr="00B448EC">
        <w:rPr>
          <w:rFonts w:asciiTheme="majorBidi" w:hAnsiTheme="majorBidi" w:cstheme="majorBidi"/>
          <w:sz w:val="20"/>
        </w:rPr>
        <w:t>, </w:t>
      </w:r>
      <w:r w:rsidRPr="00B448EC">
        <w:rPr>
          <w:rFonts w:asciiTheme="majorBidi" w:hAnsiTheme="majorBidi" w:cstheme="majorBidi"/>
          <w:i/>
          <w:iCs/>
          <w:sz w:val="20"/>
        </w:rPr>
        <w:t>9</w:t>
      </w:r>
      <w:r w:rsidRPr="00B448EC">
        <w:rPr>
          <w:rFonts w:asciiTheme="majorBidi" w:hAnsiTheme="majorBidi" w:cstheme="majorBidi"/>
          <w:sz w:val="20"/>
        </w:rPr>
        <w:t>(7), 1156.</w:t>
      </w:r>
    </w:p>
    <w:p w14:paraId="09EF426B"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Doorley, J., &amp; Garcia, H. F. (2015). </w:t>
      </w:r>
      <w:r w:rsidRPr="00B448EC">
        <w:rPr>
          <w:rFonts w:asciiTheme="majorBidi" w:hAnsiTheme="majorBidi" w:cstheme="majorBidi"/>
          <w:i/>
          <w:iCs/>
          <w:sz w:val="20"/>
        </w:rPr>
        <w:t>Reputation management: The key to successful public relations and corporate communication</w:t>
      </w:r>
      <w:r w:rsidRPr="00B448EC">
        <w:rPr>
          <w:rFonts w:asciiTheme="majorBidi" w:hAnsiTheme="majorBidi" w:cstheme="majorBidi"/>
          <w:sz w:val="20"/>
        </w:rPr>
        <w:t>. Routledge.</w:t>
      </w:r>
    </w:p>
    <w:p w14:paraId="3AD3C675"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Ekinci, R., &amp; Poyraz, G. (2019). The effect of credit risk on financial performance of deposit banks in Turkey. Procedia Computer Science, 158, 979-987.</w:t>
      </w:r>
    </w:p>
    <w:p w14:paraId="69714A32"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Erlingsson, C., &amp; Brysiewicz, P. (2017). A hands-on guide to doing content analysis. African journal of emergency medicine, 7(3), 93-99.</w:t>
      </w:r>
    </w:p>
    <w:p w14:paraId="3A385C3F"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Escalada, M., &amp; Heong, K. L. (2014). Focus group discussion. Research Gate Journal, 3, 178.</w:t>
      </w:r>
    </w:p>
    <w:p w14:paraId="1F37AEEF"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European Central Bank (ECB, 2013). Banks' preparedness for liquidity shocks.</w:t>
      </w:r>
    </w:p>
    <w:p w14:paraId="363EDCB1"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Fink, A. (2019). Conducting research literature reviews: From the internet to paper: Sage publications.</w:t>
      </w:r>
    </w:p>
    <w:p w14:paraId="24A55249"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Freeman, T. (2006). ‘Best practice’in focus group research: making sense of different views. Journal of advanced nursing, 56(5), 491-497.</w:t>
      </w:r>
    </w:p>
    <w:p w14:paraId="75528824"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Gill, P., Stewart, K., Treasure, E., &amp; Chadwick, B. (2008). Methods of data collection in qualitative research: interviews and focus groups. British dental journal, 204(6), 291-295.</w:t>
      </w:r>
    </w:p>
    <w:p w14:paraId="7A3DD42C"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Gong, X., Wong, W. K., Peng, Y., Khamdamov, S. J., Albasher, G., Hoa, V. T., &amp; Nhan, N. T. T. (2023). Exploring an interdisciplinary approach to sustainable economic development in resource-rich regions: An investigation of resource productivity, technological innovation, and ecosystem resilience. </w:t>
      </w:r>
      <w:r w:rsidRPr="00B448EC">
        <w:rPr>
          <w:rFonts w:asciiTheme="majorBidi" w:hAnsiTheme="majorBidi" w:cstheme="majorBidi"/>
          <w:i/>
          <w:iCs/>
          <w:sz w:val="20"/>
        </w:rPr>
        <w:t>Resources Policy</w:t>
      </w:r>
      <w:r w:rsidRPr="00B448EC">
        <w:rPr>
          <w:rFonts w:asciiTheme="majorBidi" w:hAnsiTheme="majorBidi" w:cstheme="majorBidi"/>
          <w:sz w:val="20"/>
        </w:rPr>
        <w:t>, </w:t>
      </w:r>
      <w:r w:rsidRPr="00B448EC">
        <w:rPr>
          <w:rFonts w:asciiTheme="majorBidi" w:hAnsiTheme="majorBidi" w:cstheme="majorBidi"/>
          <w:i/>
          <w:iCs/>
          <w:sz w:val="20"/>
        </w:rPr>
        <w:t>87</w:t>
      </w:r>
      <w:r w:rsidRPr="00B448EC">
        <w:rPr>
          <w:rFonts w:asciiTheme="majorBidi" w:hAnsiTheme="majorBidi" w:cstheme="majorBidi"/>
          <w:sz w:val="20"/>
        </w:rPr>
        <w:t>, 104294.</w:t>
      </w:r>
    </w:p>
    <w:p w14:paraId="31018902"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Gough, D., Thomas, J., &amp; Oliver, S. (2017). An introduction to systematic reviews. An introduction to systematic reviews, 1-352.</w:t>
      </w:r>
    </w:p>
    <w:p w14:paraId="22F1D04B"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Habbal, A., Ali, M. K., &amp; Abuzaraida, M. A. (2024). Artificial Intelligence Trust, risk and security management (AI trism): Frameworks, applications, challenges and future research directions. </w:t>
      </w:r>
      <w:r w:rsidRPr="00B448EC">
        <w:rPr>
          <w:rFonts w:asciiTheme="majorBidi" w:hAnsiTheme="majorBidi" w:cstheme="majorBidi"/>
          <w:i/>
          <w:iCs/>
          <w:sz w:val="20"/>
        </w:rPr>
        <w:t>Expert Systems with Applications</w:t>
      </w:r>
      <w:r w:rsidRPr="00B448EC">
        <w:rPr>
          <w:rFonts w:asciiTheme="majorBidi" w:hAnsiTheme="majorBidi" w:cstheme="majorBidi"/>
          <w:sz w:val="20"/>
        </w:rPr>
        <w:t>, </w:t>
      </w:r>
      <w:r w:rsidRPr="00B448EC">
        <w:rPr>
          <w:rFonts w:asciiTheme="majorBidi" w:hAnsiTheme="majorBidi" w:cstheme="majorBidi"/>
          <w:i/>
          <w:iCs/>
          <w:sz w:val="20"/>
        </w:rPr>
        <w:t>240</w:t>
      </w:r>
      <w:r w:rsidRPr="00B448EC">
        <w:rPr>
          <w:rFonts w:asciiTheme="majorBidi" w:hAnsiTheme="majorBidi" w:cstheme="majorBidi"/>
          <w:sz w:val="20"/>
        </w:rPr>
        <w:t>, 122442.</w:t>
      </w:r>
    </w:p>
    <w:p w14:paraId="31D09A6C"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Harle, P., Lüders, E., Pepanides, T., Pfetsch, S., Poppensieker, T., &amp; Stegemann, U. (2010). Basel III and European banking: Its impact, how banks might respond, and the challenges of implementation. EMEA Banking, 16-17.</w:t>
      </w:r>
    </w:p>
    <w:p w14:paraId="2AC0FE86"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Harrell, M. C., &amp; Bradley, M. (2009). Data collection methods: Semi-structured interviews and focus groups.</w:t>
      </w:r>
    </w:p>
    <w:p w14:paraId="48F113A0"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Hasan, M. F., &amp; Al-Ramadan, N. S. (2021). Cyber-attacks and Cyber Security Readiness: Iraqi Private Banks Case. Social Science and Humanities Journal, 5(8), 2312-2323.</w:t>
      </w:r>
    </w:p>
    <w:p w14:paraId="638ABCC3"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Jackson, N. C. (2019). Managing for competency with innovation change in higher education: Examining the pitfalls and pivots of digital transformation. </w:t>
      </w:r>
      <w:r w:rsidRPr="00B448EC">
        <w:rPr>
          <w:rFonts w:asciiTheme="majorBidi" w:hAnsiTheme="majorBidi" w:cstheme="majorBidi"/>
          <w:i/>
          <w:iCs/>
          <w:sz w:val="20"/>
        </w:rPr>
        <w:t>Business Horizons</w:t>
      </w:r>
      <w:r w:rsidRPr="00B448EC">
        <w:rPr>
          <w:rFonts w:asciiTheme="majorBidi" w:hAnsiTheme="majorBidi" w:cstheme="majorBidi"/>
          <w:sz w:val="20"/>
        </w:rPr>
        <w:t>, </w:t>
      </w:r>
      <w:r w:rsidRPr="00B448EC">
        <w:rPr>
          <w:rFonts w:asciiTheme="majorBidi" w:hAnsiTheme="majorBidi" w:cstheme="majorBidi"/>
          <w:i/>
          <w:iCs/>
          <w:sz w:val="20"/>
        </w:rPr>
        <w:t>62</w:t>
      </w:r>
      <w:r w:rsidRPr="00B448EC">
        <w:rPr>
          <w:rFonts w:asciiTheme="majorBidi" w:hAnsiTheme="majorBidi" w:cstheme="majorBidi"/>
          <w:sz w:val="20"/>
        </w:rPr>
        <w:t>(6), 761-772.</w:t>
      </w:r>
    </w:p>
    <w:p w14:paraId="5C78644C"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Kagoyire, A., &amp; Shukla, J. (2016). Effect of credit management on performance of commercial banks in Rwanda (A case study of Equity bank Rwanda LTD). International journal of business and management review, 4(4), 1-12.</w:t>
      </w:r>
    </w:p>
    <w:p w14:paraId="11ACA130"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Kitzinger, J. (1995). Qualitative research: introducing focus groups. Bmj, 311(7000), 299-302.</w:t>
      </w:r>
    </w:p>
    <w:p w14:paraId="26B05F4B"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Krippendorff, K. (2018). Content analysis: An introduction to its methodology: Sage publications.</w:t>
      </w:r>
    </w:p>
    <w:p w14:paraId="57448434"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Kumar, S., Gupta, U., Singh, A. K., &amp; Singh, A. K. (2023). Artificial intelligence: revolutionizing cyber security in the digital era. </w:t>
      </w:r>
      <w:r w:rsidRPr="00B448EC">
        <w:rPr>
          <w:rFonts w:asciiTheme="majorBidi" w:hAnsiTheme="majorBidi" w:cstheme="majorBidi"/>
          <w:i/>
          <w:iCs/>
          <w:sz w:val="20"/>
        </w:rPr>
        <w:t>Journal of Computers, Mechanical and Management</w:t>
      </w:r>
      <w:r w:rsidRPr="00B448EC">
        <w:rPr>
          <w:rFonts w:asciiTheme="majorBidi" w:hAnsiTheme="majorBidi" w:cstheme="majorBidi"/>
          <w:sz w:val="20"/>
        </w:rPr>
        <w:t>, </w:t>
      </w:r>
      <w:r w:rsidRPr="00B448EC">
        <w:rPr>
          <w:rFonts w:asciiTheme="majorBidi" w:hAnsiTheme="majorBidi" w:cstheme="majorBidi"/>
          <w:i/>
          <w:iCs/>
          <w:sz w:val="20"/>
        </w:rPr>
        <w:t>2</w:t>
      </w:r>
      <w:r w:rsidRPr="00B448EC">
        <w:rPr>
          <w:rFonts w:asciiTheme="majorBidi" w:hAnsiTheme="majorBidi" w:cstheme="majorBidi"/>
          <w:sz w:val="20"/>
        </w:rPr>
        <w:t>(3), 31-42.</w:t>
      </w:r>
    </w:p>
    <w:p w14:paraId="7A90B56D"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Lederman, L. C. (1990). Assessing educational effectiveness: The focus group interview as a technique for data collection. Communication education, 39(2), 117-127.</w:t>
      </w:r>
    </w:p>
    <w:p w14:paraId="1C8CFE13"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Lindgren, B. M., Lundman, B., &amp; Graneheim, U. H. (2020). Abstraction and interpretation during the qualitative content analysis process. International journal of nursing studies, 108, 103632.</w:t>
      </w:r>
    </w:p>
    <w:p w14:paraId="67FBF2E5"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Marsh, H. W., Morin, A. J., Parker, P. D., &amp; Kaur, G. (2014). Exploratory structural equation modeling: An integration of the best features of exploratory and confirmatory factor analysis. Annual review of clinical psychology, 10, 85-110.</w:t>
      </w:r>
    </w:p>
    <w:p w14:paraId="47A22CC8"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Mayring, P. (2014). Qualitative content analysis: theoretical foundation, basic procedures and software solution.</w:t>
      </w:r>
    </w:p>
    <w:p w14:paraId="339CDC95"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McLafferty, I. (2004). Focus group interviews as a data collecting strategy. Journal of advanced nursing, 48(2), 187-194.</w:t>
      </w:r>
    </w:p>
    <w:p w14:paraId="23C7177F"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lastRenderedPageBreak/>
        <w:t>Millward, L. (2012). Focus groups. Research methods in psychology, 4, 411-438.</w:t>
      </w:r>
    </w:p>
    <w:p w14:paraId="27DD3509"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Morgan, D. L. (2002). Focus group interviewing. Handbook of interview research: Context and method, 141, 159.</w:t>
      </w:r>
    </w:p>
    <w:p w14:paraId="6C486233"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Moro, S., Cortez, P., &amp; Rita, P. (2016). An automated literature analysis on data mining applications to credit risk assessment. Artificial Intelligence in Financial Markets: Cutting Edge Applications for Risk Management, Portfolio Optimization and Economics, 161-177.</w:t>
      </w:r>
    </w:p>
    <w:p w14:paraId="2FEC26C1"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Njanike, K. (2009). The impact of effective credit risk management on bank survival. Annals of the University of Petroşani, Economics, 9(2), 173-184.</w:t>
      </w:r>
    </w:p>
    <w:p w14:paraId="11978711"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Nyumba, T., Wilson, K., Derrick, C. J., &amp; Mukherjee, N. (2018). The use of focus group discussion methodology: Insights from two decades of application in conservation. Methods in Ecology and evolution, 9(1), 20-32.</w:t>
      </w:r>
    </w:p>
    <w:p w14:paraId="7D255F8E"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Okodugha, N. (2021). </w:t>
      </w:r>
      <w:r w:rsidRPr="00B448EC">
        <w:rPr>
          <w:rFonts w:asciiTheme="majorBidi" w:hAnsiTheme="majorBidi" w:cstheme="majorBidi"/>
          <w:i/>
          <w:iCs/>
          <w:sz w:val="20"/>
        </w:rPr>
        <w:t>Central bank of Nigeria, corporate governance and the quest for sustainable banking system in Nigeria: an exploratory analysis</w:t>
      </w:r>
      <w:r w:rsidRPr="00B448EC">
        <w:rPr>
          <w:rFonts w:asciiTheme="majorBidi" w:hAnsiTheme="majorBidi" w:cstheme="majorBidi"/>
          <w:sz w:val="20"/>
        </w:rPr>
        <w:t> (Doctoral dissertation, University of East London).</w:t>
      </w:r>
    </w:p>
    <w:p w14:paraId="1DCFB643"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Ouamar, D. (2013). How to implement counterparty credit risk requirements under Basel III: The challenges. Journal of Risk Management in Financial Institutions, 6(3), 327-336.</w:t>
      </w:r>
    </w:p>
    <w:p w14:paraId="448FDC91"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Peihani, M. (2022). Regulation of Cyber Risk in the Banking Sector: A Canadian Case Study. </w:t>
      </w:r>
      <w:r w:rsidRPr="00B448EC">
        <w:rPr>
          <w:rFonts w:asciiTheme="majorBidi" w:hAnsiTheme="majorBidi" w:cstheme="majorBidi"/>
          <w:i/>
          <w:iCs/>
          <w:sz w:val="20"/>
        </w:rPr>
        <w:t>Maziar Peihani, Regulation of Cyber Risk in the Banking System: A Canadian Case Study, Journal of Financial Regulation</w:t>
      </w:r>
      <w:r w:rsidRPr="00B448EC">
        <w:rPr>
          <w:rFonts w:asciiTheme="majorBidi" w:hAnsiTheme="majorBidi" w:cstheme="majorBidi"/>
          <w:sz w:val="20"/>
        </w:rPr>
        <w:t>, 1-23.</w:t>
      </w:r>
    </w:p>
    <w:p w14:paraId="5E0D714E" w14:textId="77777777" w:rsidR="00EA0D7A" w:rsidRDefault="00EA0D7A" w:rsidP="00E04698">
      <w:pPr>
        <w:pStyle w:val="EndNoteBibliography"/>
        <w:ind w:left="720" w:hanging="720"/>
        <w:rPr>
          <w:rFonts w:asciiTheme="majorBidi" w:hAnsiTheme="majorBidi" w:cstheme="majorBidi"/>
          <w:sz w:val="20"/>
        </w:rPr>
      </w:pPr>
      <w:r w:rsidRPr="00B448EC">
        <w:rPr>
          <w:rFonts w:asciiTheme="majorBidi" w:hAnsiTheme="majorBidi" w:cstheme="majorBidi"/>
          <w:sz w:val="20"/>
        </w:rPr>
        <w:t>Popoyan, L., Napoletano, M., &amp; Roventini, A. (2017). Taming macroeconomic instability: Monetary and macro-prudential policy interactions in an agent-based model. </w:t>
      </w:r>
      <w:r w:rsidRPr="00B448EC">
        <w:rPr>
          <w:rFonts w:asciiTheme="majorBidi" w:hAnsiTheme="majorBidi" w:cstheme="majorBidi"/>
          <w:i/>
          <w:iCs/>
          <w:sz w:val="20"/>
        </w:rPr>
        <w:t>Journal of Economic Behavior &amp; Organization</w:t>
      </w:r>
      <w:r w:rsidRPr="00B448EC">
        <w:rPr>
          <w:rFonts w:asciiTheme="majorBidi" w:hAnsiTheme="majorBidi" w:cstheme="majorBidi"/>
          <w:sz w:val="20"/>
        </w:rPr>
        <w:t>, </w:t>
      </w:r>
      <w:r w:rsidRPr="00B448EC">
        <w:rPr>
          <w:rFonts w:asciiTheme="majorBidi" w:hAnsiTheme="majorBidi" w:cstheme="majorBidi"/>
          <w:i/>
          <w:iCs/>
          <w:sz w:val="20"/>
        </w:rPr>
        <w:t>134</w:t>
      </w:r>
      <w:r w:rsidRPr="00B448EC">
        <w:rPr>
          <w:rFonts w:asciiTheme="majorBidi" w:hAnsiTheme="majorBidi" w:cstheme="majorBidi"/>
          <w:sz w:val="20"/>
        </w:rPr>
        <w:t>, 117-140.</w:t>
      </w:r>
    </w:p>
    <w:p w14:paraId="44C093E1"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R</w:t>
      </w:r>
      <w:r>
        <w:rPr>
          <w:rFonts w:asciiTheme="majorBidi" w:hAnsiTheme="majorBidi" w:cstheme="majorBidi"/>
          <w:sz w:val="20"/>
          <w:lang w:val="en-US"/>
        </w:rPr>
        <w:t>asa</w:t>
      </w:r>
      <w:r w:rsidRPr="00B448EC">
        <w:rPr>
          <w:rFonts w:asciiTheme="majorBidi" w:hAnsiTheme="majorBidi" w:cstheme="majorBidi"/>
          <w:sz w:val="20"/>
          <w:lang w:val="en-US"/>
        </w:rPr>
        <w:t xml:space="preserve">, R. (2021). The Effects of Credit Risk on the Profitability of Commercial Banks in Afghanistan. The Journal of Asian Finance, Economics and Business, 8(7), 477-489. </w:t>
      </w:r>
    </w:p>
    <w:p w14:paraId="2AF5F0B6"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Ritter, S. M., &amp; Mostert, N. M. (2018). How to facilitate a brainstorming session: The effect of idea generation techniques and of group brainstorm after individual brainstorm. Creative Industries Journal, 11(3), 263-277.</w:t>
      </w:r>
    </w:p>
    <w:p w14:paraId="38204504"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Rodriguez, K. L., Schwartz, J. L., Lahman, M. K., &amp; Geist, M. R. (2011). Culturally responsive focus groups: Reframing the research experience to focus on participants. International Journal of Qualitative Methods, 10(4), 400-417.</w:t>
      </w:r>
    </w:p>
    <w:p w14:paraId="49048E8F"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 xml:space="preserve">Shahid, M. S., Gul, F., &amp; Naheed, K. (2019). Credit risk and financial performance of banks: Evidence from Pakistan. International Journal of Business and Management, 14(1), 144-155. </w:t>
      </w:r>
    </w:p>
    <w:p w14:paraId="4EDDD133"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 xml:space="preserve">Shieler, B., Emenike, K. O., &amp; Amu, C. U. (2017). Credit Risk Management and Financial Performance of Microfinance Institutions in Kampala, Uganda. Journal of Banking and Financial Dynamics, 1, 29-35. </w:t>
      </w:r>
    </w:p>
    <w:p w14:paraId="2EAF75C8"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Siddiqi, N. (2017). Intelligent credit scoring: Building and implementing better credit risk scorecards. John Wiley &amp; Sons.</w:t>
      </w:r>
    </w:p>
    <w:p w14:paraId="1C4654D9"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Smithson, J. (2000). Using and analysing focus groups: limitations and possibilities. International journal of social research methodology, 3(2), 103-119.</w:t>
      </w:r>
    </w:p>
    <w:p w14:paraId="5131BE7B"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Stewart, D. W., &amp; Shamdasani, P. N. (2014). Focus groups: Theory and practice (Vol. 20). Sage publications.</w:t>
      </w:r>
    </w:p>
    <w:p w14:paraId="7C65509E"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Stokes, D., &amp; Bergin, R. (2006). Methodology or “methodolatry”? An evaluation of focus groups and depth interviews. Qualitative market research: An international Journal, 9(1), 26-37.</w:t>
      </w:r>
    </w:p>
    <w:p w14:paraId="55D2B8BB"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Vaismoradi, M., Turunen, H., &amp; Bondas, T. (2013). Content analysis and thematic analysis: Implications for conducting a qualitative descriptive study. Nursing &amp; health sciences, 15(3), 398-405.</w:t>
      </w:r>
    </w:p>
    <w:p w14:paraId="1005B72D"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Wen, S., Zeng, B., Liao, W., Wei, P., &amp; Pan, Z. (2021, March). Research and Design of Credit Risk Assessment System Based on Big Data and Machine Learning. In 2021 IEEE 6th International Conference on Big Data Analytics (ICBDA) (pp. 9-13). IEEE.</w:t>
      </w:r>
    </w:p>
    <w:p w14:paraId="4650F9A3" w14:textId="77777777" w:rsidR="00EA0D7A"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lang w:val="en-US"/>
        </w:rPr>
        <w:t>Zou, Y., &amp; Li, F. (2014). The impact of credit risk management on profitability of commercial banks: A study of Europe. In.</w:t>
      </w:r>
    </w:p>
    <w:p w14:paraId="2B85B636" w14:textId="77777777" w:rsidR="00EA0D7A" w:rsidRPr="00E04698" w:rsidRDefault="00EA0D7A" w:rsidP="00E04698">
      <w:pPr>
        <w:pStyle w:val="EndNoteBibliography"/>
        <w:ind w:left="720" w:hanging="720"/>
        <w:rPr>
          <w:rFonts w:asciiTheme="majorBidi" w:hAnsiTheme="majorBidi" w:cstheme="majorBidi"/>
          <w:sz w:val="20"/>
          <w:lang w:val="en-US"/>
        </w:rPr>
      </w:pPr>
      <w:r w:rsidRPr="00B448EC">
        <w:rPr>
          <w:rFonts w:asciiTheme="majorBidi" w:hAnsiTheme="majorBidi" w:cstheme="majorBidi"/>
          <w:sz w:val="20"/>
        </w:rPr>
        <w:t>Zouari‐Hadiji, R. (2023). Financial innovation characteristics and banking performance: The mediating effect of risk management. </w:t>
      </w:r>
      <w:r w:rsidRPr="00B448EC">
        <w:rPr>
          <w:rFonts w:asciiTheme="majorBidi" w:hAnsiTheme="majorBidi" w:cstheme="majorBidi"/>
          <w:i/>
          <w:iCs/>
          <w:sz w:val="20"/>
        </w:rPr>
        <w:t>International Journal of Finance &amp; Economics</w:t>
      </w:r>
      <w:r w:rsidRPr="00B448EC">
        <w:rPr>
          <w:rFonts w:asciiTheme="majorBidi" w:hAnsiTheme="majorBidi" w:cstheme="majorBidi"/>
          <w:sz w:val="20"/>
        </w:rPr>
        <w:t>, </w:t>
      </w:r>
      <w:r w:rsidRPr="00B448EC">
        <w:rPr>
          <w:rFonts w:asciiTheme="majorBidi" w:hAnsiTheme="majorBidi" w:cstheme="majorBidi"/>
          <w:i/>
          <w:iCs/>
          <w:sz w:val="20"/>
        </w:rPr>
        <w:t>28</w:t>
      </w:r>
      <w:r w:rsidRPr="00B448EC">
        <w:rPr>
          <w:rFonts w:asciiTheme="majorBidi" w:hAnsiTheme="majorBidi" w:cstheme="majorBidi"/>
          <w:sz w:val="20"/>
        </w:rPr>
        <w:t>(2), 1214-1227.</w:t>
      </w:r>
    </w:p>
    <w:p w14:paraId="62EC4BFD" w14:textId="77777777" w:rsidR="00B448EC" w:rsidRPr="00EA0D7A" w:rsidRDefault="00B448EC" w:rsidP="007152BC">
      <w:pPr>
        <w:rPr>
          <w:rFonts w:asciiTheme="majorBidi" w:hAnsiTheme="majorBidi" w:cstheme="majorBidi"/>
          <w:sz w:val="28"/>
          <w:szCs w:val="28"/>
        </w:rPr>
      </w:pPr>
    </w:p>
    <w:sectPr w:rsidR="00B448EC" w:rsidRPr="00EA0D7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9164FA" w14:textId="77777777" w:rsidR="00524444" w:rsidRDefault="00524444" w:rsidP="001B6A24">
      <w:pPr>
        <w:spacing w:after="0" w:line="240" w:lineRule="auto"/>
      </w:pPr>
      <w:r>
        <w:separator/>
      </w:r>
    </w:p>
  </w:endnote>
  <w:endnote w:type="continuationSeparator" w:id="0">
    <w:p w14:paraId="4E2691A3" w14:textId="77777777" w:rsidR="00524444" w:rsidRDefault="00524444" w:rsidP="001B6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858189"/>
      <w:docPartObj>
        <w:docPartGallery w:val="Page Numbers (Bottom of Page)"/>
        <w:docPartUnique/>
      </w:docPartObj>
    </w:sdtPr>
    <w:sdtEndPr>
      <w:rPr>
        <w:noProof/>
        <w:sz w:val="18"/>
        <w:szCs w:val="18"/>
      </w:rPr>
    </w:sdtEndPr>
    <w:sdtContent>
      <w:p w14:paraId="0DF5551C" w14:textId="53BF2C0F" w:rsidR="001B6A24" w:rsidRPr="001B6A24" w:rsidRDefault="001B6A24">
        <w:pPr>
          <w:pStyle w:val="Footer"/>
          <w:jc w:val="center"/>
          <w:rPr>
            <w:sz w:val="18"/>
            <w:szCs w:val="18"/>
          </w:rPr>
        </w:pPr>
        <w:r w:rsidRPr="001B6A24">
          <w:rPr>
            <w:sz w:val="18"/>
            <w:szCs w:val="18"/>
          </w:rPr>
          <w:fldChar w:fldCharType="begin"/>
        </w:r>
        <w:r w:rsidRPr="001B6A24">
          <w:rPr>
            <w:sz w:val="18"/>
            <w:szCs w:val="18"/>
          </w:rPr>
          <w:instrText xml:space="preserve"> PAGE   \* MERGEFORMAT </w:instrText>
        </w:r>
        <w:r w:rsidRPr="001B6A24">
          <w:rPr>
            <w:sz w:val="18"/>
            <w:szCs w:val="18"/>
          </w:rPr>
          <w:fldChar w:fldCharType="separate"/>
        </w:r>
        <w:r w:rsidRPr="001B6A24">
          <w:rPr>
            <w:noProof/>
            <w:sz w:val="18"/>
            <w:szCs w:val="18"/>
          </w:rPr>
          <w:t>2</w:t>
        </w:r>
        <w:r w:rsidRPr="001B6A24">
          <w:rPr>
            <w:noProof/>
            <w:sz w:val="18"/>
            <w:szCs w:val="18"/>
          </w:rPr>
          <w:fldChar w:fldCharType="end"/>
        </w:r>
      </w:p>
    </w:sdtContent>
  </w:sdt>
  <w:p w14:paraId="2B8DDF5A" w14:textId="77777777" w:rsidR="001B6A24" w:rsidRDefault="001B6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ACA4D6" w14:textId="77777777" w:rsidR="00524444" w:rsidRDefault="00524444" w:rsidP="001B6A24">
      <w:pPr>
        <w:spacing w:after="0" w:line="240" w:lineRule="auto"/>
      </w:pPr>
      <w:r>
        <w:separator/>
      </w:r>
    </w:p>
  </w:footnote>
  <w:footnote w:type="continuationSeparator" w:id="0">
    <w:p w14:paraId="6481C51F" w14:textId="77777777" w:rsidR="00524444" w:rsidRDefault="00524444" w:rsidP="001B6A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5503B6"/>
    <w:multiLevelType w:val="hybridMultilevel"/>
    <w:tmpl w:val="E254399C"/>
    <w:lvl w:ilvl="0" w:tplc="38A6A48E">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9B470B"/>
    <w:multiLevelType w:val="multilevel"/>
    <w:tmpl w:val="6E5A0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5F5529"/>
    <w:multiLevelType w:val="hybridMultilevel"/>
    <w:tmpl w:val="6F0EFB96"/>
    <w:lvl w:ilvl="0" w:tplc="08090019">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 w15:restartNumberingAfterBreak="0">
    <w:nsid w:val="4F05391B"/>
    <w:multiLevelType w:val="multilevel"/>
    <w:tmpl w:val="F6A49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0817D3"/>
    <w:multiLevelType w:val="hybridMultilevel"/>
    <w:tmpl w:val="6D2802E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B0424E"/>
    <w:multiLevelType w:val="multilevel"/>
    <w:tmpl w:val="2E7A8250"/>
    <w:lvl w:ilvl="0">
      <w:start w:val="1"/>
      <w:numFmt w:val="upperLetter"/>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CA2B41"/>
    <w:multiLevelType w:val="multilevel"/>
    <w:tmpl w:val="41A4B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713907">
    <w:abstractNumId w:val="2"/>
  </w:num>
  <w:num w:numId="2" w16cid:durableId="32467502">
    <w:abstractNumId w:val="6"/>
  </w:num>
  <w:num w:numId="3" w16cid:durableId="618801119">
    <w:abstractNumId w:val="1"/>
  </w:num>
  <w:num w:numId="4" w16cid:durableId="1596404692">
    <w:abstractNumId w:val="3"/>
  </w:num>
  <w:num w:numId="5" w16cid:durableId="1890144223">
    <w:abstractNumId w:val="5"/>
  </w:num>
  <w:num w:numId="6" w16cid:durableId="782655926">
    <w:abstractNumId w:val="0"/>
  </w:num>
  <w:num w:numId="7" w16cid:durableId="13539902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54C"/>
    <w:rsid w:val="00012A91"/>
    <w:rsid w:val="0006151A"/>
    <w:rsid w:val="00074091"/>
    <w:rsid w:val="00077180"/>
    <w:rsid w:val="000C13D6"/>
    <w:rsid w:val="000E1957"/>
    <w:rsid w:val="0013034C"/>
    <w:rsid w:val="00144404"/>
    <w:rsid w:val="00182E55"/>
    <w:rsid w:val="00195A74"/>
    <w:rsid w:val="001B6A24"/>
    <w:rsid w:val="001E0884"/>
    <w:rsid w:val="0020537A"/>
    <w:rsid w:val="00235BC1"/>
    <w:rsid w:val="002437BB"/>
    <w:rsid w:val="00263E27"/>
    <w:rsid w:val="002F0AE2"/>
    <w:rsid w:val="00370128"/>
    <w:rsid w:val="00383CFC"/>
    <w:rsid w:val="003E16BD"/>
    <w:rsid w:val="00473618"/>
    <w:rsid w:val="004B7E10"/>
    <w:rsid w:val="004D45F5"/>
    <w:rsid w:val="00524444"/>
    <w:rsid w:val="0053331A"/>
    <w:rsid w:val="00554686"/>
    <w:rsid w:val="00591C05"/>
    <w:rsid w:val="005933F5"/>
    <w:rsid w:val="005B1BF5"/>
    <w:rsid w:val="005D0C3F"/>
    <w:rsid w:val="005E4C6C"/>
    <w:rsid w:val="0061033E"/>
    <w:rsid w:val="0061390D"/>
    <w:rsid w:val="00641759"/>
    <w:rsid w:val="00645592"/>
    <w:rsid w:val="006766C3"/>
    <w:rsid w:val="00684203"/>
    <w:rsid w:val="00687007"/>
    <w:rsid w:val="00701F59"/>
    <w:rsid w:val="007152BC"/>
    <w:rsid w:val="00722BDE"/>
    <w:rsid w:val="0074242B"/>
    <w:rsid w:val="00765539"/>
    <w:rsid w:val="00774BB0"/>
    <w:rsid w:val="00776AAF"/>
    <w:rsid w:val="007D0889"/>
    <w:rsid w:val="007F1D59"/>
    <w:rsid w:val="007F3817"/>
    <w:rsid w:val="007F74A2"/>
    <w:rsid w:val="0085070C"/>
    <w:rsid w:val="008B0EA6"/>
    <w:rsid w:val="008B7E86"/>
    <w:rsid w:val="008C654C"/>
    <w:rsid w:val="00903BB2"/>
    <w:rsid w:val="009769E5"/>
    <w:rsid w:val="0098146D"/>
    <w:rsid w:val="009A3D31"/>
    <w:rsid w:val="009C4109"/>
    <w:rsid w:val="009C78C3"/>
    <w:rsid w:val="009E4D98"/>
    <w:rsid w:val="00A0064D"/>
    <w:rsid w:val="00A35E70"/>
    <w:rsid w:val="00A6583B"/>
    <w:rsid w:val="00A9553E"/>
    <w:rsid w:val="00AE6C6D"/>
    <w:rsid w:val="00B23EAC"/>
    <w:rsid w:val="00B2727B"/>
    <w:rsid w:val="00B448EC"/>
    <w:rsid w:val="00B51951"/>
    <w:rsid w:val="00B70C4A"/>
    <w:rsid w:val="00BF202A"/>
    <w:rsid w:val="00C268B3"/>
    <w:rsid w:val="00C306BC"/>
    <w:rsid w:val="00C32280"/>
    <w:rsid w:val="00CA3492"/>
    <w:rsid w:val="00CC589E"/>
    <w:rsid w:val="00CD0DC3"/>
    <w:rsid w:val="00CD72A6"/>
    <w:rsid w:val="00CE5758"/>
    <w:rsid w:val="00D143A7"/>
    <w:rsid w:val="00D2137F"/>
    <w:rsid w:val="00D44454"/>
    <w:rsid w:val="00D4451F"/>
    <w:rsid w:val="00D70D90"/>
    <w:rsid w:val="00D924AF"/>
    <w:rsid w:val="00D96959"/>
    <w:rsid w:val="00D96E3F"/>
    <w:rsid w:val="00DA53AF"/>
    <w:rsid w:val="00DB61AD"/>
    <w:rsid w:val="00E01490"/>
    <w:rsid w:val="00E04698"/>
    <w:rsid w:val="00E40363"/>
    <w:rsid w:val="00E6384E"/>
    <w:rsid w:val="00EA029C"/>
    <w:rsid w:val="00EA0D7A"/>
    <w:rsid w:val="00EB18E1"/>
    <w:rsid w:val="00F76B19"/>
    <w:rsid w:val="00F7715F"/>
    <w:rsid w:val="00F808C4"/>
    <w:rsid w:val="00F92603"/>
    <w:rsid w:val="00F94A70"/>
    <w:rsid w:val="00FA45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24F05"/>
  <w15:docId w15:val="{007D5C80-5D7E-44D3-80D5-D3D89EC5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A658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65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0363"/>
    <w:pPr>
      <w:ind w:left="720"/>
      <w:contextualSpacing/>
    </w:pPr>
  </w:style>
  <w:style w:type="character" w:styleId="Hyperlink">
    <w:name w:val="Hyperlink"/>
    <w:basedOn w:val="DefaultParagraphFont"/>
    <w:uiPriority w:val="99"/>
    <w:unhideWhenUsed/>
    <w:rsid w:val="00B448EC"/>
    <w:rPr>
      <w:color w:val="0563C1" w:themeColor="hyperlink"/>
      <w:u w:val="single"/>
    </w:rPr>
  </w:style>
  <w:style w:type="character" w:styleId="UnresolvedMention">
    <w:name w:val="Unresolved Mention"/>
    <w:basedOn w:val="DefaultParagraphFont"/>
    <w:uiPriority w:val="99"/>
    <w:semiHidden/>
    <w:unhideWhenUsed/>
    <w:rsid w:val="00B448EC"/>
    <w:rPr>
      <w:color w:val="605E5C"/>
      <w:shd w:val="clear" w:color="auto" w:fill="E1DFDD"/>
    </w:rPr>
  </w:style>
  <w:style w:type="paragraph" w:styleId="Header">
    <w:name w:val="header"/>
    <w:basedOn w:val="Normal"/>
    <w:link w:val="HeaderChar"/>
    <w:uiPriority w:val="99"/>
    <w:unhideWhenUsed/>
    <w:rsid w:val="001B6A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A24"/>
  </w:style>
  <w:style w:type="paragraph" w:styleId="Footer">
    <w:name w:val="footer"/>
    <w:basedOn w:val="Normal"/>
    <w:link w:val="FooterChar"/>
    <w:uiPriority w:val="99"/>
    <w:unhideWhenUsed/>
    <w:rsid w:val="001B6A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A24"/>
  </w:style>
  <w:style w:type="paragraph" w:customStyle="1" w:styleId="EndNoteBibliography">
    <w:name w:val="EndNote Bibliography"/>
    <w:basedOn w:val="Normal"/>
    <w:link w:val="EndNoteBibliographyChar"/>
    <w:qFormat/>
    <w:rsid w:val="00E04698"/>
    <w:pPr>
      <w:spacing w:after="0" w:line="240" w:lineRule="atLeast"/>
      <w:jc w:val="both"/>
    </w:pPr>
    <w:rPr>
      <w:rFonts w:ascii="Calibri" w:eastAsia="Times New Roman" w:hAnsi="Calibri" w:cs="Calibri"/>
      <w:noProof/>
      <w:color w:val="000000"/>
      <w:szCs w:val="20"/>
      <w:lang w:val="de-DE" w:eastAsia="de-DE" w:bidi="en-US"/>
    </w:rPr>
  </w:style>
  <w:style w:type="character" w:customStyle="1" w:styleId="EndNoteBibliographyChar">
    <w:name w:val="EndNote Bibliography Char"/>
    <w:link w:val="EndNoteBibliography"/>
    <w:qFormat/>
    <w:rsid w:val="00E04698"/>
    <w:rPr>
      <w:rFonts w:ascii="Calibri" w:eastAsia="Times New Roman" w:hAnsi="Calibri" w:cs="Calibri"/>
      <w:noProof/>
      <w:color w:val="000000"/>
      <w:szCs w:val="20"/>
      <w:lang w:val="de-DE"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30283">
      <w:bodyDiv w:val="1"/>
      <w:marLeft w:val="0"/>
      <w:marRight w:val="0"/>
      <w:marTop w:val="0"/>
      <w:marBottom w:val="0"/>
      <w:divBdr>
        <w:top w:val="none" w:sz="0" w:space="0" w:color="auto"/>
        <w:left w:val="none" w:sz="0" w:space="0" w:color="auto"/>
        <w:bottom w:val="none" w:sz="0" w:space="0" w:color="auto"/>
        <w:right w:val="none" w:sz="0" w:space="0" w:color="auto"/>
      </w:divBdr>
    </w:div>
    <w:div w:id="39483573">
      <w:bodyDiv w:val="1"/>
      <w:marLeft w:val="0"/>
      <w:marRight w:val="0"/>
      <w:marTop w:val="0"/>
      <w:marBottom w:val="0"/>
      <w:divBdr>
        <w:top w:val="none" w:sz="0" w:space="0" w:color="auto"/>
        <w:left w:val="none" w:sz="0" w:space="0" w:color="auto"/>
        <w:bottom w:val="none" w:sz="0" w:space="0" w:color="auto"/>
        <w:right w:val="none" w:sz="0" w:space="0" w:color="auto"/>
      </w:divBdr>
      <w:divsChild>
        <w:div w:id="1445465593">
          <w:marLeft w:val="0"/>
          <w:marRight w:val="0"/>
          <w:marTop w:val="0"/>
          <w:marBottom w:val="0"/>
          <w:divBdr>
            <w:top w:val="none" w:sz="0" w:space="0" w:color="auto"/>
            <w:left w:val="none" w:sz="0" w:space="0" w:color="auto"/>
            <w:bottom w:val="none" w:sz="0" w:space="0" w:color="auto"/>
            <w:right w:val="none" w:sz="0" w:space="0" w:color="auto"/>
          </w:divBdr>
          <w:divsChild>
            <w:div w:id="1370302295">
              <w:marLeft w:val="0"/>
              <w:marRight w:val="0"/>
              <w:marTop w:val="0"/>
              <w:marBottom w:val="0"/>
              <w:divBdr>
                <w:top w:val="none" w:sz="0" w:space="0" w:color="auto"/>
                <w:left w:val="none" w:sz="0" w:space="0" w:color="auto"/>
                <w:bottom w:val="none" w:sz="0" w:space="0" w:color="auto"/>
                <w:right w:val="none" w:sz="0" w:space="0" w:color="auto"/>
              </w:divBdr>
              <w:divsChild>
                <w:div w:id="173762065">
                  <w:marLeft w:val="0"/>
                  <w:marRight w:val="0"/>
                  <w:marTop w:val="0"/>
                  <w:marBottom w:val="0"/>
                  <w:divBdr>
                    <w:top w:val="none" w:sz="0" w:space="0" w:color="auto"/>
                    <w:left w:val="none" w:sz="0" w:space="0" w:color="auto"/>
                    <w:bottom w:val="none" w:sz="0" w:space="0" w:color="auto"/>
                    <w:right w:val="none" w:sz="0" w:space="0" w:color="auto"/>
                  </w:divBdr>
                  <w:divsChild>
                    <w:div w:id="161232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89565">
      <w:bodyDiv w:val="1"/>
      <w:marLeft w:val="0"/>
      <w:marRight w:val="0"/>
      <w:marTop w:val="0"/>
      <w:marBottom w:val="0"/>
      <w:divBdr>
        <w:top w:val="none" w:sz="0" w:space="0" w:color="auto"/>
        <w:left w:val="none" w:sz="0" w:space="0" w:color="auto"/>
        <w:bottom w:val="none" w:sz="0" w:space="0" w:color="auto"/>
        <w:right w:val="none" w:sz="0" w:space="0" w:color="auto"/>
      </w:divBdr>
      <w:divsChild>
        <w:div w:id="1247761711">
          <w:marLeft w:val="0"/>
          <w:marRight w:val="0"/>
          <w:marTop w:val="0"/>
          <w:marBottom w:val="0"/>
          <w:divBdr>
            <w:top w:val="none" w:sz="0" w:space="0" w:color="auto"/>
            <w:left w:val="none" w:sz="0" w:space="0" w:color="auto"/>
            <w:bottom w:val="none" w:sz="0" w:space="0" w:color="auto"/>
            <w:right w:val="none" w:sz="0" w:space="0" w:color="auto"/>
          </w:divBdr>
          <w:divsChild>
            <w:div w:id="360085404">
              <w:marLeft w:val="0"/>
              <w:marRight w:val="0"/>
              <w:marTop w:val="0"/>
              <w:marBottom w:val="0"/>
              <w:divBdr>
                <w:top w:val="none" w:sz="0" w:space="0" w:color="auto"/>
                <w:left w:val="none" w:sz="0" w:space="0" w:color="auto"/>
                <w:bottom w:val="none" w:sz="0" w:space="0" w:color="auto"/>
                <w:right w:val="none" w:sz="0" w:space="0" w:color="auto"/>
              </w:divBdr>
              <w:divsChild>
                <w:div w:id="1734234141">
                  <w:marLeft w:val="0"/>
                  <w:marRight w:val="0"/>
                  <w:marTop w:val="0"/>
                  <w:marBottom w:val="0"/>
                  <w:divBdr>
                    <w:top w:val="none" w:sz="0" w:space="0" w:color="auto"/>
                    <w:left w:val="none" w:sz="0" w:space="0" w:color="auto"/>
                    <w:bottom w:val="none" w:sz="0" w:space="0" w:color="auto"/>
                    <w:right w:val="none" w:sz="0" w:space="0" w:color="auto"/>
                  </w:divBdr>
                  <w:divsChild>
                    <w:div w:id="15847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402997">
      <w:bodyDiv w:val="1"/>
      <w:marLeft w:val="0"/>
      <w:marRight w:val="0"/>
      <w:marTop w:val="0"/>
      <w:marBottom w:val="0"/>
      <w:divBdr>
        <w:top w:val="none" w:sz="0" w:space="0" w:color="auto"/>
        <w:left w:val="none" w:sz="0" w:space="0" w:color="auto"/>
        <w:bottom w:val="none" w:sz="0" w:space="0" w:color="auto"/>
        <w:right w:val="none" w:sz="0" w:space="0" w:color="auto"/>
      </w:divBdr>
      <w:divsChild>
        <w:div w:id="451678830">
          <w:marLeft w:val="0"/>
          <w:marRight w:val="0"/>
          <w:marTop w:val="0"/>
          <w:marBottom w:val="0"/>
          <w:divBdr>
            <w:top w:val="none" w:sz="0" w:space="0" w:color="auto"/>
            <w:left w:val="none" w:sz="0" w:space="0" w:color="auto"/>
            <w:bottom w:val="none" w:sz="0" w:space="0" w:color="auto"/>
            <w:right w:val="none" w:sz="0" w:space="0" w:color="auto"/>
          </w:divBdr>
          <w:divsChild>
            <w:div w:id="955260370">
              <w:marLeft w:val="0"/>
              <w:marRight w:val="0"/>
              <w:marTop w:val="0"/>
              <w:marBottom w:val="0"/>
              <w:divBdr>
                <w:top w:val="none" w:sz="0" w:space="0" w:color="auto"/>
                <w:left w:val="none" w:sz="0" w:space="0" w:color="auto"/>
                <w:bottom w:val="none" w:sz="0" w:space="0" w:color="auto"/>
                <w:right w:val="none" w:sz="0" w:space="0" w:color="auto"/>
              </w:divBdr>
              <w:divsChild>
                <w:div w:id="1428110795">
                  <w:marLeft w:val="0"/>
                  <w:marRight w:val="0"/>
                  <w:marTop w:val="0"/>
                  <w:marBottom w:val="0"/>
                  <w:divBdr>
                    <w:top w:val="none" w:sz="0" w:space="0" w:color="auto"/>
                    <w:left w:val="none" w:sz="0" w:space="0" w:color="auto"/>
                    <w:bottom w:val="none" w:sz="0" w:space="0" w:color="auto"/>
                    <w:right w:val="none" w:sz="0" w:space="0" w:color="auto"/>
                  </w:divBdr>
                  <w:divsChild>
                    <w:div w:id="44145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147842">
      <w:bodyDiv w:val="1"/>
      <w:marLeft w:val="0"/>
      <w:marRight w:val="0"/>
      <w:marTop w:val="0"/>
      <w:marBottom w:val="0"/>
      <w:divBdr>
        <w:top w:val="none" w:sz="0" w:space="0" w:color="auto"/>
        <w:left w:val="none" w:sz="0" w:space="0" w:color="auto"/>
        <w:bottom w:val="none" w:sz="0" w:space="0" w:color="auto"/>
        <w:right w:val="none" w:sz="0" w:space="0" w:color="auto"/>
      </w:divBdr>
      <w:divsChild>
        <w:div w:id="802625355">
          <w:marLeft w:val="0"/>
          <w:marRight w:val="0"/>
          <w:marTop w:val="0"/>
          <w:marBottom w:val="0"/>
          <w:divBdr>
            <w:top w:val="none" w:sz="0" w:space="0" w:color="auto"/>
            <w:left w:val="none" w:sz="0" w:space="0" w:color="auto"/>
            <w:bottom w:val="none" w:sz="0" w:space="0" w:color="auto"/>
            <w:right w:val="none" w:sz="0" w:space="0" w:color="auto"/>
          </w:divBdr>
          <w:divsChild>
            <w:div w:id="739789687">
              <w:marLeft w:val="0"/>
              <w:marRight w:val="0"/>
              <w:marTop w:val="0"/>
              <w:marBottom w:val="0"/>
              <w:divBdr>
                <w:top w:val="none" w:sz="0" w:space="0" w:color="auto"/>
                <w:left w:val="none" w:sz="0" w:space="0" w:color="auto"/>
                <w:bottom w:val="none" w:sz="0" w:space="0" w:color="auto"/>
                <w:right w:val="none" w:sz="0" w:space="0" w:color="auto"/>
              </w:divBdr>
              <w:divsChild>
                <w:div w:id="1961717062">
                  <w:marLeft w:val="0"/>
                  <w:marRight w:val="0"/>
                  <w:marTop w:val="0"/>
                  <w:marBottom w:val="0"/>
                  <w:divBdr>
                    <w:top w:val="none" w:sz="0" w:space="0" w:color="auto"/>
                    <w:left w:val="none" w:sz="0" w:space="0" w:color="auto"/>
                    <w:bottom w:val="none" w:sz="0" w:space="0" w:color="auto"/>
                    <w:right w:val="none" w:sz="0" w:space="0" w:color="auto"/>
                  </w:divBdr>
                  <w:divsChild>
                    <w:div w:id="108973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639488">
      <w:bodyDiv w:val="1"/>
      <w:marLeft w:val="0"/>
      <w:marRight w:val="0"/>
      <w:marTop w:val="0"/>
      <w:marBottom w:val="0"/>
      <w:divBdr>
        <w:top w:val="none" w:sz="0" w:space="0" w:color="auto"/>
        <w:left w:val="none" w:sz="0" w:space="0" w:color="auto"/>
        <w:bottom w:val="none" w:sz="0" w:space="0" w:color="auto"/>
        <w:right w:val="none" w:sz="0" w:space="0" w:color="auto"/>
      </w:divBdr>
      <w:divsChild>
        <w:div w:id="153646479">
          <w:marLeft w:val="0"/>
          <w:marRight w:val="0"/>
          <w:marTop w:val="0"/>
          <w:marBottom w:val="0"/>
          <w:divBdr>
            <w:top w:val="none" w:sz="0" w:space="0" w:color="auto"/>
            <w:left w:val="none" w:sz="0" w:space="0" w:color="auto"/>
            <w:bottom w:val="none" w:sz="0" w:space="0" w:color="auto"/>
            <w:right w:val="none" w:sz="0" w:space="0" w:color="auto"/>
          </w:divBdr>
          <w:divsChild>
            <w:div w:id="1889803002">
              <w:marLeft w:val="0"/>
              <w:marRight w:val="0"/>
              <w:marTop w:val="0"/>
              <w:marBottom w:val="0"/>
              <w:divBdr>
                <w:top w:val="none" w:sz="0" w:space="0" w:color="auto"/>
                <w:left w:val="none" w:sz="0" w:space="0" w:color="auto"/>
                <w:bottom w:val="none" w:sz="0" w:space="0" w:color="auto"/>
                <w:right w:val="none" w:sz="0" w:space="0" w:color="auto"/>
              </w:divBdr>
              <w:divsChild>
                <w:div w:id="429083399">
                  <w:marLeft w:val="0"/>
                  <w:marRight w:val="0"/>
                  <w:marTop w:val="0"/>
                  <w:marBottom w:val="0"/>
                  <w:divBdr>
                    <w:top w:val="none" w:sz="0" w:space="0" w:color="auto"/>
                    <w:left w:val="none" w:sz="0" w:space="0" w:color="auto"/>
                    <w:bottom w:val="none" w:sz="0" w:space="0" w:color="auto"/>
                    <w:right w:val="none" w:sz="0" w:space="0" w:color="auto"/>
                  </w:divBdr>
                  <w:divsChild>
                    <w:div w:id="35731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739955">
      <w:bodyDiv w:val="1"/>
      <w:marLeft w:val="0"/>
      <w:marRight w:val="0"/>
      <w:marTop w:val="0"/>
      <w:marBottom w:val="0"/>
      <w:divBdr>
        <w:top w:val="none" w:sz="0" w:space="0" w:color="auto"/>
        <w:left w:val="none" w:sz="0" w:space="0" w:color="auto"/>
        <w:bottom w:val="none" w:sz="0" w:space="0" w:color="auto"/>
        <w:right w:val="none" w:sz="0" w:space="0" w:color="auto"/>
      </w:divBdr>
    </w:div>
    <w:div w:id="468130570">
      <w:bodyDiv w:val="1"/>
      <w:marLeft w:val="0"/>
      <w:marRight w:val="0"/>
      <w:marTop w:val="0"/>
      <w:marBottom w:val="0"/>
      <w:divBdr>
        <w:top w:val="none" w:sz="0" w:space="0" w:color="auto"/>
        <w:left w:val="none" w:sz="0" w:space="0" w:color="auto"/>
        <w:bottom w:val="none" w:sz="0" w:space="0" w:color="auto"/>
        <w:right w:val="none" w:sz="0" w:space="0" w:color="auto"/>
      </w:divBdr>
      <w:divsChild>
        <w:div w:id="1884053445">
          <w:marLeft w:val="0"/>
          <w:marRight w:val="0"/>
          <w:marTop w:val="0"/>
          <w:marBottom w:val="0"/>
          <w:divBdr>
            <w:top w:val="none" w:sz="0" w:space="0" w:color="auto"/>
            <w:left w:val="none" w:sz="0" w:space="0" w:color="auto"/>
            <w:bottom w:val="none" w:sz="0" w:space="0" w:color="auto"/>
            <w:right w:val="none" w:sz="0" w:space="0" w:color="auto"/>
          </w:divBdr>
          <w:divsChild>
            <w:div w:id="963463129">
              <w:marLeft w:val="0"/>
              <w:marRight w:val="0"/>
              <w:marTop w:val="0"/>
              <w:marBottom w:val="0"/>
              <w:divBdr>
                <w:top w:val="none" w:sz="0" w:space="0" w:color="auto"/>
                <w:left w:val="none" w:sz="0" w:space="0" w:color="auto"/>
                <w:bottom w:val="none" w:sz="0" w:space="0" w:color="auto"/>
                <w:right w:val="none" w:sz="0" w:space="0" w:color="auto"/>
              </w:divBdr>
              <w:divsChild>
                <w:div w:id="1485396803">
                  <w:marLeft w:val="0"/>
                  <w:marRight w:val="0"/>
                  <w:marTop w:val="0"/>
                  <w:marBottom w:val="0"/>
                  <w:divBdr>
                    <w:top w:val="none" w:sz="0" w:space="0" w:color="auto"/>
                    <w:left w:val="none" w:sz="0" w:space="0" w:color="auto"/>
                    <w:bottom w:val="none" w:sz="0" w:space="0" w:color="auto"/>
                    <w:right w:val="none" w:sz="0" w:space="0" w:color="auto"/>
                  </w:divBdr>
                  <w:divsChild>
                    <w:div w:id="12935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702168">
      <w:bodyDiv w:val="1"/>
      <w:marLeft w:val="0"/>
      <w:marRight w:val="0"/>
      <w:marTop w:val="0"/>
      <w:marBottom w:val="0"/>
      <w:divBdr>
        <w:top w:val="none" w:sz="0" w:space="0" w:color="auto"/>
        <w:left w:val="none" w:sz="0" w:space="0" w:color="auto"/>
        <w:bottom w:val="none" w:sz="0" w:space="0" w:color="auto"/>
        <w:right w:val="none" w:sz="0" w:space="0" w:color="auto"/>
      </w:divBdr>
    </w:div>
    <w:div w:id="698356107">
      <w:bodyDiv w:val="1"/>
      <w:marLeft w:val="0"/>
      <w:marRight w:val="0"/>
      <w:marTop w:val="0"/>
      <w:marBottom w:val="0"/>
      <w:divBdr>
        <w:top w:val="none" w:sz="0" w:space="0" w:color="auto"/>
        <w:left w:val="none" w:sz="0" w:space="0" w:color="auto"/>
        <w:bottom w:val="none" w:sz="0" w:space="0" w:color="auto"/>
        <w:right w:val="none" w:sz="0" w:space="0" w:color="auto"/>
      </w:divBdr>
      <w:divsChild>
        <w:div w:id="177697598">
          <w:marLeft w:val="0"/>
          <w:marRight w:val="0"/>
          <w:marTop w:val="0"/>
          <w:marBottom w:val="0"/>
          <w:divBdr>
            <w:top w:val="none" w:sz="0" w:space="0" w:color="auto"/>
            <w:left w:val="none" w:sz="0" w:space="0" w:color="auto"/>
            <w:bottom w:val="none" w:sz="0" w:space="0" w:color="auto"/>
            <w:right w:val="none" w:sz="0" w:space="0" w:color="auto"/>
          </w:divBdr>
          <w:divsChild>
            <w:div w:id="902957030">
              <w:marLeft w:val="0"/>
              <w:marRight w:val="0"/>
              <w:marTop w:val="0"/>
              <w:marBottom w:val="0"/>
              <w:divBdr>
                <w:top w:val="none" w:sz="0" w:space="0" w:color="auto"/>
                <w:left w:val="none" w:sz="0" w:space="0" w:color="auto"/>
                <w:bottom w:val="none" w:sz="0" w:space="0" w:color="auto"/>
                <w:right w:val="none" w:sz="0" w:space="0" w:color="auto"/>
              </w:divBdr>
              <w:divsChild>
                <w:div w:id="1721123786">
                  <w:marLeft w:val="0"/>
                  <w:marRight w:val="0"/>
                  <w:marTop w:val="0"/>
                  <w:marBottom w:val="0"/>
                  <w:divBdr>
                    <w:top w:val="none" w:sz="0" w:space="0" w:color="auto"/>
                    <w:left w:val="none" w:sz="0" w:space="0" w:color="auto"/>
                    <w:bottom w:val="none" w:sz="0" w:space="0" w:color="auto"/>
                    <w:right w:val="none" w:sz="0" w:space="0" w:color="auto"/>
                  </w:divBdr>
                  <w:divsChild>
                    <w:div w:id="5708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551382">
      <w:bodyDiv w:val="1"/>
      <w:marLeft w:val="0"/>
      <w:marRight w:val="0"/>
      <w:marTop w:val="0"/>
      <w:marBottom w:val="0"/>
      <w:divBdr>
        <w:top w:val="none" w:sz="0" w:space="0" w:color="auto"/>
        <w:left w:val="none" w:sz="0" w:space="0" w:color="auto"/>
        <w:bottom w:val="none" w:sz="0" w:space="0" w:color="auto"/>
        <w:right w:val="none" w:sz="0" w:space="0" w:color="auto"/>
      </w:divBdr>
      <w:divsChild>
        <w:div w:id="1777948265">
          <w:marLeft w:val="0"/>
          <w:marRight w:val="0"/>
          <w:marTop w:val="0"/>
          <w:marBottom w:val="0"/>
          <w:divBdr>
            <w:top w:val="none" w:sz="0" w:space="0" w:color="auto"/>
            <w:left w:val="none" w:sz="0" w:space="0" w:color="auto"/>
            <w:bottom w:val="none" w:sz="0" w:space="0" w:color="auto"/>
            <w:right w:val="none" w:sz="0" w:space="0" w:color="auto"/>
          </w:divBdr>
          <w:divsChild>
            <w:div w:id="899290793">
              <w:marLeft w:val="0"/>
              <w:marRight w:val="0"/>
              <w:marTop w:val="0"/>
              <w:marBottom w:val="0"/>
              <w:divBdr>
                <w:top w:val="none" w:sz="0" w:space="0" w:color="auto"/>
                <w:left w:val="none" w:sz="0" w:space="0" w:color="auto"/>
                <w:bottom w:val="none" w:sz="0" w:space="0" w:color="auto"/>
                <w:right w:val="none" w:sz="0" w:space="0" w:color="auto"/>
              </w:divBdr>
              <w:divsChild>
                <w:div w:id="1581863716">
                  <w:marLeft w:val="0"/>
                  <w:marRight w:val="0"/>
                  <w:marTop w:val="0"/>
                  <w:marBottom w:val="0"/>
                  <w:divBdr>
                    <w:top w:val="none" w:sz="0" w:space="0" w:color="auto"/>
                    <w:left w:val="none" w:sz="0" w:space="0" w:color="auto"/>
                    <w:bottom w:val="none" w:sz="0" w:space="0" w:color="auto"/>
                    <w:right w:val="none" w:sz="0" w:space="0" w:color="auto"/>
                  </w:divBdr>
                  <w:divsChild>
                    <w:div w:id="12504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252054">
      <w:bodyDiv w:val="1"/>
      <w:marLeft w:val="0"/>
      <w:marRight w:val="0"/>
      <w:marTop w:val="0"/>
      <w:marBottom w:val="0"/>
      <w:divBdr>
        <w:top w:val="none" w:sz="0" w:space="0" w:color="auto"/>
        <w:left w:val="none" w:sz="0" w:space="0" w:color="auto"/>
        <w:bottom w:val="none" w:sz="0" w:space="0" w:color="auto"/>
        <w:right w:val="none" w:sz="0" w:space="0" w:color="auto"/>
      </w:divBdr>
      <w:divsChild>
        <w:div w:id="997075241">
          <w:marLeft w:val="0"/>
          <w:marRight w:val="0"/>
          <w:marTop w:val="0"/>
          <w:marBottom w:val="0"/>
          <w:divBdr>
            <w:top w:val="none" w:sz="0" w:space="0" w:color="auto"/>
            <w:left w:val="none" w:sz="0" w:space="0" w:color="auto"/>
            <w:bottom w:val="none" w:sz="0" w:space="0" w:color="auto"/>
            <w:right w:val="none" w:sz="0" w:space="0" w:color="auto"/>
          </w:divBdr>
          <w:divsChild>
            <w:div w:id="209464928">
              <w:marLeft w:val="0"/>
              <w:marRight w:val="0"/>
              <w:marTop w:val="0"/>
              <w:marBottom w:val="0"/>
              <w:divBdr>
                <w:top w:val="none" w:sz="0" w:space="0" w:color="auto"/>
                <w:left w:val="none" w:sz="0" w:space="0" w:color="auto"/>
                <w:bottom w:val="none" w:sz="0" w:space="0" w:color="auto"/>
                <w:right w:val="none" w:sz="0" w:space="0" w:color="auto"/>
              </w:divBdr>
              <w:divsChild>
                <w:div w:id="330913561">
                  <w:marLeft w:val="0"/>
                  <w:marRight w:val="0"/>
                  <w:marTop w:val="0"/>
                  <w:marBottom w:val="0"/>
                  <w:divBdr>
                    <w:top w:val="none" w:sz="0" w:space="0" w:color="auto"/>
                    <w:left w:val="none" w:sz="0" w:space="0" w:color="auto"/>
                    <w:bottom w:val="none" w:sz="0" w:space="0" w:color="auto"/>
                    <w:right w:val="none" w:sz="0" w:space="0" w:color="auto"/>
                  </w:divBdr>
                  <w:divsChild>
                    <w:div w:id="141820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042595">
      <w:bodyDiv w:val="1"/>
      <w:marLeft w:val="0"/>
      <w:marRight w:val="0"/>
      <w:marTop w:val="0"/>
      <w:marBottom w:val="0"/>
      <w:divBdr>
        <w:top w:val="none" w:sz="0" w:space="0" w:color="auto"/>
        <w:left w:val="none" w:sz="0" w:space="0" w:color="auto"/>
        <w:bottom w:val="none" w:sz="0" w:space="0" w:color="auto"/>
        <w:right w:val="none" w:sz="0" w:space="0" w:color="auto"/>
      </w:divBdr>
      <w:divsChild>
        <w:div w:id="55862257">
          <w:marLeft w:val="0"/>
          <w:marRight w:val="0"/>
          <w:marTop w:val="0"/>
          <w:marBottom w:val="0"/>
          <w:divBdr>
            <w:top w:val="none" w:sz="0" w:space="0" w:color="auto"/>
            <w:left w:val="none" w:sz="0" w:space="0" w:color="auto"/>
            <w:bottom w:val="none" w:sz="0" w:space="0" w:color="auto"/>
            <w:right w:val="none" w:sz="0" w:space="0" w:color="auto"/>
          </w:divBdr>
          <w:divsChild>
            <w:div w:id="1507552410">
              <w:marLeft w:val="0"/>
              <w:marRight w:val="0"/>
              <w:marTop w:val="0"/>
              <w:marBottom w:val="0"/>
              <w:divBdr>
                <w:top w:val="none" w:sz="0" w:space="0" w:color="auto"/>
                <w:left w:val="none" w:sz="0" w:space="0" w:color="auto"/>
                <w:bottom w:val="none" w:sz="0" w:space="0" w:color="auto"/>
                <w:right w:val="none" w:sz="0" w:space="0" w:color="auto"/>
              </w:divBdr>
              <w:divsChild>
                <w:div w:id="811874554">
                  <w:marLeft w:val="0"/>
                  <w:marRight w:val="0"/>
                  <w:marTop w:val="0"/>
                  <w:marBottom w:val="0"/>
                  <w:divBdr>
                    <w:top w:val="none" w:sz="0" w:space="0" w:color="auto"/>
                    <w:left w:val="none" w:sz="0" w:space="0" w:color="auto"/>
                    <w:bottom w:val="none" w:sz="0" w:space="0" w:color="auto"/>
                    <w:right w:val="none" w:sz="0" w:space="0" w:color="auto"/>
                  </w:divBdr>
                  <w:divsChild>
                    <w:div w:id="116026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244769">
      <w:bodyDiv w:val="1"/>
      <w:marLeft w:val="0"/>
      <w:marRight w:val="0"/>
      <w:marTop w:val="0"/>
      <w:marBottom w:val="0"/>
      <w:divBdr>
        <w:top w:val="none" w:sz="0" w:space="0" w:color="auto"/>
        <w:left w:val="none" w:sz="0" w:space="0" w:color="auto"/>
        <w:bottom w:val="none" w:sz="0" w:space="0" w:color="auto"/>
        <w:right w:val="none" w:sz="0" w:space="0" w:color="auto"/>
      </w:divBdr>
      <w:divsChild>
        <w:div w:id="780028391">
          <w:marLeft w:val="0"/>
          <w:marRight w:val="0"/>
          <w:marTop w:val="0"/>
          <w:marBottom w:val="0"/>
          <w:divBdr>
            <w:top w:val="single" w:sz="2" w:space="0" w:color="E3E3E3"/>
            <w:left w:val="single" w:sz="2" w:space="0" w:color="E3E3E3"/>
            <w:bottom w:val="single" w:sz="2" w:space="0" w:color="E3E3E3"/>
            <w:right w:val="single" w:sz="2" w:space="0" w:color="E3E3E3"/>
          </w:divBdr>
          <w:divsChild>
            <w:div w:id="738020992">
              <w:marLeft w:val="0"/>
              <w:marRight w:val="0"/>
              <w:marTop w:val="100"/>
              <w:marBottom w:val="100"/>
              <w:divBdr>
                <w:top w:val="single" w:sz="2" w:space="0" w:color="E3E3E3"/>
                <w:left w:val="single" w:sz="2" w:space="0" w:color="E3E3E3"/>
                <w:bottom w:val="single" w:sz="2" w:space="0" w:color="E3E3E3"/>
                <w:right w:val="single" w:sz="2" w:space="0" w:color="E3E3E3"/>
              </w:divBdr>
              <w:divsChild>
                <w:div w:id="456065902">
                  <w:marLeft w:val="0"/>
                  <w:marRight w:val="0"/>
                  <w:marTop w:val="0"/>
                  <w:marBottom w:val="0"/>
                  <w:divBdr>
                    <w:top w:val="single" w:sz="2" w:space="0" w:color="E3E3E3"/>
                    <w:left w:val="single" w:sz="2" w:space="0" w:color="E3E3E3"/>
                    <w:bottom w:val="single" w:sz="2" w:space="0" w:color="E3E3E3"/>
                    <w:right w:val="single" w:sz="2" w:space="0" w:color="E3E3E3"/>
                  </w:divBdr>
                  <w:divsChild>
                    <w:div w:id="1088962035">
                      <w:marLeft w:val="0"/>
                      <w:marRight w:val="0"/>
                      <w:marTop w:val="0"/>
                      <w:marBottom w:val="0"/>
                      <w:divBdr>
                        <w:top w:val="single" w:sz="2" w:space="0" w:color="E3E3E3"/>
                        <w:left w:val="single" w:sz="2" w:space="0" w:color="E3E3E3"/>
                        <w:bottom w:val="single" w:sz="2" w:space="0" w:color="E3E3E3"/>
                        <w:right w:val="single" w:sz="2" w:space="0" w:color="E3E3E3"/>
                      </w:divBdr>
                      <w:divsChild>
                        <w:div w:id="1236747100">
                          <w:marLeft w:val="0"/>
                          <w:marRight w:val="0"/>
                          <w:marTop w:val="0"/>
                          <w:marBottom w:val="0"/>
                          <w:divBdr>
                            <w:top w:val="single" w:sz="2" w:space="0" w:color="E3E3E3"/>
                            <w:left w:val="single" w:sz="2" w:space="0" w:color="E3E3E3"/>
                            <w:bottom w:val="single" w:sz="2" w:space="0" w:color="E3E3E3"/>
                            <w:right w:val="single" w:sz="2" w:space="0" w:color="E3E3E3"/>
                          </w:divBdr>
                          <w:divsChild>
                            <w:div w:id="1907716026">
                              <w:marLeft w:val="0"/>
                              <w:marRight w:val="0"/>
                              <w:marTop w:val="0"/>
                              <w:marBottom w:val="0"/>
                              <w:divBdr>
                                <w:top w:val="single" w:sz="2" w:space="0" w:color="E3E3E3"/>
                                <w:left w:val="single" w:sz="2" w:space="0" w:color="E3E3E3"/>
                                <w:bottom w:val="single" w:sz="2" w:space="0" w:color="E3E3E3"/>
                                <w:right w:val="single" w:sz="2" w:space="0" w:color="E3E3E3"/>
                              </w:divBdr>
                              <w:divsChild>
                                <w:div w:id="645474103">
                                  <w:marLeft w:val="0"/>
                                  <w:marRight w:val="0"/>
                                  <w:marTop w:val="0"/>
                                  <w:marBottom w:val="0"/>
                                  <w:divBdr>
                                    <w:top w:val="single" w:sz="2" w:space="0" w:color="E3E3E3"/>
                                    <w:left w:val="single" w:sz="2" w:space="0" w:color="E3E3E3"/>
                                    <w:bottom w:val="single" w:sz="2" w:space="0" w:color="E3E3E3"/>
                                    <w:right w:val="single" w:sz="2" w:space="0" w:color="E3E3E3"/>
                                  </w:divBdr>
                                  <w:divsChild>
                                    <w:div w:id="4364999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98378197">
          <w:marLeft w:val="0"/>
          <w:marRight w:val="0"/>
          <w:marTop w:val="0"/>
          <w:marBottom w:val="0"/>
          <w:divBdr>
            <w:top w:val="single" w:sz="2" w:space="0" w:color="E3E3E3"/>
            <w:left w:val="single" w:sz="2" w:space="0" w:color="E3E3E3"/>
            <w:bottom w:val="single" w:sz="2" w:space="0" w:color="E3E3E3"/>
            <w:right w:val="single" w:sz="2" w:space="0" w:color="E3E3E3"/>
          </w:divBdr>
          <w:divsChild>
            <w:div w:id="956718525">
              <w:marLeft w:val="0"/>
              <w:marRight w:val="0"/>
              <w:marTop w:val="100"/>
              <w:marBottom w:val="100"/>
              <w:divBdr>
                <w:top w:val="single" w:sz="2" w:space="0" w:color="E3E3E3"/>
                <w:left w:val="single" w:sz="2" w:space="0" w:color="E3E3E3"/>
                <w:bottom w:val="single" w:sz="2" w:space="0" w:color="E3E3E3"/>
                <w:right w:val="single" w:sz="2" w:space="0" w:color="E3E3E3"/>
              </w:divBdr>
              <w:divsChild>
                <w:div w:id="1022436526">
                  <w:marLeft w:val="0"/>
                  <w:marRight w:val="0"/>
                  <w:marTop w:val="0"/>
                  <w:marBottom w:val="0"/>
                  <w:divBdr>
                    <w:top w:val="single" w:sz="2" w:space="0" w:color="E3E3E3"/>
                    <w:left w:val="single" w:sz="2" w:space="0" w:color="E3E3E3"/>
                    <w:bottom w:val="single" w:sz="2" w:space="0" w:color="E3E3E3"/>
                    <w:right w:val="single" w:sz="2" w:space="0" w:color="E3E3E3"/>
                  </w:divBdr>
                  <w:divsChild>
                    <w:div w:id="990136662">
                      <w:marLeft w:val="0"/>
                      <w:marRight w:val="0"/>
                      <w:marTop w:val="0"/>
                      <w:marBottom w:val="0"/>
                      <w:divBdr>
                        <w:top w:val="single" w:sz="2" w:space="0" w:color="E3E3E3"/>
                        <w:left w:val="single" w:sz="2" w:space="0" w:color="E3E3E3"/>
                        <w:bottom w:val="single" w:sz="2" w:space="0" w:color="E3E3E3"/>
                        <w:right w:val="single" w:sz="2" w:space="0" w:color="E3E3E3"/>
                      </w:divBdr>
                      <w:divsChild>
                        <w:div w:id="664164817">
                          <w:marLeft w:val="0"/>
                          <w:marRight w:val="0"/>
                          <w:marTop w:val="0"/>
                          <w:marBottom w:val="0"/>
                          <w:divBdr>
                            <w:top w:val="single" w:sz="2" w:space="0" w:color="E3E3E3"/>
                            <w:left w:val="single" w:sz="2" w:space="0" w:color="E3E3E3"/>
                            <w:bottom w:val="single" w:sz="2" w:space="0" w:color="E3E3E3"/>
                            <w:right w:val="single" w:sz="2" w:space="0" w:color="E3E3E3"/>
                          </w:divBdr>
                          <w:divsChild>
                            <w:div w:id="920067318">
                              <w:marLeft w:val="0"/>
                              <w:marRight w:val="0"/>
                              <w:marTop w:val="0"/>
                              <w:marBottom w:val="0"/>
                              <w:divBdr>
                                <w:top w:val="single" w:sz="2" w:space="0" w:color="E3E3E3"/>
                                <w:left w:val="single" w:sz="2" w:space="0" w:color="E3E3E3"/>
                                <w:bottom w:val="single" w:sz="2" w:space="0" w:color="E3E3E3"/>
                                <w:right w:val="single" w:sz="2" w:space="0" w:color="E3E3E3"/>
                              </w:divBdr>
                              <w:divsChild>
                                <w:div w:id="1786802976">
                                  <w:marLeft w:val="0"/>
                                  <w:marRight w:val="0"/>
                                  <w:marTop w:val="0"/>
                                  <w:marBottom w:val="0"/>
                                  <w:divBdr>
                                    <w:top w:val="single" w:sz="2" w:space="0" w:color="E3E3E3"/>
                                    <w:left w:val="single" w:sz="2" w:space="0" w:color="E3E3E3"/>
                                    <w:bottom w:val="single" w:sz="2" w:space="0" w:color="E3E3E3"/>
                                    <w:right w:val="single" w:sz="2" w:space="0" w:color="E3E3E3"/>
                                  </w:divBdr>
                                  <w:divsChild>
                                    <w:div w:id="10508822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675303232">
                      <w:marLeft w:val="0"/>
                      <w:marRight w:val="0"/>
                      <w:marTop w:val="0"/>
                      <w:marBottom w:val="0"/>
                      <w:divBdr>
                        <w:top w:val="single" w:sz="2" w:space="0" w:color="E3E3E3"/>
                        <w:left w:val="single" w:sz="2" w:space="0" w:color="E3E3E3"/>
                        <w:bottom w:val="single" w:sz="2" w:space="0" w:color="E3E3E3"/>
                        <w:right w:val="single" w:sz="2" w:space="0" w:color="E3E3E3"/>
                      </w:divBdr>
                      <w:divsChild>
                        <w:div w:id="383063661">
                          <w:marLeft w:val="0"/>
                          <w:marRight w:val="0"/>
                          <w:marTop w:val="0"/>
                          <w:marBottom w:val="0"/>
                          <w:divBdr>
                            <w:top w:val="single" w:sz="2" w:space="0" w:color="E3E3E3"/>
                            <w:left w:val="single" w:sz="2" w:space="0" w:color="E3E3E3"/>
                            <w:bottom w:val="single" w:sz="2" w:space="0" w:color="E3E3E3"/>
                            <w:right w:val="single" w:sz="2" w:space="0" w:color="E3E3E3"/>
                          </w:divBdr>
                        </w:div>
                        <w:div w:id="1826509248">
                          <w:marLeft w:val="0"/>
                          <w:marRight w:val="0"/>
                          <w:marTop w:val="0"/>
                          <w:marBottom w:val="0"/>
                          <w:divBdr>
                            <w:top w:val="single" w:sz="2" w:space="0" w:color="E3E3E3"/>
                            <w:left w:val="single" w:sz="2" w:space="0" w:color="E3E3E3"/>
                            <w:bottom w:val="single" w:sz="2" w:space="0" w:color="E3E3E3"/>
                            <w:right w:val="single" w:sz="2" w:space="0" w:color="E3E3E3"/>
                          </w:divBdr>
                          <w:divsChild>
                            <w:div w:id="1976635753">
                              <w:marLeft w:val="0"/>
                              <w:marRight w:val="0"/>
                              <w:marTop w:val="0"/>
                              <w:marBottom w:val="0"/>
                              <w:divBdr>
                                <w:top w:val="single" w:sz="2" w:space="0" w:color="E3E3E3"/>
                                <w:left w:val="single" w:sz="2" w:space="0" w:color="E3E3E3"/>
                                <w:bottom w:val="single" w:sz="2" w:space="0" w:color="E3E3E3"/>
                                <w:right w:val="single" w:sz="2" w:space="0" w:color="E3E3E3"/>
                              </w:divBdr>
                              <w:divsChild>
                                <w:div w:id="169222853">
                                  <w:marLeft w:val="0"/>
                                  <w:marRight w:val="0"/>
                                  <w:marTop w:val="0"/>
                                  <w:marBottom w:val="0"/>
                                  <w:divBdr>
                                    <w:top w:val="single" w:sz="2" w:space="0" w:color="E3E3E3"/>
                                    <w:left w:val="single" w:sz="2" w:space="0" w:color="E3E3E3"/>
                                    <w:bottom w:val="single" w:sz="2" w:space="0" w:color="E3E3E3"/>
                                    <w:right w:val="single" w:sz="2" w:space="0" w:color="E3E3E3"/>
                                  </w:divBdr>
                                  <w:divsChild>
                                    <w:div w:id="185607446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447116909">
          <w:marLeft w:val="0"/>
          <w:marRight w:val="0"/>
          <w:marTop w:val="0"/>
          <w:marBottom w:val="0"/>
          <w:divBdr>
            <w:top w:val="single" w:sz="2" w:space="0" w:color="E3E3E3"/>
            <w:left w:val="single" w:sz="2" w:space="0" w:color="E3E3E3"/>
            <w:bottom w:val="single" w:sz="2" w:space="0" w:color="E3E3E3"/>
            <w:right w:val="single" w:sz="2" w:space="0" w:color="E3E3E3"/>
          </w:divBdr>
          <w:divsChild>
            <w:div w:id="1950626104">
              <w:marLeft w:val="0"/>
              <w:marRight w:val="0"/>
              <w:marTop w:val="100"/>
              <w:marBottom w:val="100"/>
              <w:divBdr>
                <w:top w:val="single" w:sz="2" w:space="0" w:color="E3E3E3"/>
                <w:left w:val="single" w:sz="2" w:space="0" w:color="E3E3E3"/>
                <w:bottom w:val="single" w:sz="2" w:space="0" w:color="E3E3E3"/>
                <w:right w:val="single" w:sz="2" w:space="0" w:color="E3E3E3"/>
              </w:divBdr>
              <w:divsChild>
                <w:div w:id="1121070366">
                  <w:marLeft w:val="0"/>
                  <w:marRight w:val="0"/>
                  <w:marTop w:val="0"/>
                  <w:marBottom w:val="0"/>
                  <w:divBdr>
                    <w:top w:val="single" w:sz="2" w:space="0" w:color="E3E3E3"/>
                    <w:left w:val="single" w:sz="2" w:space="0" w:color="E3E3E3"/>
                    <w:bottom w:val="single" w:sz="2" w:space="0" w:color="E3E3E3"/>
                    <w:right w:val="single" w:sz="2" w:space="0" w:color="E3E3E3"/>
                  </w:divBdr>
                  <w:divsChild>
                    <w:div w:id="929004051">
                      <w:marLeft w:val="0"/>
                      <w:marRight w:val="0"/>
                      <w:marTop w:val="0"/>
                      <w:marBottom w:val="0"/>
                      <w:divBdr>
                        <w:top w:val="single" w:sz="2" w:space="0" w:color="E3E3E3"/>
                        <w:left w:val="single" w:sz="2" w:space="0" w:color="E3E3E3"/>
                        <w:bottom w:val="single" w:sz="2" w:space="0" w:color="E3E3E3"/>
                        <w:right w:val="single" w:sz="2" w:space="0" w:color="E3E3E3"/>
                      </w:divBdr>
                      <w:divsChild>
                        <w:div w:id="1310555099">
                          <w:marLeft w:val="0"/>
                          <w:marRight w:val="0"/>
                          <w:marTop w:val="0"/>
                          <w:marBottom w:val="0"/>
                          <w:divBdr>
                            <w:top w:val="single" w:sz="2" w:space="0" w:color="E3E3E3"/>
                            <w:left w:val="single" w:sz="2" w:space="0" w:color="E3E3E3"/>
                            <w:bottom w:val="single" w:sz="2" w:space="0" w:color="E3E3E3"/>
                            <w:right w:val="single" w:sz="2" w:space="0" w:color="E3E3E3"/>
                          </w:divBdr>
                          <w:divsChild>
                            <w:div w:id="1811246149">
                              <w:marLeft w:val="0"/>
                              <w:marRight w:val="0"/>
                              <w:marTop w:val="0"/>
                              <w:marBottom w:val="0"/>
                              <w:divBdr>
                                <w:top w:val="single" w:sz="2" w:space="0" w:color="E3E3E3"/>
                                <w:left w:val="single" w:sz="2" w:space="0" w:color="E3E3E3"/>
                                <w:bottom w:val="single" w:sz="2" w:space="0" w:color="E3E3E3"/>
                                <w:right w:val="single" w:sz="2" w:space="0" w:color="E3E3E3"/>
                              </w:divBdr>
                              <w:divsChild>
                                <w:div w:id="848064129">
                                  <w:marLeft w:val="0"/>
                                  <w:marRight w:val="0"/>
                                  <w:marTop w:val="0"/>
                                  <w:marBottom w:val="0"/>
                                  <w:divBdr>
                                    <w:top w:val="single" w:sz="2" w:space="0" w:color="E3E3E3"/>
                                    <w:left w:val="single" w:sz="2" w:space="0" w:color="E3E3E3"/>
                                    <w:bottom w:val="single" w:sz="2" w:space="0" w:color="E3E3E3"/>
                                    <w:right w:val="single" w:sz="2" w:space="0" w:color="E3E3E3"/>
                                  </w:divBdr>
                                  <w:divsChild>
                                    <w:div w:id="8597784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940915669">
                      <w:marLeft w:val="0"/>
                      <w:marRight w:val="0"/>
                      <w:marTop w:val="0"/>
                      <w:marBottom w:val="0"/>
                      <w:divBdr>
                        <w:top w:val="single" w:sz="2" w:space="0" w:color="E3E3E3"/>
                        <w:left w:val="single" w:sz="2" w:space="0" w:color="E3E3E3"/>
                        <w:bottom w:val="single" w:sz="2" w:space="0" w:color="E3E3E3"/>
                        <w:right w:val="single" w:sz="2" w:space="0" w:color="E3E3E3"/>
                      </w:divBdr>
                      <w:divsChild>
                        <w:div w:id="49156013">
                          <w:marLeft w:val="0"/>
                          <w:marRight w:val="0"/>
                          <w:marTop w:val="0"/>
                          <w:marBottom w:val="0"/>
                          <w:divBdr>
                            <w:top w:val="single" w:sz="2" w:space="0" w:color="E3E3E3"/>
                            <w:left w:val="single" w:sz="2" w:space="0" w:color="E3E3E3"/>
                            <w:bottom w:val="single" w:sz="2" w:space="0" w:color="E3E3E3"/>
                            <w:right w:val="single" w:sz="2" w:space="0" w:color="E3E3E3"/>
                          </w:divBdr>
                          <w:divsChild>
                            <w:div w:id="1772581379">
                              <w:marLeft w:val="0"/>
                              <w:marRight w:val="0"/>
                              <w:marTop w:val="0"/>
                              <w:marBottom w:val="0"/>
                              <w:divBdr>
                                <w:top w:val="single" w:sz="2" w:space="0" w:color="E3E3E3"/>
                                <w:left w:val="single" w:sz="2" w:space="0" w:color="E3E3E3"/>
                                <w:bottom w:val="single" w:sz="2" w:space="0" w:color="E3E3E3"/>
                                <w:right w:val="single" w:sz="2" w:space="0" w:color="E3E3E3"/>
                              </w:divBdr>
                              <w:divsChild>
                                <w:div w:id="65231457">
                                  <w:marLeft w:val="0"/>
                                  <w:marRight w:val="0"/>
                                  <w:marTop w:val="0"/>
                                  <w:marBottom w:val="0"/>
                                  <w:divBdr>
                                    <w:top w:val="single" w:sz="2" w:space="0" w:color="E3E3E3"/>
                                    <w:left w:val="single" w:sz="2" w:space="0" w:color="E3E3E3"/>
                                    <w:bottom w:val="single" w:sz="2" w:space="0" w:color="E3E3E3"/>
                                    <w:right w:val="single" w:sz="2" w:space="0" w:color="E3E3E3"/>
                                  </w:divBdr>
                                  <w:divsChild>
                                    <w:div w:id="3573912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743877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058628473">
      <w:bodyDiv w:val="1"/>
      <w:marLeft w:val="0"/>
      <w:marRight w:val="0"/>
      <w:marTop w:val="0"/>
      <w:marBottom w:val="0"/>
      <w:divBdr>
        <w:top w:val="none" w:sz="0" w:space="0" w:color="auto"/>
        <w:left w:val="none" w:sz="0" w:space="0" w:color="auto"/>
        <w:bottom w:val="none" w:sz="0" w:space="0" w:color="auto"/>
        <w:right w:val="none" w:sz="0" w:space="0" w:color="auto"/>
      </w:divBdr>
      <w:divsChild>
        <w:div w:id="1972520253">
          <w:marLeft w:val="0"/>
          <w:marRight w:val="0"/>
          <w:marTop w:val="0"/>
          <w:marBottom w:val="0"/>
          <w:divBdr>
            <w:top w:val="none" w:sz="0" w:space="0" w:color="auto"/>
            <w:left w:val="none" w:sz="0" w:space="0" w:color="auto"/>
            <w:bottom w:val="none" w:sz="0" w:space="0" w:color="auto"/>
            <w:right w:val="none" w:sz="0" w:space="0" w:color="auto"/>
          </w:divBdr>
          <w:divsChild>
            <w:div w:id="245193053">
              <w:marLeft w:val="0"/>
              <w:marRight w:val="0"/>
              <w:marTop w:val="0"/>
              <w:marBottom w:val="0"/>
              <w:divBdr>
                <w:top w:val="none" w:sz="0" w:space="0" w:color="auto"/>
                <w:left w:val="none" w:sz="0" w:space="0" w:color="auto"/>
                <w:bottom w:val="none" w:sz="0" w:space="0" w:color="auto"/>
                <w:right w:val="none" w:sz="0" w:space="0" w:color="auto"/>
              </w:divBdr>
              <w:divsChild>
                <w:div w:id="169833704">
                  <w:marLeft w:val="0"/>
                  <w:marRight w:val="0"/>
                  <w:marTop w:val="0"/>
                  <w:marBottom w:val="0"/>
                  <w:divBdr>
                    <w:top w:val="none" w:sz="0" w:space="0" w:color="auto"/>
                    <w:left w:val="none" w:sz="0" w:space="0" w:color="auto"/>
                    <w:bottom w:val="none" w:sz="0" w:space="0" w:color="auto"/>
                    <w:right w:val="none" w:sz="0" w:space="0" w:color="auto"/>
                  </w:divBdr>
                  <w:divsChild>
                    <w:div w:id="56252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372796">
      <w:bodyDiv w:val="1"/>
      <w:marLeft w:val="0"/>
      <w:marRight w:val="0"/>
      <w:marTop w:val="0"/>
      <w:marBottom w:val="0"/>
      <w:divBdr>
        <w:top w:val="none" w:sz="0" w:space="0" w:color="auto"/>
        <w:left w:val="none" w:sz="0" w:space="0" w:color="auto"/>
        <w:bottom w:val="none" w:sz="0" w:space="0" w:color="auto"/>
        <w:right w:val="none" w:sz="0" w:space="0" w:color="auto"/>
      </w:divBdr>
      <w:divsChild>
        <w:div w:id="892423659">
          <w:marLeft w:val="0"/>
          <w:marRight w:val="0"/>
          <w:marTop w:val="0"/>
          <w:marBottom w:val="0"/>
          <w:divBdr>
            <w:top w:val="none" w:sz="0" w:space="0" w:color="auto"/>
            <w:left w:val="none" w:sz="0" w:space="0" w:color="auto"/>
            <w:bottom w:val="none" w:sz="0" w:space="0" w:color="auto"/>
            <w:right w:val="none" w:sz="0" w:space="0" w:color="auto"/>
          </w:divBdr>
          <w:divsChild>
            <w:div w:id="785849924">
              <w:marLeft w:val="0"/>
              <w:marRight w:val="0"/>
              <w:marTop w:val="0"/>
              <w:marBottom w:val="0"/>
              <w:divBdr>
                <w:top w:val="none" w:sz="0" w:space="0" w:color="auto"/>
                <w:left w:val="none" w:sz="0" w:space="0" w:color="auto"/>
                <w:bottom w:val="none" w:sz="0" w:space="0" w:color="auto"/>
                <w:right w:val="none" w:sz="0" w:space="0" w:color="auto"/>
              </w:divBdr>
              <w:divsChild>
                <w:div w:id="1078015695">
                  <w:marLeft w:val="0"/>
                  <w:marRight w:val="0"/>
                  <w:marTop w:val="0"/>
                  <w:marBottom w:val="0"/>
                  <w:divBdr>
                    <w:top w:val="none" w:sz="0" w:space="0" w:color="auto"/>
                    <w:left w:val="none" w:sz="0" w:space="0" w:color="auto"/>
                    <w:bottom w:val="none" w:sz="0" w:space="0" w:color="auto"/>
                    <w:right w:val="none" w:sz="0" w:space="0" w:color="auto"/>
                  </w:divBdr>
                  <w:divsChild>
                    <w:div w:id="7199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968403">
      <w:bodyDiv w:val="1"/>
      <w:marLeft w:val="0"/>
      <w:marRight w:val="0"/>
      <w:marTop w:val="0"/>
      <w:marBottom w:val="0"/>
      <w:divBdr>
        <w:top w:val="none" w:sz="0" w:space="0" w:color="auto"/>
        <w:left w:val="none" w:sz="0" w:space="0" w:color="auto"/>
        <w:bottom w:val="none" w:sz="0" w:space="0" w:color="auto"/>
        <w:right w:val="none" w:sz="0" w:space="0" w:color="auto"/>
      </w:divBdr>
      <w:divsChild>
        <w:div w:id="204879394">
          <w:marLeft w:val="0"/>
          <w:marRight w:val="0"/>
          <w:marTop w:val="0"/>
          <w:marBottom w:val="0"/>
          <w:divBdr>
            <w:top w:val="none" w:sz="0" w:space="0" w:color="auto"/>
            <w:left w:val="none" w:sz="0" w:space="0" w:color="auto"/>
            <w:bottom w:val="none" w:sz="0" w:space="0" w:color="auto"/>
            <w:right w:val="none" w:sz="0" w:space="0" w:color="auto"/>
          </w:divBdr>
          <w:divsChild>
            <w:div w:id="1531718426">
              <w:marLeft w:val="0"/>
              <w:marRight w:val="0"/>
              <w:marTop w:val="0"/>
              <w:marBottom w:val="0"/>
              <w:divBdr>
                <w:top w:val="none" w:sz="0" w:space="0" w:color="auto"/>
                <w:left w:val="none" w:sz="0" w:space="0" w:color="auto"/>
                <w:bottom w:val="none" w:sz="0" w:space="0" w:color="auto"/>
                <w:right w:val="none" w:sz="0" w:space="0" w:color="auto"/>
              </w:divBdr>
              <w:divsChild>
                <w:div w:id="1712613155">
                  <w:marLeft w:val="0"/>
                  <w:marRight w:val="0"/>
                  <w:marTop w:val="0"/>
                  <w:marBottom w:val="0"/>
                  <w:divBdr>
                    <w:top w:val="none" w:sz="0" w:space="0" w:color="auto"/>
                    <w:left w:val="none" w:sz="0" w:space="0" w:color="auto"/>
                    <w:bottom w:val="none" w:sz="0" w:space="0" w:color="auto"/>
                    <w:right w:val="none" w:sz="0" w:space="0" w:color="auto"/>
                  </w:divBdr>
                  <w:divsChild>
                    <w:div w:id="14234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102167">
      <w:bodyDiv w:val="1"/>
      <w:marLeft w:val="0"/>
      <w:marRight w:val="0"/>
      <w:marTop w:val="0"/>
      <w:marBottom w:val="0"/>
      <w:divBdr>
        <w:top w:val="none" w:sz="0" w:space="0" w:color="auto"/>
        <w:left w:val="none" w:sz="0" w:space="0" w:color="auto"/>
        <w:bottom w:val="none" w:sz="0" w:space="0" w:color="auto"/>
        <w:right w:val="none" w:sz="0" w:space="0" w:color="auto"/>
      </w:divBdr>
      <w:divsChild>
        <w:div w:id="678773139">
          <w:marLeft w:val="0"/>
          <w:marRight w:val="0"/>
          <w:marTop w:val="0"/>
          <w:marBottom w:val="0"/>
          <w:divBdr>
            <w:top w:val="none" w:sz="0" w:space="0" w:color="auto"/>
            <w:left w:val="none" w:sz="0" w:space="0" w:color="auto"/>
            <w:bottom w:val="none" w:sz="0" w:space="0" w:color="auto"/>
            <w:right w:val="none" w:sz="0" w:space="0" w:color="auto"/>
          </w:divBdr>
          <w:divsChild>
            <w:div w:id="2134907290">
              <w:marLeft w:val="0"/>
              <w:marRight w:val="0"/>
              <w:marTop w:val="0"/>
              <w:marBottom w:val="0"/>
              <w:divBdr>
                <w:top w:val="none" w:sz="0" w:space="0" w:color="auto"/>
                <w:left w:val="none" w:sz="0" w:space="0" w:color="auto"/>
                <w:bottom w:val="none" w:sz="0" w:space="0" w:color="auto"/>
                <w:right w:val="none" w:sz="0" w:space="0" w:color="auto"/>
              </w:divBdr>
              <w:divsChild>
                <w:div w:id="1007052921">
                  <w:marLeft w:val="0"/>
                  <w:marRight w:val="0"/>
                  <w:marTop w:val="0"/>
                  <w:marBottom w:val="0"/>
                  <w:divBdr>
                    <w:top w:val="none" w:sz="0" w:space="0" w:color="auto"/>
                    <w:left w:val="none" w:sz="0" w:space="0" w:color="auto"/>
                    <w:bottom w:val="none" w:sz="0" w:space="0" w:color="auto"/>
                    <w:right w:val="none" w:sz="0" w:space="0" w:color="auto"/>
                  </w:divBdr>
                  <w:divsChild>
                    <w:div w:id="124934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99923">
      <w:bodyDiv w:val="1"/>
      <w:marLeft w:val="0"/>
      <w:marRight w:val="0"/>
      <w:marTop w:val="0"/>
      <w:marBottom w:val="0"/>
      <w:divBdr>
        <w:top w:val="none" w:sz="0" w:space="0" w:color="auto"/>
        <w:left w:val="none" w:sz="0" w:space="0" w:color="auto"/>
        <w:bottom w:val="none" w:sz="0" w:space="0" w:color="auto"/>
        <w:right w:val="none" w:sz="0" w:space="0" w:color="auto"/>
      </w:divBdr>
      <w:divsChild>
        <w:div w:id="2030056620">
          <w:marLeft w:val="0"/>
          <w:marRight w:val="0"/>
          <w:marTop w:val="0"/>
          <w:marBottom w:val="0"/>
          <w:divBdr>
            <w:top w:val="none" w:sz="0" w:space="0" w:color="auto"/>
            <w:left w:val="none" w:sz="0" w:space="0" w:color="auto"/>
            <w:bottom w:val="none" w:sz="0" w:space="0" w:color="auto"/>
            <w:right w:val="none" w:sz="0" w:space="0" w:color="auto"/>
          </w:divBdr>
          <w:divsChild>
            <w:div w:id="1301227356">
              <w:marLeft w:val="0"/>
              <w:marRight w:val="0"/>
              <w:marTop w:val="0"/>
              <w:marBottom w:val="0"/>
              <w:divBdr>
                <w:top w:val="none" w:sz="0" w:space="0" w:color="auto"/>
                <w:left w:val="none" w:sz="0" w:space="0" w:color="auto"/>
                <w:bottom w:val="none" w:sz="0" w:space="0" w:color="auto"/>
                <w:right w:val="none" w:sz="0" w:space="0" w:color="auto"/>
              </w:divBdr>
              <w:divsChild>
                <w:div w:id="320890642">
                  <w:marLeft w:val="0"/>
                  <w:marRight w:val="0"/>
                  <w:marTop w:val="0"/>
                  <w:marBottom w:val="0"/>
                  <w:divBdr>
                    <w:top w:val="none" w:sz="0" w:space="0" w:color="auto"/>
                    <w:left w:val="none" w:sz="0" w:space="0" w:color="auto"/>
                    <w:bottom w:val="none" w:sz="0" w:space="0" w:color="auto"/>
                    <w:right w:val="none" w:sz="0" w:space="0" w:color="auto"/>
                  </w:divBdr>
                  <w:divsChild>
                    <w:div w:id="9656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046586">
      <w:bodyDiv w:val="1"/>
      <w:marLeft w:val="0"/>
      <w:marRight w:val="0"/>
      <w:marTop w:val="0"/>
      <w:marBottom w:val="0"/>
      <w:divBdr>
        <w:top w:val="none" w:sz="0" w:space="0" w:color="auto"/>
        <w:left w:val="none" w:sz="0" w:space="0" w:color="auto"/>
        <w:bottom w:val="none" w:sz="0" w:space="0" w:color="auto"/>
        <w:right w:val="none" w:sz="0" w:space="0" w:color="auto"/>
      </w:divBdr>
      <w:divsChild>
        <w:div w:id="1445149392">
          <w:marLeft w:val="0"/>
          <w:marRight w:val="0"/>
          <w:marTop w:val="0"/>
          <w:marBottom w:val="0"/>
          <w:divBdr>
            <w:top w:val="none" w:sz="0" w:space="0" w:color="auto"/>
            <w:left w:val="none" w:sz="0" w:space="0" w:color="auto"/>
            <w:bottom w:val="none" w:sz="0" w:space="0" w:color="auto"/>
            <w:right w:val="none" w:sz="0" w:space="0" w:color="auto"/>
          </w:divBdr>
          <w:divsChild>
            <w:div w:id="1649430499">
              <w:marLeft w:val="0"/>
              <w:marRight w:val="0"/>
              <w:marTop w:val="0"/>
              <w:marBottom w:val="0"/>
              <w:divBdr>
                <w:top w:val="none" w:sz="0" w:space="0" w:color="auto"/>
                <w:left w:val="none" w:sz="0" w:space="0" w:color="auto"/>
                <w:bottom w:val="none" w:sz="0" w:space="0" w:color="auto"/>
                <w:right w:val="none" w:sz="0" w:space="0" w:color="auto"/>
              </w:divBdr>
              <w:divsChild>
                <w:div w:id="1035959717">
                  <w:marLeft w:val="0"/>
                  <w:marRight w:val="0"/>
                  <w:marTop w:val="0"/>
                  <w:marBottom w:val="0"/>
                  <w:divBdr>
                    <w:top w:val="none" w:sz="0" w:space="0" w:color="auto"/>
                    <w:left w:val="none" w:sz="0" w:space="0" w:color="auto"/>
                    <w:bottom w:val="none" w:sz="0" w:space="0" w:color="auto"/>
                    <w:right w:val="none" w:sz="0" w:space="0" w:color="auto"/>
                  </w:divBdr>
                  <w:divsChild>
                    <w:div w:id="133715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89137">
      <w:bodyDiv w:val="1"/>
      <w:marLeft w:val="0"/>
      <w:marRight w:val="0"/>
      <w:marTop w:val="0"/>
      <w:marBottom w:val="0"/>
      <w:divBdr>
        <w:top w:val="none" w:sz="0" w:space="0" w:color="auto"/>
        <w:left w:val="none" w:sz="0" w:space="0" w:color="auto"/>
        <w:bottom w:val="none" w:sz="0" w:space="0" w:color="auto"/>
        <w:right w:val="none" w:sz="0" w:space="0" w:color="auto"/>
      </w:divBdr>
      <w:divsChild>
        <w:div w:id="1365132645">
          <w:marLeft w:val="0"/>
          <w:marRight w:val="0"/>
          <w:marTop w:val="0"/>
          <w:marBottom w:val="0"/>
          <w:divBdr>
            <w:top w:val="none" w:sz="0" w:space="0" w:color="auto"/>
            <w:left w:val="none" w:sz="0" w:space="0" w:color="auto"/>
            <w:bottom w:val="none" w:sz="0" w:space="0" w:color="auto"/>
            <w:right w:val="none" w:sz="0" w:space="0" w:color="auto"/>
          </w:divBdr>
          <w:divsChild>
            <w:div w:id="1496534767">
              <w:marLeft w:val="0"/>
              <w:marRight w:val="0"/>
              <w:marTop w:val="0"/>
              <w:marBottom w:val="0"/>
              <w:divBdr>
                <w:top w:val="none" w:sz="0" w:space="0" w:color="auto"/>
                <w:left w:val="none" w:sz="0" w:space="0" w:color="auto"/>
                <w:bottom w:val="none" w:sz="0" w:space="0" w:color="auto"/>
                <w:right w:val="none" w:sz="0" w:space="0" w:color="auto"/>
              </w:divBdr>
              <w:divsChild>
                <w:div w:id="837305361">
                  <w:marLeft w:val="0"/>
                  <w:marRight w:val="0"/>
                  <w:marTop w:val="0"/>
                  <w:marBottom w:val="0"/>
                  <w:divBdr>
                    <w:top w:val="none" w:sz="0" w:space="0" w:color="auto"/>
                    <w:left w:val="none" w:sz="0" w:space="0" w:color="auto"/>
                    <w:bottom w:val="none" w:sz="0" w:space="0" w:color="auto"/>
                    <w:right w:val="none" w:sz="0" w:space="0" w:color="auto"/>
                  </w:divBdr>
                  <w:divsChild>
                    <w:div w:id="11822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935845">
      <w:bodyDiv w:val="1"/>
      <w:marLeft w:val="0"/>
      <w:marRight w:val="0"/>
      <w:marTop w:val="0"/>
      <w:marBottom w:val="0"/>
      <w:divBdr>
        <w:top w:val="none" w:sz="0" w:space="0" w:color="auto"/>
        <w:left w:val="none" w:sz="0" w:space="0" w:color="auto"/>
        <w:bottom w:val="none" w:sz="0" w:space="0" w:color="auto"/>
        <w:right w:val="none" w:sz="0" w:space="0" w:color="auto"/>
      </w:divBdr>
      <w:divsChild>
        <w:div w:id="1189950478">
          <w:marLeft w:val="0"/>
          <w:marRight w:val="0"/>
          <w:marTop w:val="0"/>
          <w:marBottom w:val="0"/>
          <w:divBdr>
            <w:top w:val="single" w:sz="2" w:space="0" w:color="E3E3E3"/>
            <w:left w:val="single" w:sz="2" w:space="0" w:color="E3E3E3"/>
            <w:bottom w:val="single" w:sz="2" w:space="0" w:color="E3E3E3"/>
            <w:right w:val="single" w:sz="2" w:space="0" w:color="E3E3E3"/>
          </w:divBdr>
          <w:divsChild>
            <w:div w:id="1057633055">
              <w:marLeft w:val="0"/>
              <w:marRight w:val="0"/>
              <w:marTop w:val="0"/>
              <w:marBottom w:val="0"/>
              <w:divBdr>
                <w:top w:val="single" w:sz="2" w:space="0" w:color="E3E3E3"/>
                <w:left w:val="single" w:sz="2" w:space="0" w:color="E3E3E3"/>
                <w:bottom w:val="single" w:sz="2" w:space="0" w:color="E3E3E3"/>
                <w:right w:val="single" w:sz="2" w:space="0" w:color="E3E3E3"/>
              </w:divBdr>
              <w:divsChild>
                <w:div w:id="709694010">
                  <w:marLeft w:val="0"/>
                  <w:marRight w:val="0"/>
                  <w:marTop w:val="0"/>
                  <w:marBottom w:val="0"/>
                  <w:divBdr>
                    <w:top w:val="single" w:sz="2" w:space="0" w:color="E3E3E3"/>
                    <w:left w:val="single" w:sz="2" w:space="0" w:color="E3E3E3"/>
                    <w:bottom w:val="single" w:sz="2" w:space="0" w:color="E3E3E3"/>
                    <w:right w:val="single" w:sz="2" w:space="0" w:color="E3E3E3"/>
                  </w:divBdr>
                  <w:divsChild>
                    <w:div w:id="1455248598">
                      <w:marLeft w:val="0"/>
                      <w:marRight w:val="0"/>
                      <w:marTop w:val="0"/>
                      <w:marBottom w:val="0"/>
                      <w:divBdr>
                        <w:top w:val="single" w:sz="2" w:space="0" w:color="E3E3E3"/>
                        <w:left w:val="single" w:sz="2" w:space="0" w:color="E3E3E3"/>
                        <w:bottom w:val="single" w:sz="2" w:space="0" w:color="E3E3E3"/>
                        <w:right w:val="single" w:sz="2" w:space="0" w:color="E3E3E3"/>
                      </w:divBdr>
                      <w:divsChild>
                        <w:div w:id="660042952">
                          <w:marLeft w:val="0"/>
                          <w:marRight w:val="0"/>
                          <w:marTop w:val="0"/>
                          <w:marBottom w:val="0"/>
                          <w:divBdr>
                            <w:top w:val="single" w:sz="2" w:space="0" w:color="E3E3E3"/>
                            <w:left w:val="single" w:sz="2" w:space="0" w:color="E3E3E3"/>
                            <w:bottom w:val="single" w:sz="2" w:space="0" w:color="E3E3E3"/>
                            <w:right w:val="single" w:sz="2" w:space="0" w:color="E3E3E3"/>
                          </w:divBdr>
                          <w:divsChild>
                            <w:div w:id="1848902173">
                              <w:marLeft w:val="0"/>
                              <w:marRight w:val="0"/>
                              <w:marTop w:val="100"/>
                              <w:marBottom w:val="100"/>
                              <w:divBdr>
                                <w:top w:val="single" w:sz="2" w:space="0" w:color="E3E3E3"/>
                                <w:left w:val="single" w:sz="2" w:space="0" w:color="E3E3E3"/>
                                <w:bottom w:val="single" w:sz="2" w:space="0" w:color="E3E3E3"/>
                                <w:right w:val="single" w:sz="2" w:space="0" w:color="E3E3E3"/>
                              </w:divBdr>
                              <w:divsChild>
                                <w:div w:id="64648410">
                                  <w:marLeft w:val="0"/>
                                  <w:marRight w:val="0"/>
                                  <w:marTop w:val="0"/>
                                  <w:marBottom w:val="0"/>
                                  <w:divBdr>
                                    <w:top w:val="single" w:sz="2" w:space="0" w:color="E3E3E3"/>
                                    <w:left w:val="single" w:sz="2" w:space="0" w:color="E3E3E3"/>
                                    <w:bottom w:val="single" w:sz="2" w:space="0" w:color="E3E3E3"/>
                                    <w:right w:val="single" w:sz="2" w:space="0" w:color="E3E3E3"/>
                                  </w:divBdr>
                                  <w:divsChild>
                                    <w:div w:id="1016079326">
                                      <w:marLeft w:val="0"/>
                                      <w:marRight w:val="0"/>
                                      <w:marTop w:val="0"/>
                                      <w:marBottom w:val="0"/>
                                      <w:divBdr>
                                        <w:top w:val="single" w:sz="2" w:space="0" w:color="E3E3E3"/>
                                        <w:left w:val="single" w:sz="2" w:space="0" w:color="E3E3E3"/>
                                        <w:bottom w:val="single" w:sz="2" w:space="0" w:color="E3E3E3"/>
                                        <w:right w:val="single" w:sz="2" w:space="0" w:color="E3E3E3"/>
                                      </w:divBdr>
                                      <w:divsChild>
                                        <w:div w:id="86077376">
                                          <w:marLeft w:val="0"/>
                                          <w:marRight w:val="0"/>
                                          <w:marTop w:val="0"/>
                                          <w:marBottom w:val="0"/>
                                          <w:divBdr>
                                            <w:top w:val="single" w:sz="2" w:space="0" w:color="E3E3E3"/>
                                            <w:left w:val="single" w:sz="2" w:space="0" w:color="E3E3E3"/>
                                            <w:bottom w:val="single" w:sz="2" w:space="0" w:color="E3E3E3"/>
                                            <w:right w:val="single" w:sz="2" w:space="0" w:color="E3E3E3"/>
                                          </w:divBdr>
                                          <w:divsChild>
                                            <w:div w:id="778138719">
                                              <w:marLeft w:val="0"/>
                                              <w:marRight w:val="0"/>
                                              <w:marTop w:val="0"/>
                                              <w:marBottom w:val="0"/>
                                              <w:divBdr>
                                                <w:top w:val="single" w:sz="2" w:space="0" w:color="E3E3E3"/>
                                                <w:left w:val="single" w:sz="2" w:space="0" w:color="E3E3E3"/>
                                                <w:bottom w:val="single" w:sz="2" w:space="0" w:color="E3E3E3"/>
                                                <w:right w:val="single" w:sz="2" w:space="0" w:color="E3E3E3"/>
                                              </w:divBdr>
                                              <w:divsChild>
                                                <w:div w:id="1759015565">
                                                  <w:marLeft w:val="0"/>
                                                  <w:marRight w:val="0"/>
                                                  <w:marTop w:val="0"/>
                                                  <w:marBottom w:val="0"/>
                                                  <w:divBdr>
                                                    <w:top w:val="single" w:sz="2" w:space="0" w:color="E3E3E3"/>
                                                    <w:left w:val="single" w:sz="2" w:space="0" w:color="E3E3E3"/>
                                                    <w:bottom w:val="single" w:sz="2" w:space="0" w:color="E3E3E3"/>
                                                    <w:right w:val="single" w:sz="2" w:space="0" w:color="E3E3E3"/>
                                                  </w:divBdr>
                                                  <w:divsChild>
                                                    <w:div w:id="18723012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4684838">
          <w:marLeft w:val="0"/>
          <w:marRight w:val="0"/>
          <w:marTop w:val="0"/>
          <w:marBottom w:val="0"/>
          <w:divBdr>
            <w:top w:val="none" w:sz="0" w:space="0" w:color="auto"/>
            <w:left w:val="none" w:sz="0" w:space="0" w:color="auto"/>
            <w:bottom w:val="none" w:sz="0" w:space="0" w:color="auto"/>
            <w:right w:val="none" w:sz="0" w:space="0" w:color="auto"/>
          </w:divBdr>
        </w:div>
      </w:divsChild>
    </w:div>
    <w:div w:id="1311977987">
      <w:bodyDiv w:val="1"/>
      <w:marLeft w:val="0"/>
      <w:marRight w:val="0"/>
      <w:marTop w:val="0"/>
      <w:marBottom w:val="0"/>
      <w:divBdr>
        <w:top w:val="none" w:sz="0" w:space="0" w:color="auto"/>
        <w:left w:val="none" w:sz="0" w:space="0" w:color="auto"/>
        <w:bottom w:val="none" w:sz="0" w:space="0" w:color="auto"/>
        <w:right w:val="none" w:sz="0" w:space="0" w:color="auto"/>
      </w:divBdr>
      <w:divsChild>
        <w:div w:id="1759518828">
          <w:marLeft w:val="0"/>
          <w:marRight w:val="0"/>
          <w:marTop w:val="0"/>
          <w:marBottom w:val="0"/>
          <w:divBdr>
            <w:top w:val="none" w:sz="0" w:space="0" w:color="auto"/>
            <w:left w:val="none" w:sz="0" w:space="0" w:color="auto"/>
            <w:bottom w:val="none" w:sz="0" w:space="0" w:color="auto"/>
            <w:right w:val="none" w:sz="0" w:space="0" w:color="auto"/>
          </w:divBdr>
          <w:divsChild>
            <w:div w:id="1140539092">
              <w:marLeft w:val="0"/>
              <w:marRight w:val="0"/>
              <w:marTop w:val="0"/>
              <w:marBottom w:val="0"/>
              <w:divBdr>
                <w:top w:val="none" w:sz="0" w:space="0" w:color="auto"/>
                <w:left w:val="none" w:sz="0" w:space="0" w:color="auto"/>
                <w:bottom w:val="none" w:sz="0" w:space="0" w:color="auto"/>
                <w:right w:val="none" w:sz="0" w:space="0" w:color="auto"/>
              </w:divBdr>
              <w:divsChild>
                <w:div w:id="86586317">
                  <w:marLeft w:val="0"/>
                  <w:marRight w:val="0"/>
                  <w:marTop w:val="0"/>
                  <w:marBottom w:val="0"/>
                  <w:divBdr>
                    <w:top w:val="none" w:sz="0" w:space="0" w:color="auto"/>
                    <w:left w:val="none" w:sz="0" w:space="0" w:color="auto"/>
                    <w:bottom w:val="none" w:sz="0" w:space="0" w:color="auto"/>
                    <w:right w:val="none" w:sz="0" w:space="0" w:color="auto"/>
                  </w:divBdr>
                  <w:divsChild>
                    <w:div w:id="208391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870301">
      <w:bodyDiv w:val="1"/>
      <w:marLeft w:val="0"/>
      <w:marRight w:val="0"/>
      <w:marTop w:val="0"/>
      <w:marBottom w:val="0"/>
      <w:divBdr>
        <w:top w:val="none" w:sz="0" w:space="0" w:color="auto"/>
        <w:left w:val="none" w:sz="0" w:space="0" w:color="auto"/>
        <w:bottom w:val="none" w:sz="0" w:space="0" w:color="auto"/>
        <w:right w:val="none" w:sz="0" w:space="0" w:color="auto"/>
      </w:divBdr>
      <w:divsChild>
        <w:div w:id="342173978">
          <w:marLeft w:val="0"/>
          <w:marRight w:val="0"/>
          <w:marTop w:val="0"/>
          <w:marBottom w:val="0"/>
          <w:divBdr>
            <w:top w:val="none" w:sz="0" w:space="0" w:color="auto"/>
            <w:left w:val="none" w:sz="0" w:space="0" w:color="auto"/>
            <w:bottom w:val="none" w:sz="0" w:space="0" w:color="auto"/>
            <w:right w:val="none" w:sz="0" w:space="0" w:color="auto"/>
          </w:divBdr>
          <w:divsChild>
            <w:div w:id="1325861512">
              <w:marLeft w:val="0"/>
              <w:marRight w:val="0"/>
              <w:marTop w:val="0"/>
              <w:marBottom w:val="0"/>
              <w:divBdr>
                <w:top w:val="none" w:sz="0" w:space="0" w:color="auto"/>
                <w:left w:val="none" w:sz="0" w:space="0" w:color="auto"/>
                <w:bottom w:val="none" w:sz="0" w:space="0" w:color="auto"/>
                <w:right w:val="none" w:sz="0" w:space="0" w:color="auto"/>
              </w:divBdr>
              <w:divsChild>
                <w:div w:id="454637934">
                  <w:marLeft w:val="0"/>
                  <w:marRight w:val="0"/>
                  <w:marTop w:val="0"/>
                  <w:marBottom w:val="0"/>
                  <w:divBdr>
                    <w:top w:val="none" w:sz="0" w:space="0" w:color="auto"/>
                    <w:left w:val="none" w:sz="0" w:space="0" w:color="auto"/>
                    <w:bottom w:val="none" w:sz="0" w:space="0" w:color="auto"/>
                    <w:right w:val="none" w:sz="0" w:space="0" w:color="auto"/>
                  </w:divBdr>
                  <w:divsChild>
                    <w:div w:id="125096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86747">
      <w:bodyDiv w:val="1"/>
      <w:marLeft w:val="0"/>
      <w:marRight w:val="0"/>
      <w:marTop w:val="0"/>
      <w:marBottom w:val="0"/>
      <w:divBdr>
        <w:top w:val="none" w:sz="0" w:space="0" w:color="auto"/>
        <w:left w:val="none" w:sz="0" w:space="0" w:color="auto"/>
        <w:bottom w:val="none" w:sz="0" w:space="0" w:color="auto"/>
        <w:right w:val="none" w:sz="0" w:space="0" w:color="auto"/>
      </w:divBdr>
      <w:divsChild>
        <w:div w:id="650671214">
          <w:marLeft w:val="0"/>
          <w:marRight w:val="0"/>
          <w:marTop w:val="0"/>
          <w:marBottom w:val="0"/>
          <w:divBdr>
            <w:top w:val="none" w:sz="0" w:space="0" w:color="auto"/>
            <w:left w:val="none" w:sz="0" w:space="0" w:color="auto"/>
            <w:bottom w:val="none" w:sz="0" w:space="0" w:color="auto"/>
            <w:right w:val="none" w:sz="0" w:space="0" w:color="auto"/>
          </w:divBdr>
          <w:divsChild>
            <w:div w:id="1429348866">
              <w:marLeft w:val="0"/>
              <w:marRight w:val="0"/>
              <w:marTop w:val="0"/>
              <w:marBottom w:val="0"/>
              <w:divBdr>
                <w:top w:val="none" w:sz="0" w:space="0" w:color="auto"/>
                <w:left w:val="none" w:sz="0" w:space="0" w:color="auto"/>
                <w:bottom w:val="none" w:sz="0" w:space="0" w:color="auto"/>
                <w:right w:val="none" w:sz="0" w:space="0" w:color="auto"/>
              </w:divBdr>
              <w:divsChild>
                <w:div w:id="1008099487">
                  <w:marLeft w:val="0"/>
                  <w:marRight w:val="0"/>
                  <w:marTop w:val="0"/>
                  <w:marBottom w:val="0"/>
                  <w:divBdr>
                    <w:top w:val="none" w:sz="0" w:space="0" w:color="auto"/>
                    <w:left w:val="none" w:sz="0" w:space="0" w:color="auto"/>
                    <w:bottom w:val="none" w:sz="0" w:space="0" w:color="auto"/>
                    <w:right w:val="none" w:sz="0" w:space="0" w:color="auto"/>
                  </w:divBdr>
                  <w:divsChild>
                    <w:div w:id="112781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016890">
      <w:bodyDiv w:val="1"/>
      <w:marLeft w:val="0"/>
      <w:marRight w:val="0"/>
      <w:marTop w:val="0"/>
      <w:marBottom w:val="0"/>
      <w:divBdr>
        <w:top w:val="none" w:sz="0" w:space="0" w:color="auto"/>
        <w:left w:val="none" w:sz="0" w:space="0" w:color="auto"/>
        <w:bottom w:val="none" w:sz="0" w:space="0" w:color="auto"/>
        <w:right w:val="none" w:sz="0" w:space="0" w:color="auto"/>
      </w:divBdr>
      <w:divsChild>
        <w:div w:id="1110512503">
          <w:marLeft w:val="0"/>
          <w:marRight w:val="0"/>
          <w:marTop w:val="0"/>
          <w:marBottom w:val="0"/>
          <w:divBdr>
            <w:top w:val="none" w:sz="0" w:space="0" w:color="auto"/>
            <w:left w:val="none" w:sz="0" w:space="0" w:color="auto"/>
            <w:bottom w:val="none" w:sz="0" w:space="0" w:color="auto"/>
            <w:right w:val="none" w:sz="0" w:space="0" w:color="auto"/>
          </w:divBdr>
          <w:divsChild>
            <w:div w:id="846404391">
              <w:marLeft w:val="0"/>
              <w:marRight w:val="0"/>
              <w:marTop w:val="0"/>
              <w:marBottom w:val="0"/>
              <w:divBdr>
                <w:top w:val="none" w:sz="0" w:space="0" w:color="auto"/>
                <w:left w:val="none" w:sz="0" w:space="0" w:color="auto"/>
                <w:bottom w:val="none" w:sz="0" w:space="0" w:color="auto"/>
                <w:right w:val="none" w:sz="0" w:space="0" w:color="auto"/>
              </w:divBdr>
              <w:divsChild>
                <w:div w:id="1763722886">
                  <w:marLeft w:val="0"/>
                  <w:marRight w:val="0"/>
                  <w:marTop w:val="0"/>
                  <w:marBottom w:val="0"/>
                  <w:divBdr>
                    <w:top w:val="none" w:sz="0" w:space="0" w:color="auto"/>
                    <w:left w:val="none" w:sz="0" w:space="0" w:color="auto"/>
                    <w:bottom w:val="none" w:sz="0" w:space="0" w:color="auto"/>
                    <w:right w:val="none" w:sz="0" w:space="0" w:color="auto"/>
                  </w:divBdr>
                  <w:divsChild>
                    <w:div w:id="103365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518376">
      <w:bodyDiv w:val="1"/>
      <w:marLeft w:val="0"/>
      <w:marRight w:val="0"/>
      <w:marTop w:val="0"/>
      <w:marBottom w:val="0"/>
      <w:divBdr>
        <w:top w:val="none" w:sz="0" w:space="0" w:color="auto"/>
        <w:left w:val="none" w:sz="0" w:space="0" w:color="auto"/>
        <w:bottom w:val="none" w:sz="0" w:space="0" w:color="auto"/>
        <w:right w:val="none" w:sz="0" w:space="0" w:color="auto"/>
      </w:divBdr>
      <w:divsChild>
        <w:div w:id="415713994">
          <w:marLeft w:val="0"/>
          <w:marRight w:val="0"/>
          <w:marTop w:val="0"/>
          <w:marBottom w:val="0"/>
          <w:divBdr>
            <w:top w:val="none" w:sz="0" w:space="0" w:color="auto"/>
            <w:left w:val="none" w:sz="0" w:space="0" w:color="auto"/>
            <w:bottom w:val="none" w:sz="0" w:space="0" w:color="auto"/>
            <w:right w:val="none" w:sz="0" w:space="0" w:color="auto"/>
          </w:divBdr>
          <w:divsChild>
            <w:div w:id="1995645738">
              <w:marLeft w:val="0"/>
              <w:marRight w:val="0"/>
              <w:marTop w:val="0"/>
              <w:marBottom w:val="0"/>
              <w:divBdr>
                <w:top w:val="none" w:sz="0" w:space="0" w:color="auto"/>
                <w:left w:val="none" w:sz="0" w:space="0" w:color="auto"/>
                <w:bottom w:val="none" w:sz="0" w:space="0" w:color="auto"/>
                <w:right w:val="none" w:sz="0" w:space="0" w:color="auto"/>
              </w:divBdr>
              <w:divsChild>
                <w:div w:id="1324891046">
                  <w:marLeft w:val="0"/>
                  <w:marRight w:val="0"/>
                  <w:marTop w:val="0"/>
                  <w:marBottom w:val="0"/>
                  <w:divBdr>
                    <w:top w:val="none" w:sz="0" w:space="0" w:color="auto"/>
                    <w:left w:val="none" w:sz="0" w:space="0" w:color="auto"/>
                    <w:bottom w:val="none" w:sz="0" w:space="0" w:color="auto"/>
                    <w:right w:val="none" w:sz="0" w:space="0" w:color="auto"/>
                  </w:divBdr>
                  <w:divsChild>
                    <w:div w:id="188921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39647">
      <w:bodyDiv w:val="1"/>
      <w:marLeft w:val="0"/>
      <w:marRight w:val="0"/>
      <w:marTop w:val="0"/>
      <w:marBottom w:val="0"/>
      <w:divBdr>
        <w:top w:val="none" w:sz="0" w:space="0" w:color="auto"/>
        <w:left w:val="none" w:sz="0" w:space="0" w:color="auto"/>
        <w:bottom w:val="none" w:sz="0" w:space="0" w:color="auto"/>
        <w:right w:val="none" w:sz="0" w:space="0" w:color="auto"/>
      </w:divBdr>
      <w:divsChild>
        <w:div w:id="173036035">
          <w:marLeft w:val="0"/>
          <w:marRight w:val="0"/>
          <w:marTop w:val="0"/>
          <w:marBottom w:val="0"/>
          <w:divBdr>
            <w:top w:val="none" w:sz="0" w:space="0" w:color="auto"/>
            <w:left w:val="none" w:sz="0" w:space="0" w:color="auto"/>
            <w:bottom w:val="none" w:sz="0" w:space="0" w:color="auto"/>
            <w:right w:val="none" w:sz="0" w:space="0" w:color="auto"/>
          </w:divBdr>
          <w:divsChild>
            <w:div w:id="132874232">
              <w:marLeft w:val="0"/>
              <w:marRight w:val="0"/>
              <w:marTop w:val="0"/>
              <w:marBottom w:val="0"/>
              <w:divBdr>
                <w:top w:val="none" w:sz="0" w:space="0" w:color="auto"/>
                <w:left w:val="none" w:sz="0" w:space="0" w:color="auto"/>
                <w:bottom w:val="none" w:sz="0" w:space="0" w:color="auto"/>
                <w:right w:val="none" w:sz="0" w:space="0" w:color="auto"/>
              </w:divBdr>
              <w:divsChild>
                <w:div w:id="916793127">
                  <w:marLeft w:val="0"/>
                  <w:marRight w:val="0"/>
                  <w:marTop w:val="0"/>
                  <w:marBottom w:val="0"/>
                  <w:divBdr>
                    <w:top w:val="none" w:sz="0" w:space="0" w:color="auto"/>
                    <w:left w:val="none" w:sz="0" w:space="0" w:color="auto"/>
                    <w:bottom w:val="none" w:sz="0" w:space="0" w:color="auto"/>
                    <w:right w:val="none" w:sz="0" w:space="0" w:color="auto"/>
                  </w:divBdr>
                  <w:divsChild>
                    <w:div w:id="77355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236140">
      <w:bodyDiv w:val="1"/>
      <w:marLeft w:val="0"/>
      <w:marRight w:val="0"/>
      <w:marTop w:val="0"/>
      <w:marBottom w:val="0"/>
      <w:divBdr>
        <w:top w:val="none" w:sz="0" w:space="0" w:color="auto"/>
        <w:left w:val="none" w:sz="0" w:space="0" w:color="auto"/>
        <w:bottom w:val="none" w:sz="0" w:space="0" w:color="auto"/>
        <w:right w:val="none" w:sz="0" w:space="0" w:color="auto"/>
      </w:divBdr>
      <w:divsChild>
        <w:div w:id="265232849">
          <w:marLeft w:val="0"/>
          <w:marRight w:val="0"/>
          <w:marTop w:val="0"/>
          <w:marBottom w:val="0"/>
          <w:divBdr>
            <w:top w:val="none" w:sz="0" w:space="0" w:color="auto"/>
            <w:left w:val="none" w:sz="0" w:space="0" w:color="auto"/>
            <w:bottom w:val="none" w:sz="0" w:space="0" w:color="auto"/>
            <w:right w:val="none" w:sz="0" w:space="0" w:color="auto"/>
          </w:divBdr>
          <w:divsChild>
            <w:div w:id="1053194119">
              <w:marLeft w:val="0"/>
              <w:marRight w:val="0"/>
              <w:marTop w:val="0"/>
              <w:marBottom w:val="0"/>
              <w:divBdr>
                <w:top w:val="none" w:sz="0" w:space="0" w:color="auto"/>
                <w:left w:val="none" w:sz="0" w:space="0" w:color="auto"/>
                <w:bottom w:val="none" w:sz="0" w:space="0" w:color="auto"/>
                <w:right w:val="none" w:sz="0" w:space="0" w:color="auto"/>
              </w:divBdr>
              <w:divsChild>
                <w:div w:id="393550214">
                  <w:marLeft w:val="0"/>
                  <w:marRight w:val="0"/>
                  <w:marTop w:val="0"/>
                  <w:marBottom w:val="0"/>
                  <w:divBdr>
                    <w:top w:val="none" w:sz="0" w:space="0" w:color="auto"/>
                    <w:left w:val="none" w:sz="0" w:space="0" w:color="auto"/>
                    <w:bottom w:val="none" w:sz="0" w:space="0" w:color="auto"/>
                    <w:right w:val="none" w:sz="0" w:space="0" w:color="auto"/>
                  </w:divBdr>
                  <w:divsChild>
                    <w:div w:id="31942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293904">
      <w:bodyDiv w:val="1"/>
      <w:marLeft w:val="0"/>
      <w:marRight w:val="0"/>
      <w:marTop w:val="0"/>
      <w:marBottom w:val="0"/>
      <w:divBdr>
        <w:top w:val="none" w:sz="0" w:space="0" w:color="auto"/>
        <w:left w:val="none" w:sz="0" w:space="0" w:color="auto"/>
        <w:bottom w:val="none" w:sz="0" w:space="0" w:color="auto"/>
        <w:right w:val="none" w:sz="0" w:space="0" w:color="auto"/>
      </w:divBdr>
      <w:divsChild>
        <w:div w:id="281032514">
          <w:marLeft w:val="0"/>
          <w:marRight w:val="0"/>
          <w:marTop w:val="0"/>
          <w:marBottom w:val="0"/>
          <w:divBdr>
            <w:top w:val="none" w:sz="0" w:space="0" w:color="auto"/>
            <w:left w:val="none" w:sz="0" w:space="0" w:color="auto"/>
            <w:bottom w:val="none" w:sz="0" w:space="0" w:color="auto"/>
            <w:right w:val="none" w:sz="0" w:space="0" w:color="auto"/>
          </w:divBdr>
          <w:divsChild>
            <w:div w:id="1789276504">
              <w:marLeft w:val="0"/>
              <w:marRight w:val="0"/>
              <w:marTop w:val="0"/>
              <w:marBottom w:val="0"/>
              <w:divBdr>
                <w:top w:val="none" w:sz="0" w:space="0" w:color="auto"/>
                <w:left w:val="none" w:sz="0" w:space="0" w:color="auto"/>
                <w:bottom w:val="none" w:sz="0" w:space="0" w:color="auto"/>
                <w:right w:val="none" w:sz="0" w:space="0" w:color="auto"/>
              </w:divBdr>
              <w:divsChild>
                <w:div w:id="197164697">
                  <w:marLeft w:val="0"/>
                  <w:marRight w:val="0"/>
                  <w:marTop w:val="0"/>
                  <w:marBottom w:val="0"/>
                  <w:divBdr>
                    <w:top w:val="none" w:sz="0" w:space="0" w:color="auto"/>
                    <w:left w:val="none" w:sz="0" w:space="0" w:color="auto"/>
                    <w:bottom w:val="none" w:sz="0" w:space="0" w:color="auto"/>
                    <w:right w:val="none" w:sz="0" w:space="0" w:color="auto"/>
                  </w:divBdr>
                  <w:divsChild>
                    <w:div w:id="121812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898936">
      <w:bodyDiv w:val="1"/>
      <w:marLeft w:val="0"/>
      <w:marRight w:val="0"/>
      <w:marTop w:val="0"/>
      <w:marBottom w:val="0"/>
      <w:divBdr>
        <w:top w:val="none" w:sz="0" w:space="0" w:color="auto"/>
        <w:left w:val="none" w:sz="0" w:space="0" w:color="auto"/>
        <w:bottom w:val="none" w:sz="0" w:space="0" w:color="auto"/>
        <w:right w:val="none" w:sz="0" w:space="0" w:color="auto"/>
      </w:divBdr>
      <w:divsChild>
        <w:div w:id="1458645391">
          <w:marLeft w:val="0"/>
          <w:marRight w:val="0"/>
          <w:marTop w:val="0"/>
          <w:marBottom w:val="0"/>
          <w:divBdr>
            <w:top w:val="none" w:sz="0" w:space="0" w:color="auto"/>
            <w:left w:val="none" w:sz="0" w:space="0" w:color="auto"/>
            <w:bottom w:val="none" w:sz="0" w:space="0" w:color="auto"/>
            <w:right w:val="none" w:sz="0" w:space="0" w:color="auto"/>
          </w:divBdr>
          <w:divsChild>
            <w:div w:id="1559242927">
              <w:marLeft w:val="0"/>
              <w:marRight w:val="0"/>
              <w:marTop w:val="0"/>
              <w:marBottom w:val="0"/>
              <w:divBdr>
                <w:top w:val="none" w:sz="0" w:space="0" w:color="auto"/>
                <w:left w:val="none" w:sz="0" w:space="0" w:color="auto"/>
                <w:bottom w:val="none" w:sz="0" w:space="0" w:color="auto"/>
                <w:right w:val="none" w:sz="0" w:space="0" w:color="auto"/>
              </w:divBdr>
              <w:divsChild>
                <w:div w:id="1619143445">
                  <w:marLeft w:val="0"/>
                  <w:marRight w:val="0"/>
                  <w:marTop w:val="0"/>
                  <w:marBottom w:val="0"/>
                  <w:divBdr>
                    <w:top w:val="none" w:sz="0" w:space="0" w:color="auto"/>
                    <w:left w:val="none" w:sz="0" w:space="0" w:color="auto"/>
                    <w:bottom w:val="none" w:sz="0" w:space="0" w:color="auto"/>
                    <w:right w:val="none" w:sz="0" w:space="0" w:color="auto"/>
                  </w:divBdr>
                  <w:divsChild>
                    <w:div w:id="99079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620938">
      <w:bodyDiv w:val="1"/>
      <w:marLeft w:val="0"/>
      <w:marRight w:val="0"/>
      <w:marTop w:val="0"/>
      <w:marBottom w:val="0"/>
      <w:divBdr>
        <w:top w:val="none" w:sz="0" w:space="0" w:color="auto"/>
        <w:left w:val="none" w:sz="0" w:space="0" w:color="auto"/>
        <w:bottom w:val="none" w:sz="0" w:space="0" w:color="auto"/>
        <w:right w:val="none" w:sz="0" w:space="0" w:color="auto"/>
      </w:divBdr>
      <w:divsChild>
        <w:div w:id="497355116">
          <w:marLeft w:val="0"/>
          <w:marRight w:val="0"/>
          <w:marTop w:val="0"/>
          <w:marBottom w:val="0"/>
          <w:divBdr>
            <w:top w:val="none" w:sz="0" w:space="0" w:color="auto"/>
            <w:left w:val="none" w:sz="0" w:space="0" w:color="auto"/>
            <w:bottom w:val="none" w:sz="0" w:space="0" w:color="auto"/>
            <w:right w:val="none" w:sz="0" w:space="0" w:color="auto"/>
          </w:divBdr>
          <w:divsChild>
            <w:div w:id="567496623">
              <w:marLeft w:val="0"/>
              <w:marRight w:val="0"/>
              <w:marTop w:val="0"/>
              <w:marBottom w:val="0"/>
              <w:divBdr>
                <w:top w:val="none" w:sz="0" w:space="0" w:color="auto"/>
                <w:left w:val="none" w:sz="0" w:space="0" w:color="auto"/>
                <w:bottom w:val="none" w:sz="0" w:space="0" w:color="auto"/>
                <w:right w:val="none" w:sz="0" w:space="0" w:color="auto"/>
              </w:divBdr>
              <w:divsChild>
                <w:div w:id="1702972392">
                  <w:marLeft w:val="0"/>
                  <w:marRight w:val="0"/>
                  <w:marTop w:val="0"/>
                  <w:marBottom w:val="0"/>
                  <w:divBdr>
                    <w:top w:val="none" w:sz="0" w:space="0" w:color="auto"/>
                    <w:left w:val="none" w:sz="0" w:space="0" w:color="auto"/>
                    <w:bottom w:val="none" w:sz="0" w:space="0" w:color="auto"/>
                    <w:right w:val="none" w:sz="0" w:space="0" w:color="auto"/>
                  </w:divBdr>
                  <w:divsChild>
                    <w:div w:id="17464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252770">
      <w:bodyDiv w:val="1"/>
      <w:marLeft w:val="0"/>
      <w:marRight w:val="0"/>
      <w:marTop w:val="0"/>
      <w:marBottom w:val="0"/>
      <w:divBdr>
        <w:top w:val="none" w:sz="0" w:space="0" w:color="auto"/>
        <w:left w:val="none" w:sz="0" w:space="0" w:color="auto"/>
        <w:bottom w:val="none" w:sz="0" w:space="0" w:color="auto"/>
        <w:right w:val="none" w:sz="0" w:space="0" w:color="auto"/>
      </w:divBdr>
    </w:div>
    <w:div w:id="1999338948">
      <w:bodyDiv w:val="1"/>
      <w:marLeft w:val="0"/>
      <w:marRight w:val="0"/>
      <w:marTop w:val="0"/>
      <w:marBottom w:val="0"/>
      <w:divBdr>
        <w:top w:val="none" w:sz="0" w:space="0" w:color="auto"/>
        <w:left w:val="none" w:sz="0" w:space="0" w:color="auto"/>
        <w:bottom w:val="none" w:sz="0" w:space="0" w:color="auto"/>
        <w:right w:val="none" w:sz="0" w:space="0" w:color="auto"/>
      </w:divBdr>
      <w:divsChild>
        <w:div w:id="819930304">
          <w:marLeft w:val="0"/>
          <w:marRight w:val="0"/>
          <w:marTop w:val="0"/>
          <w:marBottom w:val="0"/>
          <w:divBdr>
            <w:top w:val="none" w:sz="0" w:space="0" w:color="auto"/>
            <w:left w:val="none" w:sz="0" w:space="0" w:color="auto"/>
            <w:bottom w:val="none" w:sz="0" w:space="0" w:color="auto"/>
            <w:right w:val="none" w:sz="0" w:space="0" w:color="auto"/>
          </w:divBdr>
          <w:divsChild>
            <w:div w:id="611939164">
              <w:marLeft w:val="0"/>
              <w:marRight w:val="0"/>
              <w:marTop w:val="0"/>
              <w:marBottom w:val="0"/>
              <w:divBdr>
                <w:top w:val="none" w:sz="0" w:space="0" w:color="auto"/>
                <w:left w:val="none" w:sz="0" w:space="0" w:color="auto"/>
                <w:bottom w:val="none" w:sz="0" w:space="0" w:color="auto"/>
                <w:right w:val="none" w:sz="0" w:space="0" w:color="auto"/>
              </w:divBdr>
              <w:divsChild>
                <w:div w:id="965618121">
                  <w:marLeft w:val="0"/>
                  <w:marRight w:val="0"/>
                  <w:marTop w:val="0"/>
                  <w:marBottom w:val="0"/>
                  <w:divBdr>
                    <w:top w:val="none" w:sz="0" w:space="0" w:color="auto"/>
                    <w:left w:val="none" w:sz="0" w:space="0" w:color="auto"/>
                    <w:bottom w:val="none" w:sz="0" w:space="0" w:color="auto"/>
                    <w:right w:val="none" w:sz="0" w:space="0" w:color="auto"/>
                  </w:divBdr>
                  <w:divsChild>
                    <w:div w:id="13450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582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odaialjaloudi@connect.glos.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is.org/bcbs/publ/joint3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8510</Words>
  <Characters>48511</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odaijaloudi91@gmail.com</dc:creator>
  <cp:keywords/>
  <dc:description/>
  <cp:lastModifiedBy>odaijaloudi91@gmail.com</cp:lastModifiedBy>
  <cp:revision>2</cp:revision>
  <dcterms:created xsi:type="dcterms:W3CDTF">2024-06-30T00:37:00Z</dcterms:created>
  <dcterms:modified xsi:type="dcterms:W3CDTF">2024-06-30T00:37:00Z</dcterms:modified>
</cp:coreProperties>
</file>