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C3E2E4" w14:textId="77777777" w:rsidR="00C454CC" w:rsidRPr="00601156" w:rsidRDefault="00C454CC" w:rsidP="00601156">
      <w:pPr>
        <w:rPr>
          <w:b/>
          <w:bCs/>
        </w:rPr>
      </w:pPr>
      <w:r w:rsidRPr="00601156">
        <w:rPr>
          <w:b/>
          <w:bCs/>
        </w:rPr>
        <w:t>From Assessment to Adoption: an integrated AI readiness framework</w:t>
      </w:r>
    </w:p>
    <w:p w14:paraId="72E403EA" w14:textId="77777777" w:rsidR="00C454CC" w:rsidRDefault="00C454CC" w:rsidP="00601156">
      <w:r w:rsidRPr="00601156">
        <w:rPr>
          <w:b/>
          <w:bCs/>
        </w:rPr>
        <w:t>Track:</w:t>
      </w:r>
      <w:r w:rsidRPr="00C454CC">
        <w:t xml:space="preserve">  e-Business and Information Systems Management</w:t>
      </w:r>
    </w:p>
    <w:p w14:paraId="25297880" w14:textId="59CBD013" w:rsidR="000E02F3" w:rsidRDefault="000E02F3" w:rsidP="006158CA">
      <w:pPr>
        <w:spacing w:after="0"/>
      </w:pPr>
      <w:r w:rsidRPr="000E02F3">
        <w:rPr>
          <w:b/>
          <w:bCs/>
        </w:rPr>
        <w:t>Authors</w:t>
      </w:r>
      <w:r>
        <w:t>: Subrahmaniam Krishnan-Harihara</w:t>
      </w:r>
      <w:r w:rsidR="006158CA">
        <w:t xml:space="preserve"> and</w:t>
      </w:r>
      <w:r>
        <w:t xml:space="preserve"> Dr Maria Kutar</w:t>
      </w:r>
      <w:r w:rsidR="006158CA">
        <w:t xml:space="preserve">, </w:t>
      </w:r>
      <w:r>
        <w:t xml:space="preserve">Salford Business School, University of Salford, Salford M5 4WT. </w:t>
      </w:r>
    </w:p>
    <w:p w14:paraId="6040FC66" w14:textId="3C5C5BAD" w:rsidR="000E02F3" w:rsidRDefault="00503884" w:rsidP="00601156">
      <w:hyperlink r:id="rId7" w:history="1">
        <w:r w:rsidR="000E02F3" w:rsidRPr="00DA3C03">
          <w:rPr>
            <w:rStyle w:val="Hyperlink"/>
          </w:rPr>
          <w:t>s.krishnan-harihara@salford.ac.uk</w:t>
        </w:r>
      </w:hyperlink>
      <w:r w:rsidR="000E02F3">
        <w:t xml:space="preserve"> | </w:t>
      </w:r>
      <w:hyperlink r:id="rId8" w:history="1">
        <w:r w:rsidR="000E02F3" w:rsidRPr="00DA3C03">
          <w:rPr>
            <w:rStyle w:val="Hyperlink"/>
          </w:rPr>
          <w:t>m.kutar@salford.ac.uk</w:t>
        </w:r>
      </w:hyperlink>
    </w:p>
    <w:p w14:paraId="307725F7" w14:textId="77777777" w:rsidR="00C454CC" w:rsidRPr="00601156" w:rsidRDefault="00C454CC" w:rsidP="00601156">
      <w:pPr>
        <w:rPr>
          <w:b/>
          <w:bCs/>
        </w:rPr>
      </w:pPr>
      <w:r w:rsidRPr="00601156">
        <w:rPr>
          <w:b/>
          <w:bCs/>
        </w:rPr>
        <w:t>Summary</w:t>
      </w:r>
    </w:p>
    <w:p w14:paraId="0B6C560F" w14:textId="6B6390A9" w:rsidR="000F75FC" w:rsidRDefault="00C454CC" w:rsidP="00601156">
      <w:r w:rsidRPr="00C454CC">
        <w:t xml:space="preserve">Although AI has the potential to bring many benefits to an organisation, the lack of organisational readiness for AI could impede adoption. Organisations face myriad technical, organisational and cultural challenges in adopting AI. This paper aims to extend current research on organisational </w:t>
      </w:r>
      <w:r w:rsidR="00AC3BA2">
        <w:t xml:space="preserve">readiness for </w:t>
      </w:r>
      <w:r w:rsidRPr="00C454CC">
        <w:t xml:space="preserve">AI </w:t>
      </w:r>
      <w:r w:rsidR="00AC3BA2">
        <w:t>adoption</w:t>
      </w:r>
      <w:r w:rsidRPr="00C454CC">
        <w:t xml:space="preserve"> with the aim of </w:t>
      </w:r>
      <w:r w:rsidR="004B52C4">
        <w:t xml:space="preserve">first </w:t>
      </w:r>
      <w:r w:rsidRPr="00C454CC">
        <w:t xml:space="preserve">creating an updated AI readiness framework and </w:t>
      </w:r>
      <w:r w:rsidR="004B52C4">
        <w:t xml:space="preserve">then develop </w:t>
      </w:r>
      <w:r w:rsidRPr="00C454CC">
        <w:t xml:space="preserve">a comprehensive research instrument that could be used to make a holistic assessment of organisational readiness factors. Literature on AI adoption and readiness factors has been briefly covered. A gap has been identified and the rationale for developing a holistic research instrument explained. The paper seeks to make theoretical, practical and methodological contributions to the understanding and evaluation of organisational AI readiness. </w:t>
      </w:r>
    </w:p>
    <w:p w14:paraId="7E1F746B" w14:textId="7AAFBB23" w:rsidR="00C454CC" w:rsidRPr="00C454CC" w:rsidRDefault="00C454CC" w:rsidP="00601156">
      <w:r w:rsidRPr="00601156">
        <w:rPr>
          <w:b/>
          <w:bCs/>
        </w:rPr>
        <w:t>Word count:</w:t>
      </w:r>
      <w:r w:rsidRPr="00C454CC">
        <w:t xml:space="preserve"> </w:t>
      </w:r>
      <w:r w:rsidR="00601156">
        <w:t>2</w:t>
      </w:r>
      <w:r w:rsidR="000F75FC">
        <w:t>,</w:t>
      </w:r>
      <w:r w:rsidR="000A5524">
        <w:t>900</w:t>
      </w:r>
      <w:r w:rsidR="00516972">
        <w:t xml:space="preserve"> words</w:t>
      </w:r>
    </w:p>
    <w:p w14:paraId="2C336CB4" w14:textId="74373701" w:rsidR="00C454CC" w:rsidRPr="00601156" w:rsidRDefault="00C454CC" w:rsidP="00C454CC">
      <w:r w:rsidRPr="00601156">
        <w:rPr>
          <w:b/>
          <w:bCs/>
        </w:rPr>
        <w:t>Keywords:</w:t>
      </w:r>
      <w:r w:rsidRPr="00C454CC">
        <w:t xml:space="preserve"> Artificial intelligence, AI readiness, AI adoption, readiness assessment, AI barriers, AI success factors</w:t>
      </w:r>
    </w:p>
    <w:p w14:paraId="1DA56285" w14:textId="77777777" w:rsidR="00C454CC" w:rsidRDefault="00C454CC" w:rsidP="00C454CC">
      <w:pPr>
        <w:rPr>
          <w:rFonts w:cs="Times New Roman"/>
          <w:szCs w:val="24"/>
        </w:rPr>
      </w:pPr>
    </w:p>
    <w:p w14:paraId="4B819388" w14:textId="77777777" w:rsidR="00C454CC" w:rsidRDefault="00C454CC" w:rsidP="00C454CC">
      <w:pPr>
        <w:rPr>
          <w:rFonts w:cs="Times New Roman"/>
          <w:szCs w:val="24"/>
        </w:rPr>
      </w:pPr>
    </w:p>
    <w:p w14:paraId="0398A34A" w14:textId="77777777" w:rsidR="00C454CC" w:rsidRDefault="00C454CC" w:rsidP="00C454CC">
      <w:pPr>
        <w:rPr>
          <w:rFonts w:cs="Times New Roman"/>
          <w:szCs w:val="24"/>
        </w:rPr>
      </w:pPr>
    </w:p>
    <w:p w14:paraId="1877544A" w14:textId="77777777" w:rsidR="00C454CC" w:rsidRDefault="00C454CC" w:rsidP="00C454CC">
      <w:pPr>
        <w:rPr>
          <w:rFonts w:cs="Times New Roman"/>
          <w:szCs w:val="24"/>
        </w:rPr>
      </w:pPr>
    </w:p>
    <w:p w14:paraId="77C5D631" w14:textId="77777777" w:rsidR="00C454CC" w:rsidRDefault="00C454CC" w:rsidP="00C454CC">
      <w:pPr>
        <w:rPr>
          <w:rFonts w:cs="Times New Roman"/>
          <w:szCs w:val="24"/>
        </w:rPr>
      </w:pPr>
    </w:p>
    <w:p w14:paraId="37C8CDA6" w14:textId="77777777" w:rsidR="00C454CC" w:rsidRDefault="00C454CC" w:rsidP="00C454CC">
      <w:pPr>
        <w:rPr>
          <w:rFonts w:cs="Times New Roman"/>
          <w:szCs w:val="24"/>
        </w:rPr>
      </w:pPr>
    </w:p>
    <w:p w14:paraId="0ECCB67B" w14:textId="77777777" w:rsidR="00C454CC" w:rsidRDefault="00C454CC" w:rsidP="00C454CC">
      <w:pPr>
        <w:rPr>
          <w:rFonts w:cs="Times New Roman"/>
          <w:szCs w:val="24"/>
        </w:rPr>
      </w:pPr>
    </w:p>
    <w:p w14:paraId="20EBA688" w14:textId="77777777" w:rsidR="00C454CC" w:rsidRDefault="00C454CC" w:rsidP="00C454CC">
      <w:pPr>
        <w:rPr>
          <w:rFonts w:cs="Times New Roman"/>
          <w:szCs w:val="24"/>
        </w:rPr>
      </w:pPr>
    </w:p>
    <w:p w14:paraId="0F955D8C" w14:textId="77777777" w:rsidR="00C454CC" w:rsidRDefault="00C454CC" w:rsidP="00C454CC">
      <w:pPr>
        <w:rPr>
          <w:rFonts w:cs="Times New Roman"/>
          <w:szCs w:val="24"/>
        </w:rPr>
      </w:pPr>
    </w:p>
    <w:p w14:paraId="5C88DF5C" w14:textId="77777777" w:rsidR="00C454CC" w:rsidRDefault="00C454CC" w:rsidP="00C454CC">
      <w:pPr>
        <w:rPr>
          <w:rFonts w:cs="Times New Roman"/>
          <w:szCs w:val="24"/>
        </w:rPr>
      </w:pPr>
    </w:p>
    <w:p w14:paraId="7E7499F9" w14:textId="77777777" w:rsidR="00C454CC" w:rsidRDefault="00C454CC" w:rsidP="00C454CC">
      <w:pPr>
        <w:rPr>
          <w:rFonts w:cs="Times New Roman"/>
          <w:szCs w:val="24"/>
        </w:rPr>
      </w:pPr>
    </w:p>
    <w:p w14:paraId="77E5AC20" w14:textId="77777777" w:rsidR="00C454CC" w:rsidRDefault="00C454CC" w:rsidP="00C454CC">
      <w:pPr>
        <w:rPr>
          <w:rFonts w:cs="Times New Roman"/>
          <w:szCs w:val="24"/>
        </w:rPr>
      </w:pPr>
    </w:p>
    <w:p w14:paraId="18D0E753" w14:textId="77777777" w:rsidR="00C454CC" w:rsidRDefault="00C454CC" w:rsidP="00C454CC">
      <w:pPr>
        <w:rPr>
          <w:rFonts w:cs="Times New Roman"/>
          <w:szCs w:val="24"/>
        </w:rPr>
      </w:pPr>
    </w:p>
    <w:p w14:paraId="3F7617BC" w14:textId="77777777" w:rsidR="00C454CC" w:rsidRDefault="00C454CC" w:rsidP="00C454CC">
      <w:pPr>
        <w:rPr>
          <w:rFonts w:cs="Times New Roman"/>
          <w:szCs w:val="24"/>
        </w:rPr>
      </w:pPr>
    </w:p>
    <w:p w14:paraId="3D8D167F" w14:textId="6090567D" w:rsidR="00BA0F20" w:rsidRDefault="00BA0F20">
      <w:pPr>
        <w:rPr>
          <w:rFonts w:cs="Times New Roman"/>
          <w:szCs w:val="24"/>
        </w:rPr>
      </w:pPr>
      <w:r>
        <w:rPr>
          <w:rFonts w:cs="Times New Roman"/>
          <w:szCs w:val="24"/>
        </w:rPr>
        <w:br w:type="page"/>
      </w:r>
    </w:p>
    <w:p w14:paraId="180BED2D" w14:textId="3F23DD59" w:rsidR="00C454CC" w:rsidRDefault="00C454CC" w:rsidP="00C454CC">
      <w:pPr>
        <w:pStyle w:val="Heading2"/>
      </w:pPr>
      <w:r w:rsidRPr="00C454CC">
        <w:lastRenderedPageBreak/>
        <w:t>Introduction</w:t>
      </w:r>
    </w:p>
    <w:p w14:paraId="7250466D" w14:textId="1645915B" w:rsidR="00C454CC" w:rsidRPr="007C537B" w:rsidRDefault="00C454CC" w:rsidP="00C454CC">
      <w:pPr>
        <w:spacing w:line="240" w:lineRule="auto"/>
        <w:ind w:left="284"/>
        <w:rPr>
          <w:rFonts w:cs="Times New Roman"/>
          <w:szCs w:val="24"/>
        </w:rPr>
      </w:pPr>
      <w:r w:rsidRPr="007C537B">
        <w:rPr>
          <w:rFonts w:cs="Times New Roman"/>
          <w:szCs w:val="24"/>
        </w:rPr>
        <w:t xml:space="preserve">AI systems are being adopted in a wide </w:t>
      </w:r>
      <w:r w:rsidR="005828B0" w:rsidRPr="007C537B">
        <w:rPr>
          <w:rFonts w:cs="Times New Roman"/>
          <w:szCs w:val="24"/>
        </w:rPr>
        <w:t>variety</w:t>
      </w:r>
      <w:r w:rsidRPr="007C537B">
        <w:rPr>
          <w:rFonts w:cs="Times New Roman"/>
          <w:szCs w:val="24"/>
        </w:rPr>
        <w:t xml:space="preserve"> of business areas ranging from finance (Cao, 2021), healthcare (Das and Sanyal, 2019; Vaananen et al., 2021), logistics (Soltani, 2021; Ferreira and Reis, 2023), manufacturing (Li et al., 2017; Arinez, 2020), marketing (Stone et al., 2020; Nair and Gupta, 2021) and oil and gas (Zhang, 2018). The adoption of AI systems is largely driven by the anticipated benefits they can bring to a business. AI systems can improve efficiency and productivity in the business by automating repetitive tasks and faster processing (Wamba-Taguimdje et al., 2020). Where the business has large amounts of data, AI related machine learning techniques can be used to analyse and gain insights from the data. AI can even enable real-time analysis and forecasting based on the data (Mediavilla, 2022). These improvements allow the business to adopt data driven decision making. Some businesses have adopted AI-enabled chatbots for customer service (Stoilova, 2021). There are also other niche applications of AI systems; for example, pharmaceutical businesses use AI for drug discovery (Jimenez-Luna, 2021; Blanco-González et al., 2023) while airlines can use AI for predictive maintenance of aircraft (Shukla et al., 2020; Stanton et al., 2022). Given these advantages, researchers believe that a business can gain competitive advantage by successfully adopting AI. </w:t>
      </w:r>
    </w:p>
    <w:p w14:paraId="6BA349BA" w14:textId="7C7B427B" w:rsidR="00C454CC" w:rsidRPr="00C454CC" w:rsidRDefault="00C454CC" w:rsidP="00C454CC">
      <w:pPr>
        <w:ind w:left="284"/>
      </w:pPr>
      <w:r w:rsidRPr="008D41BE">
        <w:rPr>
          <w:rFonts w:cs="Times New Roman"/>
          <w:szCs w:val="24"/>
        </w:rPr>
        <w:t>Despite the numerous potential advantages, the adoption of AI could be impeded by challenges such as the complexity of the technology, lack of skilled employees and staff resistance (Alsheiabni</w:t>
      </w:r>
      <w:r w:rsidR="00604B9D">
        <w:rPr>
          <w:rFonts w:cs="Times New Roman"/>
          <w:szCs w:val="24"/>
        </w:rPr>
        <w:t xml:space="preserve"> et al</w:t>
      </w:r>
      <w:r w:rsidRPr="008D41BE">
        <w:rPr>
          <w:rFonts w:cs="Times New Roman"/>
          <w:szCs w:val="24"/>
        </w:rPr>
        <w:t xml:space="preserve">, 2019). Another key barrier is the lack of organisational data </w:t>
      </w:r>
      <w:r>
        <w:rPr>
          <w:rFonts w:cs="Times New Roman"/>
          <w:szCs w:val="24"/>
        </w:rPr>
        <w:t xml:space="preserve">necessary </w:t>
      </w:r>
      <w:r w:rsidRPr="008D41BE">
        <w:rPr>
          <w:rFonts w:cs="Times New Roman"/>
          <w:szCs w:val="24"/>
        </w:rPr>
        <w:t>to train AI systems (Berube et al, 2021). Therefore, a business may not possess the organisational readiness for integrating AI within its operations (Cubric, 2020; Radhakrishnan &amp; Chattopadhyay, 2020). Failed implementations could be caused by technical issues such as biased or incomplete datasets (Slota et al., 2020) but social and cultural factors (Bianco, 2021) are a more serious barrier to AI adoption.</w:t>
      </w:r>
    </w:p>
    <w:p w14:paraId="45958F57" w14:textId="64C986A2" w:rsidR="00C454CC" w:rsidRDefault="00C454CC" w:rsidP="00C454CC">
      <w:pPr>
        <w:pStyle w:val="Heading2"/>
        <w:ind w:left="284" w:hanging="284"/>
      </w:pPr>
      <w:r w:rsidRPr="00C454CC">
        <w:t>Problem statement</w:t>
      </w:r>
    </w:p>
    <w:p w14:paraId="1D4F97A6" w14:textId="5970E63C" w:rsidR="00C454CC" w:rsidRDefault="00C454CC" w:rsidP="00C454CC">
      <w:pPr>
        <w:ind w:left="284"/>
        <w:rPr>
          <w:rFonts w:cs="Times New Roman"/>
          <w:szCs w:val="24"/>
        </w:rPr>
      </w:pPr>
      <w:r w:rsidRPr="008D41BE">
        <w:rPr>
          <w:rFonts w:cs="Times New Roman"/>
          <w:szCs w:val="24"/>
        </w:rPr>
        <w:t>The benefits</w:t>
      </w:r>
      <w:r>
        <w:rPr>
          <w:rFonts w:cs="Times New Roman"/>
          <w:szCs w:val="24"/>
        </w:rPr>
        <w:t xml:space="preserve"> and challenges</w:t>
      </w:r>
      <w:r w:rsidRPr="008D41BE">
        <w:rPr>
          <w:rFonts w:cs="Times New Roman"/>
          <w:szCs w:val="24"/>
        </w:rPr>
        <w:t xml:space="preserve"> of AI adoption have received attention from researchers. To analyse AI adoption, some researchers draw upon broader IS adoption literature and employ theoretical frameworks such as the Technology Acceptance Model (Alhashmi et al., 2019; Na et al., 2022; Wang et al., 2023) or the Unified Theory of Acceptance and Use of Technology (Andrews, 2021; Venkatesh 2022). These theories are focused on employee acceptance of new technology. </w:t>
      </w:r>
      <w:r w:rsidR="003A2B4C">
        <w:rPr>
          <w:rFonts w:cs="Times New Roman"/>
          <w:szCs w:val="24"/>
        </w:rPr>
        <w:t xml:space="preserve">Other researchers </w:t>
      </w:r>
      <w:r w:rsidR="008A3DE2">
        <w:rPr>
          <w:rFonts w:cs="Times New Roman"/>
          <w:szCs w:val="24"/>
        </w:rPr>
        <w:t xml:space="preserve">like </w:t>
      </w:r>
      <w:r w:rsidR="003A2B4C">
        <w:rPr>
          <w:rFonts w:cs="Times New Roman"/>
          <w:szCs w:val="24"/>
        </w:rPr>
        <w:t>use the Technology-Organisational-Environment framework</w:t>
      </w:r>
      <w:r w:rsidR="008A3DE2">
        <w:rPr>
          <w:rFonts w:cs="Times New Roman"/>
          <w:szCs w:val="24"/>
        </w:rPr>
        <w:t>.</w:t>
      </w:r>
      <w:r w:rsidR="003A2B4C">
        <w:rPr>
          <w:rFonts w:cs="Times New Roman"/>
          <w:szCs w:val="24"/>
        </w:rPr>
        <w:t xml:space="preserve"> </w:t>
      </w:r>
      <w:r w:rsidRPr="008D41BE">
        <w:rPr>
          <w:rFonts w:cs="Times New Roman"/>
          <w:szCs w:val="24"/>
        </w:rPr>
        <w:t>Alshami et al. (2019) and Wang et al. (2023) have attempted to identify success factors of AI acceptance by employees. In similar vein, the objective of Venkatesh's (2022) paper was to identify issues that aid or hinder employee adoption of AI tools. Moreover, these theories are centred on enterprise systems although they have been used in other contexts. Arguably, AI tools are not the same as enterprise IT systems. There are many “off the shelf” AI tools or AI features in other applications that may already be in use within the organisation (for e.g., Microsoft Co-Pilot) or those which could be rolled out immediately. Therefore, this study adopts a broader view of AI adoption and is not limited to the perspective of employee acceptance of enterprise IT. The focus is on the maturity level or readiness of an organisation to adopt AI.</w:t>
      </w:r>
    </w:p>
    <w:p w14:paraId="6215A53C" w14:textId="4FE51C4A" w:rsidR="00C454CC" w:rsidRDefault="00C454CC" w:rsidP="00C454CC">
      <w:pPr>
        <w:pStyle w:val="Heading2"/>
        <w:ind w:left="284" w:hanging="284"/>
      </w:pPr>
      <w:r>
        <w:t>R</w:t>
      </w:r>
      <w:r w:rsidRPr="00C454CC">
        <w:t>esearch aim</w:t>
      </w:r>
    </w:p>
    <w:p w14:paraId="4E00C6C1" w14:textId="77777777" w:rsidR="00C454CC" w:rsidRPr="008D41BE" w:rsidRDefault="00C454CC" w:rsidP="00C454CC">
      <w:pPr>
        <w:pStyle w:val="ListParagraph"/>
        <w:spacing w:line="240" w:lineRule="auto"/>
        <w:ind w:left="284"/>
        <w:rPr>
          <w:rFonts w:cs="Times New Roman"/>
          <w:szCs w:val="24"/>
        </w:rPr>
      </w:pPr>
      <w:r w:rsidRPr="0062539C">
        <w:rPr>
          <w:rFonts w:cs="Times New Roman"/>
          <w:szCs w:val="24"/>
        </w:rPr>
        <w:t xml:space="preserve">Greater Manchester (GM LSIP, 2023), on which one of the authors was the lead researcher, showed that many business leaders believe that AI will impact their industries. The also reported that they do not have sufficient understanding of the tools and techniques available, nor the implementation process and challenges that might come in the way. Johnk et al (2021) emphasise </w:t>
      </w:r>
      <w:r w:rsidRPr="0062539C">
        <w:rPr>
          <w:rFonts w:cs="Times New Roman"/>
          <w:szCs w:val="24"/>
        </w:rPr>
        <w:lastRenderedPageBreak/>
        <w:t xml:space="preserve">that AI readiness increases the probability of successful AI adoption and is important when the organisation wants to gain benefits from AI use. However, there is no universal set of readiness factors, and it is a complex area requiring more research. </w:t>
      </w:r>
    </w:p>
    <w:p w14:paraId="6FC52312" w14:textId="3A482814" w:rsidR="00C454CC" w:rsidRPr="00C454CC" w:rsidRDefault="00C454CC" w:rsidP="00C454CC">
      <w:pPr>
        <w:ind w:left="284"/>
      </w:pPr>
      <w:r w:rsidRPr="0062539C">
        <w:rPr>
          <w:rFonts w:cs="Times New Roman"/>
          <w:szCs w:val="24"/>
        </w:rPr>
        <w:t>To address this gap and provide researchers and practitioners with a practical too</w:t>
      </w:r>
      <w:r>
        <w:rPr>
          <w:rFonts w:cs="Times New Roman"/>
          <w:szCs w:val="24"/>
        </w:rPr>
        <w:t>l</w:t>
      </w:r>
      <w:r w:rsidRPr="0062539C">
        <w:rPr>
          <w:rFonts w:cs="Times New Roman"/>
          <w:szCs w:val="24"/>
        </w:rPr>
        <w:t xml:space="preserve"> to assess organisational AI readiness, this research study has the overall aim of creating a comprehensive survey instrument i.e. the outcomes from this research will include a research questionnaire. The aim of the researchers is not to make an isolated assessment of AI readiness in an individual business; rather, it seeks to create a research instrument that could be applied across many businesses. By providing a research instrument that could be adopted and/or adapted by other researchers, the outcomes from this study will make methodological and practical contributions. Data will be gathered via qualitative interviews with businesses, practitioners and policymakers in Greater Manchester. Based on the findings from the interviews, an updated AI readiness framework will be developed, which will be presented at the conference along with an initial version of the instrument. In partnership with Greater Manchester Chamber of Commerce, the questionnaire will be tested with a set of businesses based in the Greater Manchester area as a pilot phase. Using the findings from the pilot, the researchers hope to further develop and refine the instrument before it is finalised.</w:t>
      </w:r>
    </w:p>
    <w:p w14:paraId="34C701AF" w14:textId="2F3CCA65" w:rsidR="00C454CC" w:rsidRDefault="00C454CC" w:rsidP="00C454CC">
      <w:pPr>
        <w:pStyle w:val="Heading2"/>
      </w:pPr>
      <w:r w:rsidRPr="00C454CC">
        <w:t>Literature review</w:t>
      </w:r>
    </w:p>
    <w:p w14:paraId="004CF4EC" w14:textId="30E054D0" w:rsidR="00C454CC" w:rsidRPr="00C454CC" w:rsidRDefault="00C454CC" w:rsidP="00C454CC">
      <w:pPr>
        <w:ind w:left="360"/>
      </w:pPr>
      <w:r w:rsidRPr="008D41BE">
        <w:rPr>
          <w:rFonts w:cs="Times New Roman"/>
          <w:szCs w:val="24"/>
        </w:rPr>
        <w:t xml:space="preserve">The following literature review covers two broad areas. First, adoption of AI is discussed along with some associated challenges. This sets the context for a brief summary of current research into organisational AI readiness. </w:t>
      </w:r>
      <w:r w:rsidR="00A57FA1">
        <w:rPr>
          <w:rFonts w:cs="Times New Roman"/>
          <w:szCs w:val="24"/>
        </w:rPr>
        <w:t>An extended review covering</w:t>
      </w:r>
      <w:r w:rsidRPr="008D41BE">
        <w:rPr>
          <w:rFonts w:cs="Times New Roman"/>
          <w:szCs w:val="24"/>
        </w:rPr>
        <w:t xml:space="preserve"> technological, social, and cultural factors which impact organisational AI readiness</w:t>
      </w:r>
      <w:r w:rsidR="00A57FA1">
        <w:rPr>
          <w:rFonts w:cs="Times New Roman"/>
          <w:szCs w:val="24"/>
        </w:rPr>
        <w:t xml:space="preserve"> will be presented at the conference</w:t>
      </w:r>
      <w:r w:rsidRPr="008D41BE">
        <w:rPr>
          <w:rFonts w:cs="Times New Roman"/>
          <w:szCs w:val="24"/>
        </w:rPr>
        <w:t>.</w:t>
      </w:r>
    </w:p>
    <w:p w14:paraId="46CD38E4" w14:textId="3DFB0204" w:rsidR="00C454CC" w:rsidRDefault="00C454CC" w:rsidP="00C454CC">
      <w:pPr>
        <w:pStyle w:val="Heading3"/>
      </w:pPr>
      <w:r w:rsidRPr="00C454CC">
        <w:t>AI adoption</w:t>
      </w:r>
    </w:p>
    <w:p w14:paraId="3207EC2B" w14:textId="77777777" w:rsidR="00C454CC" w:rsidRPr="008D41BE" w:rsidRDefault="00C454CC" w:rsidP="00C454CC">
      <w:pPr>
        <w:spacing w:line="240" w:lineRule="auto"/>
        <w:ind w:left="851"/>
        <w:rPr>
          <w:rFonts w:cs="Times New Roman"/>
          <w:szCs w:val="24"/>
        </w:rPr>
      </w:pPr>
      <w:r w:rsidRPr="008D41BE">
        <w:rPr>
          <w:rFonts w:cs="Times New Roman"/>
          <w:szCs w:val="24"/>
        </w:rPr>
        <w:t xml:space="preserve">A report published by researchers at The Alan Turing Institute and the Financial Conduct Authority (Maple, 2023) provides a comprehensive review of the use of AI tools in finance. The authors view AI as a paradigm change in the sector with the application of a range of tools from simple rule-based systems to more advanced machine learning models. Considering the volume of and the velocity with which data is generated in the finance sector, the adoption of AI could enhance banking services, aid fraud detection and provide algorithms for high-frequency trading (Maple, 2023). In his assessment of the AI ecosystem in the finance sector in the German state of Hessen, Bredt (2019) opines that AI can shape new business models and create new revenue generation opportunities in the financial sector. Agreeing with the above views on the potential for AI application in the finance sector, Cao (2021) states that AI and data science techniques can be applied to a wide range of problems in the sector. Although researchers concur on the potential beneficial role of AI for the finance sector, there are concerns about the risks that widescale AI adoption might pose. Giuduci et al. (2019) discuss the increasing influence of technological innovations like blockchain and AI and call for the need for a balance between fostering innovation and mitigating associated risks. In addition to discussing the threats and pitfalls arising from AI, Maple et al (2023) also highlight the lack of good quality data, staff with the right skills to select and apply suitable AI models and poor technology infrastructure as barriers. </w:t>
      </w:r>
    </w:p>
    <w:p w14:paraId="74FBFA7F" w14:textId="77777777" w:rsidR="00C454CC" w:rsidRPr="008D41BE" w:rsidRDefault="00C454CC" w:rsidP="00C454CC">
      <w:pPr>
        <w:spacing w:line="240" w:lineRule="auto"/>
        <w:ind w:left="851"/>
        <w:rPr>
          <w:rFonts w:cs="Times New Roman"/>
          <w:szCs w:val="24"/>
        </w:rPr>
      </w:pPr>
      <w:r w:rsidRPr="008D41BE">
        <w:rPr>
          <w:rFonts w:cs="Times New Roman"/>
          <w:szCs w:val="24"/>
        </w:rPr>
        <w:t xml:space="preserve">The manufacturing sector has seen significant developments in the context of Industry 4.0 (Ghobakloo, 2018) and the volume of data generated through the integration of cyber physical devices with manufacturing systems makes is suitable for the application of AI. The application of AI and Industry 4.0 principles can enable data analytics and bring about improvements in manufacturing processes (Zheng et al., 2020). Tracing the evolution from </w:t>
      </w:r>
      <w:r w:rsidRPr="008D41BE">
        <w:rPr>
          <w:rFonts w:cs="Times New Roman"/>
          <w:szCs w:val="24"/>
        </w:rPr>
        <w:lastRenderedPageBreak/>
        <w:t xml:space="preserve">Industry 4.0, Jan et al. (2023) say that further digitalisation of the sector enables the application of AI but call for careful consideration of individual sectors and differences in business processors and consideration of the extent of Industry 4.0 adoption. Arinez et al’s (2020) survey of literature on AI adoption also reveals implementation challenges such as knowledge gaps, gaps with available data and skill requirements. </w:t>
      </w:r>
    </w:p>
    <w:p w14:paraId="6DD58130" w14:textId="01C5C1EB" w:rsidR="00C454CC" w:rsidRPr="00C454CC" w:rsidRDefault="00C454CC" w:rsidP="00C454CC">
      <w:pPr>
        <w:ind w:left="851"/>
      </w:pPr>
      <w:r w:rsidRPr="008D41BE">
        <w:rPr>
          <w:rFonts w:cs="Times New Roman"/>
          <w:szCs w:val="24"/>
        </w:rPr>
        <w:t>Although the above review of literature covers only two sections, similar issues have been raised in the context of other sectors (Baabdullah et al., 2021; Mediavilla et al., 2022). In assessing whether an organisation is prepared for the implementation of AI technologies, a wide range of technical, organisational and social factors need to be considered.</w:t>
      </w:r>
    </w:p>
    <w:p w14:paraId="63260FC0" w14:textId="45613197" w:rsidR="00C454CC" w:rsidRDefault="00C454CC" w:rsidP="00C454CC">
      <w:pPr>
        <w:pStyle w:val="Heading3"/>
      </w:pPr>
      <w:r w:rsidRPr="00C454CC">
        <w:t>Organisational AI readiness</w:t>
      </w:r>
    </w:p>
    <w:p w14:paraId="15CA07C3" w14:textId="44C856CB" w:rsidR="00C454CC" w:rsidRDefault="00C454CC" w:rsidP="00C454CC">
      <w:pPr>
        <w:spacing w:line="240" w:lineRule="auto"/>
        <w:ind w:left="851"/>
        <w:rPr>
          <w:rFonts w:cs="Times New Roman"/>
          <w:szCs w:val="24"/>
        </w:rPr>
      </w:pPr>
      <w:r w:rsidRPr="008D41BE">
        <w:rPr>
          <w:rFonts w:cs="Times New Roman"/>
          <w:szCs w:val="24"/>
        </w:rPr>
        <w:t>In view of the challenges that have been experienced in preparing an organisation for the introduction of AI, researchers have focused on the issue of organisational AI readiness. Because improving AI readiness of the organisation prepares the ground for AI adoption, Johnk et al (2021) suggest that there needs to be a holistic assessment of the organisation's situation. Nortje and Grobbelaar (2020) agree that an assessment of AI readiness consists of several dimensions because AI implementation requires the development of a digitization strategy and associated managerial, staff and financial support. Recognising the complexity of assessing AI readiness, Tehrani et al (2024) identified eight dimensions of AI readiness. Others such as Eljasik-Swoboda (2019) have attempted to extend or adapt big data readiness models to AI readiness while Dora et al (2021) identified technological readiness as critical success factors for AI adoption. Finally, there is also a body of research on barriers to AI adoption (Radhakrishnan &amp; Chattopadhyay, 2020), overcoming which could facilitate the implementation of AI in the organisation.</w:t>
      </w:r>
    </w:p>
    <w:p w14:paraId="50F7D394" w14:textId="0A2BACEB" w:rsidR="004C5804" w:rsidRDefault="00484910" w:rsidP="001E17DE">
      <w:pPr>
        <w:pStyle w:val="Heading4"/>
        <w:ind w:hanging="373"/>
      </w:pPr>
      <w:r>
        <w:t>AI r</w:t>
      </w:r>
      <w:r w:rsidR="004C5804">
        <w:t>eadiness</w:t>
      </w:r>
    </w:p>
    <w:p w14:paraId="44EFABFF" w14:textId="6A0BA8DB" w:rsidR="007E4627" w:rsidRDefault="007E4627" w:rsidP="00C454CC">
      <w:pPr>
        <w:spacing w:line="240" w:lineRule="auto"/>
        <w:ind w:left="851"/>
        <w:rPr>
          <w:rFonts w:cs="Times New Roman"/>
          <w:szCs w:val="24"/>
        </w:rPr>
      </w:pPr>
      <w:r>
        <w:rPr>
          <w:rFonts w:cs="Times New Roman"/>
          <w:szCs w:val="24"/>
        </w:rPr>
        <w:t>Organisational readiness for A</w:t>
      </w:r>
      <w:r w:rsidR="0010274E">
        <w:rPr>
          <w:rFonts w:cs="Times New Roman"/>
          <w:szCs w:val="24"/>
        </w:rPr>
        <w:t>I</w:t>
      </w:r>
      <w:r>
        <w:rPr>
          <w:rFonts w:cs="Times New Roman"/>
          <w:szCs w:val="24"/>
        </w:rPr>
        <w:t xml:space="preserve"> adoption </w:t>
      </w:r>
      <w:r w:rsidR="0010274E">
        <w:rPr>
          <w:rFonts w:cs="Times New Roman"/>
          <w:szCs w:val="24"/>
        </w:rPr>
        <w:t xml:space="preserve">refers to an organisation’s preparedness to successfully implement and </w:t>
      </w:r>
      <w:r w:rsidR="00702685">
        <w:rPr>
          <w:rFonts w:cs="Times New Roman"/>
          <w:szCs w:val="24"/>
        </w:rPr>
        <w:t>adopt AI technologies. It is the organisation's preparedness and capability to effectively utilise AI technologies in a way that adds value</w:t>
      </w:r>
      <w:r w:rsidR="00091796">
        <w:rPr>
          <w:rFonts w:cs="Times New Roman"/>
          <w:szCs w:val="24"/>
        </w:rPr>
        <w:t xml:space="preserve"> (Lokuge et al, 2019; Holm</w:t>
      </w:r>
      <w:r w:rsidR="00A57AA2">
        <w:rPr>
          <w:rFonts w:cs="Times New Roman"/>
          <w:szCs w:val="24"/>
        </w:rPr>
        <w:t>strom, 2022</w:t>
      </w:r>
      <w:r w:rsidR="00091796">
        <w:rPr>
          <w:rFonts w:cs="Times New Roman"/>
          <w:szCs w:val="24"/>
        </w:rPr>
        <w:t>)</w:t>
      </w:r>
      <w:r w:rsidR="00A57AA2">
        <w:rPr>
          <w:rFonts w:cs="Times New Roman"/>
          <w:szCs w:val="24"/>
        </w:rPr>
        <w:t xml:space="preserve">. Researchers suggest that AI readiness </w:t>
      </w:r>
      <w:r w:rsidR="009216D9" w:rsidRPr="009216D9">
        <w:rPr>
          <w:rFonts w:cs="Times New Roman"/>
          <w:szCs w:val="24"/>
        </w:rPr>
        <w:t>is not a simple concept. It is determined by the interplay between several organisational aspects and technical infrastructure</w:t>
      </w:r>
      <w:r w:rsidR="009216D9">
        <w:rPr>
          <w:rFonts w:cs="Times New Roman"/>
          <w:szCs w:val="24"/>
        </w:rPr>
        <w:t xml:space="preserve"> (</w:t>
      </w:r>
      <w:r w:rsidR="008D61F5">
        <w:rPr>
          <w:rFonts w:cs="Times New Roman"/>
          <w:szCs w:val="24"/>
        </w:rPr>
        <w:t>Holmstrom, 2022</w:t>
      </w:r>
      <w:r w:rsidR="009216D9">
        <w:rPr>
          <w:rFonts w:cs="Times New Roman"/>
          <w:szCs w:val="24"/>
        </w:rPr>
        <w:t>)</w:t>
      </w:r>
      <w:r w:rsidR="009216D9" w:rsidRPr="009216D9">
        <w:rPr>
          <w:rFonts w:cs="Times New Roman"/>
          <w:szCs w:val="24"/>
        </w:rPr>
        <w:t>.</w:t>
      </w:r>
      <w:r w:rsidR="008D61F5">
        <w:rPr>
          <w:rFonts w:cs="Times New Roman"/>
          <w:szCs w:val="24"/>
        </w:rPr>
        <w:t xml:space="preserve"> </w:t>
      </w:r>
      <w:r w:rsidR="00366088">
        <w:rPr>
          <w:rFonts w:cs="Times New Roman"/>
          <w:szCs w:val="24"/>
        </w:rPr>
        <w:t>By identifying eight different dimensions</w:t>
      </w:r>
      <w:r w:rsidR="00A44A97">
        <w:rPr>
          <w:rFonts w:cs="Times New Roman"/>
          <w:szCs w:val="24"/>
        </w:rPr>
        <w:t xml:space="preserve"> of r</w:t>
      </w:r>
      <w:r w:rsidR="00D51420">
        <w:rPr>
          <w:rFonts w:cs="Times New Roman"/>
          <w:szCs w:val="24"/>
        </w:rPr>
        <w:t>eadiness</w:t>
      </w:r>
      <w:r w:rsidR="00A44A97">
        <w:rPr>
          <w:rFonts w:cs="Times New Roman"/>
          <w:szCs w:val="24"/>
        </w:rPr>
        <w:t xml:space="preserve">, </w:t>
      </w:r>
      <w:r w:rsidR="00A44A97" w:rsidRPr="008D41BE">
        <w:rPr>
          <w:rFonts w:cs="Times New Roman"/>
          <w:szCs w:val="24"/>
        </w:rPr>
        <w:t xml:space="preserve">Tehrani et al (2024) </w:t>
      </w:r>
      <w:r w:rsidR="00A44A97">
        <w:rPr>
          <w:rFonts w:cs="Times New Roman"/>
          <w:szCs w:val="24"/>
        </w:rPr>
        <w:t xml:space="preserve">established that </w:t>
      </w:r>
      <w:r w:rsidR="003F0674">
        <w:rPr>
          <w:rFonts w:cs="Times New Roman"/>
          <w:szCs w:val="24"/>
        </w:rPr>
        <w:t xml:space="preserve">organisational readiness for AI adoption </w:t>
      </w:r>
      <w:r w:rsidR="00D51420" w:rsidRPr="00D51420">
        <w:rPr>
          <w:rFonts w:cs="Times New Roman"/>
          <w:szCs w:val="24"/>
        </w:rPr>
        <w:t>encompasses not only the technical infrastructure but also the organi</w:t>
      </w:r>
      <w:r w:rsidR="007A2EFE">
        <w:rPr>
          <w:rFonts w:cs="Times New Roman"/>
          <w:szCs w:val="24"/>
        </w:rPr>
        <w:t>s</w:t>
      </w:r>
      <w:r w:rsidR="00D51420" w:rsidRPr="00D51420">
        <w:rPr>
          <w:rFonts w:cs="Times New Roman"/>
          <w:szCs w:val="24"/>
        </w:rPr>
        <w:t>ational culture, leadership, and workforce skills necessary to embrace AI effectively.</w:t>
      </w:r>
    </w:p>
    <w:p w14:paraId="0C96E654" w14:textId="785C4DC9" w:rsidR="001E17DE" w:rsidRDefault="00983899" w:rsidP="00870EC6">
      <w:pPr>
        <w:pStyle w:val="Heading4"/>
        <w:ind w:hanging="373"/>
      </w:pPr>
      <w:r w:rsidRPr="00983899">
        <w:t xml:space="preserve">Technology-Organization-Environment </w:t>
      </w:r>
      <w:r w:rsidR="003F5FBD">
        <w:t>f</w:t>
      </w:r>
      <w:r w:rsidRPr="00983899">
        <w:t>ramework</w:t>
      </w:r>
    </w:p>
    <w:p w14:paraId="129F1464" w14:textId="6024230E" w:rsidR="00870EC6" w:rsidRDefault="00870EC6" w:rsidP="00354EC3">
      <w:pPr>
        <w:ind w:left="851"/>
      </w:pPr>
      <w:r>
        <w:t>Considering the complex nature of organisational readiness for AI adoption, many researchers (</w:t>
      </w:r>
      <w:r w:rsidR="00B0521E">
        <w:t>Johnk et al, 2021; Kurup &amp; Gupta, 2022</w:t>
      </w:r>
      <w:r>
        <w:t xml:space="preserve">) have adopted the </w:t>
      </w:r>
      <w:r w:rsidRPr="00870EC6">
        <w:t xml:space="preserve">Technology-Organization-Environment (TOE) </w:t>
      </w:r>
      <w:r w:rsidR="003F5FBD">
        <w:t>f</w:t>
      </w:r>
      <w:r w:rsidRPr="00870EC6">
        <w:t>ramework</w:t>
      </w:r>
      <w:r>
        <w:t xml:space="preserve"> </w:t>
      </w:r>
      <w:r w:rsidR="00C86152">
        <w:t>to explain AI adoption</w:t>
      </w:r>
      <w:r w:rsidR="00456EFD">
        <w:t xml:space="preserve"> in an organisational context</w:t>
      </w:r>
      <w:r w:rsidR="00C86152">
        <w:t>. Baker (2012)</w:t>
      </w:r>
      <w:r w:rsidR="007C787C">
        <w:t xml:space="preserve"> provides a detailed</w:t>
      </w:r>
      <w:r w:rsidR="00C86152">
        <w:t xml:space="preserve"> </w:t>
      </w:r>
      <w:r w:rsidR="007825B2" w:rsidRPr="007825B2">
        <w:t>explan</w:t>
      </w:r>
      <w:r w:rsidR="007C787C">
        <w:t xml:space="preserve">ation of </w:t>
      </w:r>
      <w:r w:rsidR="007825B2" w:rsidRPr="007825B2">
        <w:t>the TOE framework</w:t>
      </w:r>
      <w:r w:rsidR="005241E6">
        <w:t xml:space="preserve"> and its application within Information Systems literature to understand </w:t>
      </w:r>
      <w:r w:rsidR="00A41889">
        <w:t xml:space="preserve">technology adoption. An interesting feature of the </w:t>
      </w:r>
      <w:r w:rsidR="007825B2" w:rsidRPr="007825B2">
        <w:t xml:space="preserve">TOE framework </w:t>
      </w:r>
      <w:r w:rsidR="00925977">
        <w:t xml:space="preserve">is that </w:t>
      </w:r>
      <w:r w:rsidR="00087B2A">
        <w:t xml:space="preserve">it is adaptable and can </w:t>
      </w:r>
      <w:r w:rsidR="00E11C27">
        <w:t xml:space="preserve">include a wide range of factors </w:t>
      </w:r>
      <w:r w:rsidR="00BF60BE">
        <w:t xml:space="preserve">relating to the </w:t>
      </w:r>
      <w:r w:rsidR="007825B2" w:rsidRPr="007825B2">
        <w:t>implement</w:t>
      </w:r>
      <w:r w:rsidR="00BF60BE">
        <w:t>ation of</w:t>
      </w:r>
      <w:r w:rsidR="007825B2" w:rsidRPr="007825B2">
        <w:t xml:space="preserve"> new technology</w:t>
      </w:r>
      <w:r w:rsidR="00BF60BE">
        <w:t>.</w:t>
      </w:r>
      <w:r w:rsidR="007825B2" w:rsidRPr="007825B2">
        <w:t xml:space="preserve"> </w:t>
      </w:r>
      <w:r w:rsidR="00BF60BE">
        <w:t>T</w:t>
      </w:r>
      <w:r w:rsidR="007825B2" w:rsidRPr="007825B2">
        <w:t xml:space="preserve">he optimal approach </w:t>
      </w:r>
      <w:r w:rsidR="00BF60BE">
        <w:t>to understand</w:t>
      </w:r>
      <w:r w:rsidR="006D6E2B">
        <w:t>ing</w:t>
      </w:r>
      <w:r w:rsidR="00BF60BE">
        <w:t xml:space="preserve"> successful adoption </w:t>
      </w:r>
      <w:r w:rsidR="007825B2" w:rsidRPr="007825B2">
        <w:t>depends on various contextual factors.</w:t>
      </w:r>
      <w:r w:rsidR="00BF60BE">
        <w:t xml:space="preserve"> </w:t>
      </w:r>
      <w:r w:rsidR="00354EC3" w:rsidRPr="00354EC3">
        <w:t>These factors are categorized into three main areas:</w:t>
      </w:r>
    </w:p>
    <w:p w14:paraId="62981CF6" w14:textId="13FCFCDA" w:rsidR="00354EC3" w:rsidRDefault="00635DA0" w:rsidP="00635DA0">
      <w:pPr>
        <w:pStyle w:val="ListParagraph"/>
        <w:numPr>
          <w:ilvl w:val="0"/>
          <w:numId w:val="5"/>
        </w:numPr>
        <w:ind w:left="1134" w:hanging="283"/>
      </w:pPr>
      <w:r>
        <w:t>Technological context</w:t>
      </w:r>
    </w:p>
    <w:p w14:paraId="7B18CAFE" w14:textId="6E7A02C8" w:rsidR="00635DA0" w:rsidRDefault="00D86740" w:rsidP="00635DA0">
      <w:pPr>
        <w:ind w:left="1134"/>
      </w:pPr>
      <w:r w:rsidRPr="00D86740">
        <w:lastRenderedPageBreak/>
        <w:t xml:space="preserve">This includes the internal and external technologies relevant to the </w:t>
      </w:r>
      <w:r w:rsidR="000A30BD">
        <w:t>organisation</w:t>
      </w:r>
      <w:r w:rsidRPr="00D86740">
        <w:t xml:space="preserve">. Internal </w:t>
      </w:r>
      <w:r w:rsidR="00D21F9F">
        <w:t xml:space="preserve">technological </w:t>
      </w:r>
      <w:r w:rsidRPr="00D86740">
        <w:t xml:space="preserve">factors include the technological infrastructure and </w:t>
      </w:r>
      <w:r w:rsidR="00960E16">
        <w:t xml:space="preserve">applications currently in use in the </w:t>
      </w:r>
      <w:r w:rsidR="003409A5">
        <w:t>organisation, while e</w:t>
      </w:r>
      <w:r w:rsidR="003409A5" w:rsidRPr="003409A5">
        <w:t xml:space="preserve">xternal </w:t>
      </w:r>
      <w:r w:rsidR="003409A5">
        <w:t xml:space="preserve">technological </w:t>
      </w:r>
      <w:r w:rsidR="003409A5" w:rsidRPr="003409A5">
        <w:t>factors include the maturity</w:t>
      </w:r>
      <w:r w:rsidR="003409A5">
        <w:t>,</w:t>
      </w:r>
      <w:r w:rsidR="00F21F13">
        <w:t xml:space="preserve"> innovativeness</w:t>
      </w:r>
      <w:r w:rsidR="003409A5" w:rsidRPr="003409A5">
        <w:t xml:space="preserve"> and </w:t>
      </w:r>
      <w:r w:rsidR="00F21F13">
        <w:t>suitability</w:t>
      </w:r>
      <w:r w:rsidR="003409A5" w:rsidRPr="003409A5">
        <w:t xml:space="preserve"> of </w:t>
      </w:r>
      <w:r w:rsidR="003409A5">
        <w:t>new</w:t>
      </w:r>
      <w:r w:rsidR="003409A5" w:rsidRPr="003409A5">
        <w:t xml:space="preserve"> technolog</w:t>
      </w:r>
      <w:r w:rsidR="003409A5">
        <w:t>ies and solutions</w:t>
      </w:r>
      <w:r w:rsidR="003409A5" w:rsidRPr="003409A5">
        <w:t xml:space="preserve"> </w:t>
      </w:r>
      <w:r w:rsidR="00F21F13">
        <w:t xml:space="preserve">available </w:t>
      </w:r>
      <w:r w:rsidR="003409A5" w:rsidRPr="003409A5">
        <w:t>in the market.</w:t>
      </w:r>
      <w:r w:rsidR="00960E16">
        <w:t xml:space="preserve"> </w:t>
      </w:r>
      <w:r w:rsidR="00F21F13">
        <w:t>While assessing technologies available in the market but not in use within the organisation, the</w:t>
      </w:r>
      <w:r w:rsidRPr="00D86740">
        <w:t xml:space="preserve"> compatibility of the new technology with current</w:t>
      </w:r>
      <w:r w:rsidR="00F21F13">
        <w:t>ly used</w:t>
      </w:r>
      <w:r w:rsidRPr="00D86740">
        <w:t xml:space="preserve"> systems</w:t>
      </w:r>
      <w:r w:rsidR="00F21F13">
        <w:t xml:space="preserve"> must be considered</w:t>
      </w:r>
      <w:r w:rsidRPr="00D86740">
        <w:t xml:space="preserve">. </w:t>
      </w:r>
    </w:p>
    <w:p w14:paraId="31C7FFB8" w14:textId="1B0EEF32" w:rsidR="00635DA0" w:rsidRDefault="00635DA0" w:rsidP="00635DA0">
      <w:pPr>
        <w:pStyle w:val="ListParagraph"/>
        <w:numPr>
          <w:ilvl w:val="0"/>
          <w:numId w:val="5"/>
        </w:numPr>
        <w:ind w:left="1134" w:hanging="283"/>
      </w:pPr>
      <w:r>
        <w:t>Organisational context</w:t>
      </w:r>
    </w:p>
    <w:p w14:paraId="7A34A0AB" w14:textId="02963ADE" w:rsidR="00F21F13" w:rsidRDefault="0078785F" w:rsidP="00DC3513">
      <w:pPr>
        <w:ind w:left="1134"/>
      </w:pPr>
      <w:r w:rsidRPr="0078785F">
        <w:t>This encompasses organi</w:t>
      </w:r>
      <w:r>
        <w:t>s</w:t>
      </w:r>
      <w:r w:rsidRPr="0078785F">
        <w:t>ation</w:t>
      </w:r>
      <w:r>
        <w:t>al</w:t>
      </w:r>
      <w:r w:rsidRPr="0078785F">
        <w:t xml:space="preserve"> characteristics such as its size</w:t>
      </w:r>
      <w:r w:rsidR="00AD5D5D">
        <w:t xml:space="preserve"> and</w:t>
      </w:r>
      <w:r w:rsidRPr="0078785F">
        <w:t xml:space="preserve"> structure</w:t>
      </w:r>
      <w:r w:rsidR="00AD5D5D">
        <w:t xml:space="preserve"> along with numerous other aspects including business </w:t>
      </w:r>
      <w:r w:rsidR="001A1595">
        <w:t>processes</w:t>
      </w:r>
      <w:r w:rsidRPr="0078785F">
        <w:t xml:space="preserve">, </w:t>
      </w:r>
      <w:r w:rsidR="001A1595">
        <w:t xml:space="preserve">work </w:t>
      </w:r>
      <w:r w:rsidRPr="0078785F">
        <w:t>culture, resources</w:t>
      </w:r>
      <w:r w:rsidR="001A1595">
        <w:t xml:space="preserve"> available and</w:t>
      </w:r>
      <w:r w:rsidRPr="0078785F">
        <w:t xml:space="preserve"> </w:t>
      </w:r>
      <w:r w:rsidR="001A1595">
        <w:t>senior</w:t>
      </w:r>
      <w:r w:rsidRPr="0078785F">
        <w:t xml:space="preserve"> management support for innovation</w:t>
      </w:r>
      <w:r w:rsidR="00503884">
        <w:t xml:space="preserve"> and technology adoption</w:t>
      </w:r>
      <w:r w:rsidRPr="0078785F">
        <w:t>. These factors influence the organi</w:t>
      </w:r>
      <w:r w:rsidR="00027207">
        <w:t>s</w:t>
      </w:r>
      <w:r w:rsidRPr="0078785F">
        <w:t>ation's ability to adopt and implement new technologies.</w:t>
      </w:r>
      <w:r w:rsidR="0086510A">
        <w:t xml:space="preserve"> </w:t>
      </w:r>
      <w:r w:rsidR="006C58B0">
        <w:t>For e.g., l</w:t>
      </w:r>
      <w:r w:rsidR="00A85E07">
        <w:t xml:space="preserve">arger firms </w:t>
      </w:r>
      <w:r w:rsidR="006C58B0">
        <w:t>or those that operate in technology intensive sectors may tend to invest more in adopting new</w:t>
      </w:r>
      <w:r w:rsidR="002262DA">
        <w:t xml:space="preserve"> </w:t>
      </w:r>
      <w:r w:rsidR="008B2507">
        <w:t>technologies as opposed to smaller, less pro</w:t>
      </w:r>
      <w:r w:rsidR="00E163C8">
        <w:t xml:space="preserve">fitable firms. </w:t>
      </w:r>
    </w:p>
    <w:p w14:paraId="0901A154" w14:textId="1BC4B924" w:rsidR="00635DA0" w:rsidRDefault="00635DA0" w:rsidP="00635DA0">
      <w:pPr>
        <w:pStyle w:val="ListParagraph"/>
        <w:numPr>
          <w:ilvl w:val="0"/>
          <w:numId w:val="5"/>
        </w:numPr>
        <w:ind w:left="1134" w:hanging="283"/>
      </w:pPr>
      <w:r>
        <w:t>Environmental context</w:t>
      </w:r>
    </w:p>
    <w:p w14:paraId="076FFED6" w14:textId="79B6EE04" w:rsidR="0086510A" w:rsidRDefault="00BD5BA6" w:rsidP="00DC3513">
      <w:pPr>
        <w:ind w:left="1134"/>
      </w:pPr>
      <w:r>
        <w:t>The environment that the organisation</w:t>
      </w:r>
      <w:r w:rsidR="00A567E5">
        <w:t xml:space="preserve"> also affects its </w:t>
      </w:r>
      <w:r w:rsidR="00CC44B2">
        <w:t xml:space="preserve">ability and intention to adopt new technologies. The environmental context involves external factors that influence technology adoption. These could include the nature of the industry, regulation, </w:t>
      </w:r>
      <w:r w:rsidR="0062416F">
        <w:t>competition and the broader socio-economic circumstances within which the business operates.</w:t>
      </w:r>
      <w:r w:rsidR="00CC44B2">
        <w:t xml:space="preserve"> </w:t>
      </w:r>
    </w:p>
    <w:p w14:paraId="51999211" w14:textId="187CBE58" w:rsidR="00B96FA8" w:rsidRDefault="00B96FA8" w:rsidP="00DC3513">
      <w:pPr>
        <w:ind w:left="1134"/>
      </w:pPr>
      <w:r w:rsidRPr="00B96FA8">
        <w:t xml:space="preserve">The TOE framework suggests that the successful adoption of new technologies, such as AI, depends on the alignment and interaction between these three contexts. </w:t>
      </w:r>
      <w:r w:rsidR="00A750F7">
        <w:t xml:space="preserve">While </w:t>
      </w:r>
      <w:r w:rsidR="00E36FE4">
        <w:t xml:space="preserve">considering the adoption of </w:t>
      </w:r>
      <w:r w:rsidR="00042FEC">
        <w:t>any new technology</w:t>
      </w:r>
      <w:r w:rsidR="00E36FE4">
        <w:t xml:space="preserve">, </w:t>
      </w:r>
      <w:r w:rsidR="00042FEC">
        <w:t>o</w:t>
      </w:r>
      <w:r w:rsidRPr="00B96FA8">
        <w:t>rgani</w:t>
      </w:r>
      <w:r w:rsidR="00042FEC">
        <w:t>s</w:t>
      </w:r>
      <w:r w:rsidRPr="00B96FA8">
        <w:t>ations need to assess their technological capabilities, organi</w:t>
      </w:r>
      <w:r w:rsidR="00042FEC">
        <w:t>s</w:t>
      </w:r>
      <w:r w:rsidRPr="00B96FA8">
        <w:t xml:space="preserve">ational </w:t>
      </w:r>
      <w:r w:rsidR="00042FEC">
        <w:t>context</w:t>
      </w:r>
      <w:r w:rsidRPr="00B96FA8">
        <w:t xml:space="preserve"> and environmental conditions to develop effective strategies for </w:t>
      </w:r>
      <w:r w:rsidR="00236CFB">
        <w:t xml:space="preserve">successful </w:t>
      </w:r>
      <w:r w:rsidRPr="00B96FA8">
        <w:t>adoption.</w:t>
      </w:r>
    </w:p>
    <w:p w14:paraId="5F1E0FB5" w14:textId="25C6162B" w:rsidR="0091191D" w:rsidRDefault="00AE1BC0" w:rsidP="00290400">
      <w:pPr>
        <w:pStyle w:val="Heading4"/>
        <w:ind w:hanging="373"/>
      </w:pPr>
      <w:r w:rsidRPr="00AE1BC0">
        <w:t>TOE framework in AI adoption</w:t>
      </w:r>
    </w:p>
    <w:p w14:paraId="2CB8775D" w14:textId="4F13890D" w:rsidR="00505A5D" w:rsidRDefault="00AB0A71" w:rsidP="00AB0A71">
      <w:pPr>
        <w:ind w:left="851"/>
      </w:pPr>
      <w:r w:rsidRPr="00AB0A71">
        <w:t xml:space="preserve">The TOE framework </w:t>
      </w:r>
      <w:r>
        <w:t>has been employed by many researchers to assess</w:t>
      </w:r>
      <w:r w:rsidRPr="00AB0A71">
        <w:t xml:space="preserve"> </w:t>
      </w:r>
      <w:r w:rsidR="00B51250">
        <w:t xml:space="preserve">organisational </w:t>
      </w:r>
      <w:r w:rsidRPr="00AB0A71">
        <w:t xml:space="preserve">readiness </w:t>
      </w:r>
      <w:r w:rsidR="00B51250">
        <w:t>for AI adoption</w:t>
      </w:r>
      <w:r w:rsidRPr="00AB0A71">
        <w:t xml:space="preserve">. </w:t>
      </w:r>
      <w:r w:rsidR="00F94F4B">
        <w:t xml:space="preserve">By </w:t>
      </w:r>
      <w:r w:rsidRPr="00AB0A71">
        <w:t>systematically categori</w:t>
      </w:r>
      <w:r w:rsidR="00F94F4B">
        <w:t>s</w:t>
      </w:r>
      <w:r w:rsidRPr="00AB0A71">
        <w:t>ing the factors that influence the adoption and implementation</w:t>
      </w:r>
      <w:r w:rsidR="00ED167B">
        <w:t xml:space="preserve">, the </w:t>
      </w:r>
      <w:r w:rsidRPr="00AB0A71">
        <w:t>TOE framework offers a structured approach to understanding how internal and external factors impact AI readiness.</w:t>
      </w:r>
      <w:r w:rsidR="00BF2E67">
        <w:t xml:space="preserve"> </w:t>
      </w:r>
      <w:r w:rsidR="00581B0D">
        <w:t xml:space="preserve">However, different researchers include different factors within each of the three contextual areas. The table below </w:t>
      </w:r>
      <w:r w:rsidR="00343445">
        <w:t xml:space="preserve">summarises the views of five recent publications that employ the TOE framework to assess AI </w:t>
      </w:r>
      <w:r w:rsidR="00B51250">
        <w:t xml:space="preserve">readiness. </w:t>
      </w:r>
    </w:p>
    <w:tbl>
      <w:tblPr>
        <w:tblStyle w:val="TableGrid"/>
        <w:tblW w:w="0" w:type="auto"/>
        <w:tblInd w:w="851" w:type="dxa"/>
        <w:tblLook w:val="04A0" w:firstRow="1" w:lastRow="0" w:firstColumn="1" w:lastColumn="0" w:noHBand="0" w:noVBand="1"/>
      </w:tblPr>
      <w:tblGrid>
        <w:gridCol w:w="1274"/>
        <w:gridCol w:w="3824"/>
        <w:gridCol w:w="3787"/>
      </w:tblGrid>
      <w:tr w:rsidR="00070A06" w:rsidRPr="00070A06" w14:paraId="1D3DDEA2" w14:textId="77777777" w:rsidTr="00132584">
        <w:trPr>
          <w:trHeight w:val="315"/>
        </w:trPr>
        <w:tc>
          <w:tcPr>
            <w:tcW w:w="0" w:type="auto"/>
            <w:hideMark/>
          </w:tcPr>
          <w:p w14:paraId="334640CA" w14:textId="77777777" w:rsidR="00070A06" w:rsidRPr="00070A06" w:rsidRDefault="00070A06" w:rsidP="00070A06">
            <w:pPr>
              <w:rPr>
                <w:rFonts w:eastAsia="Times New Roman" w:cs="Times New Roman"/>
                <w:b/>
                <w:bCs/>
                <w:color w:val="auto"/>
                <w:kern w:val="0"/>
                <w:sz w:val="20"/>
                <w:szCs w:val="20"/>
                <w:lang w:eastAsia="en-GB"/>
                <w14:ligatures w14:val="none"/>
              </w:rPr>
            </w:pPr>
            <w:r w:rsidRPr="00070A06">
              <w:rPr>
                <w:rFonts w:eastAsia="Times New Roman" w:cs="Times New Roman"/>
                <w:b/>
                <w:bCs/>
                <w:color w:val="auto"/>
                <w:kern w:val="0"/>
                <w:sz w:val="20"/>
                <w:szCs w:val="20"/>
                <w:lang w:eastAsia="en-GB"/>
                <w14:ligatures w14:val="none"/>
              </w:rPr>
              <w:t>Paper</w:t>
            </w:r>
          </w:p>
        </w:tc>
        <w:tc>
          <w:tcPr>
            <w:tcW w:w="3824" w:type="dxa"/>
            <w:hideMark/>
          </w:tcPr>
          <w:p w14:paraId="29306405" w14:textId="77777777" w:rsidR="00070A06" w:rsidRPr="00070A06" w:rsidRDefault="00070A06" w:rsidP="00070A06">
            <w:pPr>
              <w:rPr>
                <w:rFonts w:eastAsia="Times New Roman" w:cs="Times New Roman"/>
                <w:b/>
                <w:bCs/>
                <w:color w:val="auto"/>
                <w:kern w:val="0"/>
                <w:sz w:val="20"/>
                <w:szCs w:val="20"/>
                <w:lang w:eastAsia="en-GB"/>
                <w14:ligatures w14:val="none"/>
              </w:rPr>
            </w:pPr>
            <w:r w:rsidRPr="00070A06">
              <w:rPr>
                <w:rFonts w:eastAsia="Times New Roman" w:cs="Times New Roman"/>
                <w:b/>
                <w:bCs/>
                <w:color w:val="auto"/>
                <w:kern w:val="0"/>
                <w:sz w:val="20"/>
                <w:szCs w:val="20"/>
                <w:lang w:eastAsia="en-GB"/>
                <w14:ligatures w14:val="none"/>
              </w:rPr>
              <w:t>Main findings</w:t>
            </w:r>
          </w:p>
        </w:tc>
        <w:tc>
          <w:tcPr>
            <w:tcW w:w="3787" w:type="dxa"/>
            <w:hideMark/>
          </w:tcPr>
          <w:p w14:paraId="4079D71A" w14:textId="77777777" w:rsidR="00070A06" w:rsidRPr="00070A06" w:rsidRDefault="00070A06" w:rsidP="00070A06">
            <w:pPr>
              <w:rPr>
                <w:rFonts w:eastAsia="Times New Roman" w:cs="Times New Roman"/>
                <w:b/>
                <w:bCs/>
                <w:color w:val="auto"/>
                <w:kern w:val="0"/>
                <w:sz w:val="20"/>
                <w:szCs w:val="20"/>
                <w:lang w:eastAsia="en-GB"/>
                <w14:ligatures w14:val="none"/>
              </w:rPr>
            </w:pPr>
            <w:r w:rsidRPr="00070A06">
              <w:rPr>
                <w:rFonts w:eastAsia="Times New Roman" w:cs="Times New Roman"/>
                <w:b/>
                <w:bCs/>
                <w:color w:val="auto"/>
                <w:kern w:val="0"/>
                <w:sz w:val="20"/>
                <w:szCs w:val="20"/>
                <w:lang w:eastAsia="en-GB"/>
                <w14:ligatures w14:val="none"/>
              </w:rPr>
              <w:t>Factors used within TOE framework</w:t>
            </w:r>
          </w:p>
        </w:tc>
      </w:tr>
      <w:tr w:rsidR="00132584" w:rsidRPr="00132584" w14:paraId="0050C2EF" w14:textId="77777777" w:rsidTr="00132584">
        <w:trPr>
          <w:trHeight w:val="315"/>
        </w:trPr>
        <w:tc>
          <w:tcPr>
            <w:tcW w:w="0" w:type="auto"/>
            <w:hideMark/>
          </w:tcPr>
          <w:p w14:paraId="7D384860" w14:textId="77777777"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Alsheibani et al (2018)</w:t>
            </w:r>
          </w:p>
        </w:tc>
        <w:tc>
          <w:tcPr>
            <w:tcW w:w="3824" w:type="dxa"/>
            <w:hideMark/>
          </w:tcPr>
          <w:p w14:paraId="733D8E39" w14:textId="2D23C75E"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Propose a research framework, combining the TOE framewor</w:t>
            </w:r>
            <w:r w:rsidR="009915C7">
              <w:rPr>
                <w:rFonts w:eastAsia="Times New Roman" w:cs="Times New Roman"/>
                <w:color w:val="auto"/>
                <w:kern w:val="0"/>
                <w:sz w:val="20"/>
                <w:szCs w:val="20"/>
                <w:lang w:eastAsia="en-GB"/>
                <w14:ligatures w14:val="none"/>
              </w:rPr>
              <w:t>k</w:t>
            </w:r>
            <w:r w:rsidRPr="00132584">
              <w:rPr>
                <w:rFonts w:eastAsia="Times New Roman" w:cs="Times New Roman"/>
                <w:color w:val="auto"/>
                <w:kern w:val="0"/>
                <w:sz w:val="20"/>
                <w:szCs w:val="20"/>
                <w:lang w:eastAsia="en-GB"/>
                <w14:ligatures w14:val="none"/>
              </w:rPr>
              <w:t xml:space="preserve"> with the Diffusion of </w:t>
            </w:r>
            <w:r w:rsidR="009915C7" w:rsidRPr="00132584">
              <w:rPr>
                <w:rFonts w:eastAsia="Times New Roman" w:cs="Times New Roman"/>
                <w:color w:val="auto"/>
                <w:kern w:val="0"/>
                <w:sz w:val="20"/>
                <w:szCs w:val="20"/>
                <w:lang w:eastAsia="en-GB"/>
                <w14:ligatures w14:val="none"/>
              </w:rPr>
              <w:t>Innovation</w:t>
            </w:r>
            <w:r w:rsidRPr="00132584">
              <w:rPr>
                <w:rFonts w:eastAsia="Times New Roman" w:cs="Times New Roman"/>
                <w:color w:val="auto"/>
                <w:kern w:val="0"/>
                <w:sz w:val="20"/>
                <w:szCs w:val="20"/>
                <w:lang w:eastAsia="en-GB"/>
                <w14:ligatures w14:val="none"/>
              </w:rPr>
              <w:t xml:space="preserve"> theory, to study AI adoption at firm level. The </w:t>
            </w:r>
            <w:r w:rsidR="003637A2">
              <w:rPr>
                <w:rFonts w:eastAsia="Times New Roman" w:cs="Times New Roman"/>
                <w:color w:val="auto"/>
                <w:kern w:val="0"/>
                <w:sz w:val="20"/>
                <w:szCs w:val="20"/>
                <w:lang w:eastAsia="en-GB"/>
                <w14:ligatures w14:val="none"/>
              </w:rPr>
              <w:t>research</w:t>
            </w:r>
            <w:r w:rsidRPr="00132584">
              <w:rPr>
                <w:rFonts w:eastAsia="Times New Roman" w:cs="Times New Roman"/>
                <w:color w:val="auto"/>
                <w:kern w:val="0"/>
                <w:sz w:val="20"/>
                <w:szCs w:val="20"/>
                <w:lang w:eastAsia="en-GB"/>
                <w14:ligatures w14:val="none"/>
              </w:rPr>
              <w:t xml:space="preserve"> highlights technological readiness, </w:t>
            </w:r>
            <w:r w:rsidR="00D91F52">
              <w:rPr>
                <w:rFonts w:eastAsia="Times New Roman" w:cs="Times New Roman"/>
                <w:color w:val="auto"/>
                <w:kern w:val="0"/>
                <w:sz w:val="20"/>
                <w:szCs w:val="20"/>
                <w:lang w:eastAsia="en-GB"/>
                <w14:ligatures w14:val="none"/>
              </w:rPr>
              <w:t>organisational</w:t>
            </w:r>
            <w:r w:rsidRPr="00132584">
              <w:rPr>
                <w:rFonts w:eastAsia="Times New Roman" w:cs="Times New Roman"/>
                <w:color w:val="auto"/>
                <w:kern w:val="0"/>
                <w:sz w:val="20"/>
                <w:szCs w:val="20"/>
                <w:lang w:eastAsia="en-GB"/>
                <w14:ligatures w14:val="none"/>
              </w:rPr>
              <w:t xml:space="preserve"> readiness, and environmental readiness as key </w:t>
            </w:r>
            <w:r w:rsidR="003637A2">
              <w:rPr>
                <w:rFonts w:eastAsia="Times New Roman" w:cs="Times New Roman"/>
                <w:color w:val="auto"/>
                <w:kern w:val="0"/>
                <w:sz w:val="20"/>
                <w:szCs w:val="20"/>
                <w:lang w:eastAsia="en-GB"/>
                <w14:ligatures w14:val="none"/>
              </w:rPr>
              <w:t>contexts for AI adoption</w:t>
            </w:r>
            <w:r w:rsidRPr="00132584">
              <w:rPr>
                <w:rFonts w:eastAsia="Times New Roman" w:cs="Times New Roman"/>
                <w:color w:val="auto"/>
                <w:kern w:val="0"/>
                <w:sz w:val="20"/>
                <w:szCs w:val="20"/>
                <w:lang w:eastAsia="en-GB"/>
                <w14:ligatures w14:val="none"/>
              </w:rPr>
              <w:t>.</w:t>
            </w:r>
          </w:p>
        </w:tc>
        <w:tc>
          <w:tcPr>
            <w:tcW w:w="3787" w:type="dxa"/>
            <w:hideMark/>
          </w:tcPr>
          <w:p w14:paraId="7A2F4E73" w14:textId="77777777" w:rsidR="001E6A58"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Technological: Technological readiness, relative advantage, compatibility. Organi</w:t>
            </w:r>
            <w:r w:rsidR="001E6A58">
              <w:rPr>
                <w:rFonts w:eastAsia="Times New Roman" w:cs="Times New Roman"/>
                <w:color w:val="auto"/>
                <w:kern w:val="0"/>
                <w:sz w:val="20"/>
                <w:szCs w:val="20"/>
                <w:lang w:eastAsia="en-GB"/>
                <w14:ligatures w14:val="none"/>
              </w:rPr>
              <w:t>s</w:t>
            </w:r>
            <w:r w:rsidRPr="00132584">
              <w:rPr>
                <w:rFonts w:eastAsia="Times New Roman" w:cs="Times New Roman"/>
                <w:color w:val="auto"/>
                <w:kern w:val="0"/>
                <w:sz w:val="20"/>
                <w:szCs w:val="20"/>
                <w:lang w:eastAsia="en-GB"/>
                <w14:ligatures w14:val="none"/>
              </w:rPr>
              <w:t xml:space="preserve">ational: Top management support, firm size, resources. </w:t>
            </w:r>
          </w:p>
          <w:p w14:paraId="1B860A95" w14:textId="4D6015C0"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Environmental: Competitive pressure, government regulations</w:t>
            </w:r>
          </w:p>
        </w:tc>
      </w:tr>
      <w:tr w:rsidR="00132584" w:rsidRPr="00132584" w14:paraId="21D06522" w14:textId="77777777" w:rsidTr="00132584">
        <w:trPr>
          <w:trHeight w:val="315"/>
        </w:trPr>
        <w:tc>
          <w:tcPr>
            <w:tcW w:w="0" w:type="auto"/>
            <w:hideMark/>
          </w:tcPr>
          <w:p w14:paraId="35530545" w14:textId="77777777"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Johnk et al. (2021)</w:t>
            </w:r>
          </w:p>
        </w:tc>
        <w:tc>
          <w:tcPr>
            <w:tcW w:w="3824" w:type="dxa"/>
            <w:hideMark/>
          </w:tcPr>
          <w:p w14:paraId="4CFDF59E" w14:textId="3830C2D5"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Top management support, data availability, technological compatibility, and AI tools are critical</w:t>
            </w:r>
            <w:r w:rsidR="001E6A58">
              <w:rPr>
                <w:rFonts w:eastAsia="Times New Roman" w:cs="Times New Roman"/>
                <w:color w:val="auto"/>
                <w:kern w:val="0"/>
                <w:sz w:val="20"/>
                <w:szCs w:val="20"/>
                <w:lang w:eastAsia="en-GB"/>
                <w14:ligatures w14:val="none"/>
              </w:rPr>
              <w:t xml:space="preserve"> in AI adoption</w:t>
            </w:r>
            <w:r w:rsidRPr="00132584">
              <w:rPr>
                <w:rFonts w:eastAsia="Times New Roman" w:cs="Times New Roman"/>
                <w:color w:val="auto"/>
                <w:kern w:val="0"/>
                <w:sz w:val="20"/>
                <w:szCs w:val="20"/>
                <w:lang w:eastAsia="en-GB"/>
                <w14:ligatures w14:val="none"/>
              </w:rPr>
              <w:t>. Regulatory environment also plays a role.</w:t>
            </w:r>
          </w:p>
        </w:tc>
        <w:tc>
          <w:tcPr>
            <w:tcW w:w="3787" w:type="dxa"/>
            <w:hideMark/>
          </w:tcPr>
          <w:p w14:paraId="5DB0D055" w14:textId="3D5DFCD4" w:rsidR="00D811C5"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 xml:space="preserve">Technological: Data availability, technological compatibility, </w:t>
            </w:r>
            <w:r w:rsidR="00D811C5">
              <w:rPr>
                <w:rFonts w:eastAsia="Times New Roman" w:cs="Times New Roman"/>
                <w:color w:val="auto"/>
                <w:kern w:val="0"/>
                <w:sz w:val="20"/>
                <w:szCs w:val="20"/>
                <w:lang w:eastAsia="en-GB"/>
                <w14:ligatures w14:val="none"/>
              </w:rPr>
              <w:t xml:space="preserve">use of </w:t>
            </w:r>
            <w:r w:rsidRPr="00132584">
              <w:rPr>
                <w:rFonts w:eastAsia="Times New Roman" w:cs="Times New Roman"/>
                <w:color w:val="auto"/>
                <w:kern w:val="0"/>
                <w:sz w:val="20"/>
                <w:szCs w:val="20"/>
                <w:lang w:eastAsia="en-GB"/>
                <w14:ligatures w14:val="none"/>
              </w:rPr>
              <w:t xml:space="preserve">AI tools. </w:t>
            </w:r>
            <w:r w:rsidR="00D91F52">
              <w:rPr>
                <w:rFonts w:eastAsia="Times New Roman" w:cs="Times New Roman"/>
                <w:color w:val="auto"/>
                <w:kern w:val="0"/>
                <w:sz w:val="20"/>
                <w:szCs w:val="20"/>
                <w:lang w:eastAsia="en-GB"/>
                <w14:ligatures w14:val="none"/>
              </w:rPr>
              <w:t>Organisational</w:t>
            </w:r>
            <w:r w:rsidRPr="00132584">
              <w:rPr>
                <w:rFonts w:eastAsia="Times New Roman" w:cs="Times New Roman"/>
                <w:color w:val="auto"/>
                <w:kern w:val="0"/>
                <w:sz w:val="20"/>
                <w:szCs w:val="20"/>
                <w:lang w:eastAsia="en-GB"/>
                <w14:ligatures w14:val="none"/>
              </w:rPr>
              <w:t xml:space="preserve">: Top management support, </w:t>
            </w:r>
          </w:p>
          <w:p w14:paraId="45C4968C" w14:textId="7724E6A2"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lastRenderedPageBreak/>
              <w:t>Environmental: Regulatory environment, industry standards</w:t>
            </w:r>
          </w:p>
        </w:tc>
      </w:tr>
      <w:tr w:rsidR="00132584" w:rsidRPr="00132584" w14:paraId="631CCC9B" w14:textId="77777777" w:rsidTr="00132584">
        <w:trPr>
          <w:trHeight w:val="315"/>
        </w:trPr>
        <w:tc>
          <w:tcPr>
            <w:tcW w:w="0" w:type="auto"/>
            <w:hideMark/>
          </w:tcPr>
          <w:p w14:paraId="52C48EE2" w14:textId="77777777"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lastRenderedPageBreak/>
              <w:t>Kurup &amp; Gupta (2022)</w:t>
            </w:r>
          </w:p>
        </w:tc>
        <w:tc>
          <w:tcPr>
            <w:tcW w:w="3824" w:type="dxa"/>
            <w:hideMark/>
          </w:tcPr>
          <w:p w14:paraId="59AA6385" w14:textId="7D8FD843"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Leadership vision, change management capability, and AI readiness positively impact AI adoption.</w:t>
            </w:r>
            <w:r w:rsidR="00217754">
              <w:rPr>
                <w:rFonts w:eastAsia="Times New Roman" w:cs="Times New Roman"/>
                <w:color w:val="auto"/>
                <w:kern w:val="0"/>
                <w:sz w:val="20"/>
                <w:szCs w:val="20"/>
                <w:lang w:eastAsia="en-GB"/>
                <w14:ligatures w14:val="none"/>
              </w:rPr>
              <w:t xml:space="preserve"> T</w:t>
            </w:r>
            <w:r w:rsidRPr="00132584">
              <w:rPr>
                <w:rFonts w:eastAsia="Times New Roman" w:cs="Times New Roman"/>
                <w:color w:val="auto"/>
                <w:kern w:val="0"/>
                <w:sz w:val="20"/>
                <w:szCs w:val="20"/>
                <w:lang w:eastAsia="en-GB"/>
                <w14:ligatures w14:val="none"/>
              </w:rPr>
              <w:t xml:space="preserve">rading partners should also be considered in adoption. </w:t>
            </w:r>
          </w:p>
        </w:tc>
        <w:tc>
          <w:tcPr>
            <w:tcW w:w="3787" w:type="dxa"/>
            <w:hideMark/>
          </w:tcPr>
          <w:p w14:paraId="21BD155A" w14:textId="77777777" w:rsidR="0021775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 xml:space="preserve">Technological: Compatibility, relative advantage, AI-specific infrastructure, data management. </w:t>
            </w:r>
          </w:p>
          <w:p w14:paraId="432DBEFC" w14:textId="77777777" w:rsidR="00D91F52" w:rsidRDefault="00D91F52" w:rsidP="00132584">
            <w:pPr>
              <w:rPr>
                <w:rFonts w:eastAsia="Times New Roman" w:cs="Times New Roman"/>
                <w:color w:val="auto"/>
                <w:kern w:val="0"/>
                <w:sz w:val="20"/>
                <w:szCs w:val="20"/>
                <w:lang w:eastAsia="en-GB"/>
                <w14:ligatures w14:val="none"/>
              </w:rPr>
            </w:pPr>
            <w:r>
              <w:rPr>
                <w:rFonts w:eastAsia="Times New Roman" w:cs="Times New Roman"/>
                <w:color w:val="auto"/>
                <w:kern w:val="0"/>
                <w:sz w:val="20"/>
                <w:szCs w:val="20"/>
                <w:lang w:eastAsia="en-GB"/>
                <w14:ligatures w14:val="none"/>
              </w:rPr>
              <w:t>Organisational</w:t>
            </w:r>
          </w:p>
          <w:p w14:paraId="18512F4A" w14:textId="50A41E5D" w:rsidR="0021775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 xml:space="preserve">: Leadership vision, change management, culture. </w:t>
            </w:r>
          </w:p>
          <w:p w14:paraId="78B8C2F9" w14:textId="6DE8D571"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Environmental: Competitive pressure, trading partners</w:t>
            </w:r>
          </w:p>
        </w:tc>
      </w:tr>
      <w:tr w:rsidR="00132584" w:rsidRPr="00132584" w14:paraId="51A1F177" w14:textId="77777777" w:rsidTr="00132584">
        <w:trPr>
          <w:trHeight w:val="315"/>
        </w:trPr>
        <w:tc>
          <w:tcPr>
            <w:tcW w:w="0" w:type="auto"/>
            <w:hideMark/>
          </w:tcPr>
          <w:p w14:paraId="62E243C7" w14:textId="77777777"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Polishetty et al. (2023)</w:t>
            </w:r>
          </w:p>
        </w:tc>
        <w:tc>
          <w:tcPr>
            <w:tcW w:w="3824" w:type="dxa"/>
            <w:hideMark/>
          </w:tcPr>
          <w:p w14:paraId="1D4F1198" w14:textId="77777777"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Successful AI implementation depends on advanced data analytics, a culture of innovation, and proactive regulatory frameworks.</w:t>
            </w:r>
          </w:p>
        </w:tc>
        <w:tc>
          <w:tcPr>
            <w:tcW w:w="3787" w:type="dxa"/>
            <w:hideMark/>
          </w:tcPr>
          <w:p w14:paraId="7D62C80F" w14:textId="5A11CC9C"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 xml:space="preserve">Technological: Data management capabilities, AI infrastructure. </w:t>
            </w:r>
            <w:r w:rsidR="00D91F52">
              <w:rPr>
                <w:rFonts w:eastAsia="Times New Roman" w:cs="Times New Roman"/>
                <w:color w:val="auto"/>
                <w:kern w:val="0"/>
                <w:sz w:val="20"/>
                <w:szCs w:val="20"/>
                <w:lang w:eastAsia="en-GB"/>
                <w14:ligatures w14:val="none"/>
              </w:rPr>
              <w:t>Organisational</w:t>
            </w:r>
            <w:r w:rsidRPr="00132584">
              <w:rPr>
                <w:rFonts w:eastAsia="Times New Roman" w:cs="Times New Roman"/>
                <w:color w:val="auto"/>
                <w:kern w:val="0"/>
                <w:sz w:val="20"/>
                <w:szCs w:val="20"/>
                <w:lang w:eastAsia="en-GB"/>
                <w14:ligatures w14:val="none"/>
              </w:rPr>
              <w:t>: Leadership support, employee training, culture of innovation. Environmental: Regulatory frameworks, market competition</w:t>
            </w:r>
          </w:p>
        </w:tc>
      </w:tr>
      <w:tr w:rsidR="00132584" w:rsidRPr="00132584" w14:paraId="44FD74DB" w14:textId="77777777" w:rsidTr="00132584">
        <w:trPr>
          <w:trHeight w:val="315"/>
        </w:trPr>
        <w:tc>
          <w:tcPr>
            <w:tcW w:w="0" w:type="auto"/>
            <w:hideMark/>
          </w:tcPr>
          <w:p w14:paraId="4CB9528C" w14:textId="77777777"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Mihai &amp; Dutescu (2024)</w:t>
            </w:r>
          </w:p>
        </w:tc>
        <w:tc>
          <w:tcPr>
            <w:tcW w:w="3824" w:type="dxa"/>
            <w:hideMark/>
          </w:tcPr>
          <w:p w14:paraId="7CA0A969" w14:textId="77777777" w:rsidR="00132584" w:rsidRPr="00132584" w:rsidRDefault="00132584" w:rsidP="00132584">
            <w:pPr>
              <w:rPr>
                <w:rFonts w:eastAsia="Times New Roman" w:cs="Times New Roman"/>
                <w:color w:val="auto"/>
                <w:kern w:val="0"/>
                <w:sz w:val="20"/>
                <w:szCs w:val="20"/>
                <w:lang w:eastAsia="en-GB"/>
                <w14:ligatures w14:val="none"/>
              </w:rPr>
            </w:pPr>
            <w:r w:rsidRPr="00132584">
              <w:rPr>
                <w:rFonts w:eastAsia="Times New Roman" w:cs="Times New Roman"/>
                <w:color w:val="auto"/>
                <w:kern w:val="0"/>
                <w:sz w:val="20"/>
                <w:szCs w:val="20"/>
                <w:lang w:eastAsia="en-GB"/>
                <w14:ligatures w14:val="none"/>
              </w:rPr>
              <w:t>Larger firms are more prepared for AI adoption due to having better resources and infrastructure. SMEs can also build their organisational readiness by adopting cloud-based solutions and investing in training.</w:t>
            </w:r>
          </w:p>
        </w:tc>
        <w:tc>
          <w:tcPr>
            <w:tcW w:w="3787" w:type="dxa"/>
            <w:hideMark/>
          </w:tcPr>
          <w:p w14:paraId="5D04927B" w14:textId="77777777" w:rsidR="00D91F52" w:rsidRDefault="00416277" w:rsidP="00132584">
            <w:pPr>
              <w:rPr>
                <w:rFonts w:eastAsia="Times New Roman" w:cs="Times New Roman"/>
                <w:color w:val="auto"/>
                <w:kern w:val="0"/>
                <w:sz w:val="20"/>
                <w:szCs w:val="20"/>
                <w:lang w:eastAsia="en-GB"/>
                <w14:ligatures w14:val="none"/>
              </w:rPr>
            </w:pPr>
            <w:r w:rsidRPr="00416277">
              <w:rPr>
                <w:rFonts w:eastAsia="Times New Roman" w:cs="Times New Roman"/>
                <w:color w:val="auto"/>
                <w:kern w:val="0"/>
                <w:sz w:val="20"/>
                <w:szCs w:val="20"/>
                <w:lang w:eastAsia="en-GB"/>
                <w14:ligatures w14:val="none"/>
              </w:rPr>
              <w:t>Technological: Compatibility with existing systems, perceived advantages, complexity, security</w:t>
            </w:r>
            <w:r>
              <w:rPr>
                <w:rFonts w:eastAsia="Times New Roman" w:cs="Times New Roman"/>
                <w:color w:val="auto"/>
                <w:kern w:val="0"/>
                <w:sz w:val="20"/>
                <w:szCs w:val="20"/>
                <w:lang w:eastAsia="en-GB"/>
                <w14:ligatures w14:val="none"/>
              </w:rPr>
              <w:t xml:space="preserve">. </w:t>
            </w:r>
          </w:p>
          <w:p w14:paraId="461F5D16" w14:textId="77777777" w:rsidR="00D91F52" w:rsidRDefault="00D91F52" w:rsidP="00132584">
            <w:pPr>
              <w:rPr>
                <w:rFonts w:eastAsia="Times New Roman" w:cs="Times New Roman"/>
                <w:color w:val="auto"/>
                <w:kern w:val="0"/>
                <w:sz w:val="20"/>
                <w:szCs w:val="20"/>
                <w:lang w:eastAsia="en-GB"/>
                <w14:ligatures w14:val="none"/>
              </w:rPr>
            </w:pPr>
            <w:r>
              <w:rPr>
                <w:rFonts w:eastAsia="Times New Roman" w:cs="Times New Roman"/>
                <w:color w:val="auto"/>
                <w:kern w:val="0"/>
                <w:sz w:val="20"/>
                <w:szCs w:val="20"/>
                <w:lang w:eastAsia="en-GB"/>
                <w14:ligatures w14:val="none"/>
              </w:rPr>
              <w:t>Organisational</w:t>
            </w:r>
            <w:r w:rsidR="00416277" w:rsidRPr="00416277">
              <w:rPr>
                <w:rFonts w:eastAsia="Times New Roman" w:cs="Times New Roman"/>
                <w:color w:val="auto"/>
                <w:kern w:val="0"/>
                <w:sz w:val="20"/>
                <w:szCs w:val="20"/>
                <w:lang w:eastAsia="en-GB"/>
                <w14:ligatures w14:val="none"/>
              </w:rPr>
              <w:t xml:space="preserve">: Top management support, </w:t>
            </w:r>
            <w:r>
              <w:rPr>
                <w:rFonts w:eastAsia="Times New Roman" w:cs="Times New Roman"/>
                <w:color w:val="auto"/>
                <w:kern w:val="0"/>
                <w:sz w:val="20"/>
                <w:szCs w:val="20"/>
                <w:lang w:eastAsia="en-GB"/>
                <w14:ligatures w14:val="none"/>
              </w:rPr>
              <w:t>organisational</w:t>
            </w:r>
            <w:r w:rsidR="00416277" w:rsidRPr="00416277">
              <w:rPr>
                <w:rFonts w:eastAsia="Times New Roman" w:cs="Times New Roman"/>
                <w:color w:val="auto"/>
                <w:kern w:val="0"/>
                <w:sz w:val="20"/>
                <w:szCs w:val="20"/>
                <w:lang w:eastAsia="en-GB"/>
                <w14:ligatures w14:val="none"/>
              </w:rPr>
              <w:t xml:space="preserve"> culture, employee competencie</w:t>
            </w:r>
            <w:r w:rsidR="00416277">
              <w:rPr>
                <w:rFonts w:eastAsia="Times New Roman" w:cs="Times New Roman"/>
                <w:color w:val="auto"/>
                <w:kern w:val="0"/>
                <w:sz w:val="20"/>
                <w:szCs w:val="20"/>
                <w:lang w:eastAsia="en-GB"/>
                <w14:ligatures w14:val="none"/>
              </w:rPr>
              <w:t xml:space="preserve">s. </w:t>
            </w:r>
          </w:p>
          <w:p w14:paraId="3A901835" w14:textId="4D04A449" w:rsidR="00132584" w:rsidRPr="00132584" w:rsidRDefault="00416277" w:rsidP="00132584">
            <w:pPr>
              <w:rPr>
                <w:rFonts w:eastAsia="Times New Roman" w:cs="Times New Roman"/>
                <w:color w:val="auto"/>
                <w:kern w:val="0"/>
                <w:sz w:val="20"/>
                <w:szCs w:val="20"/>
                <w:lang w:eastAsia="en-GB"/>
                <w14:ligatures w14:val="none"/>
              </w:rPr>
            </w:pPr>
            <w:r w:rsidRPr="00416277">
              <w:rPr>
                <w:rFonts w:eastAsia="Times New Roman" w:cs="Times New Roman"/>
                <w:color w:val="auto"/>
                <w:kern w:val="0"/>
                <w:sz w:val="20"/>
                <w:szCs w:val="20"/>
                <w:lang w:eastAsia="en-GB"/>
                <w14:ligatures w14:val="none"/>
              </w:rPr>
              <w:t>Environmental: Industry pressure, regulatory environments</w:t>
            </w:r>
          </w:p>
        </w:tc>
      </w:tr>
    </w:tbl>
    <w:p w14:paraId="5946B508" w14:textId="77777777" w:rsidR="000210EC" w:rsidRDefault="000210EC" w:rsidP="00AB0A71">
      <w:pPr>
        <w:ind w:left="851"/>
      </w:pPr>
    </w:p>
    <w:p w14:paraId="787A53C9" w14:textId="3D62A92E" w:rsidR="00B264E1" w:rsidRDefault="00B264E1" w:rsidP="009D75A2">
      <w:pPr>
        <w:pStyle w:val="Heading4"/>
        <w:ind w:hanging="373"/>
      </w:pPr>
      <w:r>
        <w:t xml:space="preserve">Limitations of the TOE </w:t>
      </w:r>
      <w:r w:rsidR="00B80172">
        <w:t xml:space="preserve">framework </w:t>
      </w:r>
    </w:p>
    <w:p w14:paraId="10498D62" w14:textId="7CF4B1A5" w:rsidR="000210EC" w:rsidRDefault="00964BE4" w:rsidP="00574305">
      <w:pPr>
        <w:ind w:left="851"/>
      </w:pPr>
      <w:r>
        <w:t>Although</w:t>
      </w:r>
      <w:r w:rsidRPr="00964BE4">
        <w:t xml:space="preserve"> the TOE framework </w:t>
      </w:r>
      <w:r>
        <w:t>encompasses many factors</w:t>
      </w:r>
      <w:r w:rsidRPr="00964BE4">
        <w:t xml:space="preserve"> </w:t>
      </w:r>
      <w:r w:rsidR="0093766C">
        <w:t xml:space="preserve">and </w:t>
      </w:r>
      <w:r w:rsidR="00771328">
        <w:t>enables</w:t>
      </w:r>
      <w:r w:rsidRPr="00964BE4">
        <w:t xml:space="preserve"> </w:t>
      </w:r>
      <w:r w:rsidR="0093766C">
        <w:t>broad</w:t>
      </w:r>
      <w:r w:rsidRPr="00964BE4">
        <w:t xml:space="preserve"> analysis of technology adoption</w:t>
      </w:r>
      <w:r w:rsidR="0093766C">
        <w:t xml:space="preserve">, </w:t>
      </w:r>
      <w:r w:rsidRPr="00964BE4">
        <w:t>the framework does not specify the relative importance of each factor</w:t>
      </w:r>
      <w:r w:rsidR="002B1CD7">
        <w:t>. The flexibility of the framework could, in some contexts, also be a weakness because</w:t>
      </w:r>
      <w:r w:rsidRPr="00964BE4">
        <w:t xml:space="preserve"> </w:t>
      </w:r>
      <w:r w:rsidR="00771328">
        <w:t>it allows many different factors to be included within ea</w:t>
      </w:r>
      <w:r w:rsidRPr="00964BE4">
        <w:t xml:space="preserve">ch context. </w:t>
      </w:r>
      <w:r w:rsidR="00573B5E">
        <w:t>In other words, t</w:t>
      </w:r>
      <w:r w:rsidR="000B6765">
        <w:t xml:space="preserve">here is a lack of consensus on </w:t>
      </w:r>
      <w:r w:rsidR="004A67A6">
        <w:t xml:space="preserve">the specific TOE factors to use in assessing AI readiness. </w:t>
      </w:r>
      <w:r w:rsidR="006271AB">
        <w:t>Furthermore, t</w:t>
      </w:r>
      <w:r w:rsidR="003700D2">
        <w:t xml:space="preserve">he current literature on AI readiness rarely addresses employees’ skills as a distinct factor that affects AI </w:t>
      </w:r>
      <w:r w:rsidR="006271AB">
        <w:t>readiness,</w:t>
      </w:r>
      <w:r w:rsidR="003700D2">
        <w:t xml:space="preserve"> and </w:t>
      </w:r>
      <w:r w:rsidR="00813387">
        <w:t>further work on AI readiness</w:t>
      </w:r>
      <w:r w:rsidR="003700D2">
        <w:t xml:space="preserve"> </w:t>
      </w:r>
      <w:r w:rsidR="00813387">
        <w:t>sh</w:t>
      </w:r>
      <w:r w:rsidR="003700D2">
        <w:t xml:space="preserve">ould also </w:t>
      </w:r>
      <w:r w:rsidR="00D359BA">
        <w:t xml:space="preserve">facilitate the identification of specific technical, managerial and interpersonal skills most critical for successful AI adoption. </w:t>
      </w:r>
      <w:r w:rsidR="00FD02B7">
        <w:t xml:space="preserve"> </w:t>
      </w:r>
    </w:p>
    <w:p w14:paraId="045EBE23" w14:textId="3FA43876" w:rsidR="00157530" w:rsidRDefault="00257395" w:rsidP="00157530">
      <w:pPr>
        <w:pStyle w:val="Heading2"/>
        <w:ind w:left="426" w:firstLine="66"/>
      </w:pPr>
      <w:r>
        <w:t>Testing</w:t>
      </w:r>
      <w:r w:rsidR="00157530">
        <w:t xml:space="preserve"> &amp; validation </w:t>
      </w:r>
    </w:p>
    <w:p w14:paraId="03367E7E" w14:textId="619EE591" w:rsidR="00257395" w:rsidRPr="00505A5D" w:rsidRDefault="003219AE" w:rsidP="00157530">
      <w:pPr>
        <w:ind w:left="720"/>
      </w:pPr>
      <w:r>
        <w:t>Once t</w:t>
      </w:r>
      <w:r w:rsidR="00157530">
        <w:t xml:space="preserve">he </w:t>
      </w:r>
      <w:r w:rsidR="00445AC1">
        <w:t xml:space="preserve">AI readiness assessment tool i.e. the </w:t>
      </w:r>
      <w:r w:rsidR="00157530">
        <w:t>survey instrument</w:t>
      </w:r>
      <w:r w:rsidR="00445AC1">
        <w:t xml:space="preserve"> has been developed</w:t>
      </w:r>
      <w:r>
        <w:t xml:space="preserve">, the researchers propose to </w:t>
      </w:r>
      <w:r w:rsidR="00445AC1">
        <w:t xml:space="preserve">test and validate the instrument </w:t>
      </w:r>
      <w:r w:rsidR="00623EEE">
        <w:t>through pilot testing in partnership with Greater Manchester Chamber of Commerce.</w:t>
      </w:r>
      <w:r w:rsidR="00985FEA">
        <w:t xml:space="preserve"> </w:t>
      </w:r>
      <w:r w:rsidR="0062287D">
        <w:t xml:space="preserve">The objectives of the testing are to assess the </w:t>
      </w:r>
      <w:r w:rsidR="0062028E">
        <w:t xml:space="preserve">validity and </w:t>
      </w:r>
      <w:r w:rsidR="0062287D">
        <w:t xml:space="preserve">reliability </w:t>
      </w:r>
      <w:r w:rsidR="009F752C">
        <w:t xml:space="preserve">of </w:t>
      </w:r>
      <w:r w:rsidR="0062287D">
        <w:t xml:space="preserve">the AI readiness assessment tool </w:t>
      </w:r>
      <w:r w:rsidR="000023E2">
        <w:t>and its practical applicability</w:t>
      </w:r>
      <w:r w:rsidR="007311CE">
        <w:t xml:space="preserve"> to organisations in different sectors</w:t>
      </w:r>
      <w:r w:rsidR="00D11B6C">
        <w:t xml:space="preserve">. </w:t>
      </w:r>
      <w:r w:rsidR="0062028E">
        <w:t xml:space="preserve">The content validity of the instrument </w:t>
      </w:r>
      <w:r w:rsidR="0062028E">
        <w:t>will be assessed by consulting</w:t>
      </w:r>
      <w:r w:rsidR="00BF5662">
        <w:t xml:space="preserve"> with</w:t>
      </w:r>
      <w:r w:rsidR="0062028E">
        <w:t xml:space="preserve"> </w:t>
      </w:r>
      <w:r w:rsidR="00804178">
        <w:t xml:space="preserve">other researchers and AI practitioners. </w:t>
      </w:r>
      <w:r w:rsidR="003D3E07">
        <w:t>To assess the reliability of the instrument, t</w:t>
      </w:r>
      <w:r w:rsidR="007D2FCD">
        <w:t xml:space="preserve">he researchers will work with Greater Manchester Chamber of Commerce to identify a set of business members </w:t>
      </w:r>
      <w:r w:rsidR="00D83667">
        <w:t xml:space="preserve">of the Chamber across different sectors and sizes. </w:t>
      </w:r>
      <w:r w:rsidR="00F5297E">
        <w:t>The instrument will be tested with a sample size of at least 50 organisations</w:t>
      </w:r>
      <w:r w:rsidR="00046883">
        <w:t xml:space="preserve"> to </w:t>
      </w:r>
      <w:r w:rsidR="00823C41">
        <w:t>ensure a variety of responses and sufficient data for preliminary analysis</w:t>
      </w:r>
      <w:r w:rsidR="00F5297E">
        <w:t>.</w:t>
      </w:r>
      <w:r w:rsidR="00D3693E">
        <w:t xml:space="preserve"> Based on the empirical findings, the instrument will be refined and retested with the same businesses </w:t>
      </w:r>
      <w:r w:rsidR="00E5236D">
        <w:t>three months</w:t>
      </w:r>
      <w:r w:rsidR="00953129">
        <w:t xml:space="preserve"> after pilot testing</w:t>
      </w:r>
      <w:r w:rsidR="00E5236D">
        <w:t xml:space="preserve">. </w:t>
      </w:r>
      <w:r w:rsidR="003D3E07">
        <w:t xml:space="preserve">The two sets of results will be </w:t>
      </w:r>
      <w:r w:rsidR="00654DEF">
        <w:t>compared to asse</w:t>
      </w:r>
      <w:r w:rsidR="0062028E">
        <w:t>s</w:t>
      </w:r>
      <w:r w:rsidR="00654DEF">
        <w:t xml:space="preserve">s the retest reliability. </w:t>
      </w:r>
    </w:p>
    <w:p w14:paraId="01D1C9CD" w14:textId="64432A48" w:rsidR="00C454CC" w:rsidRPr="00C454CC" w:rsidRDefault="00C454CC" w:rsidP="0095487E">
      <w:pPr>
        <w:pStyle w:val="Heading2"/>
        <w:ind w:left="567" w:hanging="141"/>
      </w:pPr>
      <w:r w:rsidRPr="00C454CC">
        <w:lastRenderedPageBreak/>
        <w:t>Conclusions</w:t>
      </w:r>
    </w:p>
    <w:p w14:paraId="54C73721" w14:textId="4742EF4A" w:rsidR="00C454CC" w:rsidRPr="00F85D75" w:rsidRDefault="00C454CC" w:rsidP="00C454CC">
      <w:pPr>
        <w:pStyle w:val="ListParagraph"/>
        <w:spacing w:before="240" w:line="240" w:lineRule="auto"/>
        <w:rPr>
          <w:rFonts w:cs="Times New Roman"/>
          <w:szCs w:val="24"/>
        </w:rPr>
      </w:pPr>
      <w:r w:rsidRPr="00F85D75">
        <w:rPr>
          <w:rFonts w:cs="Times New Roman"/>
          <w:szCs w:val="24"/>
        </w:rPr>
        <w:t xml:space="preserve">Organisational AI readiness is an important determinant of successful AI adoption within an organisation. Not only are there different AI readiness factors but there are also different approaches to framing organisational AI readiness such as readiness research, critical success factors and barriers of adoption, the converse of which could be used as readiness factors. These different perspectives highlight the need for a coherent and integrated framework for understanding AI readiness. </w:t>
      </w:r>
      <w:r w:rsidR="00813387">
        <w:t>E</w:t>
      </w:r>
      <w:r w:rsidR="00813387">
        <w:t xml:space="preserve">ven the </w:t>
      </w:r>
      <w:r w:rsidR="00813387">
        <w:t xml:space="preserve">popular </w:t>
      </w:r>
      <w:r w:rsidR="00813387">
        <w:t xml:space="preserve">TOE framework has some limitations in understanding </w:t>
      </w:r>
      <w:r w:rsidR="002B3C24">
        <w:t xml:space="preserve">AI </w:t>
      </w:r>
      <w:r w:rsidR="00813387">
        <w:t xml:space="preserve">readiness and further research into organisational readiness for AI adoption is required. The researchers believe that further research should aim to arrive at a universal set of readiness factors. </w:t>
      </w:r>
      <w:r w:rsidR="00C460D3">
        <w:t>Th</w:t>
      </w:r>
      <w:r w:rsidR="00F71F4C">
        <w:t>e lack of a un</w:t>
      </w:r>
      <w:r w:rsidR="00DA79BB">
        <w:t>iversal set of readiness factors</w:t>
      </w:r>
      <w:r w:rsidR="00C460D3">
        <w:t xml:space="preserve"> is one of the important </w:t>
      </w:r>
      <w:r w:rsidR="00C460D3">
        <w:t xml:space="preserve">gaps that this research seeks to address. By developing </w:t>
      </w:r>
      <w:r w:rsidR="00C460D3" w:rsidRPr="00CB5D1B">
        <w:t xml:space="preserve">a comprehensive AI readiness assessment framework for </w:t>
      </w:r>
      <w:r w:rsidR="000A30BD">
        <w:t>organisations</w:t>
      </w:r>
      <w:r w:rsidR="00C460D3">
        <w:t xml:space="preserve">, this research can provide a unified understanding of AI readiness. </w:t>
      </w:r>
      <w:r w:rsidRPr="00F85D75">
        <w:rPr>
          <w:rFonts w:cs="Times New Roman"/>
          <w:szCs w:val="24"/>
        </w:rPr>
        <w:t>It follows that researchers and practitioners should be able to apply the framework to assess organisational AI readiness in a wide variety of contexts. On that point</w:t>
      </w:r>
      <w:r w:rsidR="002E64CE">
        <w:rPr>
          <w:rFonts w:cs="Times New Roman"/>
          <w:szCs w:val="24"/>
        </w:rPr>
        <w:t xml:space="preserve"> too</w:t>
      </w:r>
      <w:r w:rsidRPr="00F85D75">
        <w:rPr>
          <w:rFonts w:cs="Times New Roman"/>
          <w:szCs w:val="24"/>
        </w:rPr>
        <w:t xml:space="preserve">, there remains a gap because there isn’t a standardised and easy to administer instrument for conducting </w:t>
      </w:r>
      <w:r>
        <w:rPr>
          <w:rFonts w:cs="Times New Roman"/>
          <w:szCs w:val="24"/>
        </w:rPr>
        <w:t>readiness</w:t>
      </w:r>
      <w:r w:rsidRPr="00F85D75">
        <w:rPr>
          <w:rFonts w:cs="Times New Roman"/>
          <w:szCs w:val="24"/>
        </w:rPr>
        <w:t xml:space="preserve"> assessment</w:t>
      </w:r>
      <w:r>
        <w:rPr>
          <w:rFonts w:cs="Times New Roman"/>
          <w:szCs w:val="24"/>
        </w:rPr>
        <w:t>s</w:t>
      </w:r>
      <w:r w:rsidRPr="00F85D75">
        <w:rPr>
          <w:rFonts w:cs="Times New Roman"/>
          <w:szCs w:val="24"/>
        </w:rPr>
        <w:t xml:space="preserve">. This study </w:t>
      </w:r>
      <w:r w:rsidR="002E64CE">
        <w:rPr>
          <w:rFonts w:cs="Times New Roman"/>
          <w:szCs w:val="24"/>
        </w:rPr>
        <w:t xml:space="preserve">also </w:t>
      </w:r>
      <w:r w:rsidRPr="00F85D75">
        <w:rPr>
          <w:rFonts w:cs="Times New Roman"/>
          <w:szCs w:val="24"/>
        </w:rPr>
        <w:t xml:space="preserve">seeks to address that gap. By first conducting a comprehensive review of available literature on AI readiness, the completed paper will propose an integrated AI readiness framework, which will become the basis for the survey instrument. The integrated AI readiness framework, and an initial version of the instrument will be presented at the conference. It is believed that the outcomes from this research will guide business leaders, AI practitioners, strategists and policymakers to encourage and enable more businesses to understand AI readiness and use those insights to introduce and integrate AI technologies into their operations with a view to improving organisational productivity and efficiency.  </w:t>
      </w:r>
    </w:p>
    <w:p w14:paraId="2334A019" w14:textId="462B73D8" w:rsidR="00C454CC" w:rsidRDefault="00C454CC" w:rsidP="00C454CC">
      <w:pPr>
        <w:pStyle w:val="Heading2"/>
        <w:numPr>
          <w:ilvl w:val="0"/>
          <w:numId w:val="0"/>
        </w:numPr>
      </w:pPr>
      <w:r>
        <w:t>References</w:t>
      </w:r>
    </w:p>
    <w:p w14:paraId="1C2CEBFA" w14:textId="54FE1192" w:rsidR="00C454CC" w:rsidRPr="00C454CC" w:rsidRDefault="00C454CC" w:rsidP="00C454CC">
      <w:pPr>
        <w:spacing w:after="0"/>
        <w:ind w:left="709"/>
      </w:pPr>
      <w:r w:rsidRPr="00C454CC">
        <w:t>Alhashmi, S. F., Salloum, S. A., &amp; Mhamdi, C. (2019). Implementing artificial intelligence in the United Arab Emirates healthcare sector: an extended technology acceptance model. International Journal of Information Technology and Language Studies, 3(3), 27-42.</w:t>
      </w:r>
    </w:p>
    <w:p w14:paraId="026590DE" w14:textId="77777777" w:rsidR="00C454CC" w:rsidRPr="00C454CC" w:rsidRDefault="00C454CC" w:rsidP="00C454CC">
      <w:pPr>
        <w:spacing w:after="0"/>
        <w:ind w:left="709"/>
      </w:pPr>
    </w:p>
    <w:p w14:paraId="2389FB31" w14:textId="6741B6AB" w:rsidR="00E0152D" w:rsidRDefault="00E0152D" w:rsidP="00E0152D">
      <w:pPr>
        <w:spacing w:after="0"/>
        <w:ind w:left="709"/>
      </w:pPr>
      <w:r>
        <w:t xml:space="preserve">Alsheibani, S., Cheung, Y., &amp; Messom, C. (2018). Artificial Intelligence Adoption: AI-readiness at Firm-Level. PACIS 2018 Proceedings. </w:t>
      </w:r>
      <w:hyperlink r:id="rId9" w:history="1">
        <w:r w:rsidRPr="00DA3C03">
          <w:rPr>
            <w:rStyle w:val="Hyperlink"/>
          </w:rPr>
          <w:t>https://aisel.aisnet.org/pacis2018/37</w:t>
        </w:r>
      </w:hyperlink>
    </w:p>
    <w:p w14:paraId="446BC4B2" w14:textId="77777777" w:rsidR="00E0152D" w:rsidRDefault="00E0152D" w:rsidP="00E0152D">
      <w:pPr>
        <w:spacing w:after="0"/>
        <w:ind w:left="709"/>
      </w:pPr>
    </w:p>
    <w:p w14:paraId="0D734D39" w14:textId="10E45DB7" w:rsidR="00C454CC" w:rsidRDefault="00C454CC" w:rsidP="00C454CC">
      <w:pPr>
        <w:spacing w:after="0"/>
        <w:ind w:left="709"/>
      </w:pPr>
      <w:r w:rsidRPr="00C454CC">
        <w:t>Alsheib</w:t>
      </w:r>
      <w:r w:rsidR="00357647">
        <w:t>a</w:t>
      </w:r>
      <w:r w:rsidRPr="00C454CC">
        <w:t xml:space="preserve">ni, S., Cheung, Y., &amp; Messom, C. (2019). Factors inhibiting the adoption of artificial intelligence at </w:t>
      </w:r>
      <w:r w:rsidR="00D91F52">
        <w:t>organisational</w:t>
      </w:r>
      <w:r w:rsidR="00E16245" w:rsidRPr="00C454CC">
        <w:t xml:space="preserve"> level</w:t>
      </w:r>
      <w:r w:rsidRPr="00C454CC">
        <w:t xml:space="preserve">: a preliminary investigation. In M. Santana, &amp; R. Montealegre (Eds.), </w:t>
      </w:r>
      <w:r w:rsidR="00357647">
        <w:t xml:space="preserve"> </w:t>
      </w:r>
      <w:r w:rsidRPr="00C454CC">
        <w:t xml:space="preserve">AMCIS 2019 Proceedings </w:t>
      </w:r>
      <w:hyperlink r:id="rId10" w:history="1">
        <w:r w:rsidR="00357647" w:rsidRPr="00DA3C03">
          <w:rPr>
            <w:rStyle w:val="Hyperlink"/>
          </w:rPr>
          <w:t>https://aisel.aisnet.org/amcis2019/adoption_diffusion_IT/adoption_diffusion_IT/2/</w:t>
        </w:r>
      </w:hyperlink>
    </w:p>
    <w:p w14:paraId="1B663C82" w14:textId="77777777" w:rsidR="00C454CC" w:rsidRPr="00C454CC" w:rsidRDefault="00C454CC" w:rsidP="00C454CC">
      <w:pPr>
        <w:spacing w:after="0"/>
        <w:ind w:left="709"/>
      </w:pPr>
    </w:p>
    <w:p w14:paraId="3C2C0591" w14:textId="77777777" w:rsidR="00C454CC" w:rsidRPr="00C454CC" w:rsidRDefault="00C454CC" w:rsidP="00C454CC">
      <w:pPr>
        <w:spacing w:after="0"/>
        <w:ind w:left="709"/>
      </w:pPr>
      <w:r w:rsidRPr="00C454CC">
        <w:t>Andrews, J. E., Ward, H., &amp; Yoon, J. (2021). UTAUT as a model for understanding intention to adopt AI and related technologies among librarians. The Journal of Academic Librarianship, 47(6), 102437. https://doi.org/10.1016/j.acalib.2021.102437</w:t>
      </w:r>
    </w:p>
    <w:p w14:paraId="7FDE6A4F" w14:textId="77777777" w:rsidR="00C454CC" w:rsidRPr="00C454CC" w:rsidRDefault="00C454CC" w:rsidP="00C454CC">
      <w:pPr>
        <w:spacing w:after="0"/>
        <w:ind w:left="709"/>
      </w:pPr>
    </w:p>
    <w:p w14:paraId="12A1425A" w14:textId="77777777" w:rsidR="00C454CC" w:rsidRPr="00C454CC" w:rsidRDefault="00C454CC" w:rsidP="00C454CC">
      <w:pPr>
        <w:spacing w:after="0"/>
        <w:ind w:left="709"/>
      </w:pPr>
      <w:r w:rsidRPr="00C454CC">
        <w:t>Arinez, J. F., Chang, Q., Gao, R. X., Xu, C., and Zhang, J. (2020). Artificial Intelligence in Advanced Manufacturing: Current Status and Future Outlook. ASME. J. Manuf. Sci. Eng. November 2020; 142(11): 110804. https://doi.org/10.1115/1.4047855</w:t>
      </w:r>
    </w:p>
    <w:p w14:paraId="4F7B2EAB" w14:textId="77777777" w:rsidR="00C454CC" w:rsidRPr="00C454CC" w:rsidRDefault="00C454CC" w:rsidP="00C454CC">
      <w:pPr>
        <w:spacing w:after="0"/>
        <w:ind w:left="709"/>
      </w:pPr>
    </w:p>
    <w:p w14:paraId="43BA23E6" w14:textId="77777777" w:rsidR="00C454CC" w:rsidRPr="00C454CC" w:rsidRDefault="00C454CC" w:rsidP="00C454CC">
      <w:pPr>
        <w:spacing w:after="0"/>
        <w:ind w:left="709"/>
      </w:pPr>
      <w:r w:rsidRPr="00C454CC">
        <w:lastRenderedPageBreak/>
        <w:t>Arman, M., &amp; Lamiyar, U. R. (2023). Exploring the Implication of ChatGPT AI for Business: Efficiency and Challenges. Applied Quantitative Analysis, 3(2), 46–67. https://doi.org/10.31098/quant.1385</w:t>
      </w:r>
    </w:p>
    <w:p w14:paraId="56FFF6DC" w14:textId="77777777" w:rsidR="00C454CC" w:rsidRPr="00C454CC" w:rsidRDefault="00C454CC" w:rsidP="00C454CC">
      <w:pPr>
        <w:spacing w:after="0"/>
        <w:ind w:left="709"/>
      </w:pPr>
    </w:p>
    <w:p w14:paraId="34AE3AA0" w14:textId="77777777" w:rsidR="00C454CC" w:rsidRPr="00C454CC" w:rsidRDefault="00C454CC" w:rsidP="00C454CC">
      <w:pPr>
        <w:spacing w:after="0"/>
        <w:ind w:left="709"/>
      </w:pPr>
      <w:r w:rsidRPr="00C454CC">
        <w:t>Baabdullah,A.M., Alalwan, A.A., Slade, E.L. , Raman,R., Khatatneh, K.F. (2021) SMEs and artificial intelligence (AI): antecedents and consequences of AI-based B2B practices Industrial Marketing Management, 98 , pp. 255-270, https://doi.org/10.1016/J.INDMARMAN.2021.09.003</w:t>
      </w:r>
    </w:p>
    <w:p w14:paraId="1B0BEAC3" w14:textId="77777777" w:rsidR="00C454CC" w:rsidRPr="00C454CC" w:rsidRDefault="00C454CC" w:rsidP="00C454CC">
      <w:pPr>
        <w:spacing w:after="0"/>
        <w:ind w:left="709"/>
      </w:pPr>
    </w:p>
    <w:p w14:paraId="3339FE20" w14:textId="77777777" w:rsidR="00C454CC" w:rsidRPr="00C454CC" w:rsidRDefault="00C454CC" w:rsidP="00C454CC">
      <w:pPr>
        <w:spacing w:after="0"/>
        <w:ind w:left="709"/>
      </w:pPr>
      <w:r w:rsidRPr="00C454CC">
        <w:t>Bérubé, M., Giannelia, T., &amp; Vial, G. (2021). Barriers to the Implementation of AI in Organizations: Findings from a Delphi Study. Hawaii International Conference on System Sciences 2021. Available at: https://scholarspace.manoa.hawaii.edu/items/1305e043-f68e-4485-bf7a-49e1e55c33ee (Accessed: 25 February 2024)</w:t>
      </w:r>
    </w:p>
    <w:p w14:paraId="52D6EFCF" w14:textId="77777777" w:rsidR="00C454CC" w:rsidRPr="00C454CC" w:rsidRDefault="00C454CC" w:rsidP="00C454CC">
      <w:pPr>
        <w:spacing w:after="0"/>
        <w:ind w:left="709"/>
      </w:pPr>
    </w:p>
    <w:p w14:paraId="1ABABE67" w14:textId="77777777" w:rsidR="00C454CC" w:rsidRPr="00C454CC" w:rsidRDefault="00C454CC" w:rsidP="00C454CC">
      <w:pPr>
        <w:spacing w:after="0"/>
        <w:ind w:left="709"/>
      </w:pPr>
      <w:r w:rsidRPr="00C454CC">
        <w:t>Blanco-González A, Cabezón A, Seco-González A, Conde-Torres D, Antelo-Riveiro P, Piñeiro Á, Garcia-Fandino R. (2023) The Role of AI in Drug Discovery: Challenges, Opportunities, and Strategies. Pharmaceuticals. 16(6):891. https://doi.org/10.3390/ph16060891</w:t>
      </w:r>
    </w:p>
    <w:p w14:paraId="092745F8" w14:textId="77777777" w:rsidR="00C454CC" w:rsidRPr="00C454CC" w:rsidRDefault="00C454CC" w:rsidP="00C454CC">
      <w:pPr>
        <w:spacing w:after="0"/>
        <w:ind w:left="709"/>
      </w:pPr>
    </w:p>
    <w:p w14:paraId="42B3F8AF" w14:textId="77777777" w:rsidR="00C454CC" w:rsidRPr="00C454CC" w:rsidRDefault="00C454CC" w:rsidP="00C454CC">
      <w:pPr>
        <w:spacing w:after="0"/>
        <w:ind w:left="709"/>
      </w:pPr>
      <w:r w:rsidRPr="00C454CC">
        <w:t xml:space="preserve">Carter, S. (2023) The evolution of AI: From IBM and AWS to openai and anthropic, Forbes. Available at: https://www.forbes.com/sites/digital-assets/2023/11/07/the-evolution-of-ai-from-ibm-and-aws-to-openai-and-anthropic/ (Accessed: 25 February 2024). </w:t>
      </w:r>
    </w:p>
    <w:p w14:paraId="0D583741" w14:textId="77777777" w:rsidR="00C454CC" w:rsidRPr="00C454CC" w:rsidRDefault="00C454CC" w:rsidP="00C454CC">
      <w:pPr>
        <w:spacing w:after="0"/>
        <w:ind w:left="709"/>
      </w:pPr>
    </w:p>
    <w:p w14:paraId="0C4C7EC0" w14:textId="77777777" w:rsidR="00C454CC" w:rsidRPr="00C454CC" w:rsidRDefault="00C454CC" w:rsidP="00C454CC">
      <w:pPr>
        <w:spacing w:after="0"/>
        <w:ind w:left="709"/>
      </w:pPr>
      <w:r w:rsidRPr="00C454CC">
        <w:t>Cubric, M. (2020). Drivers, barriers and social considerations for AI adoption in business and management: A tertiary study. Technology in Society, 62, 101257 https://doi.org/10.1016/j.techsoc.2020.101257</w:t>
      </w:r>
    </w:p>
    <w:p w14:paraId="6DA73FD3" w14:textId="77777777" w:rsidR="00C454CC" w:rsidRPr="00C454CC" w:rsidRDefault="00C454CC" w:rsidP="00C454CC">
      <w:pPr>
        <w:spacing w:after="0"/>
        <w:ind w:left="709"/>
      </w:pPr>
    </w:p>
    <w:p w14:paraId="444864B5" w14:textId="77777777" w:rsidR="00C454CC" w:rsidRPr="00C454CC" w:rsidRDefault="00C454CC" w:rsidP="00C454CC">
      <w:pPr>
        <w:spacing w:after="0"/>
        <w:ind w:left="709"/>
      </w:pPr>
      <w:r w:rsidRPr="00C454CC">
        <w:t>Das, S. and Sanyal, M.K., 2020. Application of AI and soft computing in healthcare: a review and speculation. International Journal of Scientific &amp; Technology Research vol. 8, issue 11 p.21. Available at: https://www.researchgate.net/profile/Sumit-Das-10/publication/338037067_Application_of_AI_and_Soft_Computing_in_Healthcare_A_review_and_Speculation/links/5e258f09a6fdcc5fa35396ab/Application-of-AI-and-Soft-Computing-in-Healthcare-A-review-and-Speculation.pdf (Accessed: 26 February 2024).</w:t>
      </w:r>
    </w:p>
    <w:p w14:paraId="284C52B1" w14:textId="77777777" w:rsidR="00C454CC" w:rsidRPr="00C454CC" w:rsidRDefault="00C454CC" w:rsidP="00C454CC">
      <w:pPr>
        <w:spacing w:after="0"/>
        <w:ind w:left="709"/>
      </w:pPr>
    </w:p>
    <w:p w14:paraId="130D0919" w14:textId="77777777" w:rsidR="00C454CC" w:rsidRPr="00C454CC" w:rsidRDefault="00C454CC" w:rsidP="00C454CC">
      <w:pPr>
        <w:spacing w:after="0"/>
        <w:ind w:left="709"/>
      </w:pPr>
      <w:r w:rsidRPr="00C454CC">
        <w:t xml:space="preserve">Deloitte (2022) The age of artificial intelligence: A brief history. Deloitte Malta. Available at: https://www2.deloitte.com/mt/en/pages/rpa-and-ai/articles/mt-age-of-ai-1-a-brief-history.html (Accessed: 25 February 2024). </w:t>
      </w:r>
    </w:p>
    <w:p w14:paraId="7622D1C8" w14:textId="77777777" w:rsidR="00C454CC" w:rsidRPr="00C454CC" w:rsidRDefault="00C454CC" w:rsidP="00C454CC">
      <w:pPr>
        <w:spacing w:after="0"/>
        <w:ind w:left="709"/>
      </w:pPr>
    </w:p>
    <w:p w14:paraId="30D6CD5C" w14:textId="77777777" w:rsidR="00C454CC" w:rsidRPr="00C454CC" w:rsidRDefault="00C454CC" w:rsidP="00C454CC">
      <w:pPr>
        <w:spacing w:after="0"/>
        <w:ind w:left="709"/>
      </w:pPr>
      <w:r w:rsidRPr="00C454CC">
        <w:t>Dora, M., Kumar, A., Mangla, S., Pant, A., &amp; Kamal, M. (2021). Critical success factors influencing artificial intelligence adoption in food supply chains. International Journal of Production Research, 60, 4621 - 4640. https://doi.org/10.1080/00207543.2021.1959665.</w:t>
      </w:r>
    </w:p>
    <w:p w14:paraId="3B9104E2" w14:textId="77777777" w:rsidR="00C454CC" w:rsidRPr="00C454CC" w:rsidRDefault="00C454CC" w:rsidP="00C454CC">
      <w:pPr>
        <w:spacing w:after="0"/>
        <w:ind w:left="709"/>
      </w:pPr>
    </w:p>
    <w:p w14:paraId="1B09D30D" w14:textId="61CA8B80" w:rsidR="00502A2A" w:rsidRDefault="00502A2A" w:rsidP="00C454CC">
      <w:pPr>
        <w:spacing w:after="0"/>
        <w:ind w:left="709"/>
      </w:pPr>
      <w:r w:rsidRPr="00502A2A">
        <w:t xml:space="preserve">Baker, J. (2012). The Technology–Organization–Environment Framework. In: Dwivedi, Y., Wade, M., Schneberger, S. (eds) Information Systems Theory. Integrated Series in Information Systems, vol 28. Springer, New York, NY. </w:t>
      </w:r>
      <w:hyperlink r:id="rId11" w:history="1">
        <w:r w:rsidRPr="00DA3C03">
          <w:rPr>
            <w:rStyle w:val="Hyperlink"/>
          </w:rPr>
          <w:t>https://doi.org/10.1007/978-1-4419-6108-2_12</w:t>
        </w:r>
      </w:hyperlink>
    </w:p>
    <w:p w14:paraId="56EAC3E4" w14:textId="77777777" w:rsidR="00502A2A" w:rsidRDefault="00502A2A" w:rsidP="00C454CC">
      <w:pPr>
        <w:spacing w:after="0"/>
        <w:ind w:left="709"/>
      </w:pPr>
    </w:p>
    <w:p w14:paraId="4575305D" w14:textId="4EC5F30B" w:rsidR="00C454CC" w:rsidRPr="00C454CC" w:rsidRDefault="00C454CC" w:rsidP="00C454CC">
      <w:pPr>
        <w:spacing w:after="0"/>
        <w:ind w:left="709"/>
      </w:pPr>
      <w:r w:rsidRPr="00C454CC">
        <w:t>Eljasik-Swoboda, T. &amp; Rathgeber, C. &amp; Hasenauer, R. (2019). Assessing Technology Readiness for Artificial Intelligence and Machine Learning based Innovations. 281-288. https://doi.org/10.5220/0007946802810288</w:t>
      </w:r>
    </w:p>
    <w:p w14:paraId="3BCD2698" w14:textId="77777777" w:rsidR="00C454CC" w:rsidRPr="00C454CC" w:rsidRDefault="00C454CC" w:rsidP="00C454CC">
      <w:pPr>
        <w:spacing w:after="0"/>
        <w:ind w:left="709"/>
      </w:pPr>
      <w:r w:rsidRPr="00C454CC">
        <w:t>.</w:t>
      </w:r>
    </w:p>
    <w:p w14:paraId="484E61A5" w14:textId="109BA08E" w:rsidR="00C454CC" w:rsidRPr="00C454CC" w:rsidRDefault="00C454CC" w:rsidP="00C454CC">
      <w:pPr>
        <w:spacing w:after="0"/>
        <w:ind w:left="709"/>
      </w:pPr>
      <w:r w:rsidRPr="00C454CC">
        <w:t xml:space="preserve">Enholm, I.M., Papagiannidis, E., Mikalef, P. </w:t>
      </w:r>
      <w:r w:rsidR="003F4613" w:rsidRPr="00C454CC">
        <w:t>et al.</w:t>
      </w:r>
      <w:r w:rsidRPr="00C454CC">
        <w:t xml:space="preserve"> Artificial Intelligence and Business Value: a Literature Review. Inf Syst Front 24, 1709–1734 (2022). https://doi.org/10.1007/s10796-021-10186-w</w:t>
      </w:r>
    </w:p>
    <w:p w14:paraId="0204DB46" w14:textId="77777777" w:rsidR="00C454CC" w:rsidRPr="00C454CC" w:rsidRDefault="00C454CC" w:rsidP="00C454CC">
      <w:pPr>
        <w:spacing w:after="0"/>
        <w:ind w:left="709"/>
      </w:pPr>
    </w:p>
    <w:p w14:paraId="0F5CC83A" w14:textId="77777777" w:rsidR="00C454CC" w:rsidRPr="00C454CC" w:rsidRDefault="00C454CC" w:rsidP="00C454CC">
      <w:pPr>
        <w:spacing w:after="0"/>
        <w:ind w:left="709"/>
      </w:pPr>
      <w:r w:rsidRPr="00C454CC">
        <w:t xml:space="preserve">Ferreira, B, and Reis, J. (2023) A Systematic Literature Review on the Application of Automation in Logistics. Logistics 7, no. 4: 80. https://doi.org/10.3390/logistics7040080 </w:t>
      </w:r>
    </w:p>
    <w:p w14:paraId="757A0A99" w14:textId="77777777" w:rsidR="00C454CC" w:rsidRPr="00C454CC" w:rsidRDefault="00C454CC" w:rsidP="00C454CC">
      <w:pPr>
        <w:spacing w:after="0"/>
        <w:ind w:left="709"/>
      </w:pPr>
    </w:p>
    <w:p w14:paraId="65F582E5" w14:textId="302D99DD" w:rsidR="00C454CC" w:rsidRPr="00C454CC" w:rsidRDefault="00C454CC" w:rsidP="00C454CC">
      <w:pPr>
        <w:spacing w:after="0"/>
        <w:ind w:left="709"/>
      </w:pPr>
      <w:r w:rsidRPr="00C454CC">
        <w:t>Fountaine, T., McCarthy, B. and Saleh, T. (2019) ‘Building the AI-Powered Organization. (cover story)’, Harvard Business Review, 97(4), pp. 62–73. Available at: https://hbr.org/2019/07/building-the-ai-powered-</w:t>
      </w:r>
      <w:r w:rsidR="000A30BD">
        <w:t>organisation</w:t>
      </w:r>
      <w:r w:rsidRPr="00C454CC">
        <w:t xml:space="preserve"> (Accessed: 26 February 2024).</w:t>
      </w:r>
    </w:p>
    <w:p w14:paraId="16AB7A03" w14:textId="77777777" w:rsidR="00C454CC" w:rsidRPr="00C454CC" w:rsidRDefault="00C454CC" w:rsidP="00C454CC">
      <w:pPr>
        <w:spacing w:after="0"/>
        <w:ind w:left="709"/>
      </w:pPr>
    </w:p>
    <w:p w14:paraId="4B74915E" w14:textId="77777777" w:rsidR="00C454CC" w:rsidRPr="00C454CC" w:rsidRDefault="00C454CC" w:rsidP="00C454CC">
      <w:pPr>
        <w:spacing w:after="0"/>
        <w:ind w:left="709"/>
      </w:pPr>
      <w:r w:rsidRPr="00C454CC">
        <w:t>French, R.M. (2000) The Turing Test: the first 50 years. Trends in cognitive sciences, 4(3), pp.115-122. https://doi.org/10.1016/S1364-6613(00)01453-4</w:t>
      </w:r>
    </w:p>
    <w:p w14:paraId="51F9998A" w14:textId="77777777" w:rsidR="00C454CC" w:rsidRPr="00C454CC" w:rsidRDefault="00C454CC" w:rsidP="00C454CC">
      <w:pPr>
        <w:spacing w:after="0"/>
        <w:ind w:left="709"/>
      </w:pPr>
    </w:p>
    <w:p w14:paraId="6F842D87" w14:textId="77777777" w:rsidR="00C454CC" w:rsidRPr="00C454CC" w:rsidRDefault="00C454CC" w:rsidP="00C454CC">
      <w:pPr>
        <w:spacing w:after="0"/>
        <w:ind w:left="709"/>
      </w:pPr>
      <w:r w:rsidRPr="00C454CC">
        <w:t>Ghobakhloo, M. (2018), "The future of manufacturing industry: a strategic roadmap toward Industry 4.0", Journal of Manufacturing Technology Management, Vol. 29 No. 6, pp. 910-936. https://doi.org/10.1108/JMTM-02-2018-0057</w:t>
      </w:r>
    </w:p>
    <w:p w14:paraId="3CD3918C" w14:textId="77777777" w:rsidR="00C454CC" w:rsidRPr="00C454CC" w:rsidRDefault="00C454CC" w:rsidP="00C454CC">
      <w:pPr>
        <w:spacing w:after="0"/>
        <w:ind w:left="709"/>
      </w:pPr>
    </w:p>
    <w:p w14:paraId="1B838B4B" w14:textId="77777777" w:rsidR="00C454CC" w:rsidRPr="00C454CC" w:rsidRDefault="00C454CC" w:rsidP="00C454CC">
      <w:pPr>
        <w:spacing w:after="0"/>
        <w:ind w:left="709"/>
      </w:pPr>
      <w:r w:rsidRPr="00C454CC">
        <w:t xml:space="preserve">Giudici, P., Hochreiter, R., Osterrieder, J., Papenbrock, J. &amp; Schwendner, P. (2019) AI and Financial Technology. Frontiers in Artificial Intelligence. Editorial in volume 2 </w:t>
      </w:r>
    </w:p>
    <w:p w14:paraId="20837126" w14:textId="77777777" w:rsidR="00C454CC" w:rsidRPr="00C454CC" w:rsidRDefault="00C454CC" w:rsidP="00C454CC">
      <w:pPr>
        <w:spacing w:after="0"/>
        <w:ind w:left="709"/>
      </w:pPr>
      <w:r w:rsidRPr="00C454CC">
        <w:t>Available at: https://www.frontiersin.org/articles/10.3389/frai.2019.00025 (Accessed 26 February 2024). https://doi.org/10.3389/frai.2019.00025</w:t>
      </w:r>
    </w:p>
    <w:p w14:paraId="6D987B6B" w14:textId="77777777" w:rsidR="00C454CC" w:rsidRPr="00C454CC" w:rsidRDefault="00C454CC" w:rsidP="00C454CC">
      <w:pPr>
        <w:spacing w:after="0"/>
        <w:ind w:left="709"/>
      </w:pPr>
    </w:p>
    <w:p w14:paraId="0DC3B60E" w14:textId="77777777" w:rsidR="00C454CC" w:rsidRPr="00C454CC" w:rsidRDefault="00C454CC" w:rsidP="00C454CC">
      <w:pPr>
        <w:spacing w:after="0"/>
        <w:ind w:left="709"/>
      </w:pPr>
      <w:r w:rsidRPr="00C454CC">
        <w:t>GM LSIP (2023) Local Skills Improvement Plan for Greater Manchester. Available at: https://www.gmlsip.co.uk/reports (Accessed: 25 February 2024)</w:t>
      </w:r>
    </w:p>
    <w:p w14:paraId="282BE611" w14:textId="77777777" w:rsidR="00C454CC" w:rsidRPr="00C454CC" w:rsidRDefault="00C454CC" w:rsidP="00C454CC">
      <w:pPr>
        <w:spacing w:after="0"/>
        <w:ind w:left="709"/>
      </w:pPr>
    </w:p>
    <w:p w14:paraId="3725EFBF" w14:textId="583BA75F" w:rsidR="00C454CC" w:rsidRDefault="00C454CC" w:rsidP="00C454CC">
      <w:pPr>
        <w:spacing w:after="0"/>
        <w:ind w:left="709"/>
      </w:pPr>
      <w:r w:rsidRPr="00C454CC">
        <w:t xml:space="preserve">Gupta, K., Mane, P., Rajankar, O.S., Bhowmik, M., Jadhav, R., Yadav, S., Rawandale, S., &amp; Chobe, S.V. (2023). Harnessing AI for Strategic Decision-Making and Business Performance Optimization. International Journal of Intelligent Systems and Applications in Engineering, 11(10s), 893–912. Retrieved from </w:t>
      </w:r>
      <w:hyperlink r:id="rId12" w:history="1">
        <w:r w:rsidR="001F72C1" w:rsidRPr="007F46F0">
          <w:rPr>
            <w:rStyle w:val="Hyperlink"/>
          </w:rPr>
          <w:t>https://www.ijisae.org/index.php/IJISAE/article/view/3360</w:t>
        </w:r>
      </w:hyperlink>
    </w:p>
    <w:p w14:paraId="456B367F" w14:textId="77777777" w:rsidR="00C454CC" w:rsidRPr="00C454CC" w:rsidRDefault="00C454CC" w:rsidP="00C454CC">
      <w:pPr>
        <w:spacing w:after="0"/>
        <w:ind w:left="709"/>
      </w:pPr>
    </w:p>
    <w:p w14:paraId="3B6BE82A" w14:textId="757530E3" w:rsidR="009B0744" w:rsidRDefault="009B0744" w:rsidP="00C454CC">
      <w:pPr>
        <w:spacing w:after="0"/>
        <w:ind w:left="709"/>
      </w:pPr>
      <w:r w:rsidRPr="009B0744">
        <w:t>Holmström,</w:t>
      </w:r>
      <w:r>
        <w:t xml:space="preserve"> </w:t>
      </w:r>
      <w:r w:rsidRPr="009B0744">
        <w:t>J</w:t>
      </w:r>
      <w:r>
        <w:t>.</w:t>
      </w:r>
      <w:r w:rsidRPr="009B0744">
        <w:t xml:space="preserve"> (202</w:t>
      </w:r>
      <w:r w:rsidR="00E36E25">
        <w:t>2</w:t>
      </w:r>
      <w:r w:rsidRPr="009B0744">
        <w:t xml:space="preserve">). From AI to digital transformation: The AI readiness framework, Business Horizons, Volume 65, Issue 3, Pages 329-339, </w:t>
      </w:r>
      <w:hyperlink r:id="rId13" w:history="1">
        <w:r w:rsidRPr="00DA3C03">
          <w:rPr>
            <w:rStyle w:val="Hyperlink"/>
          </w:rPr>
          <w:t>https://doi.org/10.1016/j.bushor.2021.03.006</w:t>
        </w:r>
      </w:hyperlink>
    </w:p>
    <w:p w14:paraId="3CA8BD21" w14:textId="77777777" w:rsidR="009B0744" w:rsidRDefault="009B0744" w:rsidP="00C454CC">
      <w:pPr>
        <w:spacing w:after="0"/>
        <w:ind w:left="709"/>
      </w:pPr>
    </w:p>
    <w:p w14:paraId="368F3FB5" w14:textId="7FA52A96" w:rsidR="00333158" w:rsidRDefault="00333158" w:rsidP="00C454CC">
      <w:pPr>
        <w:spacing w:after="0"/>
        <w:ind w:left="709"/>
      </w:pPr>
      <w:r w:rsidRPr="00333158">
        <w:t xml:space="preserve">Kurup, S., &amp; Gupta, V. (2022). Factors Influencing the AI Adoption in Organizations. Metamorphosis, 21(2), 129-139. </w:t>
      </w:r>
      <w:hyperlink r:id="rId14" w:history="1">
        <w:r w:rsidRPr="00A95372">
          <w:rPr>
            <w:rStyle w:val="Hyperlink"/>
          </w:rPr>
          <w:t>https://doi.org/10.1177/09726225221124035</w:t>
        </w:r>
      </w:hyperlink>
    </w:p>
    <w:p w14:paraId="45613A45" w14:textId="77777777" w:rsidR="00333158" w:rsidRDefault="00333158" w:rsidP="00C454CC">
      <w:pPr>
        <w:spacing w:after="0"/>
        <w:ind w:left="709"/>
      </w:pPr>
    </w:p>
    <w:p w14:paraId="3D16843F" w14:textId="714DA4AF" w:rsidR="00C454CC" w:rsidRDefault="00C454CC" w:rsidP="00C454CC">
      <w:pPr>
        <w:spacing w:after="0"/>
        <w:ind w:left="709"/>
      </w:pPr>
      <w:r w:rsidRPr="00C454CC">
        <w:t xml:space="preserve">Jan, Z., Ahamed, F., Mayer, W., Patel, N., Grossmann, G., Stumptner, M., &amp; Kuusk, A. (2023). Artificial intelligence for industry 4.0: Systematic review of applications, challenges, </w:t>
      </w:r>
      <w:r w:rsidRPr="00C454CC">
        <w:lastRenderedPageBreak/>
        <w:t xml:space="preserve">and opportunities. Expert Systems with Applications, 216, 119456-. </w:t>
      </w:r>
      <w:hyperlink r:id="rId15" w:history="1">
        <w:r w:rsidR="003A7DDF" w:rsidRPr="00A95372">
          <w:rPr>
            <w:rStyle w:val="Hyperlink"/>
          </w:rPr>
          <w:t>https://doi.org/10.1016/j.eswa.2022.119456</w:t>
        </w:r>
      </w:hyperlink>
    </w:p>
    <w:p w14:paraId="23DC441F" w14:textId="77777777" w:rsidR="00C454CC" w:rsidRPr="00C454CC" w:rsidRDefault="00C454CC" w:rsidP="00C454CC">
      <w:pPr>
        <w:spacing w:after="0"/>
        <w:ind w:left="709"/>
      </w:pPr>
    </w:p>
    <w:p w14:paraId="542E2DEE" w14:textId="1A71DAEA" w:rsidR="00C454CC" w:rsidRDefault="00C454CC" w:rsidP="00C454CC">
      <w:pPr>
        <w:spacing w:after="0"/>
        <w:ind w:left="709"/>
      </w:pPr>
      <w:r w:rsidRPr="00C454CC">
        <w:t xml:space="preserve">Jimenez-Luna,J., Grisoni,F., Weskamp,N. &amp; Schneider, G. (2021) Artificial intelligence in drug discovery: recent advances and future perspectives, Expert Opinion on Drug Discovery, 16:9, 949-959, DOI: </w:t>
      </w:r>
      <w:hyperlink r:id="rId16" w:history="1">
        <w:r w:rsidR="003A7DDF" w:rsidRPr="00A95372">
          <w:rPr>
            <w:rStyle w:val="Hyperlink"/>
          </w:rPr>
          <w:t>https://10.1080/17460441.2021.1909567</w:t>
        </w:r>
      </w:hyperlink>
    </w:p>
    <w:p w14:paraId="734053D4" w14:textId="451514A3" w:rsidR="00C454CC" w:rsidRDefault="00C454CC" w:rsidP="00C454CC">
      <w:pPr>
        <w:spacing w:after="0"/>
        <w:ind w:left="709"/>
      </w:pPr>
      <w:r w:rsidRPr="00C454CC">
        <w:t xml:space="preserve">Johnk, J., Weibert, M. &amp; Wyrtki, K. (2021) Ready or Not, AI Comes— An Interview Study of </w:t>
      </w:r>
      <w:r w:rsidR="00D91F52">
        <w:t>Organisational</w:t>
      </w:r>
      <w:r w:rsidRPr="00C454CC">
        <w:t xml:space="preserve"> AI Readiness Factors. Bus Inf Syst Eng 63, 5–20. </w:t>
      </w:r>
      <w:hyperlink r:id="rId17" w:history="1">
        <w:r w:rsidR="00B639F1" w:rsidRPr="00A95372">
          <w:rPr>
            <w:rStyle w:val="Hyperlink"/>
          </w:rPr>
          <w:t>https://doi.org/10.1007/s12599-020-00676-7</w:t>
        </w:r>
      </w:hyperlink>
    </w:p>
    <w:p w14:paraId="05DCED1F" w14:textId="77777777" w:rsidR="00C454CC" w:rsidRPr="00C454CC" w:rsidRDefault="00C454CC" w:rsidP="00C454CC">
      <w:pPr>
        <w:spacing w:after="0"/>
        <w:ind w:left="709"/>
      </w:pPr>
    </w:p>
    <w:p w14:paraId="0781708B" w14:textId="63BCA186" w:rsidR="00C454CC" w:rsidRDefault="00C454CC" w:rsidP="00C454CC">
      <w:pPr>
        <w:spacing w:after="0"/>
        <w:ind w:left="709"/>
      </w:pPr>
      <w:r w:rsidRPr="00C454CC">
        <w:t xml:space="preserve">Li, B. H., Hou, B. C., Yu, W. T., Lu, X. B., &amp; Yang, C. W. (2017). Applications of artificial intelligence in intelligent manufacturing: a review. Frontiers of Information Technology &amp; Electronic Engineering, 18, 86-96. </w:t>
      </w:r>
      <w:hyperlink r:id="rId18" w:history="1">
        <w:r w:rsidR="00AA7CF3" w:rsidRPr="00A95372">
          <w:rPr>
            <w:rStyle w:val="Hyperlink"/>
          </w:rPr>
          <w:t>https://doi.org/10.1631/FITEE.1601885</w:t>
        </w:r>
      </w:hyperlink>
    </w:p>
    <w:p w14:paraId="0BC73368" w14:textId="77777777" w:rsidR="00C454CC" w:rsidRPr="00C454CC" w:rsidRDefault="00C454CC" w:rsidP="00C454CC">
      <w:pPr>
        <w:spacing w:after="0"/>
        <w:ind w:left="709"/>
      </w:pPr>
    </w:p>
    <w:p w14:paraId="60AA1922" w14:textId="3AE45934" w:rsidR="00AA7CF3" w:rsidRDefault="009C36F0" w:rsidP="009C36F0">
      <w:pPr>
        <w:spacing w:after="0"/>
        <w:ind w:left="709"/>
      </w:pPr>
      <w:r>
        <w:t xml:space="preserve">Lokuge, S., Sedera,D., Grover,V., &amp; Dongming,X. (2019). </w:t>
      </w:r>
      <w:r w:rsidR="00D91F52">
        <w:t>Organisational</w:t>
      </w:r>
      <w:r>
        <w:t xml:space="preserve"> Readiness for Digital Innovation: Development and Empirical Calibration of a Construct. Information &amp; Management 56 (3): 445–61. </w:t>
      </w:r>
      <w:hyperlink r:id="rId19" w:history="1">
        <w:r w:rsidR="00AA7CF3" w:rsidRPr="00A95372">
          <w:rPr>
            <w:rStyle w:val="Hyperlink"/>
          </w:rPr>
          <w:t>https://doi.org/10.1016/j.im.2018.09.001</w:t>
        </w:r>
      </w:hyperlink>
    </w:p>
    <w:p w14:paraId="7F37A741" w14:textId="7567B716" w:rsidR="009C36F0" w:rsidRDefault="009C36F0" w:rsidP="009C36F0">
      <w:pPr>
        <w:spacing w:after="0"/>
        <w:ind w:left="709"/>
      </w:pPr>
      <w:r>
        <w:t>‌</w:t>
      </w:r>
    </w:p>
    <w:p w14:paraId="740BC504" w14:textId="109D4A42" w:rsidR="00C454CC" w:rsidRDefault="00C454CC" w:rsidP="00C454CC">
      <w:pPr>
        <w:spacing w:after="0"/>
        <w:ind w:left="709"/>
      </w:pPr>
      <w:r w:rsidRPr="00C454CC">
        <w:t xml:space="preserve">Loureiro, S.M.C. , Guerreiro, J., Tussyadiah, I. (2021) Artificial intelligence in business: State of the art and future research agenda. Journal of Business Research, 129, pp. 911-926 </w:t>
      </w:r>
      <w:hyperlink r:id="rId20" w:history="1">
        <w:r w:rsidR="00AA7CF3" w:rsidRPr="00A95372">
          <w:rPr>
            <w:rStyle w:val="Hyperlink"/>
          </w:rPr>
          <w:t>https://doi.org/10.1016/j.jbusres.2020.11.001</w:t>
        </w:r>
      </w:hyperlink>
    </w:p>
    <w:p w14:paraId="0292190D" w14:textId="77777777" w:rsidR="00C454CC" w:rsidRPr="00C454CC" w:rsidRDefault="00C454CC" w:rsidP="00C454CC">
      <w:pPr>
        <w:spacing w:after="0"/>
        <w:ind w:left="709"/>
      </w:pPr>
    </w:p>
    <w:p w14:paraId="39D7BF18" w14:textId="09775D88" w:rsidR="00C454CC" w:rsidRDefault="00C454CC" w:rsidP="00C454CC">
      <w:pPr>
        <w:spacing w:after="0"/>
        <w:ind w:left="709"/>
      </w:pPr>
      <w:r w:rsidRPr="00C454CC">
        <w:t xml:space="preserve">Maple, C., Szpruch, L., Epiphaniou, G., Staykova, K., Singh, S., Penwarden, W., ... &amp; Avramovic, P. (2023). The ai revolution: opportunities and challenges for the finance sector. arXiv preprint arXiv:2308.16538. </w:t>
      </w:r>
      <w:hyperlink r:id="rId21" w:history="1">
        <w:r w:rsidR="00AA7CF3" w:rsidRPr="00A95372">
          <w:rPr>
            <w:rStyle w:val="Hyperlink"/>
          </w:rPr>
          <w:t>https://doi.org/10.48550/arXiv.2308.16538</w:t>
        </w:r>
      </w:hyperlink>
    </w:p>
    <w:p w14:paraId="24CADE7B" w14:textId="77777777" w:rsidR="00C454CC" w:rsidRPr="00C454CC" w:rsidRDefault="00C454CC" w:rsidP="00C454CC">
      <w:pPr>
        <w:spacing w:after="0"/>
        <w:ind w:left="709"/>
      </w:pPr>
    </w:p>
    <w:p w14:paraId="15C5C83D" w14:textId="7D5EDEAB" w:rsidR="00C454CC" w:rsidRDefault="00C454CC" w:rsidP="00C454CC">
      <w:pPr>
        <w:spacing w:after="0"/>
        <w:ind w:left="709"/>
      </w:pPr>
      <w:r w:rsidRPr="00C454CC">
        <w:t xml:space="preserve">Mediavilla, M.A., Dietrich, F. and Palm, D., (2022). Review and analysis of artificial intelligence methods for demand forecasting in supply chain management. Procedia CIRP, 107, pp.1126-1131 </w:t>
      </w:r>
      <w:hyperlink r:id="rId22" w:history="1">
        <w:r w:rsidR="00AA7CF3" w:rsidRPr="00A95372">
          <w:rPr>
            <w:rStyle w:val="Hyperlink"/>
          </w:rPr>
          <w:t>https://doi.org/10.1016/j.procir.2022.05.119</w:t>
        </w:r>
      </w:hyperlink>
    </w:p>
    <w:p w14:paraId="5F9F7E6F" w14:textId="77777777" w:rsidR="00C454CC" w:rsidRPr="00C454CC" w:rsidRDefault="00C454CC" w:rsidP="00C454CC">
      <w:pPr>
        <w:spacing w:after="0"/>
        <w:ind w:left="709"/>
      </w:pPr>
    </w:p>
    <w:p w14:paraId="0BF1EA12" w14:textId="363E4BD4" w:rsidR="006064B5" w:rsidRDefault="006064B5" w:rsidP="00C454CC">
      <w:pPr>
        <w:spacing w:after="0"/>
        <w:ind w:left="709"/>
      </w:pPr>
      <w:r w:rsidRPr="006064B5">
        <w:t xml:space="preserve">Mihai, M., &amp; Dutescu, A. (2024). TOE framework elements used on Artificial Intelligence implementation in the accounting and audit sector . International Journal of Research in Business and Social Science (2147- 4478), 13(4), 335–349. </w:t>
      </w:r>
      <w:hyperlink r:id="rId23" w:history="1">
        <w:r w:rsidRPr="00DA3C03">
          <w:rPr>
            <w:rStyle w:val="Hyperlink"/>
          </w:rPr>
          <w:t>https://doi.org/10.20525/ijrbs.v13i4.3374</w:t>
        </w:r>
      </w:hyperlink>
    </w:p>
    <w:p w14:paraId="140C4195" w14:textId="77777777" w:rsidR="006064B5" w:rsidRDefault="006064B5" w:rsidP="00C454CC">
      <w:pPr>
        <w:spacing w:after="0"/>
        <w:ind w:left="709"/>
      </w:pPr>
    </w:p>
    <w:p w14:paraId="04C263F6" w14:textId="326FF40A" w:rsidR="00C454CC" w:rsidRPr="00C454CC" w:rsidRDefault="00C454CC" w:rsidP="00C454CC">
      <w:pPr>
        <w:spacing w:after="0"/>
        <w:ind w:left="709"/>
      </w:pPr>
      <w:r w:rsidRPr="00C454CC">
        <w:t>Na, S., Heo, S., Han, S., Shin, Y., &amp; Roh, Y. (2022). Acceptance model of artificial intelligence (AI)-based technologies in construction firms: Applying the Technology Acceptance Model (TAM) in combination with the Technology–Organisation–Environment (TOE) framework. Buildings, 12(2), 90. https://doi.org/10.3390/buildings12020090</w:t>
      </w:r>
    </w:p>
    <w:p w14:paraId="30817C9B" w14:textId="77777777" w:rsidR="00C454CC" w:rsidRPr="00C454CC" w:rsidRDefault="00C454CC" w:rsidP="00C454CC">
      <w:pPr>
        <w:spacing w:after="0"/>
        <w:ind w:left="709"/>
      </w:pPr>
    </w:p>
    <w:p w14:paraId="72960E89" w14:textId="77777777" w:rsidR="00C454CC" w:rsidRPr="00C454CC" w:rsidRDefault="00C454CC" w:rsidP="00C454CC">
      <w:pPr>
        <w:spacing w:after="0"/>
        <w:ind w:left="709"/>
      </w:pPr>
      <w:r w:rsidRPr="00C454CC">
        <w:t xml:space="preserve">Nair, K. and Gupta, R. (2021) Application of AI technology in modern digital marketing environment, World Journal of Entrepreneurship, Management and Sustainable Development, Vol. 17 No. 3, pp. 318-328. https://doi.org/10.1108/WJEMSD-08-2020-0099 </w:t>
      </w:r>
    </w:p>
    <w:p w14:paraId="01B8A1DF" w14:textId="77777777" w:rsidR="00C454CC" w:rsidRPr="00C454CC" w:rsidRDefault="00C454CC" w:rsidP="00C454CC">
      <w:pPr>
        <w:spacing w:after="0"/>
        <w:ind w:left="709"/>
      </w:pPr>
    </w:p>
    <w:p w14:paraId="2326A47B" w14:textId="77777777" w:rsidR="00C454CC" w:rsidRPr="00C454CC" w:rsidRDefault="00C454CC" w:rsidP="00C454CC">
      <w:pPr>
        <w:spacing w:after="0"/>
        <w:ind w:left="709"/>
      </w:pPr>
      <w:r w:rsidRPr="00C454CC">
        <w:t xml:space="preserve">Nortje, M. A., &amp; Grobbelaar, S. S. (2020) A framework for the implementation of artificial intelligence in business enterprises: a readiness model. In 2020 IEEE International </w:t>
      </w:r>
      <w:r w:rsidRPr="00C454CC">
        <w:lastRenderedPageBreak/>
        <w:t>Conference on Engineering, Technology and Innovation (ICE/ITMC) (pp. 1-10). IEEE. https://doi.org/10.1109/ICE/ITMC49519.2020.9198436</w:t>
      </w:r>
    </w:p>
    <w:p w14:paraId="1C80CC91" w14:textId="77777777" w:rsidR="00C454CC" w:rsidRPr="00C454CC" w:rsidRDefault="00C454CC" w:rsidP="00C454CC">
      <w:pPr>
        <w:spacing w:after="0"/>
        <w:ind w:left="709"/>
      </w:pPr>
    </w:p>
    <w:p w14:paraId="7A8D98C8" w14:textId="1277B115" w:rsidR="00E427D4" w:rsidRDefault="00E427D4" w:rsidP="00C454CC">
      <w:pPr>
        <w:spacing w:after="0"/>
        <w:ind w:left="709"/>
      </w:pPr>
      <w:r w:rsidRPr="00E427D4">
        <w:t xml:space="preserve">Pathak, A., Bansal, V. (2024). Factors Influencing the Readiness for Artificial Intelligence Adoption in Indian Insurance Organizations. In: Sharma, S.K., Dwivedi, Y.K., Metri, B., Lal, B., Elbanna, A. (eds) Transfer, Diffusion and Adoption of Next-Generation Digital Technologies. TDIT 2023. IFIP Advances in Information and Communication Technology, vol 698. Springer, Cham. </w:t>
      </w:r>
      <w:hyperlink r:id="rId24" w:history="1">
        <w:r w:rsidR="00BF7D05" w:rsidRPr="00A95372">
          <w:rPr>
            <w:rStyle w:val="Hyperlink"/>
          </w:rPr>
          <w:t>https://doi.org/10.1007/978-3-031-50192-0_5</w:t>
        </w:r>
      </w:hyperlink>
    </w:p>
    <w:p w14:paraId="48B13E24" w14:textId="77777777" w:rsidR="00BF7D05" w:rsidRDefault="00BF7D05" w:rsidP="00C454CC">
      <w:pPr>
        <w:spacing w:after="0"/>
        <w:ind w:left="709"/>
      </w:pPr>
    </w:p>
    <w:p w14:paraId="1434A4E7" w14:textId="502B9E79" w:rsidR="00C454CC" w:rsidRDefault="00C454CC" w:rsidP="00C454CC">
      <w:pPr>
        <w:spacing w:after="0"/>
        <w:ind w:left="709"/>
      </w:pPr>
      <w:r w:rsidRPr="00C454CC">
        <w:t xml:space="preserve">Pinar Saygin, A., Cicekli, I. &amp; Akman, V. (2000) Turing Test: 50 Years Later. Minds and Machines 10, 463–518. </w:t>
      </w:r>
      <w:hyperlink r:id="rId25" w:history="1">
        <w:r w:rsidR="00BF7D05" w:rsidRPr="00A95372">
          <w:rPr>
            <w:rStyle w:val="Hyperlink"/>
          </w:rPr>
          <w:t>https://doi.org/10.1023/A:1011288000451</w:t>
        </w:r>
      </w:hyperlink>
    </w:p>
    <w:p w14:paraId="42A6FDAC" w14:textId="77777777" w:rsidR="00C454CC" w:rsidRPr="00C454CC" w:rsidRDefault="00C454CC" w:rsidP="00C454CC">
      <w:pPr>
        <w:spacing w:after="0"/>
        <w:ind w:left="709"/>
      </w:pPr>
    </w:p>
    <w:p w14:paraId="5F9AEDF8" w14:textId="5FB02E0A" w:rsidR="00FF4932" w:rsidRDefault="00FF4932" w:rsidP="00C454CC">
      <w:pPr>
        <w:spacing w:after="0"/>
        <w:ind w:left="709"/>
      </w:pPr>
      <w:r w:rsidRPr="00FF4932">
        <w:t xml:space="preserve">Polisetty, A., Chakraborty, D., G, S., Kar, A. K., &amp; Pahari, S. (2023). What Determines AI Adoption in Companies? Mixed-Method Evidence. Journal of Computer Information Systems, 64(3), 370–387. </w:t>
      </w:r>
      <w:hyperlink r:id="rId26" w:history="1">
        <w:r w:rsidR="00861CC9" w:rsidRPr="00AF3F44">
          <w:rPr>
            <w:rStyle w:val="Hyperlink"/>
          </w:rPr>
          <w:t>https://doi.org/10.1080/08874417.2023.2219668</w:t>
        </w:r>
      </w:hyperlink>
    </w:p>
    <w:p w14:paraId="3B4DC5F3" w14:textId="77777777" w:rsidR="00861CC9" w:rsidRDefault="00861CC9" w:rsidP="00C454CC">
      <w:pPr>
        <w:spacing w:after="0"/>
        <w:ind w:left="709"/>
      </w:pPr>
    </w:p>
    <w:p w14:paraId="1B5E7B77" w14:textId="6C0D91B0" w:rsidR="00C454CC" w:rsidRPr="00C454CC" w:rsidRDefault="00C454CC" w:rsidP="00C454CC">
      <w:pPr>
        <w:spacing w:after="0"/>
        <w:ind w:left="709"/>
      </w:pPr>
      <w:r w:rsidRPr="00C454CC">
        <w:t xml:space="preserve">Press, G. (2024) A very short history of artificial intelligence (AI), Forbes. Available at: https://www.forbes.com/sites/gilpress/2016/12/30/a-very-short-history-of-artificial-intelligence-ai/?sh=6681bb5c6fba (Accessed: 25 February 2024). </w:t>
      </w:r>
    </w:p>
    <w:p w14:paraId="12B33EC1" w14:textId="77777777" w:rsidR="00C454CC" w:rsidRPr="00C454CC" w:rsidRDefault="00C454CC" w:rsidP="00C454CC">
      <w:pPr>
        <w:spacing w:after="0"/>
        <w:ind w:left="709"/>
      </w:pPr>
    </w:p>
    <w:p w14:paraId="017B2046" w14:textId="77777777" w:rsidR="00C454CC" w:rsidRPr="00C454CC" w:rsidRDefault="00C454CC" w:rsidP="00C454CC">
      <w:pPr>
        <w:spacing w:after="0"/>
        <w:ind w:left="709"/>
      </w:pPr>
      <w:r w:rsidRPr="00C454CC">
        <w:t>Radhakrishnan, J., Chattopadhyay, M. (2020). Determinants and Barriers of Artificial Intelligence Adoption – A Literature Review. In: Sharma, S.K., Dwivedi, Y.K., Metri, B., Rana, N.P. (eds) Re-imagining Diffusion and Adoption of Information Technology and Systems: A Continuing Conversation. TDIT 2020. IFIP Advances in Information and Communication Technology, vol 617. Springer, Cham. https://doi.org/10.1007/978-3-030-64849-7_9</w:t>
      </w:r>
    </w:p>
    <w:p w14:paraId="6B91CCB5" w14:textId="77777777" w:rsidR="00C454CC" w:rsidRPr="00C454CC" w:rsidRDefault="00C454CC" w:rsidP="00C454CC">
      <w:pPr>
        <w:spacing w:after="0"/>
        <w:ind w:left="709"/>
      </w:pPr>
    </w:p>
    <w:p w14:paraId="23A1ECA4" w14:textId="5BC8B551" w:rsidR="00096797" w:rsidRDefault="00096797" w:rsidP="00C454CC">
      <w:pPr>
        <w:spacing w:after="0"/>
        <w:ind w:left="709"/>
      </w:pPr>
      <w:r w:rsidRPr="00096797">
        <w:t>Shukla, B., Fan, I.S. and Jennions, I.</w:t>
      </w:r>
      <w:r w:rsidR="00034241">
        <w:t xml:space="preserve"> (</w:t>
      </w:r>
      <w:r w:rsidRPr="00096797">
        <w:t>2020</w:t>
      </w:r>
      <w:r w:rsidR="00034241">
        <w:t>)</w:t>
      </w:r>
      <w:r w:rsidRPr="00096797">
        <w:t>. Opportunities for explainable artificial intelligence in aerospace predictive maintenance. In PHM Society European Conference (Vol. 5, No. 1, pp. 11-11).</w:t>
      </w:r>
    </w:p>
    <w:p w14:paraId="127ED125" w14:textId="77777777" w:rsidR="00096797" w:rsidRDefault="00096797" w:rsidP="00C454CC">
      <w:pPr>
        <w:spacing w:after="0"/>
        <w:ind w:left="709"/>
      </w:pPr>
    </w:p>
    <w:p w14:paraId="53672D32" w14:textId="515E2443" w:rsidR="00C454CC" w:rsidRPr="00C454CC" w:rsidRDefault="00C454CC" w:rsidP="00C454CC">
      <w:pPr>
        <w:spacing w:after="0"/>
        <w:ind w:left="709"/>
      </w:pPr>
      <w:r w:rsidRPr="00C454CC">
        <w:t>Slota, S.C., Fleischmann. K.R., Greenberg S., Verma,N., Cummings,B., Li,L., Shenefiel, C. (2020). Good systems, bad data?: Interpretations of AI hype and failures. Proc Assoc Inf Sci Technol. 57:e275. https://doi.org/10.1002/pra2.275</w:t>
      </w:r>
    </w:p>
    <w:p w14:paraId="383DBCB1" w14:textId="77777777" w:rsidR="00C454CC" w:rsidRPr="00C454CC" w:rsidRDefault="00C454CC" w:rsidP="00C454CC">
      <w:pPr>
        <w:spacing w:after="0"/>
        <w:ind w:left="709"/>
      </w:pPr>
    </w:p>
    <w:p w14:paraId="337CB0DD" w14:textId="77777777" w:rsidR="00C454CC" w:rsidRPr="00C454CC" w:rsidRDefault="00C454CC" w:rsidP="00C454CC">
      <w:pPr>
        <w:spacing w:after="0"/>
        <w:ind w:left="709"/>
      </w:pPr>
      <w:r w:rsidRPr="00C454CC">
        <w:t xml:space="preserve">Stanton I, Munir K, Ikram A, El-Bakry M. Predictive maintenance analytics and implementation for aircraft: Challenges and opportunities. Systems Engineering. 2023; 26: 216–237. https://doi.org/10.1002/sys.21651 </w:t>
      </w:r>
    </w:p>
    <w:p w14:paraId="5199CA9A" w14:textId="77777777" w:rsidR="00C454CC" w:rsidRPr="00C454CC" w:rsidRDefault="00C454CC" w:rsidP="00C454CC">
      <w:pPr>
        <w:spacing w:after="0"/>
        <w:ind w:left="709"/>
      </w:pPr>
    </w:p>
    <w:p w14:paraId="13FE5841" w14:textId="77777777" w:rsidR="00C454CC" w:rsidRPr="00C454CC" w:rsidRDefault="00C454CC" w:rsidP="00C454CC">
      <w:pPr>
        <w:spacing w:after="0"/>
        <w:ind w:left="709"/>
      </w:pPr>
      <w:r w:rsidRPr="00C454CC">
        <w:t>Stoilova, E. (2021). AI chatbots as a customer service and support tool. ROBONOMICS: The Journal of the Automated Economy, 2, 21. Available at: https://www.journal.robonomics.science/index.php/rj/article/view/21 (Accessed: 25 February 2024)</w:t>
      </w:r>
    </w:p>
    <w:p w14:paraId="1F8C7514" w14:textId="77777777" w:rsidR="00C454CC" w:rsidRPr="00C454CC" w:rsidRDefault="00C454CC" w:rsidP="00C454CC">
      <w:pPr>
        <w:spacing w:after="0"/>
        <w:ind w:left="709"/>
      </w:pPr>
    </w:p>
    <w:p w14:paraId="6A745455" w14:textId="77777777" w:rsidR="00C454CC" w:rsidRPr="00C454CC" w:rsidRDefault="00C454CC" w:rsidP="00C454CC">
      <w:pPr>
        <w:spacing w:after="0"/>
        <w:ind w:left="709"/>
      </w:pPr>
      <w:r w:rsidRPr="00C454CC">
        <w:t xml:space="preserve">Stone, M., Aravopoulou, E., Ekinci, Y., Evans, G., Hobbs, M., Labib, A., Laughlin, P., Machtynger, J. and Machtynger, L., (2020) Artificial intelligence (AI) in strategic marketing </w:t>
      </w:r>
      <w:r w:rsidRPr="00C454CC">
        <w:lastRenderedPageBreak/>
        <w:t xml:space="preserve">decision-making: a research agenda. The Bottom Line, 33(2), pp.183-200. Available at: https://research.stmarys.ac.uk/id/eprint/3892/1/AI%20in%20strategic%20marketing%20decision%20making%20final%20V2.pdf (Accessed: 25 February 2024).  </w:t>
      </w:r>
    </w:p>
    <w:p w14:paraId="0BD43971" w14:textId="77777777" w:rsidR="00C454CC" w:rsidRPr="00C454CC" w:rsidRDefault="00C454CC" w:rsidP="00C454CC">
      <w:pPr>
        <w:spacing w:after="0"/>
        <w:ind w:left="709"/>
      </w:pPr>
    </w:p>
    <w:p w14:paraId="18250D47" w14:textId="24C4AC37" w:rsidR="00B31CC5" w:rsidRDefault="00B31CC5" w:rsidP="00C454CC">
      <w:pPr>
        <w:spacing w:after="0"/>
        <w:ind w:left="709"/>
      </w:pPr>
      <w:r w:rsidRPr="00B31CC5">
        <w:t xml:space="preserve">Siradhana, N. K., &amp; Arora, R. G. (2024). Examining the Influence of Artificial Intelligence Implementation in HRM Practices Using T-O-E Model. Vision, 0(0). </w:t>
      </w:r>
      <w:hyperlink r:id="rId27" w:history="1">
        <w:r w:rsidRPr="00AF3F44">
          <w:rPr>
            <w:rStyle w:val="Hyperlink"/>
          </w:rPr>
          <w:t>https://doi.org/10.1177/09722629241231458</w:t>
        </w:r>
      </w:hyperlink>
    </w:p>
    <w:p w14:paraId="38FC9A8A" w14:textId="77777777" w:rsidR="00B31CC5" w:rsidRDefault="00B31CC5" w:rsidP="00C454CC">
      <w:pPr>
        <w:spacing w:after="0"/>
        <w:ind w:left="709"/>
      </w:pPr>
    </w:p>
    <w:p w14:paraId="67AC617D" w14:textId="617672F5" w:rsidR="00C454CC" w:rsidRPr="00C454CC" w:rsidRDefault="00C454CC" w:rsidP="00C454CC">
      <w:pPr>
        <w:spacing w:after="0"/>
        <w:ind w:left="709"/>
      </w:pPr>
      <w:r w:rsidRPr="00C454CC">
        <w:t>Tarafdar, M., Beath, C.M. &amp; Ross, J.W. 2019, "Using AI to Enhance Business Operations", MIT Sloan Management Review, vol. 60, no. 4, pp. 37-44.</w:t>
      </w:r>
    </w:p>
    <w:p w14:paraId="5B24F683" w14:textId="77777777" w:rsidR="00C454CC" w:rsidRPr="00C454CC" w:rsidRDefault="00C454CC" w:rsidP="00C454CC">
      <w:pPr>
        <w:spacing w:after="0"/>
        <w:ind w:left="709"/>
      </w:pPr>
    </w:p>
    <w:p w14:paraId="3411F454" w14:textId="77777777" w:rsidR="00C454CC" w:rsidRPr="00C454CC" w:rsidRDefault="00C454CC" w:rsidP="00C454CC">
      <w:pPr>
        <w:spacing w:after="0"/>
        <w:ind w:left="709"/>
      </w:pPr>
      <w:r w:rsidRPr="00C454CC">
        <w:t>Tehrani, A.N., Ray, S., Roy, S.K., Gruner, R.L. and Appio, F.P., (2024). Decoding AI readiness: An in-depth analysis of key dimensions in multinational corporations. Technovation, 131, p.102948. https://doi.org/10.1016/j.technovation.2023.102948</w:t>
      </w:r>
    </w:p>
    <w:p w14:paraId="2FD71435" w14:textId="77777777" w:rsidR="00C454CC" w:rsidRPr="00C454CC" w:rsidRDefault="00C454CC" w:rsidP="00C454CC">
      <w:pPr>
        <w:spacing w:after="0"/>
        <w:ind w:left="709"/>
      </w:pPr>
    </w:p>
    <w:p w14:paraId="692EF8FD" w14:textId="77777777" w:rsidR="00C454CC" w:rsidRPr="00C454CC" w:rsidRDefault="00C454CC" w:rsidP="00C454CC">
      <w:pPr>
        <w:spacing w:after="0"/>
        <w:ind w:left="709"/>
      </w:pPr>
      <w:r w:rsidRPr="00C454CC">
        <w:t>Vaananen A, Haataja K, Vehvilainen-Julkunen K and Toivanen P. (2021) AI in healthcare: A narrative review F1000Research , 10:6 (https://doi.org/10.12688/f1000research.26997.2) Available at: https://f1000research.com/articles/10-6 (Accessed: 26 February 2024).</w:t>
      </w:r>
    </w:p>
    <w:p w14:paraId="4A12E38B" w14:textId="77777777" w:rsidR="00C454CC" w:rsidRPr="00C454CC" w:rsidRDefault="00C454CC" w:rsidP="00C454CC">
      <w:pPr>
        <w:spacing w:after="0"/>
        <w:ind w:left="709"/>
      </w:pPr>
    </w:p>
    <w:p w14:paraId="51B018F9" w14:textId="77777777" w:rsidR="00C454CC" w:rsidRPr="00C454CC" w:rsidRDefault="00C454CC" w:rsidP="00C454CC">
      <w:pPr>
        <w:spacing w:after="0"/>
        <w:ind w:left="709"/>
      </w:pPr>
      <w:r w:rsidRPr="00C454CC">
        <w:t>Venkatesh, V. (2022) Adoption and use of AI tools: a research agenda grounded in UTAUT. Ann Oper Res 308, 641–652. https://doi.org/10.1007/s10479-020-03918-9</w:t>
      </w:r>
    </w:p>
    <w:p w14:paraId="6BBADB40" w14:textId="77777777" w:rsidR="00C454CC" w:rsidRPr="00C454CC" w:rsidRDefault="00C454CC" w:rsidP="00C454CC">
      <w:pPr>
        <w:spacing w:after="0"/>
        <w:ind w:left="709"/>
      </w:pPr>
    </w:p>
    <w:p w14:paraId="7A7A1B6F" w14:textId="77777777" w:rsidR="00C454CC" w:rsidRPr="00C454CC" w:rsidRDefault="00C454CC" w:rsidP="00C454CC">
      <w:pPr>
        <w:spacing w:after="0"/>
        <w:ind w:left="709"/>
      </w:pPr>
      <w:r w:rsidRPr="00C454CC">
        <w:t xml:space="preserve">Wamba-Taguimdje, S.-L., Fosso Wamba, S., Kala Kamdjoug, J.R. and Tchatchouang Wanko, C.E. (2020), Influence of artificial intelligence (AI) on firm performance: the business value of AI-based transformation projects, Business Process Management Journal, Vol. 26 No. 7, pp. 1893-1924. https://doi.org/10.1108/BPMJ-10-2019-0411 </w:t>
      </w:r>
    </w:p>
    <w:p w14:paraId="397B74D3" w14:textId="77777777" w:rsidR="00C454CC" w:rsidRPr="00C454CC" w:rsidRDefault="00C454CC" w:rsidP="00C454CC">
      <w:pPr>
        <w:spacing w:after="0"/>
        <w:ind w:left="709"/>
      </w:pPr>
    </w:p>
    <w:p w14:paraId="503D9419" w14:textId="77777777" w:rsidR="00C454CC" w:rsidRPr="00C454CC" w:rsidRDefault="00C454CC" w:rsidP="00C454CC">
      <w:pPr>
        <w:spacing w:after="0"/>
        <w:ind w:left="709"/>
      </w:pPr>
      <w:r w:rsidRPr="00C454CC">
        <w:t>Xiong, Y., Xia, S. and Wang, X. (2020) Artificial intelligence and business applications, an introduction. International Journal of Technology Management, Vol. 84, Nos. 1/2, pp.1–7. https://doi.org/10.1504/IJTM.2020.112615</w:t>
      </w:r>
    </w:p>
    <w:p w14:paraId="65676DEE" w14:textId="77777777" w:rsidR="00C454CC" w:rsidRPr="00C454CC" w:rsidRDefault="00C454CC" w:rsidP="00C454CC">
      <w:pPr>
        <w:spacing w:after="0"/>
        <w:ind w:left="709"/>
      </w:pPr>
    </w:p>
    <w:p w14:paraId="4BF11E0D" w14:textId="77777777" w:rsidR="00C454CC" w:rsidRPr="00C454CC" w:rsidRDefault="00C454CC" w:rsidP="00C454CC">
      <w:pPr>
        <w:spacing w:after="0"/>
        <w:ind w:left="709"/>
      </w:pPr>
      <w:r w:rsidRPr="00C454CC">
        <w:t>Zhang, B. 2018, "Using A.I. to enhance daily operations", World Oil, vol. 239, no. 8, pp. 21.</w:t>
      </w:r>
    </w:p>
    <w:p w14:paraId="7C1AA359" w14:textId="77777777" w:rsidR="00C454CC" w:rsidRPr="00C454CC" w:rsidRDefault="00C454CC" w:rsidP="00C454CC">
      <w:pPr>
        <w:spacing w:after="0"/>
        <w:ind w:left="709"/>
      </w:pPr>
    </w:p>
    <w:p w14:paraId="42CFBB29" w14:textId="3882C8FF" w:rsidR="00C454CC" w:rsidRPr="00D12B5A" w:rsidRDefault="00C454CC" w:rsidP="00D12B5A">
      <w:pPr>
        <w:spacing w:after="0"/>
        <w:ind w:left="709"/>
      </w:pPr>
      <w:r w:rsidRPr="00C454CC">
        <w:t>Zheng, T., Ardolino, M., Bacchetti, A., &amp; Perona, M. (2021). The applications of Industry 4.0 technologies in manufacturing context: a systematic literature review. International Journal of Production Research, 59(6), https://doi.org/10.1080/00207543.2020.1824085</w:t>
      </w:r>
    </w:p>
    <w:sectPr w:rsidR="00C454CC" w:rsidRPr="00D12B5A" w:rsidSect="00BB08AE">
      <w:headerReference w:type="default" r:id="rId28"/>
      <w:footerReference w:type="default" r:id="rId2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265BE" w14:textId="77777777" w:rsidR="00BB08AE" w:rsidRDefault="00BB08AE" w:rsidP="000B509C">
      <w:pPr>
        <w:spacing w:after="0" w:line="240" w:lineRule="auto"/>
      </w:pPr>
      <w:r>
        <w:separator/>
      </w:r>
    </w:p>
  </w:endnote>
  <w:endnote w:type="continuationSeparator" w:id="0">
    <w:p w14:paraId="03710F2E" w14:textId="77777777" w:rsidR="00BB08AE" w:rsidRDefault="00BB08AE" w:rsidP="000B5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5375920"/>
      <w:docPartObj>
        <w:docPartGallery w:val="Page Numbers (Bottom of Page)"/>
        <w:docPartUnique/>
      </w:docPartObj>
    </w:sdtPr>
    <w:sdtEndPr>
      <w:rPr>
        <w:noProof/>
      </w:rPr>
    </w:sdtEndPr>
    <w:sdtContent>
      <w:p w14:paraId="5C877D7A" w14:textId="5FED41D9" w:rsidR="004B3BB7" w:rsidRDefault="004B3B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8DB43F" w14:textId="77777777" w:rsidR="004B3BB7" w:rsidRDefault="004B3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E1320" w14:textId="77777777" w:rsidR="00BB08AE" w:rsidRDefault="00BB08AE" w:rsidP="000B509C">
      <w:pPr>
        <w:spacing w:after="0" w:line="240" w:lineRule="auto"/>
      </w:pPr>
      <w:r>
        <w:separator/>
      </w:r>
    </w:p>
  </w:footnote>
  <w:footnote w:type="continuationSeparator" w:id="0">
    <w:p w14:paraId="3F99F4E1" w14:textId="77777777" w:rsidR="00BB08AE" w:rsidRDefault="00BB08AE" w:rsidP="000B5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4D32B" w14:textId="2AD0D655" w:rsidR="000B509C" w:rsidRPr="000B509C" w:rsidRDefault="000B509C">
    <w:pPr>
      <w:pStyle w:val="Header"/>
      <w:rPr>
        <w:sz w:val="18"/>
        <w:szCs w:val="18"/>
      </w:rPr>
    </w:pPr>
    <w:r w:rsidRPr="000B509C">
      <w:rPr>
        <w:rFonts w:cs="Times New Roman"/>
        <w:sz w:val="18"/>
        <w:szCs w:val="18"/>
      </w:rPr>
      <w:t>From Assessment to Adoption: an integrated AI readiness framework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531C5"/>
    <w:multiLevelType w:val="multilevel"/>
    <w:tmpl w:val="5DF84C00"/>
    <w:lvl w:ilvl="0">
      <w:start w:val="1"/>
      <w:numFmt w:val="decimal"/>
      <w:pStyle w:val="Heading2"/>
      <w:lvlText w:val="%1."/>
      <w:lvlJc w:val="left"/>
      <w:pPr>
        <w:ind w:left="360" w:hanging="360"/>
      </w:pPr>
      <w:rPr>
        <w:rFonts w:hint="default"/>
      </w:rPr>
    </w:lvl>
    <w:lvl w:ilvl="1">
      <w:start w:val="1"/>
      <w:numFmt w:val="decimal"/>
      <w:pStyle w:val="Heading3"/>
      <w:lvlText w:val="%1.%2."/>
      <w:lvlJc w:val="left"/>
      <w:pPr>
        <w:ind w:left="792" w:hanging="432"/>
      </w:pPr>
      <w:rPr>
        <w:rFonts w:hint="default"/>
      </w:rPr>
    </w:lvl>
    <w:lvl w:ilvl="2">
      <w:start w:val="1"/>
      <w:numFmt w:val="decimal"/>
      <w:pStyle w:val="Heading4"/>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CF02D42"/>
    <w:multiLevelType w:val="hybridMultilevel"/>
    <w:tmpl w:val="D11CAAD6"/>
    <w:lvl w:ilvl="0" w:tplc="D67284D2">
      <w:start w:val="1"/>
      <w:numFmt w:val="decimal"/>
      <w:pStyle w:val="Heading5"/>
      <w:lvlText w:val="%1.1.1.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5F8D78E4"/>
    <w:multiLevelType w:val="multilevel"/>
    <w:tmpl w:val="4DC01A42"/>
    <w:lvl w:ilvl="0">
      <w:start w:val="1"/>
      <w:numFmt w:val="decimal"/>
      <w:lvlText w:val="%1."/>
      <w:lvlJc w:val="left"/>
      <w:pPr>
        <w:ind w:left="360" w:hanging="360"/>
      </w:pPr>
      <w:rPr>
        <w:rFonts w:hint="default"/>
      </w:rPr>
    </w:lvl>
    <w:lvl w:ilvl="1">
      <w:start w:val="1"/>
      <w:numFmt w:val="decimal"/>
      <w:lvlText w:val="%1.%2."/>
      <w:lvlJc w:val="left"/>
      <w:pPr>
        <w:ind w:left="737" w:hanging="377"/>
      </w:pPr>
      <w:rPr>
        <w:rFonts w:hint="default"/>
      </w:rPr>
    </w:lvl>
    <w:lvl w:ilvl="2">
      <w:start w:val="1"/>
      <w:numFmt w:val="decimal"/>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6D37FAD"/>
    <w:multiLevelType w:val="hybridMultilevel"/>
    <w:tmpl w:val="B0E23F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1017193">
    <w:abstractNumId w:val="2"/>
  </w:num>
  <w:num w:numId="2" w16cid:durableId="6607366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1828709">
    <w:abstractNumId w:val="0"/>
  </w:num>
  <w:num w:numId="4" w16cid:durableId="113597143">
    <w:abstractNumId w:val="1"/>
  </w:num>
  <w:num w:numId="5" w16cid:durableId="154345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4CC"/>
    <w:rsid w:val="000023E2"/>
    <w:rsid w:val="000210EC"/>
    <w:rsid w:val="00027207"/>
    <w:rsid w:val="00034241"/>
    <w:rsid w:val="00042FEC"/>
    <w:rsid w:val="00046883"/>
    <w:rsid w:val="00061B52"/>
    <w:rsid w:val="00070A06"/>
    <w:rsid w:val="00087B2A"/>
    <w:rsid w:val="00091796"/>
    <w:rsid w:val="00096797"/>
    <w:rsid w:val="000A30BD"/>
    <w:rsid w:val="000A5524"/>
    <w:rsid w:val="000B509C"/>
    <w:rsid w:val="000B6765"/>
    <w:rsid w:val="000E02F3"/>
    <w:rsid w:val="000F11B1"/>
    <w:rsid w:val="000F75FC"/>
    <w:rsid w:val="0010274E"/>
    <w:rsid w:val="00125CA0"/>
    <w:rsid w:val="00132584"/>
    <w:rsid w:val="00151952"/>
    <w:rsid w:val="00157530"/>
    <w:rsid w:val="001A1595"/>
    <w:rsid w:val="001E17DE"/>
    <w:rsid w:val="001E6A58"/>
    <w:rsid w:val="001F72C1"/>
    <w:rsid w:val="00217754"/>
    <w:rsid w:val="002262DA"/>
    <w:rsid w:val="00236CFB"/>
    <w:rsid w:val="00257395"/>
    <w:rsid w:val="00290400"/>
    <w:rsid w:val="002B14A7"/>
    <w:rsid w:val="002B1CD7"/>
    <w:rsid w:val="002B3C24"/>
    <w:rsid w:val="002C6C22"/>
    <w:rsid w:val="002E64CE"/>
    <w:rsid w:val="002E775E"/>
    <w:rsid w:val="003219AE"/>
    <w:rsid w:val="00333158"/>
    <w:rsid w:val="003409A5"/>
    <w:rsid w:val="00343445"/>
    <w:rsid w:val="00354EC3"/>
    <w:rsid w:val="00357647"/>
    <w:rsid w:val="003637A2"/>
    <w:rsid w:val="00366088"/>
    <w:rsid w:val="003700D2"/>
    <w:rsid w:val="003A2B4C"/>
    <w:rsid w:val="003A7DDF"/>
    <w:rsid w:val="003B57CC"/>
    <w:rsid w:val="003D3E07"/>
    <w:rsid w:val="003F0674"/>
    <w:rsid w:val="003F4613"/>
    <w:rsid w:val="003F5FBD"/>
    <w:rsid w:val="00416277"/>
    <w:rsid w:val="00445AC1"/>
    <w:rsid w:val="00456EFD"/>
    <w:rsid w:val="00484910"/>
    <w:rsid w:val="004A67A6"/>
    <w:rsid w:val="004B2BDE"/>
    <w:rsid w:val="004B3BB7"/>
    <w:rsid w:val="004B52C4"/>
    <w:rsid w:val="004C5804"/>
    <w:rsid w:val="00501D6E"/>
    <w:rsid w:val="00502A2A"/>
    <w:rsid w:val="00503884"/>
    <w:rsid w:val="00505A5D"/>
    <w:rsid w:val="00516972"/>
    <w:rsid w:val="005241E6"/>
    <w:rsid w:val="00550528"/>
    <w:rsid w:val="00573B5E"/>
    <w:rsid w:val="00574305"/>
    <w:rsid w:val="00581B0D"/>
    <w:rsid w:val="005828B0"/>
    <w:rsid w:val="00601156"/>
    <w:rsid w:val="00604B9D"/>
    <w:rsid w:val="006064B5"/>
    <w:rsid w:val="006158CA"/>
    <w:rsid w:val="0062028E"/>
    <w:rsid w:val="0062287D"/>
    <w:rsid w:val="00623EEE"/>
    <w:rsid w:val="0062416F"/>
    <w:rsid w:val="006271AB"/>
    <w:rsid w:val="00635DA0"/>
    <w:rsid w:val="00654DEF"/>
    <w:rsid w:val="006C58B0"/>
    <w:rsid w:val="006D6E2B"/>
    <w:rsid w:val="006F2B4C"/>
    <w:rsid w:val="00702685"/>
    <w:rsid w:val="007139C6"/>
    <w:rsid w:val="007311CE"/>
    <w:rsid w:val="00771328"/>
    <w:rsid w:val="007746BD"/>
    <w:rsid w:val="007825B2"/>
    <w:rsid w:val="0078785F"/>
    <w:rsid w:val="007A2EFE"/>
    <w:rsid w:val="007C787C"/>
    <w:rsid w:val="007D2FCD"/>
    <w:rsid w:val="007D3DDB"/>
    <w:rsid w:val="007E4627"/>
    <w:rsid w:val="007F4D04"/>
    <w:rsid w:val="00804178"/>
    <w:rsid w:val="00813387"/>
    <w:rsid w:val="00823C41"/>
    <w:rsid w:val="00837951"/>
    <w:rsid w:val="0086184D"/>
    <w:rsid w:val="00861CC9"/>
    <w:rsid w:val="0086510A"/>
    <w:rsid w:val="00870EC6"/>
    <w:rsid w:val="00877802"/>
    <w:rsid w:val="008A11BE"/>
    <w:rsid w:val="008A3DE2"/>
    <w:rsid w:val="008B2507"/>
    <w:rsid w:val="008D61F5"/>
    <w:rsid w:val="0091191D"/>
    <w:rsid w:val="009216D9"/>
    <w:rsid w:val="00925977"/>
    <w:rsid w:val="0093766C"/>
    <w:rsid w:val="00953129"/>
    <w:rsid w:val="0095487E"/>
    <w:rsid w:val="00960E16"/>
    <w:rsid w:val="00964BE4"/>
    <w:rsid w:val="00983899"/>
    <w:rsid w:val="00985FEA"/>
    <w:rsid w:val="009915C7"/>
    <w:rsid w:val="009B0744"/>
    <w:rsid w:val="009C36F0"/>
    <w:rsid w:val="009D75A2"/>
    <w:rsid w:val="009F752C"/>
    <w:rsid w:val="00A41889"/>
    <w:rsid w:val="00A44A97"/>
    <w:rsid w:val="00A567E5"/>
    <w:rsid w:val="00A57AA2"/>
    <w:rsid w:val="00A57FA1"/>
    <w:rsid w:val="00A750F7"/>
    <w:rsid w:val="00A82B6B"/>
    <w:rsid w:val="00A85E07"/>
    <w:rsid w:val="00AA7CF3"/>
    <w:rsid w:val="00AB0A71"/>
    <w:rsid w:val="00AC3BA2"/>
    <w:rsid w:val="00AD5D5D"/>
    <w:rsid w:val="00AE1BC0"/>
    <w:rsid w:val="00B0521E"/>
    <w:rsid w:val="00B2616F"/>
    <w:rsid w:val="00B264E1"/>
    <w:rsid w:val="00B27BDA"/>
    <w:rsid w:val="00B31CC5"/>
    <w:rsid w:val="00B51250"/>
    <w:rsid w:val="00B639F1"/>
    <w:rsid w:val="00B772A2"/>
    <w:rsid w:val="00B80172"/>
    <w:rsid w:val="00B96FA8"/>
    <w:rsid w:val="00BA0F20"/>
    <w:rsid w:val="00BB08AE"/>
    <w:rsid w:val="00BD5BA6"/>
    <w:rsid w:val="00BF2E67"/>
    <w:rsid w:val="00BF5662"/>
    <w:rsid w:val="00BF60BE"/>
    <w:rsid w:val="00BF7D05"/>
    <w:rsid w:val="00C06905"/>
    <w:rsid w:val="00C454CC"/>
    <w:rsid w:val="00C460D3"/>
    <w:rsid w:val="00C86152"/>
    <w:rsid w:val="00C86DBF"/>
    <w:rsid w:val="00CB5D1B"/>
    <w:rsid w:val="00CC44B2"/>
    <w:rsid w:val="00CC5A7A"/>
    <w:rsid w:val="00D11B6C"/>
    <w:rsid w:val="00D12B5A"/>
    <w:rsid w:val="00D21F9F"/>
    <w:rsid w:val="00D31455"/>
    <w:rsid w:val="00D359BA"/>
    <w:rsid w:val="00D3666A"/>
    <w:rsid w:val="00D3693E"/>
    <w:rsid w:val="00D43876"/>
    <w:rsid w:val="00D51420"/>
    <w:rsid w:val="00D6464F"/>
    <w:rsid w:val="00D811C5"/>
    <w:rsid w:val="00D83667"/>
    <w:rsid w:val="00D86740"/>
    <w:rsid w:val="00D91F52"/>
    <w:rsid w:val="00D92656"/>
    <w:rsid w:val="00DA79BB"/>
    <w:rsid w:val="00DB3C43"/>
    <w:rsid w:val="00DC3513"/>
    <w:rsid w:val="00DC3881"/>
    <w:rsid w:val="00DF7B39"/>
    <w:rsid w:val="00E0152D"/>
    <w:rsid w:val="00E11C27"/>
    <w:rsid w:val="00E16245"/>
    <w:rsid w:val="00E163C8"/>
    <w:rsid w:val="00E36E25"/>
    <w:rsid w:val="00E36FE4"/>
    <w:rsid w:val="00E427D4"/>
    <w:rsid w:val="00E5236D"/>
    <w:rsid w:val="00E72E74"/>
    <w:rsid w:val="00EA5104"/>
    <w:rsid w:val="00EC3886"/>
    <w:rsid w:val="00ED167B"/>
    <w:rsid w:val="00ED241D"/>
    <w:rsid w:val="00EE2CE1"/>
    <w:rsid w:val="00F10A4A"/>
    <w:rsid w:val="00F21F13"/>
    <w:rsid w:val="00F5297E"/>
    <w:rsid w:val="00F71F4C"/>
    <w:rsid w:val="00F94F4B"/>
    <w:rsid w:val="00FA04B9"/>
    <w:rsid w:val="00FD02B7"/>
    <w:rsid w:val="00FF4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A7D2"/>
  <w15:chartTrackingRefBased/>
  <w15:docId w15:val="{8D843CA2-4D43-4A90-AF28-A8EDD86DB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4CC"/>
    <w:rPr>
      <w:rFonts w:ascii="Times New Roman" w:hAnsi="Times New Roman"/>
      <w:color w:val="000000" w:themeColor="text1"/>
      <w:sz w:val="24"/>
    </w:rPr>
  </w:style>
  <w:style w:type="paragraph" w:styleId="Heading1">
    <w:name w:val="heading 1"/>
    <w:basedOn w:val="Normal"/>
    <w:next w:val="Normal"/>
    <w:link w:val="Heading1Char"/>
    <w:uiPriority w:val="9"/>
    <w:qFormat/>
    <w:rsid w:val="00C45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54CC"/>
    <w:pPr>
      <w:keepNext/>
      <w:keepLines/>
      <w:numPr>
        <w:numId w:val="3"/>
      </w:numPr>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C454CC"/>
    <w:pPr>
      <w:keepNext/>
      <w:keepLines/>
      <w:numPr>
        <w:ilvl w:val="1"/>
        <w:numId w:val="3"/>
      </w:numPr>
      <w:spacing w:before="160" w:after="80"/>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C454CC"/>
    <w:pPr>
      <w:keepNext/>
      <w:keepLines/>
      <w:numPr>
        <w:ilvl w:val="2"/>
        <w:numId w:val="3"/>
      </w:numPr>
      <w:spacing w:before="80" w:after="40"/>
      <w:outlineLvl w:val="3"/>
    </w:pPr>
    <w:rPr>
      <w:rFonts w:eastAsiaTheme="majorEastAsia" w:cstheme="majorBidi"/>
      <w:b/>
      <w:iCs/>
    </w:rPr>
  </w:style>
  <w:style w:type="paragraph" w:styleId="Heading5">
    <w:name w:val="heading 5"/>
    <w:basedOn w:val="Heading4"/>
    <w:next w:val="Normal"/>
    <w:link w:val="Heading5Char"/>
    <w:uiPriority w:val="9"/>
    <w:unhideWhenUsed/>
    <w:qFormat/>
    <w:rsid w:val="00635DA0"/>
    <w:pPr>
      <w:numPr>
        <w:ilvl w:val="0"/>
        <w:numId w:val="4"/>
      </w:numPr>
      <w:ind w:left="1080"/>
      <w:outlineLvl w:val="4"/>
    </w:pPr>
    <w:rPr>
      <w:b w:val="0"/>
      <w:color w:val="auto"/>
    </w:rPr>
  </w:style>
  <w:style w:type="paragraph" w:styleId="Heading6">
    <w:name w:val="heading 6"/>
    <w:basedOn w:val="Normal"/>
    <w:next w:val="Normal"/>
    <w:link w:val="Heading6Char"/>
    <w:uiPriority w:val="9"/>
    <w:semiHidden/>
    <w:unhideWhenUsed/>
    <w:qFormat/>
    <w:rsid w:val="00C454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4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454CC"/>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C454CC"/>
    <w:rPr>
      <w:rFonts w:ascii="Times New Roman" w:eastAsiaTheme="majorEastAsia" w:hAnsi="Times New Roman" w:cstheme="majorBidi"/>
      <w:b/>
      <w:sz w:val="24"/>
      <w:szCs w:val="28"/>
    </w:rPr>
  </w:style>
  <w:style w:type="character" w:customStyle="1" w:styleId="Heading4Char">
    <w:name w:val="Heading 4 Char"/>
    <w:basedOn w:val="DefaultParagraphFont"/>
    <w:link w:val="Heading4"/>
    <w:uiPriority w:val="9"/>
    <w:rsid w:val="00C454CC"/>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rsid w:val="00635DA0"/>
    <w:rPr>
      <w:rFonts w:ascii="Times New Roman" w:eastAsiaTheme="majorEastAsia" w:hAnsi="Times New Roman" w:cstheme="majorBidi"/>
      <w:iCs/>
      <w:sz w:val="24"/>
    </w:rPr>
  </w:style>
  <w:style w:type="character" w:customStyle="1" w:styleId="Heading6Char">
    <w:name w:val="Heading 6 Char"/>
    <w:basedOn w:val="DefaultParagraphFont"/>
    <w:link w:val="Heading6"/>
    <w:uiPriority w:val="9"/>
    <w:semiHidden/>
    <w:rsid w:val="00C45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4CC"/>
    <w:rPr>
      <w:rFonts w:eastAsiaTheme="majorEastAsia" w:cstheme="majorBidi"/>
      <w:color w:val="272727" w:themeColor="text1" w:themeTint="D8"/>
    </w:rPr>
  </w:style>
  <w:style w:type="paragraph" w:styleId="Title">
    <w:name w:val="Title"/>
    <w:basedOn w:val="Normal"/>
    <w:next w:val="Normal"/>
    <w:link w:val="TitleChar"/>
    <w:uiPriority w:val="10"/>
    <w:qFormat/>
    <w:rsid w:val="00C45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4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4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4CC"/>
    <w:pPr>
      <w:spacing w:before="160"/>
      <w:jc w:val="center"/>
    </w:pPr>
    <w:rPr>
      <w:i/>
      <w:iCs/>
      <w:color w:val="404040" w:themeColor="text1" w:themeTint="BF"/>
    </w:rPr>
  </w:style>
  <w:style w:type="character" w:customStyle="1" w:styleId="QuoteChar">
    <w:name w:val="Quote Char"/>
    <w:basedOn w:val="DefaultParagraphFont"/>
    <w:link w:val="Quote"/>
    <w:uiPriority w:val="29"/>
    <w:rsid w:val="00C454CC"/>
    <w:rPr>
      <w:i/>
      <w:iCs/>
      <w:color w:val="404040" w:themeColor="text1" w:themeTint="BF"/>
    </w:rPr>
  </w:style>
  <w:style w:type="paragraph" w:styleId="ListParagraph">
    <w:name w:val="List Paragraph"/>
    <w:basedOn w:val="Normal"/>
    <w:uiPriority w:val="34"/>
    <w:qFormat/>
    <w:rsid w:val="00C454CC"/>
    <w:pPr>
      <w:ind w:left="720"/>
      <w:contextualSpacing/>
    </w:pPr>
  </w:style>
  <w:style w:type="character" w:styleId="IntenseEmphasis">
    <w:name w:val="Intense Emphasis"/>
    <w:basedOn w:val="DefaultParagraphFont"/>
    <w:uiPriority w:val="21"/>
    <w:qFormat/>
    <w:rsid w:val="00C454CC"/>
    <w:rPr>
      <w:i/>
      <w:iCs/>
      <w:color w:val="0F4761" w:themeColor="accent1" w:themeShade="BF"/>
    </w:rPr>
  </w:style>
  <w:style w:type="paragraph" w:styleId="IntenseQuote">
    <w:name w:val="Intense Quote"/>
    <w:basedOn w:val="Normal"/>
    <w:next w:val="Normal"/>
    <w:link w:val="IntenseQuoteChar"/>
    <w:uiPriority w:val="30"/>
    <w:qFormat/>
    <w:rsid w:val="00C45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4CC"/>
    <w:rPr>
      <w:i/>
      <w:iCs/>
      <w:color w:val="0F4761" w:themeColor="accent1" w:themeShade="BF"/>
    </w:rPr>
  </w:style>
  <w:style w:type="character" w:styleId="IntenseReference">
    <w:name w:val="Intense Reference"/>
    <w:basedOn w:val="DefaultParagraphFont"/>
    <w:uiPriority w:val="32"/>
    <w:qFormat/>
    <w:rsid w:val="00C454CC"/>
    <w:rPr>
      <w:b/>
      <w:bCs/>
      <w:smallCaps/>
      <w:color w:val="0F4761" w:themeColor="accent1" w:themeShade="BF"/>
      <w:spacing w:val="5"/>
    </w:rPr>
  </w:style>
  <w:style w:type="paragraph" w:styleId="Header">
    <w:name w:val="header"/>
    <w:basedOn w:val="Normal"/>
    <w:link w:val="HeaderChar"/>
    <w:uiPriority w:val="99"/>
    <w:unhideWhenUsed/>
    <w:rsid w:val="000B50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09C"/>
    <w:rPr>
      <w:rFonts w:ascii="Times New Roman" w:hAnsi="Times New Roman"/>
      <w:color w:val="000000" w:themeColor="text1"/>
      <w:sz w:val="24"/>
    </w:rPr>
  </w:style>
  <w:style w:type="paragraph" w:styleId="Footer">
    <w:name w:val="footer"/>
    <w:basedOn w:val="Normal"/>
    <w:link w:val="FooterChar"/>
    <w:uiPriority w:val="99"/>
    <w:unhideWhenUsed/>
    <w:rsid w:val="000B50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09C"/>
    <w:rPr>
      <w:rFonts w:ascii="Times New Roman" w:hAnsi="Times New Roman"/>
      <w:color w:val="000000" w:themeColor="text1"/>
      <w:sz w:val="24"/>
    </w:rPr>
  </w:style>
  <w:style w:type="character" w:styleId="Hyperlink">
    <w:name w:val="Hyperlink"/>
    <w:basedOn w:val="DefaultParagraphFont"/>
    <w:uiPriority w:val="99"/>
    <w:unhideWhenUsed/>
    <w:rsid w:val="001F72C1"/>
    <w:rPr>
      <w:color w:val="467886" w:themeColor="hyperlink"/>
      <w:u w:val="single"/>
    </w:rPr>
  </w:style>
  <w:style w:type="character" w:styleId="UnresolvedMention">
    <w:name w:val="Unresolved Mention"/>
    <w:basedOn w:val="DefaultParagraphFont"/>
    <w:uiPriority w:val="99"/>
    <w:semiHidden/>
    <w:unhideWhenUsed/>
    <w:rsid w:val="001F72C1"/>
    <w:rPr>
      <w:color w:val="605E5C"/>
      <w:shd w:val="clear" w:color="auto" w:fill="E1DFDD"/>
    </w:rPr>
  </w:style>
  <w:style w:type="table" w:styleId="TableGrid">
    <w:name w:val="Table Grid"/>
    <w:basedOn w:val="TableNormal"/>
    <w:uiPriority w:val="39"/>
    <w:rsid w:val="00A82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7479679">
      <w:bodyDiv w:val="1"/>
      <w:marLeft w:val="0"/>
      <w:marRight w:val="0"/>
      <w:marTop w:val="0"/>
      <w:marBottom w:val="0"/>
      <w:divBdr>
        <w:top w:val="none" w:sz="0" w:space="0" w:color="auto"/>
        <w:left w:val="none" w:sz="0" w:space="0" w:color="auto"/>
        <w:bottom w:val="none" w:sz="0" w:space="0" w:color="auto"/>
        <w:right w:val="none" w:sz="0" w:space="0" w:color="auto"/>
      </w:divBdr>
      <w:divsChild>
        <w:div w:id="1651523320">
          <w:marLeft w:val="0"/>
          <w:marRight w:val="0"/>
          <w:marTop w:val="0"/>
          <w:marBottom w:val="0"/>
          <w:divBdr>
            <w:top w:val="none" w:sz="0" w:space="0" w:color="auto"/>
            <w:left w:val="none" w:sz="0" w:space="0" w:color="auto"/>
            <w:bottom w:val="none" w:sz="0" w:space="0" w:color="auto"/>
            <w:right w:val="none" w:sz="0" w:space="0" w:color="auto"/>
          </w:divBdr>
          <w:divsChild>
            <w:div w:id="976032301">
              <w:marLeft w:val="0"/>
              <w:marRight w:val="0"/>
              <w:marTop w:val="0"/>
              <w:marBottom w:val="0"/>
              <w:divBdr>
                <w:top w:val="none" w:sz="0" w:space="0" w:color="auto"/>
                <w:left w:val="none" w:sz="0" w:space="0" w:color="auto"/>
                <w:bottom w:val="none" w:sz="0" w:space="0" w:color="auto"/>
                <w:right w:val="none" w:sz="0" w:space="0" w:color="auto"/>
              </w:divBdr>
            </w:div>
          </w:divsChild>
        </w:div>
        <w:div w:id="320163721">
          <w:marLeft w:val="0"/>
          <w:marRight w:val="0"/>
          <w:marTop w:val="0"/>
          <w:marBottom w:val="0"/>
          <w:divBdr>
            <w:top w:val="none" w:sz="0" w:space="0" w:color="auto"/>
            <w:left w:val="none" w:sz="0" w:space="0" w:color="auto"/>
            <w:bottom w:val="none" w:sz="0" w:space="0" w:color="auto"/>
            <w:right w:val="none" w:sz="0" w:space="0" w:color="auto"/>
          </w:divBdr>
          <w:divsChild>
            <w:div w:id="1195000570">
              <w:marLeft w:val="0"/>
              <w:marRight w:val="0"/>
              <w:marTop w:val="0"/>
              <w:marBottom w:val="0"/>
              <w:divBdr>
                <w:top w:val="none" w:sz="0" w:space="0" w:color="auto"/>
                <w:left w:val="none" w:sz="0" w:space="0" w:color="auto"/>
                <w:bottom w:val="none" w:sz="0" w:space="0" w:color="auto"/>
                <w:right w:val="none" w:sz="0" w:space="0" w:color="auto"/>
              </w:divBdr>
            </w:div>
          </w:divsChild>
        </w:div>
        <w:div w:id="1051074805">
          <w:marLeft w:val="0"/>
          <w:marRight w:val="0"/>
          <w:marTop w:val="0"/>
          <w:marBottom w:val="0"/>
          <w:divBdr>
            <w:top w:val="none" w:sz="0" w:space="0" w:color="auto"/>
            <w:left w:val="none" w:sz="0" w:space="0" w:color="auto"/>
            <w:bottom w:val="none" w:sz="0" w:space="0" w:color="auto"/>
            <w:right w:val="none" w:sz="0" w:space="0" w:color="auto"/>
          </w:divBdr>
          <w:divsChild>
            <w:div w:id="1283685666">
              <w:marLeft w:val="0"/>
              <w:marRight w:val="0"/>
              <w:marTop w:val="0"/>
              <w:marBottom w:val="0"/>
              <w:divBdr>
                <w:top w:val="none" w:sz="0" w:space="0" w:color="auto"/>
                <w:left w:val="none" w:sz="0" w:space="0" w:color="auto"/>
                <w:bottom w:val="none" w:sz="0" w:space="0" w:color="auto"/>
                <w:right w:val="none" w:sz="0" w:space="0" w:color="auto"/>
              </w:divBdr>
            </w:div>
          </w:divsChild>
        </w:div>
        <w:div w:id="645276766">
          <w:marLeft w:val="0"/>
          <w:marRight w:val="0"/>
          <w:marTop w:val="0"/>
          <w:marBottom w:val="0"/>
          <w:divBdr>
            <w:top w:val="none" w:sz="0" w:space="0" w:color="auto"/>
            <w:left w:val="none" w:sz="0" w:space="0" w:color="auto"/>
            <w:bottom w:val="none" w:sz="0" w:space="0" w:color="auto"/>
            <w:right w:val="none" w:sz="0" w:space="0" w:color="auto"/>
          </w:divBdr>
          <w:divsChild>
            <w:div w:id="1923567652">
              <w:marLeft w:val="0"/>
              <w:marRight w:val="0"/>
              <w:marTop w:val="0"/>
              <w:marBottom w:val="0"/>
              <w:divBdr>
                <w:top w:val="none" w:sz="0" w:space="0" w:color="auto"/>
                <w:left w:val="none" w:sz="0" w:space="0" w:color="auto"/>
                <w:bottom w:val="none" w:sz="0" w:space="0" w:color="auto"/>
                <w:right w:val="none" w:sz="0" w:space="0" w:color="auto"/>
              </w:divBdr>
            </w:div>
          </w:divsChild>
        </w:div>
        <w:div w:id="2004430877">
          <w:marLeft w:val="0"/>
          <w:marRight w:val="0"/>
          <w:marTop w:val="0"/>
          <w:marBottom w:val="0"/>
          <w:divBdr>
            <w:top w:val="none" w:sz="0" w:space="0" w:color="auto"/>
            <w:left w:val="none" w:sz="0" w:space="0" w:color="auto"/>
            <w:bottom w:val="none" w:sz="0" w:space="0" w:color="auto"/>
            <w:right w:val="none" w:sz="0" w:space="0" w:color="auto"/>
          </w:divBdr>
          <w:divsChild>
            <w:div w:id="70251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1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utar@salford.ac.uk" TargetMode="External"/><Relationship Id="rId13" Type="http://schemas.openxmlformats.org/officeDocument/2006/relationships/hyperlink" Target="https://doi.org/10.1016/j.bushor.2021.03.006" TargetMode="External"/><Relationship Id="rId18" Type="http://schemas.openxmlformats.org/officeDocument/2006/relationships/hyperlink" Target="https://doi.org/10.1631/FITEE.1601885" TargetMode="External"/><Relationship Id="rId26" Type="http://schemas.openxmlformats.org/officeDocument/2006/relationships/hyperlink" Target="https://doi.org/10.1080/08874417.2023.2219668" TargetMode="External"/><Relationship Id="rId3" Type="http://schemas.openxmlformats.org/officeDocument/2006/relationships/settings" Target="settings.xml"/><Relationship Id="rId21" Type="http://schemas.openxmlformats.org/officeDocument/2006/relationships/hyperlink" Target="https://doi.org/10.48550/arXiv.2308.16538" TargetMode="External"/><Relationship Id="rId7" Type="http://schemas.openxmlformats.org/officeDocument/2006/relationships/hyperlink" Target="mailto:s.krishnan-harihara@salford.ac.uk" TargetMode="External"/><Relationship Id="rId12" Type="http://schemas.openxmlformats.org/officeDocument/2006/relationships/hyperlink" Target="https://www.ijisae.org/index.php/IJISAE/article/view/3360" TargetMode="External"/><Relationship Id="rId17" Type="http://schemas.openxmlformats.org/officeDocument/2006/relationships/hyperlink" Target="https://doi.org/10.1007/s12599-020-00676-7" TargetMode="External"/><Relationship Id="rId25" Type="http://schemas.openxmlformats.org/officeDocument/2006/relationships/hyperlink" Target="https://doi.org/10.1023/A:1011288000451" TargetMode="External"/><Relationship Id="rId2" Type="http://schemas.openxmlformats.org/officeDocument/2006/relationships/styles" Target="styles.xml"/><Relationship Id="rId16" Type="http://schemas.openxmlformats.org/officeDocument/2006/relationships/hyperlink" Target="https://10.1080/17460441.2021.1909567" TargetMode="External"/><Relationship Id="rId20" Type="http://schemas.openxmlformats.org/officeDocument/2006/relationships/hyperlink" Target="https://doi.org/10.1016/j.jbusres.2020.11.001"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978-1-4419-6108-2_12" TargetMode="External"/><Relationship Id="rId24" Type="http://schemas.openxmlformats.org/officeDocument/2006/relationships/hyperlink" Target="https://doi.org/10.1007/978-3-031-50192-0_5" TargetMode="External"/><Relationship Id="rId5" Type="http://schemas.openxmlformats.org/officeDocument/2006/relationships/footnotes" Target="footnotes.xml"/><Relationship Id="rId15" Type="http://schemas.openxmlformats.org/officeDocument/2006/relationships/hyperlink" Target="https://doi.org/10.1016/j.eswa.2022.119456" TargetMode="External"/><Relationship Id="rId23" Type="http://schemas.openxmlformats.org/officeDocument/2006/relationships/hyperlink" Target="https://doi.org/10.20525/ijrbs.v13i4.3374" TargetMode="External"/><Relationship Id="rId28" Type="http://schemas.openxmlformats.org/officeDocument/2006/relationships/header" Target="header1.xml"/><Relationship Id="rId10" Type="http://schemas.openxmlformats.org/officeDocument/2006/relationships/hyperlink" Target="https://aisel.aisnet.org/amcis2019/adoption_diffusion_IT/adoption_diffusion_IT/2/" TargetMode="External"/><Relationship Id="rId19" Type="http://schemas.openxmlformats.org/officeDocument/2006/relationships/hyperlink" Target="https://doi.org/10.1016/j.im.2018.09.00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isel.aisnet.org/pacis2018/37" TargetMode="External"/><Relationship Id="rId14" Type="http://schemas.openxmlformats.org/officeDocument/2006/relationships/hyperlink" Target="https://doi.org/10.1177/09726225221124035" TargetMode="External"/><Relationship Id="rId22" Type="http://schemas.openxmlformats.org/officeDocument/2006/relationships/hyperlink" Target="https://doi.org/10.1016/j.procir.2022.05.119" TargetMode="External"/><Relationship Id="rId27" Type="http://schemas.openxmlformats.org/officeDocument/2006/relationships/hyperlink" Target="https://doi.org/10.1177/09722629241231458"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12</Pages>
  <Words>5474</Words>
  <Characters>31203</Characters>
  <Application>Microsoft Office Word</Application>
  <DocSecurity>0</DocSecurity>
  <Lines>260</Lines>
  <Paragraphs>73</Paragraphs>
  <ScaleCrop>false</ScaleCrop>
  <Company/>
  <LinksUpToDate>false</LinksUpToDate>
  <CharactersWithSpaces>36604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Subrahmaniam Krishnan-Harihara</cp:lastModifiedBy>
  <cp:revision>203</cp:revision>
  <dcterms:created xsi:type="dcterms:W3CDTF">2024-06-28T17:54:00Z</dcterms:created>
  <dcterms:modified xsi:type="dcterms:W3CDTF">2024-06-28T23:57:00Z</dcterms:modified>
</cp:coreProperties>
</file>