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Evolution of Consumer Behavior and </w:t>
      </w:r>
      <w:r>
        <w:rPr>
          <w:rFonts w:ascii="Times New Roman" w:cs="Times New Roman" w:hAnsi="Times New Roman"/>
          <w:b/>
          <w:sz w:val="24"/>
          <w:szCs w:val="24"/>
        </w:rPr>
        <w:t>Green</w:t>
      </w:r>
      <w:r>
        <w:rPr>
          <w:rFonts w:ascii="Times New Roman" w:cs="Times New Roman" w:hAnsi="Times New Roman"/>
          <w:b/>
          <w:sz w:val="24"/>
          <w:szCs w:val="24"/>
        </w:rPr>
        <w:t xml:space="preserve"> marketing</w:t>
      </w:r>
      <w:r>
        <w:rPr>
          <w:rFonts w:ascii="Times New Roman" w:cs="Times New Roman" w:hAnsi="Times New Roman"/>
          <w:b/>
          <w:sz w:val="24"/>
          <w:szCs w:val="24"/>
        </w:rPr>
        <w:t>:</w:t>
      </w:r>
      <w:r>
        <w:rPr>
          <w:rFonts w:ascii="Times New Roman" w:cs="Times New Roman" w:hAnsi="Times New Roman"/>
          <w:b/>
          <w:sz w:val="24"/>
          <w:szCs w:val="24"/>
        </w:rPr>
        <w:t xml:space="preserve"> Historical Perspectives and Theoretical Insights</w:t>
      </w: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r>
        <w:rPr>
          <w:rFonts w:ascii="Times New Roman" w:cs="Times New Roman" w:hAnsi="Times New Roman"/>
          <w:b/>
          <w:sz w:val="24"/>
          <w:szCs w:val="24"/>
          <w:u w:val="single"/>
          <w:lang w:val="en-US"/>
        </w:rPr>
        <w:t>Ntinopoulos Marios (University of Macedonia)</w:t>
      </w:r>
    </w:p>
    <w:p>
      <w:pPr>
        <w:pStyle w:val="style0"/>
        <w:spacing w:lineRule="auto" w:line="240"/>
        <w:jc w:val="center"/>
        <w:rPr>
          <w:rFonts w:ascii="Times New Roman" w:cs="Times New Roman" w:hAnsi="Times New Roman"/>
          <w:b/>
          <w:sz w:val="24"/>
          <w:szCs w:val="24"/>
          <w:u w:val="single"/>
        </w:rPr>
      </w:pPr>
      <w:r>
        <w:rPr>
          <w:rFonts w:ascii="Times New Roman" w:cs="Times New Roman" w:hAnsi="Times New Roman"/>
          <w:b/>
          <w:sz w:val="24"/>
          <w:szCs w:val="24"/>
          <w:u w:val="single"/>
          <w:lang w:val="en-US"/>
        </w:rPr>
        <w:t>Panopoulos Anastasios (University of Macedonia)</w:t>
      </w: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u w:val="single"/>
        </w:rPr>
      </w:pPr>
    </w:p>
    <w:p>
      <w:pPr>
        <w:pStyle w:val="style0"/>
        <w:spacing w:lineRule="auto" w:line="24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intersection of consumer behavior and green marketing in the hospitality sector represents a critical domain for understanding and addressing contemporary environmental challenges. This paper provides a comprehensive analysis of the historical evolution and theoretical underpinnings of consumer behavior and green marketing initiatives, with a specific focus on their application within the hospitality industry. Commencing with an overview of the global environmental landscape characterized by unsustainable consumption patterns and exacerbated by geopolitical events such as the Russia-Ukraine conflict, the paper underscores the imperative for sustainable practices and the adoption of green marketing strategies to mitigate environmental degradation. The introduction contextualizes the significance of recent geopolitical events in driving the transition towards renewable energy sources and underscores the evolving consumer preferences towards environmentally sustainable practices in the hospitality sector. It highlights the strategic imperative for businesses to align with these preferences through the adoption of green marketing strategies aimed at engaging environmentally conscious consumers. The methodology employed in this study involves a comprehensive qualitative approach, utilizing content analysis techniques to examine the extensive literature on consumer behavior and green marketing in the hospitality sector. By systematically reviewing peer-reviewed journal articles, academic texts, conference proceedings, and industry reports, relevant theoretical frameworks and empirical studies will be identified and synthesized to elucidate the complex relationship between consumer behavior and green marketing strategies.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Identifying research gaps, the paper explores the theoretical frameworks and models shaping consumer behavior and engagement, emphasizing the need for comprehensive integration and empirical validation within the hospitality context. Drawing from seminal theories such as the Theory of Environmental Marketing, Theory of Societal Marketing, Theory of Planned Behavior, and Theory of Corporate Social Responsibility, the paper elucidates their relevance in guiding businesses towards environmental stewardship and societal welfare. Moreover, the paper examines consumer behavior theories, including social exchange theory, theory of value co-creation, communication theory, community theory, and social identity theory, within the context of online brand communities and social media interactions. </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conclusion, the paper underscores the pivotal role of green marketing in shaping consumer behavior and engagement within the hospitality sector. By synthesizing theoretical frameworks with empirical evidence, this research contributes to a nuanced understanding of the complex dynamics underpinning consumer behavior and green marketing strategies. It offers actionable insights for marketers and industry professionals to promote sustainability and enhance consumer experiences in the hospitality sector, thus advancing the discourse on environmental responsibility and sustainable consumption practices.</w:t>
      </w:r>
    </w:p>
    <w:p>
      <w:pPr>
        <w:pStyle w:val="style0"/>
        <w:spacing w:lineRule="auto" w:line="240"/>
        <w:jc w:val="both"/>
        <w:rPr>
          <w:rFonts w:ascii="Times New Roman" w:cs="Times New Roman" w:hAnsi="Times New Roman"/>
          <w:sz w:val="24"/>
          <w:szCs w:val="24"/>
        </w:rPr>
      </w:pPr>
      <w:r>
        <w:rPr>
          <w:rFonts w:ascii="Times New Roman" w:cs="Times New Roman" w:hAnsi="Times New Roman"/>
          <w:i/>
          <w:sz w:val="24"/>
          <w:szCs w:val="24"/>
        </w:rPr>
        <w:t>Keywords:</w:t>
      </w:r>
      <w:r>
        <w:rPr>
          <w:rFonts w:ascii="Times New Roman" w:cs="Times New Roman" w:hAnsi="Times New Roman"/>
          <w:sz w:val="24"/>
          <w:szCs w:val="24"/>
        </w:rPr>
        <w:t xml:space="preserve"> Consumer behavior, Green marketing, Hospitality industry, Sustainability, Theoretical frameworks.</w:t>
      </w: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growth in the global population and a lack of awareness about the environment has led to unsustainable consumption patterns</w:t>
      </w:r>
      <w:r>
        <w:rPr>
          <w:rFonts w:ascii="Times New Roman" w:cs="Times New Roman" w:hAnsi="Times New Roman"/>
          <w:sz w:val="24"/>
          <w:szCs w:val="24"/>
        </w:rPr>
        <w:t xml:space="preserve"> (</w:t>
      </w:r>
      <w:r>
        <w:rPr>
          <w:rFonts w:ascii="Times New Roman" w:cs="Times New Roman" w:hAnsi="Times New Roman"/>
          <w:sz w:val="24"/>
          <w:szCs w:val="24"/>
        </w:rPr>
        <w:t>Skačkauskienė</w:t>
      </w:r>
      <w:r>
        <w:rPr>
          <w:rFonts w:ascii="Times New Roman" w:cs="Times New Roman" w:hAnsi="Times New Roman"/>
          <w:sz w:val="24"/>
          <w:szCs w:val="24"/>
        </w:rPr>
        <w:t xml:space="preserve"> &amp; </w:t>
      </w:r>
      <w:r>
        <w:rPr>
          <w:rFonts w:ascii="Times New Roman" w:cs="Times New Roman" w:hAnsi="Times New Roman"/>
          <w:sz w:val="24"/>
          <w:szCs w:val="24"/>
        </w:rPr>
        <w:t>Vilkaitė-Vaitonė</w:t>
      </w:r>
      <w:r>
        <w:rPr>
          <w:rFonts w:ascii="Times New Roman" w:cs="Times New Roman" w:hAnsi="Times New Roman"/>
          <w:sz w:val="24"/>
          <w:szCs w:val="24"/>
        </w:rPr>
        <w:t>, 2022)</w:t>
      </w:r>
      <w:r>
        <w:rPr>
          <w:rFonts w:ascii="Times New Roman" w:cs="Times New Roman" w:hAnsi="Times New Roman"/>
          <w:sz w:val="24"/>
          <w:szCs w:val="24"/>
        </w:rPr>
        <w:t>. This has resulted in significant environmental problems such as increased greenhouse gas emissions, pollution, global warming, and depletion of natural resources. The rapid worsening of these issues emphasizes the need for sustainability measures in production, consumption, and daily life</w:t>
      </w:r>
      <w:r>
        <w:rPr>
          <w:rFonts w:ascii="Times New Roman" w:cs="Times New Roman" w:hAnsi="Times New Roman"/>
          <w:sz w:val="24"/>
          <w:szCs w:val="24"/>
        </w:rPr>
        <w:t xml:space="preserve"> (Correia et al., 2023)</w:t>
      </w:r>
      <w:r>
        <w:rPr>
          <w:rFonts w:ascii="Times New Roman" w:cs="Times New Roman" w:hAnsi="Times New Roman"/>
          <w:sz w:val="24"/>
          <w:szCs w:val="24"/>
        </w:rPr>
        <w:t>. Consequently, there is a growing acknowledgment that companies aiming to gain a competitive advantage in the global marketplace need to prioritize sustainability</w:t>
      </w:r>
      <w:r>
        <w:rPr>
          <w:rFonts w:ascii="Times New Roman" w:cs="Times New Roman" w:hAnsi="Times New Roman"/>
          <w:sz w:val="24"/>
          <w:szCs w:val="24"/>
        </w:rPr>
        <w:t xml:space="preserve"> (White et al., 2019)</w:t>
      </w:r>
      <w:r>
        <w:rPr>
          <w:rFonts w:ascii="Times New Roman" w:cs="Times New Roman" w:hAnsi="Times New Roman"/>
          <w:sz w:val="24"/>
          <w:szCs w:val="24"/>
        </w:rPr>
        <w: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Recent geopolitical events, particularly Russia's invasion of Ukraine, have had widespread effects, causing energy prices to reach unprecedented levels. The consequences of the conflict, combined with sanctions against Russia as a major gas supplier to Europe, have led to a three to four-fold increase in energy </w:t>
      </w:r>
      <w:r>
        <w:rPr>
          <w:rFonts w:ascii="Times New Roman" w:cs="Times New Roman" w:hAnsi="Times New Roman"/>
          <w:sz w:val="24"/>
          <w:szCs w:val="24"/>
        </w:rPr>
        <w:t xml:space="preserve">prices (Mura et al., 2022). </w:t>
      </w:r>
      <w:r>
        <w:rPr>
          <w:rFonts w:ascii="Times New Roman" w:cs="Times New Roman" w:hAnsi="Times New Roman"/>
          <w:sz w:val="24"/>
          <w:szCs w:val="24"/>
        </w:rPr>
        <w:t>In response to these challenging circumstances, societies are compelled to explore alternative and environmentally friendly energy sources. The focus on developing and diversifying renewable energy sources has become a crucial aspect of Europe's strategic efforts to achieve sustainability and address the impacts of climate change in the foreseeable future</w:t>
      </w:r>
      <w:r>
        <w:rPr>
          <w:rFonts w:ascii="Times New Roman" w:cs="Times New Roman" w:hAnsi="Times New Roman"/>
          <w:sz w:val="24"/>
          <w:szCs w:val="24"/>
        </w:rPr>
        <w:t xml:space="preserve"> (Correia et al., 2023).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recent years, the global hospitality sector has undergone a notable transformation characterized by a discernible shift in consumer preferences towards environmentally sustainable practices and products</w:t>
      </w:r>
      <w:r>
        <w:rPr>
          <w:rFonts w:ascii="Times New Roman" w:cs="Times New Roman" w:hAnsi="Times New Roman"/>
          <w:sz w:val="24"/>
          <w:szCs w:val="24"/>
        </w:rPr>
        <w:t xml:space="preserve"> (Sharma, 2021)</w:t>
      </w:r>
      <w:r>
        <w:rPr>
          <w:rFonts w:ascii="Times New Roman" w:cs="Times New Roman" w:hAnsi="Times New Roman"/>
          <w:sz w:val="24"/>
          <w:szCs w:val="24"/>
        </w:rPr>
        <w:t>. This transition can be attributed to heightened concerns regarding climate change and environmental degradation, compelling consumers to increasingly prioritize eco-friendly options when making decisions related to hospitality services</w:t>
      </w:r>
      <w:r>
        <w:rPr>
          <w:rFonts w:ascii="Times New Roman" w:cs="Times New Roman" w:hAnsi="Times New Roman"/>
          <w:sz w:val="24"/>
          <w:szCs w:val="24"/>
        </w:rPr>
        <w:t xml:space="preserve"> (</w:t>
      </w:r>
      <w:r>
        <w:rPr>
          <w:rFonts w:ascii="Times New Roman" w:cs="Times New Roman" w:hAnsi="Times New Roman"/>
          <w:sz w:val="24"/>
          <w:szCs w:val="24"/>
        </w:rPr>
        <w:t>Haq</w:t>
      </w:r>
      <w:r>
        <w:rPr>
          <w:rFonts w:ascii="Times New Roman" w:cs="Times New Roman" w:hAnsi="Times New Roman"/>
          <w:sz w:val="24"/>
          <w:szCs w:val="24"/>
        </w:rPr>
        <w:t xml:space="preserve"> et al., 2021)</w:t>
      </w:r>
      <w:r>
        <w:rPr>
          <w:rFonts w:ascii="Times New Roman" w:cs="Times New Roman" w:hAnsi="Times New Roman"/>
          <w:sz w:val="24"/>
          <w:szCs w:val="24"/>
        </w:rPr>
        <w:t>. Consequently, enterprises operating within the hospitality industry have recognized the necessity to embrace and advocate for green marketing strategies. This strategic alignment serves as a mechanism for these entities to resonate with the evolving values of their environmentally conscious clientele</w:t>
      </w:r>
      <w:r>
        <w:rPr>
          <w:rFonts w:ascii="Times New Roman" w:cs="Times New Roman" w:hAnsi="Times New Roman"/>
          <w:sz w:val="24"/>
          <w:szCs w:val="24"/>
        </w:rPr>
        <w:t xml:space="preserve"> (Deshmukh &amp; Tare, 2022).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Green marketing solutions have established a global framework to promote sustainable consumption. Despite the longstanding presence of the green marketing concept, there is currently resurgence in its popularity within the business domain</w:t>
      </w:r>
      <w:r>
        <w:rPr>
          <w:rFonts w:ascii="Times New Roman" w:cs="Times New Roman" w:hAnsi="Times New Roman"/>
          <w:sz w:val="24"/>
          <w:szCs w:val="24"/>
        </w:rPr>
        <w:t xml:space="preserve"> (</w:t>
      </w:r>
      <w:r>
        <w:rPr>
          <w:rFonts w:ascii="Times New Roman" w:cs="Times New Roman" w:hAnsi="Times New Roman"/>
          <w:sz w:val="24"/>
          <w:szCs w:val="24"/>
        </w:rPr>
        <w:t>Kalafatis</w:t>
      </w:r>
      <w:r>
        <w:rPr>
          <w:rFonts w:ascii="Times New Roman" w:cs="Times New Roman" w:hAnsi="Times New Roman"/>
          <w:sz w:val="24"/>
          <w:szCs w:val="24"/>
        </w:rPr>
        <w:t xml:space="preserve"> et al., 1999)</w:t>
      </w:r>
      <w:r>
        <w:rPr>
          <w:rFonts w:ascii="Times New Roman" w:cs="Times New Roman" w:hAnsi="Times New Roman"/>
          <w:sz w:val="24"/>
          <w:szCs w:val="24"/>
        </w:rPr>
        <w:t>. As consumers' knowledge of renewable energy-related terms, such as renewable power, carbon footprint, and carbon offset, expands both in scope and depth, businesses face increased pressure and opportunities to implement green marketing strategies</w:t>
      </w:r>
      <w:r>
        <w:rPr>
          <w:rFonts w:ascii="Times New Roman" w:cs="Times New Roman" w:hAnsi="Times New Roman"/>
          <w:sz w:val="24"/>
          <w:szCs w:val="24"/>
        </w:rPr>
        <w:t xml:space="preserve"> (</w:t>
      </w:r>
      <w:r>
        <w:rPr>
          <w:rFonts w:ascii="Times New Roman" w:cs="Times New Roman" w:hAnsi="Times New Roman"/>
          <w:sz w:val="24"/>
          <w:szCs w:val="24"/>
        </w:rPr>
        <w:t>Podvorica</w:t>
      </w:r>
      <w:r>
        <w:rPr>
          <w:rFonts w:ascii="Times New Roman" w:cs="Times New Roman" w:hAnsi="Times New Roman"/>
          <w:sz w:val="24"/>
          <w:szCs w:val="24"/>
        </w:rPr>
        <w:t xml:space="preserve"> &amp; </w:t>
      </w:r>
      <w:r>
        <w:rPr>
          <w:rFonts w:ascii="Times New Roman" w:cs="Times New Roman" w:hAnsi="Times New Roman"/>
          <w:sz w:val="24"/>
          <w:szCs w:val="24"/>
        </w:rPr>
        <w:t>Ukaj</w:t>
      </w:r>
      <w:r>
        <w:rPr>
          <w:rFonts w:ascii="Times New Roman" w:cs="Times New Roman" w:hAnsi="Times New Roman"/>
          <w:sz w:val="24"/>
          <w:szCs w:val="24"/>
        </w:rPr>
        <w:t>, 2019)</w:t>
      </w:r>
      <w:r>
        <w:rPr>
          <w:rFonts w:ascii="Times New Roman" w:cs="Times New Roman" w:hAnsi="Times New Roman"/>
          <w:sz w:val="24"/>
          <w:szCs w:val="24"/>
        </w:rPr>
        <w:t>. Organizations actively engage with the challenges posed by green marketing to address the escalating demand for sustainable consumption from their clientele. In the contemporary marketplace, green marketing has garnered substantial significance. This marketing approach not only confers a competitive advantage but also enhances organizational performance and elevates customer satisfaction. Notably, green marketing solutions contribute to improved customer behavior indicators, specifically in terms of purchase intention and energy consumption</w:t>
      </w:r>
      <w:r>
        <w:rPr>
          <w:rFonts w:ascii="Times New Roman" w:cs="Times New Roman" w:hAnsi="Times New Roman"/>
          <w:sz w:val="24"/>
          <w:szCs w:val="24"/>
        </w:rPr>
        <w:t xml:space="preserve"> (Li et al., 2019)</w:t>
      </w:r>
      <w:r>
        <w:rPr>
          <w:rFonts w:ascii="Times New Roman" w:cs="Times New Roman" w:hAnsi="Times New Roman"/>
          <w:sz w:val="24"/>
          <w:szCs w:val="24"/>
        </w:rPr>
        <w:t>.</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rPr>
        <w:t>Research gap</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Despite the extensive theoretical frameworks and models available in the literature regarding consumer behavior and engagement, there remains a notable gap in the synthesis and empirical </w:t>
      </w:r>
      <w:r>
        <w:rPr>
          <w:rFonts w:ascii="Times New Roman" w:cs="Times New Roman" w:hAnsi="Times New Roman"/>
          <w:sz w:val="24"/>
          <w:szCs w:val="24"/>
        </w:rPr>
        <w:t>validation of these theories within the context of contemporary marketing practices, particularly in the hospitality sector. While individual theories such as the Elaboration Likelihood Model (ELM), Cognitive Dissonance Theory, Flow Theory, Narrative Transportation Theory, Social Identity Theory, Expectancy-Value Theory, and Expectancy Theory of Motivation have been extensively discussed and applied in various studies, there is a lack of comprehensive integration and empirical examination of these theories within a unified framework. Moreover, the existing literature predominantly focuses on applying these theories in isolation or within specific contexts, overlooking the potential synergies and interdependencies among them. Consequently, there is a need to explore how these diverse theoretical perspectives interact and influence consumer behavior and engagement within the hospitality sector. By bridging these theoretical gaps and integrating multiple perspectives, researchers can provide a more nuanced understanding of the complex dynamics underlying consumer decision-making processes in the context of hospitality services.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Furthermore, while some studies have examined the application of these theories in traditional marketing contexts, such as product purchasing and brand loyalty, there is a paucity of research investigating their relevance and efficacy in the realm of green marketing initiatives within the hospitality sector. Given the growing importance of sustainability and environmental consciousness in consumer decision-making, there is a pressing need to explore how theories of consumer behavior and engagement can inform and enhance green marketing strategies in hospitality settings. Therefore, this study aims to address these research gaps by synthesizing existing theoretical frameworks, empirically validating their applicability in the hospitality industry, and exploring their implications for green marketing initiatives. By elucidating the interconnectedness of these theories and their relevance to contemporary marketing practices, this research seeks to contribute to the advancement of knowledge in consumer behavior and engagement, while also providing actionable insights for marketers striving to promote sustainability and enhance consumer experiences in the hospitality sector.</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Purpose of study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The principal objective of this study is to explicate the theoretical foundations of consumer behavior and engagement in the context of green marketing strategies within the hospitality sector. Drawing upon the extensive theoretical framework delineated in existing literature, the research endeavors to address a crucial void identified by the SV Comment, emphasizing the necessity for a thorough comprehension of consumer behavior theories and their pragmatic ramifications. Through the synthesis and integration of diverse theoretical perspectives, encompassing the Elaboration Likelihood Model (ELM), Cognitive Dissonance Theory, Flow Theory, Narrative Transportation Theory, Social Identity Theory, Expectancy-Value Theory, and Expectancy Theory of Motivation, this investigation aims to present a comprehensive framework for the analysis and interpretation of consumer behavior in green marketing contexts. Additionally, the study strives to empirically verify the applicability of these theoretical frameworks within the hospitality industry, with a specific focus on green marketing endeavors. Through meticulous empirical scrutiny and data-driven insights, the research endeavors to uncover the intricate interconnections among various theoretical constructs and their impact on consumer decision-making processes within the hospitality sector. Furthermore, by concentrating on green marketing strategies, the research seeks to contribute to the burgeoning domain of sustainable tourism and hospitality by furnishing practical recommendations for marketers and </w:t>
      </w:r>
      <w:r>
        <w:rPr>
          <w:rFonts w:ascii="Times New Roman" w:cs="Times New Roman" w:hAnsi="Times New Roman"/>
          <w:sz w:val="24"/>
          <w:szCs w:val="24"/>
        </w:rPr>
        <w:t>industry professionals to foster environmentally conscientious practices while concurrently enhancing consumer engagement and contentment.</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rPr>
        <w:t>Methodology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This study adopts a comprehensive methodology to examine the complex interplay between consumer behavior and green marketing within the hospitality sector. The methodology incorporates qualitative technique to facilitate an in-depth exploration of theoretical frameworks and concepts relevant to the research objectives outlined in the paper. The qualitative aspect of the research involves a rigorous content analysis of existing literature pertaining to consumer behavior, green marketing, and their application within the hospitality industry. A systematic review of peer-reviewed journal articles, academic books, conference proceedings, and industry reports will be conducted to identify pertinent theoretical frameworks, conceptual models, and empirical studies. Through this content analysis, the study aims to synthesize key insights, identify emerging trends, and address research gaps in consumer behavior and green marketing practices specific to the hospitality sector.</w:t>
      </w:r>
    </w:p>
    <w:p>
      <w:pPr>
        <w:pStyle w:val="style0"/>
        <w:spacing w:lineRule="auto" w:line="240"/>
        <w:jc w:val="center"/>
        <w:rPr>
          <w:rFonts w:ascii="Times New Roman" w:cs="Times New Roman" w:hAnsi="Times New Roman"/>
          <w:b/>
          <w:sz w:val="24"/>
          <w:szCs w:val="24"/>
        </w:rPr>
      </w:pPr>
      <w:r>
        <w:rPr>
          <w:rFonts w:ascii="Times New Roman" w:cs="Times New Roman" w:hAnsi="Times New Roman"/>
          <w:b/>
          <w:sz w:val="24"/>
          <w:szCs w:val="24"/>
        </w:rPr>
        <w:t>Literature Review</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The present </w:t>
      </w:r>
      <w:r>
        <w:rPr>
          <w:rFonts w:ascii="Times New Roman" w:cs="Times New Roman" w:hAnsi="Times New Roman"/>
          <w:sz w:val="24"/>
          <w:szCs w:val="24"/>
        </w:rPr>
        <w:t>theoretical</w:t>
      </w:r>
      <w:r>
        <w:rPr>
          <w:rFonts w:ascii="Times New Roman" w:cs="Times New Roman" w:hAnsi="Times New Roman"/>
          <w:sz w:val="24"/>
          <w:szCs w:val="24"/>
        </w:rPr>
        <w:t xml:space="preserve"> literature review seeks to provide a comprehensive analysis of the existing body of knowledge at the intersection of green marketing initiatives and consumer behavior within the hospitality sector. Through the meticulous synthesis of pertinent studies, this paper aims to elucidate discernible patterns, identify research gaps, and delineate prevailing trends in the research landscape. By doing so, this inquiry endeavors to offer understanding of the intricate dynamics that underlie the influence of green marketing practices on consumer choices in the specific context of hospitality services.</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rPr>
        <w:t>Green marketing</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concept of green marketing has evolved significantly over the years, gaining renewed attention in the contemporary business landscape. The growing global awareness of environmental issues, coupled with increasing consumer consciousness, has propelled green marketing into a pivotal role within the broader marketing domain</w:t>
      </w:r>
      <w:r>
        <w:rPr>
          <w:rFonts w:ascii="Times New Roman" w:cs="Times New Roman" w:hAnsi="Times New Roman"/>
          <w:sz w:val="24"/>
          <w:szCs w:val="24"/>
        </w:rPr>
        <w:t xml:space="preserve"> (Shaukat &amp; Wang, 2022)</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Green marketing, within an academic context, refers to a strategic approach adopted by businesses and organizations that emphasizes the incorporation of environmentally sustainable practices and the promotion of products and services with reduced environmental impact. It involves the integration of ecological considerations into various facets of marketing, ranging from product design and production processes to communication strategies</w:t>
      </w:r>
      <w:r>
        <w:rPr>
          <w:rFonts w:ascii="Times New Roman" w:cs="Times New Roman" w:hAnsi="Times New Roman"/>
          <w:sz w:val="24"/>
          <w:szCs w:val="24"/>
        </w:rPr>
        <w:t xml:space="preserve"> (</w:t>
      </w:r>
      <w:r>
        <w:rPr>
          <w:rFonts w:ascii="Times New Roman" w:cs="Times New Roman" w:hAnsi="Times New Roman"/>
          <w:sz w:val="24"/>
          <w:szCs w:val="24"/>
        </w:rPr>
        <w:t>Caiado</w:t>
      </w:r>
      <w:r>
        <w:rPr>
          <w:rFonts w:ascii="Times New Roman" w:cs="Times New Roman" w:hAnsi="Times New Roman"/>
          <w:sz w:val="24"/>
          <w:szCs w:val="24"/>
        </w:rPr>
        <w:t xml:space="preserve"> et al., 2019)</w:t>
      </w:r>
      <w:r>
        <w:rPr>
          <w:rFonts w:ascii="Times New Roman" w:cs="Times New Roman" w:hAnsi="Times New Roman"/>
          <w:sz w:val="24"/>
          <w:szCs w:val="24"/>
        </w:rPr>
        <w:t>. Green marketing aims to align organizational objectives with environmental stewardship, responding to heightened consumer awareness of environmental issues and fostering a positive relationship between businesses and environmentally conscious consumers</w:t>
      </w:r>
      <w:r>
        <w:rPr>
          <w:rFonts w:ascii="Times New Roman" w:cs="Times New Roman" w:hAnsi="Times New Roman"/>
          <w:sz w:val="24"/>
          <w:szCs w:val="24"/>
        </w:rPr>
        <w:t xml:space="preserve"> (Albertini, 2013)</w:t>
      </w:r>
      <w:r>
        <w:rPr>
          <w:rFonts w:ascii="Times New Roman" w:cs="Times New Roman" w:hAnsi="Times New Roman"/>
          <w:sz w:val="24"/>
          <w:szCs w:val="24"/>
        </w:rPr>
        <w:t>. This approach encompasses the promotion of eco-friendly attributes, transparent communication of sustainability efforts, and the pursuit of a competitive advantage through a commitment to environmental responsibility within the broader framework of marketing practices</w:t>
      </w:r>
      <w:r>
        <w:rPr>
          <w:rFonts w:ascii="Times New Roman" w:cs="Times New Roman" w:hAnsi="Times New Roman"/>
          <w:sz w:val="24"/>
          <w:szCs w:val="24"/>
        </w:rPr>
        <w:t xml:space="preserve"> (Ali et al., 2018)</w:t>
      </w:r>
      <w:r>
        <w:rPr>
          <w:rFonts w:ascii="Times New Roman" w:cs="Times New Roman" w:hAnsi="Times New Roman"/>
          <w:sz w:val="24"/>
          <w:szCs w:val="24"/>
        </w:rPr>
        <w:t>.</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Historical Context: Evolution of Green marketing</w:t>
      </w:r>
    </w:p>
    <w:p>
      <w:pPr>
        <w:pStyle w:val="style0"/>
        <w:spacing w:lineRule="auto" w:line="240"/>
        <w:jc w:val="both"/>
        <w:rPr>
          <w:rFonts w:ascii="Times New Roman" w:cs="Times New Roman" w:hAnsi="Times New Roman"/>
          <w:i/>
          <w:sz w:val="24"/>
          <w:szCs w:val="24"/>
        </w:rPr>
      </w:pPr>
      <w:r>
        <w:rPr>
          <w:rFonts w:ascii="Times New Roman" w:cs="Times New Roman" w:hAnsi="Times New Roman"/>
          <w:i/>
          <w:sz w:val="24"/>
          <w:szCs w:val="24"/>
        </w:rPr>
        <w:t>Late 1970s and early 1980s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response to mounting environmental concerns, governments globally implemented stringent environmental regulations during the 1970s, addressing issues like pollution, waste disposal, and hazardous substance usage (Chamorro et al., 2007). Simultaneously, consumer sentiments underwent a transformation, with environmental advocacy groups gaining prominence and influencing public opinion. This shift in consumer mindset led to an increased preference for products with eco-friendly attributes (Chang, 2011). The late 1970s and early 1980s witnessed the advent of eco-labeling initiatives, such as the recycling symbol and energy efficiency certifications. These initiatives empowered consumers to make informed and environmentally conscious choices (Chen et al., 2014). This early phase of green marketing saw businesses positioning their products as environmentally responsible choices, emphasizing attributes like recyclability and reduced environmental impact (Crittenden et al., 2010).</w:t>
      </w:r>
    </w:p>
    <w:p>
      <w:pPr>
        <w:pStyle w:val="style0"/>
        <w:spacing w:lineRule="auto" w:line="240"/>
        <w:jc w:val="both"/>
        <w:rPr>
          <w:rFonts w:ascii="Times New Roman" w:cs="Times New Roman" w:hAnsi="Times New Roman"/>
          <w:i/>
          <w:sz w:val="24"/>
          <w:szCs w:val="24"/>
        </w:rPr>
      </w:pPr>
      <w:r>
        <w:rPr>
          <w:rFonts w:ascii="Times New Roman" w:cs="Times New Roman" w:hAnsi="Times New Roman"/>
          <w:i/>
          <w:sz w:val="24"/>
          <w:szCs w:val="24"/>
        </w:rPr>
        <w:t>Origins in late 20</w:t>
      </w:r>
      <w:r>
        <w:rPr>
          <w:rFonts w:ascii="Times New Roman" w:cs="Times New Roman" w:hAnsi="Times New Roman"/>
          <w:i/>
          <w:sz w:val="24"/>
          <w:szCs w:val="24"/>
          <w:vertAlign w:val="superscript"/>
        </w:rPr>
        <w:t>th</w:t>
      </w:r>
      <w:r>
        <w:rPr>
          <w:rFonts w:ascii="Times New Roman" w:cs="Times New Roman" w:hAnsi="Times New Roman"/>
          <w:i/>
          <w:sz w:val="24"/>
          <w:szCs w:val="24"/>
        </w:rPr>
        <w:t xml:space="preserve"> century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origins of green marketing can be traced back to the late 20th century, aligning with a surge in environmental awareness and activism. Emerging from the broader environmental movement, which championed sustainable practices and the preservation of natural resources, green marketing has undergone a captivating evolution influenced by pivotal events and shifting consumer expectations. The 1960s and 1970s stand out as a crucial turning point, marked by seminal events such as the publication of Rachel Carson's "Silent Spring" in 1962 and the inaugural Earth Day in 1970 (Burke, 1984). These milestones significantly heightened public consciousness about environmental issues, prompting increased scrutiny of industrial practices.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However, consumer expectations evolved over subsequent decades, ushering in a more sophisticated era of green marketing. As we delve into the 21st century, green marketing strategies have become intricately woven into corporate sustainability initiatives. Consumers no longer merely seek eco-friendly products; they demand transparency, authenticity, and a holistic commitment to environmental responsibility (Chung, 2019). This evolution reflects the dynamic interplay between regulatory developments, consumer preferences, and businesses' responses. It culminates in the contemporary landscape of green marketing as a multifaceted strategy that integrates environmental responsibility into the corporate ethos. By tracing this evolutionary trajectory, we gain valuable insights into the transformative journey of green marketing from its nascent stages to its present-day complexities.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Conclusion: Green marketing’s historical trajectory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summary, the historical trajectory of green marketing unfolds as a dynamic progression shaped by key epochs. The late 1970s and early 1980s marked pivotal regulatory and consumer sentiment shifts. Governments globally enacted stringent environmental regulations, addressing pollution and hazardous substance issues, while consumer preferences shifted towards eco-friendly products.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Rooted in the late 20th century's broader environmental movement, particularly notable in the 1960s and 1970s, green marketing responded to heightened public awareness. The era witnessed the advent of eco-labeling initiatives, such as recycling symbols, reflecting a nascent stage of environmentally conscious consumer choices. As we enter the 21st century, green marketing has evolved into a multifaceted strategy integrated with corporate sustainability. Contemporary consumers demand transparency, authenticity, and a holistic commitment to environmental </w:t>
      </w:r>
      <w:r>
        <w:rPr>
          <w:rFonts w:ascii="Times New Roman" w:cs="Times New Roman" w:hAnsi="Times New Roman"/>
          <w:sz w:val="24"/>
          <w:szCs w:val="24"/>
        </w:rPr>
        <w:t>responsibility. This evolution underscores the dynamic interplay between regulatory advancements, changing consumer preferences, and adaptive corporate responses, offering insights into the complex journey of green marketing.</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Theories of Green marketing</w:t>
      </w:r>
    </w:p>
    <w:p>
      <w:pPr>
        <w:pStyle w:val="style0"/>
        <w:keepNext/>
        <w:spacing w:after="0" w:lineRule="auto" w:line="240"/>
        <w:jc w:val="both"/>
        <w:rPr>
          <w:rFonts w:ascii="Times New Roman" w:cs="Times New Roman" w:eastAsia="Calibri" w:hAnsi="Times New Roman"/>
          <w:i/>
          <w:iCs/>
          <w:sz w:val="24"/>
          <w:szCs w:val="24"/>
          <w:lang w:val="en-AU"/>
        </w:rPr>
      </w:pPr>
      <w:r>
        <w:rPr>
          <w:rFonts w:ascii="Times New Roman" w:cs="Times New Roman" w:eastAsia="Calibri" w:hAnsi="Times New Roman"/>
          <w:b/>
          <w:i/>
          <w:iCs/>
          <w:sz w:val="24"/>
          <w:szCs w:val="24"/>
          <w:lang w:val="en-AU"/>
        </w:rPr>
        <w:t xml:space="preserve">                           Table: </w:t>
      </w:r>
      <w:r>
        <w:rPr>
          <w:rFonts w:ascii="Times New Roman" w:cs="Times New Roman" w:eastAsia="Calibri" w:hAnsi="Times New Roman"/>
          <w:i/>
          <w:iCs/>
          <w:sz w:val="24"/>
          <w:szCs w:val="24"/>
          <w:lang w:val="en-AU"/>
        </w:rPr>
        <w:t>Theories of Green marketing</w:t>
      </w:r>
    </w:p>
    <w:p>
      <w:pPr>
        <w:pStyle w:val="style0"/>
        <w:keepNext/>
        <w:spacing w:after="0" w:lineRule="auto" w:line="240"/>
        <w:jc w:val="both"/>
        <w:rPr>
          <w:rFonts w:ascii="Times New Roman" w:cs="Times New Roman" w:eastAsia="Calibri" w:hAnsi="Times New Roman"/>
          <w:b/>
          <w:i/>
          <w:iCs/>
          <w:sz w:val="24"/>
          <w:szCs w:val="24"/>
          <w:lang w:val="en-AU"/>
        </w:rPr>
      </w:pPr>
    </w:p>
    <w:tbl>
      <w:tblPr>
        <w:tblStyle w:val="style4097"/>
        <w:tblpPr w:leftFromText="180" w:rightFromText="180" w:topFromText="0" w:bottomFromText="0" w:vertAnchor="text" w:tblpXSpec="center" w:tblpY="1"/>
        <w:tblOverlap w:val="never"/>
        <w:tblW w:w="2525" w:type="pct"/>
        <w:tblLook w:val="04A0" w:firstRow="1" w:lastRow="0" w:firstColumn="1" w:lastColumn="0" w:noHBand="0" w:noVBand="1"/>
      </w:tblPr>
      <w:tblGrid>
        <w:gridCol w:w="2364"/>
        <w:gridCol w:w="2363"/>
      </w:tblGrid>
      <w:tr>
        <w:trPr>
          <w:trHeight w:val="200" w:hRule="atLeast"/>
        </w:trPr>
        <w:tc>
          <w:tcPr>
            <w:tcW w:w="2501" w:type="pct"/>
            <w:tcBorders/>
            <w:shd w:val="clear" w:color="auto" w:fill="auto"/>
          </w:tcPr>
          <w:p>
            <w:pPr>
              <w:pStyle w:val="style0"/>
              <w:tabs>
                <w:tab w:val="left" w:leader="none" w:pos="720"/>
                <w:tab w:val="center" w:leader="none" w:pos="1089"/>
              </w:tabs>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ab/>
            </w:r>
            <w:r>
              <w:rPr>
                <w:rFonts w:ascii="Times New Roman" w:cs="Times New Roman" w:eastAsia="Calibri" w:hAnsi="Times New Roman"/>
                <w:color w:val="000000"/>
                <w:sz w:val="24"/>
                <w:szCs w:val="24"/>
              </w:rPr>
              <w:tab/>
            </w:r>
            <w:r>
              <w:rPr>
                <w:rFonts w:ascii="Times New Roman" w:cs="Times New Roman" w:eastAsia="Calibri" w:hAnsi="Times New Roman"/>
                <w:color w:val="000000"/>
                <w:sz w:val="24"/>
                <w:szCs w:val="24"/>
              </w:rPr>
              <w:t>Model</w:t>
            </w:r>
          </w:p>
        </w:tc>
        <w:tc>
          <w:tcPr>
            <w:tcW w:w="2499"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Identified by</w:t>
            </w:r>
          </w:p>
        </w:tc>
      </w:tr>
      <w:tr>
        <w:tblPrEx/>
        <w:trPr>
          <w:trHeight w:val="1013" w:hRule="atLeast"/>
        </w:trPr>
        <w:tc>
          <w:tcPr>
            <w:tcW w:w="2501"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Theory of Environmental Marketing</w:t>
            </w:r>
          </w:p>
        </w:tc>
        <w:tc>
          <w:tcPr>
            <w:tcW w:w="2499"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American Marketing Association (1975)</w:t>
            </w:r>
          </w:p>
          <w:p>
            <w:pPr>
              <w:pStyle w:val="style0"/>
              <w:jc w:val="center"/>
              <w:rPr>
                <w:rFonts w:ascii="Times New Roman" w:cs="Times New Roman" w:eastAsia="Calibri" w:hAnsi="Times New Roman"/>
                <w:color w:val="000000"/>
                <w:sz w:val="24"/>
                <w:szCs w:val="24"/>
              </w:rPr>
            </w:pPr>
          </w:p>
          <w:p>
            <w:pPr>
              <w:pStyle w:val="style0"/>
              <w:jc w:val="center"/>
              <w:rPr>
                <w:rFonts w:ascii="Times New Roman" w:cs="Times New Roman" w:eastAsia="Calibri" w:hAnsi="Times New Roman"/>
                <w:color w:val="000000"/>
                <w:sz w:val="24"/>
                <w:szCs w:val="24"/>
              </w:rPr>
            </w:pPr>
          </w:p>
          <w:p>
            <w:pPr>
              <w:pStyle w:val="style0"/>
              <w:jc w:val="center"/>
              <w:rPr>
                <w:rFonts w:ascii="Times New Roman" w:cs="Times New Roman" w:eastAsia="Calibri" w:hAnsi="Times New Roman"/>
                <w:color w:val="000000"/>
                <w:sz w:val="24"/>
                <w:szCs w:val="24"/>
              </w:rPr>
            </w:pPr>
          </w:p>
        </w:tc>
      </w:tr>
      <w:tr>
        <w:tblPrEx/>
        <w:trPr>
          <w:trHeight w:val="1027" w:hRule="atLeast"/>
        </w:trPr>
        <w:tc>
          <w:tcPr>
            <w:tcW w:w="2501"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Theory of Societal Marketing</w:t>
            </w:r>
          </w:p>
        </w:tc>
        <w:tc>
          <w:tcPr>
            <w:tcW w:w="2499"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Philip Kotler and Gerald </w:t>
            </w:r>
            <w:r>
              <w:rPr>
                <w:rFonts w:ascii="Times New Roman" w:cs="Times New Roman" w:eastAsia="Calibri" w:hAnsi="Times New Roman"/>
                <w:color w:val="000000"/>
                <w:sz w:val="24"/>
                <w:szCs w:val="24"/>
              </w:rPr>
              <w:t>Zaltman</w:t>
            </w:r>
            <w:r>
              <w:rPr>
                <w:rFonts w:ascii="Times New Roman" w:cs="Times New Roman" w:eastAsia="Calibri" w:hAnsi="Times New Roman"/>
                <w:color w:val="000000"/>
                <w:sz w:val="24"/>
                <w:szCs w:val="24"/>
              </w:rPr>
              <w:t xml:space="preserve"> in the early 1970s</w:t>
            </w:r>
          </w:p>
          <w:p>
            <w:pPr>
              <w:pStyle w:val="style0"/>
              <w:jc w:val="center"/>
              <w:rPr>
                <w:rFonts w:ascii="Times New Roman" w:cs="Times New Roman" w:eastAsia="Calibri" w:hAnsi="Times New Roman"/>
                <w:color w:val="000000"/>
                <w:sz w:val="24"/>
                <w:szCs w:val="24"/>
              </w:rPr>
            </w:pPr>
          </w:p>
          <w:p>
            <w:pPr>
              <w:pStyle w:val="style0"/>
              <w:jc w:val="center"/>
              <w:rPr>
                <w:rFonts w:ascii="Times New Roman" w:cs="Times New Roman" w:eastAsia="Calibri" w:hAnsi="Times New Roman"/>
                <w:color w:val="000000"/>
                <w:sz w:val="24"/>
                <w:szCs w:val="24"/>
              </w:rPr>
            </w:pPr>
          </w:p>
          <w:p>
            <w:pPr>
              <w:pStyle w:val="style0"/>
              <w:jc w:val="center"/>
              <w:rPr>
                <w:rFonts w:ascii="Times New Roman" w:cs="Times New Roman" w:eastAsia="Calibri" w:hAnsi="Times New Roman"/>
                <w:color w:val="000000"/>
                <w:sz w:val="24"/>
                <w:szCs w:val="24"/>
              </w:rPr>
            </w:pPr>
          </w:p>
        </w:tc>
      </w:tr>
      <w:tr>
        <w:tblPrEx/>
        <w:trPr>
          <w:trHeight w:val="1310" w:hRule="atLeast"/>
        </w:trPr>
        <w:tc>
          <w:tcPr>
            <w:tcW w:w="2501" w:type="pct"/>
            <w:tcBorders/>
            <w:shd w:val="clear" w:color="auto" w:fill="auto"/>
          </w:tcPr>
          <w:p>
            <w:pPr>
              <w:pStyle w:val="style0"/>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Planned behavior theory</w:t>
            </w:r>
          </w:p>
        </w:tc>
        <w:tc>
          <w:tcPr>
            <w:tcW w:w="2499"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Icek</w:t>
            </w:r>
            <w:r>
              <w:rPr>
                <w:rFonts w:ascii="Times New Roman" w:cs="Times New Roman" w:eastAsia="Calibri" w:hAnsi="Times New Roman"/>
                <w:color w:val="000000"/>
                <w:sz w:val="24"/>
                <w:szCs w:val="24"/>
              </w:rPr>
              <w:t xml:space="preserve"> Ajzen in 1985</w:t>
            </w:r>
          </w:p>
        </w:tc>
      </w:tr>
      <w:tr>
        <w:tblPrEx/>
        <w:trPr>
          <w:trHeight w:val="413" w:hRule="atLeast"/>
        </w:trPr>
        <w:tc>
          <w:tcPr>
            <w:tcW w:w="2501"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Theory of CSR</w:t>
            </w:r>
          </w:p>
        </w:tc>
        <w:tc>
          <w:tcPr>
            <w:tcW w:w="2499"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Howard Bowen in the 1950s</w:t>
            </w:r>
          </w:p>
        </w:tc>
      </w:tr>
      <w:tr>
        <w:tblPrEx/>
        <w:trPr>
          <w:trHeight w:val="213" w:hRule="atLeast"/>
        </w:trPr>
        <w:tc>
          <w:tcPr>
            <w:tcW w:w="2501" w:type="pct"/>
            <w:tcBorders/>
            <w:shd w:val="clear" w:color="auto" w:fill="auto"/>
          </w:tcPr>
          <w:p>
            <w:pPr>
              <w:pStyle w:val="style0"/>
              <w:jc w:val="center"/>
              <w:rPr>
                <w:rFonts w:ascii="Times New Roman" w:cs="Times New Roman" w:eastAsia="Calibri" w:hAnsi="Times New Roman"/>
                <w:b w:val="false"/>
                <w:color w:val="000000"/>
                <w:sz w:val="24"/>
                <w:szCs w:val="24"/>
              </w:rPr>
            </w:pPr>
          </w:p>
        </w:tc>
        <w:tc>
          <w:tcPr>
            <w:tcW w:w="2499" w:type="pct"/>
            <w:tcBorders/>
            <w:shd w:val="clear" w:color="auto" w:fill="auto"/>
          </w:tcPr>
          <w:p>
            <w:pPr>
              <w:pStyle w:val="style0"/>
              <w:jc w:val="center"/>
              <w:rPr>
                <w:rFonts w:ascii="Times New Roman" w:cs="Times New Roman" w:eastAsia="Calibri" w:hAnsi="Times New Roman"/>
                <w:color w:val="000000"/>
                <w:sz w:val="24"/>
                <w:szCs w:val="24"/>
              </w:rPr>
            </w:pPr>
          </w:p>
        </w:tc>
      </w:tr>
    </w:tbl>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br w:clear="all"/>
      </w:r>
    </w:p>
    <w:p>
      <w:pPr>
        <w:pStyle w:val="style179"/>
        <w:numPr>
          <w:ilvl w:val="0"/>
          <w:numId w:val="1"/>
        </w:numPr>
        <w:spacing w:lineRule="auto" w:line="240"/>
        <w:jc w:val="both"/>
        <w:rPr>
          <w:rFonts w:ascii="Times New Roman" w:cs="Times New Roman" w:hAnsi="Times New Roman"/>
          <w:i/>
          <w:sz w:val="24"/>
          <w:szCs w:val="24"/>
        </w:rPr>
      </w:pPr>
      <w:r>
        <w:rPr>
          <w:rFonts w:ascii="Times New Roman" w:cs="Times New Roman" w:hAnsi="Times New Roman"/>
          <w:i/>
          <w:sz w:val="24"/>
          <w:szCs w:val="24"/>
        </w:rPr>
        <w:t xml:space="preserve">Theory of Environmental marketing </w:t>
      </w:r>
    </w:p>
    <w:p>
      <w:pPr>
        <w:pStyle w:val="style0"/>
        <w:spacing w:lineRule="auto" w:line="240"/>
        <w:ind w:left="360"/>
        <w:jc w:val="both"/>
        <w:rPr>
          <w:rFonts w:ascii="Times New Roman" w:cs="Times New Roman" w:hAnsi="Times New Roman"/>
          <w:sz w:val="24"/>
          <w:szCs w:val="24"/>
        </w:rPr>
      </w:pPr>
      <w:r>
        <w:rPr>
          <w:rFonts w:ascii="Times New Roman" w:cs="Times New Roman" w:hAnsi="Times New Roman"/>
          <w:sz w:val="24"/>
          <w:szCs w:val="24"/>
        </w:rPr>
        <w:t>It suggests that businesses should include environmental concerns in all aspects of their marketing activities. This means considering ecological principles in product design, manufacturing, packaging, distribution, and disposal. The theory has gained prominence due to the growing global focus on environmental sustainability. It argues that companies need to adopt eco-friendly practices and be mindful of their products' environmental impact. This shift reflects a broader societal move towards businesses taking responsibility for their environmental effects, aligning with concepts like corporate social responsibility (CSR) and societal marketing</w:t>
      </w:r>
      <w:r>
        <w:rPr>
          <w:rFonts w:ascii="Times New Roman" w:cs="Times New Roman" w:hAnsi="Times New Roman"/>
          <w:sz w:val="24"/>
          <w:szCs w:val="24"/>
        </w:rPr>
        <w:t xml:space="preserve"> (Groening et al., 2018)</w:t>
      </w:r>
      <w:r>
        <w:rPr>
          <w:rFonts w:ascii="Times New Roman" w:cs="Times New Roman" w:hAnsi="Times New Roman"/>
          <w:sz w:val="24"/>
          <w:szCs w:val="24"/>
        </w:rPr>
        <w:t>. The integration of the Theory of Environmental Marketing into academic discussions highlights the increasing importance of balancing business interests with environmental sustainability. This theory provides a practical framework for businesses to navigate the complexities of modern marketing while addressing environmental challenges. As consumers prioritize environmentally friendly choices, the theory offers guidance on how businesses can communicate their commitment to being environmentally responsible, building lasting relationships with eco-conscious consumers</w:t>
      </w:r>
      <w:r>
        <w:rPr>
          <w:rFonts w:ascii="Times New Roman" w:cs="Times New Roman" w:hAnsi="Times New Roman"/>
          <w:sz w:val="24"/>
          <w:szCs w:val="24"/>
        </w:rPr>
        <w:t xml:space="preserve"> (Bulsara et al., 2021)</w:t>
      </w:r>
      <w:r>
        <w:rPr>
          <w:rFonts w:ascii="Times New Roman" w:cs="Times New Roman" w:hAnsi="Times New Roman"/>
          <w:sz w:val="24"/>
          <w:szCs w:val="24"/>
        </w:rPr>
        <w:t>.</w:t>
      </w:r>
    </w:p>
    <w:p>
      <w:pPr>
        <w:pStyle w:val="style179"/>
        <w:numPr>
          <w:ilvl w:val="0"/>
          <w:numId w:val="1"/>
        </w:numPr>
        <w:spacing w:lineRule="auto" w:line="240"/>
        <w:jc w:val="both"/>
        <w:rPr>
          <w:rFonts w:ascii="Times New Roman" w:cs="Times New Roman" w:hAnsi="Times New Roman"/>
          <w:i/>
          <w:sz w:val="24"/>
          <w:szCs w:val="24"/>
        </w:rPr>
      </w:pPr>
      <w:r>
        <w:rPr>
          <w:rFonts w:ascii="Times New Roman" w:cs="Times New Roman" w:hAnsi="Times New Roman"/>
          <w:i/>
          <w:sz w:val="24"/>
          <w:szCs w:val="24"/>
        </w:rPr>
        <w:t xml:space="preserve">Theory of Societal marketing </w:t>
      </w:r>
    </w:p>
    <w:p>
      <w:pPr>
        <w:pStyle w:val="style0"/>
        <w:spacing w:lineRule="auto" w:line="240"/>
        <w:jc w:val="both"/>
        <w:rPr>
          <w:rFonts w:ascii="Times New Roman" w:cs="Times New Roman" w:hAnsi="Times New Roman"/>
          <w:i/>
          <w:sz w:val="24"/>
          <w:szCs w:val="24"/>
        </w:rPr>
      </w:pPr>
      <w:r>
        <w:rPr>
          <w:rFonts w:ascii="Times New Roman" w:cs="Times New Roman" w:hAnsi="Times New Roman"/>
          <w:sz w:val="24"/>
          <w:szCs w:val="24"/>
        </w:rPr>
        <w:t xml:space="preserve">The Theory of Societal Marketing, introduced by Philip Kotler and Gerald </w:t>
      </w:r>
      <w:r>
        <w:rPr>
          <w:rFonts w:ascii="Times New Roman" w:cs="Times New Roman" w:hAnsi="Times New Roman"/>
          <w:sz w:val="24"/>
          <w:szCs w:val="24"/>
        </w:rPr>
        <w:t>Zaltman</w:t>
      </w:r>
      <w:r>
        <w:rPr>
          <w:rFonts w:ascii="Times New Roman" w:cs="Times New Roman" w:hAnsi="Times New Roman"/>
          <w:sz w:val="24"/>
          <w:szCs w:val="24"/>
        </w:rPr>
        <w:t xml:space="preserve"> in the early 1970s, represents a paradigm shift within marketing discourse, urging businesses to transcend conventional profit-centric models</w:t>
      </w:r>
      <w:r>
        <w:rPr>
          <w:rFonts w:ascii="Times New Roman" w:cs="Times New Roman" w:hAnsi="Times New Roman"/>
          <w:sz w:val="24"/>
          <w:szCs w:val="24"/>
        </w:rPr>
        <w:t xml:space="preserve"> (Merskin, 2020)</w:t>
      </w:r>
      <w:r>
        <w:rPr>
          <w:rFonts w:ascii="Times New Roman" w:cs="Times New Roman" w:hAnsi="Times New Roman"/>
          <w:sz w:val="24"/>
          <w:szCs w:val="24"/>
        </w:rPr>
        <w:t>. This theory advocates for a holistic approach where organizations not only cater to consumer needs but also prioritize societal welfare</w:t>
      </w:r>
      <w:r>
        <w:rPr>
          <w:rFonts w:ascii="Times New Roman" w:cs="Times New Roman" w:hAnsi="Times New Roman"/>
          <w:sz w:val="24"/>
          <w:szCs w:val="24"/>
        </w:rPr>
        <w:t xml:space="preserve"> (Bhat et al., 2019)</w:t>
      </w:r>
      <w:r>
        <w:rPr>
          <w:rFonts w:ascii="Times New Roman" w:cs="Times New Roman" w:hAnsi="Times New Roman"/>
          <w:sz w:val="24"/>
          <w:szCs w:val="24"/>
        </w:rPr>
        <w:t>. Central to this concept is the recognition of a three-fold objective: aligning with consumer welfare, ensuring organizational profitability through ethical means, and actively contributing to broader societal well-being. In adhering to the Theory of Societal Marketing, businesses are encouraged to adopt a long-term perspective, considering the enduring impacts of their actions on both consumers and society</w:t>
      </w:r>
      <w:r>
        <w:rPr>
          <w:rFonts w:ascii="Times New Roman" w:cs="Times New Roman" w:hAnsi="Times New Roman"/>
          <w:sz w:val="24"/>
          <w:szCs w:val="24"/>
        </w:rPr>
        <w:t xml:space="preserve"> (</w:t>
      </w:r>
      <w:r>
        <w:rPr>
          <w:rFonts w:ascii="Times New Roman" w:cs="Times New Roman" w:hAnsi="Times New Roman"/>
          <w:sz w:val="24"/>
          <w:szCs w:val="24"/>
        </w:rPr>
        <w:t>Levit</w:t>
      </w:r>
      <w:r>
        <w:rPr>
          <w:rFonts w:ascii="Times New Roman" w:cs="Times New Roman" w:hAnsi="Times New Roman"/>
          <w:sz w:val="24"/>
          <w:szCs w:val="24"/>
        </w:rPr>
        <w:t xml:space="preserve"> &amp; </w:t>
      </w:r>
      <w:r>
        <w:rPr>
          <w:rFonts w:ascii="Times New Roman" w:cs="Times New Roman" w:hAnsi="Times New Roman"/>
          <w:sz w:val="24"/>
          <w:szCs w:val="24"/>
        </w:rPr>
        <w:t>Cismaru</w:t>
      </w:r>
      <w:r>
        <w:rPr>
          <w:rFonts w:ascii="Times New Roman" w:cs="Times New Roman" w:hAnsi="Times New Roman"/>
          <w:sz w:val="24"/>
          <w:szCs w:val="24"/>
        </w:rPr>
        <w:t>, 2020)</w:t>
      </w:r>
      <w:r>
        <w:rPr>
          <w:rFonts w:ascii="Times New Roman" w:cs="Times New Roman" w:hAnsi="Times New Roman"/>
          <w:sz w:val="24"/>
          <w:szCs w:val="24"/>
        </w:rPr>
        <w:t>. Ethical considerations form a foundational element, necessitating businesses to operate with integrity in their dealings. By embracing these principles, organizations can establish a sustainable and socially responsible approach to marketing, fostering consumer trust and contributing positively to the societal fabric in which they operate</w:t>
      </w:r>
      <w:r>
        <w:rPr>
          <w:rFonts w:ascii="Times New Roman" w:cs="Times New Roman" w:hAnsi="Times New Roman"/>
          <w:sz w:val="24"/>
          <w:szCs w:val="24"/>
        </w:rPr>
        <w:t xml:space="preserve"> (</w:t>
      </w:r>
      <w:r>
        <w:rPr>
          <w:rFonts w:ascii="Times New Roman" w:cs="Times New Roman" w:hAnsi="Times New Roman"/>
          <w:sz w:val="24"/>
          <w:szCs w:val="24"/>
        </w:rPr>
        <w:t>Levit</w:t>
      </w:r>
      <w:r>
        <w:rPr>
          <w:rFonts w:ascii="Times New Roman" w:cs="Times New Roman" w:hAnsi="Times New Roman"/>
          <w:sz w:val="24"/>
          <w:szCs w:val="24"/>
        </w:rPr>
        <w:t xml:space="preserve"> &amp; </w:t>
      </w:r>
      <w:r>
        <w:rPr>
          <w:rFonts w:ascii="Times New Roman" w:cs="Times New Roman" w:hAnsi="Times New Roman"/>
          <w:sz w:val="24"/>
          <w:szCs w:val="24"/>
        </w:rPr>
        <w:t>Cismaru</w:t>
      </w:r>
      <w:r>
        <w:rPr>
          <w:rFonts w:ascii="Times New Roman" w:cs="Times New Roman" w:hAnsi="Times New Roman"/>
          <w:sz w:val="24"/>
          <w:szCs w:val="24"/>
        </w:rPr>
        <w:t>, 2020)</w:t>
      </w:r>
      <w:r>
        <w:rPr>
          <w:rFonts w:ascii="Times New Roman" w:cs="Times New Roman" w:hAnsi="Times New Roman"/>
          <w:sz w:val="24"/>
          <w:szCs w:val="24"/>
        </w:rPr>
        <w:t>.</w:t>
      </w:r>
    </w:p>
    <w:p>
      <w:pPr>
        <w:pStyle w:val="style179"/>
        <w:numPr>
          <w:ilvl w:val="0"/>
          <w:numId w:val="1"/>
        </w:numPr>
        <w:spacing w:lineRule="auto" w:line="240"/>
        <w:jc w:val="both"/>
        <w:rPr>
          <w:rFonts w:ascii="Times New Roman" w:cs="Times New Roman" w:hAnsi="Times New Roman"/>
          <w:i/>
          <w:sz w:val="24"/>
          <w:szCs w:val="24"/>
        </w:rPr>
      </w:pPr>
      <w:r>
        <w:rPr>
          <w:rFonts w:ascii="Times New Roman" w:cs="Times New Roman" w:hAnsi="Times New Roman"/>
          <w:i/>
          <w:sz w:val="24"/>
          <w:szCs w:val="24"/>
        </w:rPr>
        <w:t>Theory of Planned behavior</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Theory of Planned Behavior (</w:t>
      </w:r>
      <w:r>
        <w:rPr>
          <w:rFonts w:ascii="Times New Roman" w:cs="Times New Roman" w:hAnsi="Times New Roman"/>
          <w:sz w:val="24"/>
          <w:szCs w:val="24"/>
        </w:rPr>
        <w:t>TPB</w:t>
      </w:r>
      <w:r>
        <w:rPr>
          <w:rFonts w:ascii="Times New Roman" w:cs="Times New Roman" w:hAnsi="Times New Roman"/>
          <w:sz w:val="24"/>
          <w:szCs w:val="24"/>
        </w:rPr>
        <w:t xml:space="preserve">), conceived by </w:t>
      </w:r>
      <w:r>
        <w:rPr>
          <w:rFonts w:ascii="Times New Roman" w:cs="Times New Roman" w:hAnsi="Times New Roman"/>
          <w:sz w:val="24"/>
          <w:szCs w:val="24"/>
        </w:rPr>
        <w:t>Icek</w:t>
      </w:r>
      <w:r>
        <w:rPr>
          <w:rFonts w:ascii="Times New Roman" w:cs="Times New Roman" w:hAnsi="Times New Roman"/>
          <w:sz w:val="24"/>
          <w:szCs w:val="24"/>
        </w:rPr>
        <w:t xml:space="preserve"> Ajzen in 1985, stands as a prominent psychological model elucidating human behavior and decision-making processes. An evolution of the Theory of Reasoned Action, TPB posits that behavioral intention is a pivotal precursor to actual behavior, with this intention being shaped by three fundamental determinants: attitudes, subjective norms, and perceived behavioral control</w:t>
      </w:r>
      <w:r>
        <w:rPr>
          <w:rFonts w:ascii="Times New Roman" w:cs="Times New Roman" w:hAnsi="Times New Roman"/>
          <w:sz w:val="24"/>
          <w:szCs w:val="24"/>
        </w:rPr>
        <w:t xml:space="preserve"> (</w:t>
      </w:r>
      <w:r>
        <w:rPr>
          <w:rFonts w:ascii="Times New Roman" w:cs="Times New Roman" w:hAnsi="Times New Roman"/>
          <w:sz w:val="24"/>
          <w:szCs w:val="24"/>
        </w:rPr>
        <w:t>Hauslbauer</w:t>
      </w:r>
      <w:r>
        <w:rPr>
          <w:rFonts w:ascii="Times New Roman" w:cs="Times New Roman" w:hAnsi="Times New Roman"/>
          <w:sz w:val="24"/>
          <w:szCs w:val="24"/>
        </w:rPr>
        <w:t xml:space="preserve"> et al., 2022)</w:t>
      </w:r>
      <w:r>
        <w:rPr>
          <w:rFonts w:ascii="Times New Roman" w:cs="Times New Roman" w:hAnsi="Times New Roman"/>
          <w:sz w:val="24"/>
          <w:szCs w:val="24"/>
        </w:rPr>
        <w:t>. Attitudes refer to individuals' evaluative judgments about the outcomes associated with a specific behavior. Subjective norms encompass the perceived social pressures exerted by significant others regarding the contemplated behavior. Perceived behavioral control pertains to individuals' assessments of their capacity to execute the behavior under consideration. The interplay of these factors collectively influences the formation of behavioral intention, thereby impacting subsequent behavioral enactment</w:t>
      </w:r>
      <w:r>
        <w:rPr>
          <w:rFonts w:ascii="Times New Roman" w:cs="Times New Roman" w:hAnsi="Times New Roman"/>
          <w:sz w:val="24"/>
          <w:szCs w:val="24"/>
        </w:rPr>
        <w:t xml:space="preserve"> (</w:t>
      </w:r>
      <w:r>
        <w:rPr>
          <w:rFonts w:ascii="Times New Roman" w:cs="Times New Roman" w:hAnsi="Times New Roman"/>
          <w:sz w:val="24"/>
          <w:szCs w:val="24"/>
        </w:rPr>
        <w:t>Ulker‐Demirel</w:t>
      </w:r>
      <w:r>
        <w:rPr>
          <w:rFonts w:ascii="Times New Roman" w:cs="Times New Roman" w:hAnsi="Times New Roman"/>
          <w:sz w:val="24"/>
          <w:szCs w:val="24"/>
        </w:rPr>
        <w:t xml:space="preserve"> &amp; </w:t>
      </w:r>
      <w:r>
        <w:rPr>
          <w:rFonts w:ascii="Times New Roman" w:cs="Times New Roman" w:hAnsi="Times New Roman"/>
          <w:sz w:val="24"/>
          <w:szCs w:val="24"/>
        </w:rPr>
        <w:t>Çiftçi</w:t>
      </w:r>
      <w:r>
        <w:rPr>
          <w:rFonts w:ascii="Times New Roman" w:cs="Times New Roman" w:hAnsi="Times New Roman"/>
          <w:sz w:val="24"/>
          <w:szCs w:val="24"/>
        </w:rPr>
        <w:t>, 2020)</w:t>
      </w:r>
      <w:r>
        <w:rPr>
          <w:rFonts w:ascii="Times New Roman" w:cs="Times New Roman" w:hAnsi="Times New Roman"/>
          <w:sz w:val="24"/>
          <w:szCs w:val="24"/>
        </w:rPr>
        <w:t>. Notably, TPB's applicability extends across diverse domains, including health, environmental psychology, and marketing, rendering it a valuable analytical tool for comprehending and predicting varied behavioral phenomena and facilitating the development of targeted interventions</w:t>
      </w:r>
      <w:r>
        <w:rPr>
          <w:rFonts w:ascii="Times New Roman" w:cs="Times New Roman" w:hAnsi="Times New Roman"/>
          <w:sz w:val="24"/>
          <w:szCs w:val="24"/>
        </w:rPr>
        <w:t xml:space="preserve"> (</w:t>
      </w:r>
      <w:r>
        <w:rPr>
          <w:rFonts w:ascii="Times New Roman" w:cs="Times New Roman" w:hAnsi="Times New Roman"/>
          <w:sz w:val="24"/>
          <w:szCs w:val="24"/>
        </w:rPr>
        <w:t>Ulker‐Demirel</w:t>
      </w:r>
      <w:r>
        <w:rPr>
          <w:rFonts w:ascii="Times New Roman" w:cs="Times New Roman" w:hAnsi="Times New Roman"/>
          <w:sz w:val="24"/>
          <w:szCs w:val="24"/>
        </w:rPr>
        <w:t xml:space="preserve"> &amp; </w:t>
      </w:r>
      <w:r>
        <w:rPr>
          <w:rFonts w:ascii="Times New Roman" w:cs="Times New Roman" w:hAnsi="Times New Roman"/>
          <w:sz w:val="24"/>
          <w:szCs w:val="24"/>
        </w:rPr>
        <w:t>Çiftçi</w:t>
      </w:r>
      <w:r>
        <w:rPr>
          <w:rFonts w:ascii="Times New Roman" w:cs="Times New Roman" w:hAnsi="Times New Roman"/>
          <w:sz w:val="24"/>
          <w:szCs w:val="24"/>
        </w:rPr>
        <w:t>, 2020)</w:t>
      </w:r>
      <w:r>
        <w:rPr>
          <w:rFonts w:ascii="Times New Roman" w:cs="Times New Roman" w:hAnsi="Times New Roman"/>
          <w:sz w:val="24"/>
          <w:szCs w:val="24"/>
        </w:rPr>
        <w:t>.</w:t>
      </w:r>
    </w:p>
    <w:p>
      <w:pPr>
        <w:pStyle w:val="style179"/>
        <w:numPr>
          <w:ilvl w:val="0"/>
          <w:numId w:val="1"/>
        </w:numPr>
        <w:spacing w:lineRule="auto" w:line="240"/>
        <w:jc w:val="both"/>
        <w:rPr>
          <w:rFonts w:ascii="Times New Roman" w:cs="Times New Roman" w:hAnsi="Times New Roman"/>
          <w:i/>
          <w:sz w:val="24"/>
          <w:szCs w:val="24"/>
        </w:rPr>
      </w:pPr>
      <w:r>
        <w:rPr>
          <w:rFonts w:ascii="Times New Roman" w:cs="Times New Roman" w:hAnsi="Times New Roman"/>
          <w:i/>
          <w:sz w:val="24"/>
          <w:szCs w:val="24"/>
        </w:rPr>
        <w:t>Theory of CSR</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Theory of Corporate Social Responsibility (CSR) is a conceptual framework that delineates the ethical imperatives inherent in businesses transcending their conventional economic pursuits to actively contribute to societal well-being. Originating in the mid-20th century, the term "corporate social responsibility" gained prominence through the works of scholars such as Howard Bowen in the 1950s. CSR theory posits that enterprises, while obligated to pursue profitability, bear an ethical responsibility to operate in a manner congruent with broader societal interests</w:t>
      </w:r>
      <w:r>
        <w:rPr>
          <w:rFonts w:ascii="Times New Roman" w:cs="Times New Roman" w:hAnsi="Times New Roman"/>
          <w:sz w:val="24"/>
          <w:szCs w:val="24"/>
        </w:rPr>
        <w:t xml:space="preserve"> (</w:t>
      </w:r>
      <w:r>
        <w:rPr>
          <w:rFonts w:ascii="Times New Roman" w:cs="Times New Roman" w:hAnsi="Times New Roman"/>
          <w:sz w:val="24"/>
          <w:szCs w:val="24"/>
        </w:rPr>
        <w:t>Kharabsheh</w:t>
      </w:r>
      <w:r>
        <w:rPr>
          <w:rFonts w:ascii="Times New Roman" w:cs="Times New Roman" w:hAnsi="Times New Roman"/>
          <w:sz w:val="24"/>
          <w:szCs w:val="24"/>
        </w:rPr>
        <w:t xml:space="preserve"> et al., 2023)</w:t>
      </w:r>
      <w:r>
        <w:rPr>
          <w:rFonts w:ascii="Times New Roman" w:cs="Times New Roman" w:hAnsi="Times New Roman"/>
          <w:sz w:val="24"/>
          <w:szCs w:val="24"/>
        </w:rPr>
        <w:t xml:space="preserve">. Fundamental to CSR theory are various responsibilities that businesses should uphold. These encompass economic responsibilities, emphasizing profit generation and economic development; legal responsibilities, necessitating adherence to established laws and regulations; ethical responsibilities, advocating for the observance of ethical standards in dealings; philanthropic responsibilities, encouraging voluntary contributions to social and environmental causes; and stakeholder engagement, entailing consideration of the </w:t>
      </w:r>
      <w:r>
        <w:rPr>
          <w:rFonts w:ascii="Times New Roman" w:cs="Times New Roman" w:hAnsi="Times New Roman"/>
          <w:sz w:val="24"/>
          <w:szCs w:val="24"/>
        </w:rPr>
        <w:t>diverse interests and concerns of stakeholders</w:t>
      </w:r>
      <w:r>
        <w:rPr>
          <w:rFonts w:ascii="Times New Roman" w:cs="Times New Roman" w:hAnsi="Times New Roman"/>
          <w:sz w:val="24"/>
          <w:szCs w:val="24"/>
        </w:rPr>
        <w:t xml:space="preserve"> (</w:t>
      </w:r>
      <w:r>
        <w:rPr>
          <w:rFonts w:ascii="Times New Roman" w:cs="Times New Roman" w:hAnsi="Times New Roman"/>
          <w:sz w:val="24"/>
          <w:szCs w:val="24"/>
        </w:rPr>
        <w:t>Wirba</w:t>
      </w:r>
      <w:r>
        <w:rPr>
          <w:rFonts w:ascii="Times New Roman" w:cs="Times New Roman" w:hAnsi="Times New Roman"/>
          <w:sz w:val="24"/>
          <w:szCs w:val="24"/>
        </w:rPr>
        <w:t>, 2023)</w:t>
      </w:r>
      <w:r>
        <w:rPr>
          <w:rFonts w:ascii="Times New Roman" w:cs="Times New Roman" w:hAnsi="Times New Roman"/>
          <w:sz w:val="24"/>
          <w:szCs w:val="24"/>
        </w:rPr>
        <w:t>. The historical evolution of CSR theory reflects an increasing recognition of the profound societal and environmental impacts of corporate conduct. The theory underscores the potential of businesses to serve as agents of positive change by integrating responsible practices into their fundamental operations</w:t>
      </w:r>
      <w:r>
        <w:rPr>
          <w:rFonts w:ascii="Times New Roman" w:cs="Times New Roman" w:hAnsi="Times New Roman"/>
          <w:sz w:val="24"/>
          <w:szCs w:val="24"/>
        </w:rPr>
        <w:t xml:space="preserve"> (</w:t>
      </w:r>
      <w:r>
        <w:rPr>
          <w:rFonts w:ascii="Times New Roman" w:cs="Times New Roman" w:hAnsi="Times New Roman"/>
          <w:sz w:val="24"/>
          <w:szCs w:val="24"/>
        </w:rPr>
        <w:t>Wirba</w:t>
      </w:r>
      <w:r>
        <w:rPr>
          <w:rFonts w:ascii="Times New Roman" w:cs="Times New Roman" w:hAnsi="Times New Roman"/>
          <w:sz w:val="24"/>
          <w:szCs w:val="24"/>
        </w:rPr>
        <w:t>, 2023)</w:t>
      </w:r>
      <w:r>
        <w:rPr>
          <w:rFonts w:ascii="Times New Roman" w:cs="Times New Roman" w:hAnsi="Times New Roman"/>
          <w:sz w:val="24"/>
          <w:szCs w:val="24"/>
        </w:rPr>
        <w:t xml:space="preserve">. CSR is not solely construed as a moral obligation but is also acknowledged as a strategic approach to fortifying trust, augmenting brand reputation, and fostering sustained mutual benefit </w:t>
      </w:r>
      <w:r>
        <w:rPr>
          <w:rFonts w:ascii="Times New Roman" w:cs="Times New Roman" w:hAnsi="Times New Roman"/>
          <w:sz w:val="24"/>
          <w:szCs w:val="24"/>
        </w:rPr>
        <w:t>for both businesses and society (Lee &amp; Yang, 2022).</w:t>
      </w:r>
      <w:r>
        <w:rPr>
          <w:rFonts w:ascii="Times New Roman" w:cs="Times New Roman" w:hAnsi="Times New Roman"/>
          <w:sz w:val="24"/>
          <w:szCs w:val="24"/>
        </w:rPr>
        <w:t xml:space="preserve"> Its ascendancy has catalyzed transformative shifts in corporate behavior and policies on a global scale.</w:t>
      </w:r>
    </w:p>
    <w:p>
      <w:pPr>
        <w:pStyle w:val="style0"/>
        <w:spacing w:lineRule="auto" w:line="240"/>
        <w:jc w:val="both"/>
        <w:rPr>
          <w:rFonts w:ascii="Times New Roman" w:cs="Times New Roman" w:hAnsi="Times New Roman"/>
          <w:b/>
          <w:sz w:val="24"/>
          <w:szCs w:val="24"/>
        </w:rPr>
      </w:pPr>
      <w:r>
        <w:rPr>
          <w:rFonts w:ascii="Times New Roman" w:cs="Times New Roman" w:hAnsi="Times New Roman"/>
          <w:b/>
          <w:sz w:val="24"/>
          <w:szCs w:val="24"/>
        </w:rPr>
        <w:t>Consumer behavior</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Consumer behavior is a scholarly inquiry into the intricate processes and activities individuals engage in when navigating the stages of searching for, selecting, acquiring, using, and disposing of goods and services</w:t>
      </w:r>
      <w:r>
        <w:rPr>
          <w:rFonts w:ascii="Times New Roman" w:cs="Times New Roman" w:hAnsi="Times New Roman"/>
          <w:sz w:val="24"/>
          <w:szCs w:val="24"/>
        </w:rPr>
        <w:t xml:space="preserve"> (</w:t>
      </w:r>
      <w:r>
        <w:rPr>
          <w:rFonts w:ascii="Times New Roman" w:cs="Times New Roman" w:hAnsi="Times New Roman"/>
          <w:sz w:val="24"/>
          <w:szCs w:val="24"/>
        </w:rPr>
        <w:t>Omran</w:t>
      </w:r>
      <w:r>
        <w:rPr>
          <w:rFonts w:ascii="Times New Roman" w:cs="Times New Roman" w:hAnsi="Times New Roman"/>
          <w:sz w:val="24"/>
          <w:szCs w:val="24"/>
        </w:rPr>
        <w:t xml:space="preserve"> &amp; </w:t>
      </w:r>
      <w:r>
        <w:rPr>
          <w:rFonts w:ascii="Times New Roman" w:cs="Times New Roman" w:hAnsi="Times New Roman"/>
          <w:sz w:val="24"/>
          <w:szCs w:val="24"/>
        </w:rPr>
        <w:t>Ramdhony</w:t>
      </w:r>
      <w:r>
        <w:rPr>
          <w:rFonts w:ascii="Times New Roman" w:cs="Times New Roman" w:hAnsi="Times New Roman"/>
          <w:sz w:val="24"/>
          <w:szCs w:val="24"/>
        </w:rPr>
        <w:t>, 2015)</w:t>
      </w:r>
      <w:r>
        <w:rPr>
          <w:rFonts w:ascii="Times New Roman" w:cs="Times New Roman" w:hAnsi="Times New Roman"/>
          <w:sz w:val="24"/>
          <w:szCs w:val="24"/>
        </w:rPr>
        <w:t>. This multidimensional field encompasses a comprehensive examination of the psychological, social, cultural, and economic factors that collectively contribute to shaping consumers' decision-making processes. The endeavor to comprehend consumer behavior necessitates an exploration of the underlying motivations, preferences, attitudes, and perceptions that influence individuals in the marketplace</w:t>
      </w:r>
      <w:r>
        <w:rPr>
          <w:rFonts w:ascii="Times New Roman" w:cs="Times New Roman" w:hAnsi="Times New Roman"/>
          <w:sz w:val="24"/>
          <w:szCs w:val="24"/>
        </w:rPr>
        <w:t xml:space="preserve"> (Carlson et al., 2019)</w:t>
      </w:r>
      <w:r>
        <w:rPr>
          <w:rFonts w:ascii="Times New Roman" w:cs="Times New Roman" w:hAnsi="Times New Roman"/>
          <w:sz w:val="24"/>
          <w:szCs w:val="24"/>
        </w:rPr>
        <w:t>. Moreover, this academic discipline scrutinizes the external influences, such as marketing stimuli, social dynamics, and cultural norms, which exert an impact on the decision-making trajectories of consumers. The study of consumer behavior is of paramount importance for businesses and marketers seeking a nuanced understanding and prognostication of how consumers respond to diverse products, services, and marketing strategies within the marketplace</w:t>
      </w:r>
      <w:r>
        <w:rPr>
          <w:rFonts w:ascii="Times New Roman" w:cs="Times New Roman" w:hAnsi="Times New Roman"/>
          <w:sz w:val="24"/>
          <w:szCs w:val="24"/>
        </w:rPr>
        <w:t xml:space="preserve"> </w:t>
      </w:r>
      <w:r>
        <w:rPr>
          <w:rFonts w:ascii="Times New Roman" w:cs="Times New Roman" w:hAnsi="Times New Roman"/>
          <w:sz w:val="24"/>
          <w:szCs w:val="24"/>
        </w:rPr>
        <w:t>(Taha, 2020)</w:t>
      </w:r>
      <w:r>
        <w:rPr>
          <w:rFonts w:ascii="Times New Roman" w:cs="Times New Roman" w:hAnsi="Times New Roman"/>
          <w:sz w:val="24"/>
          <w:szCs w:val="24"/>
        </w:rPr>
        <w:t>.</w:t>
      </w:r>
    </w:p>
    <w:p>
      <w:pPr>
        <w:pStyle w:val="style0"/>
        <w:tabs>
          <w:tab w:val="left" w:leader="none" w:pos="1650"/>
        </w:tabs>
        <w:spacing w:lineRule="auto" w:line="240"/>
        <w:jc w:val="both"/>
        <w:rPr>
          <w:rFonts w:ascii="Times New Roman" w:cs="Times New Roman" w:hAnsi="Times New Roman"/>
          <w:sz w:val="24"/>
          <w:szCs w:val="24"/>
        </w:rPr>
      </w:pPr>
      <w:r>
        <w:rPr>
          <w:rFonts w:ascii="Times New Roman" w:cs="Times New Roman" w:hAnsi="Times New Roman"/>
          <w:sz w:val="24"/>
          <w:szCs w:val="24"/>
        </w:rPr>
        <w:tab/>
      </w:r>
    </w:p>
    <w:bookmarkStart w:id="0" w:name="_Toc151390845"/>
    <w:p>
      <w:pPr>
        <w:pStyle w:val="style0"/>
        <w:keepNext/>
        <w:spacing w:after="0" w:lineRule="auto" w:line="240"/>
        <w:jc w:val="both"/>
        <w:rPr>
          <w:rFonts w:ascii="Times New Roman" w:cs="Times New Roman" w:eastAsia="Calibri" w:hAnsi="Times New Roman"/>
          <w:b/>
          <w:i/>
          <w:iCs/>
          <w:sz w:val="24"/>
          <w:szCs w:val="24"/>
          <w:lang w:val="en-AU"/>
        </w:rPr>
      </w:pPr>
      <w:r>
        <w:rPr>
          <w:rFonts w:ascii="Times New Roman" w:cs="Times New Roman" w:eastAsia="Calibri" w:hAnsi="Times New Roman"/>
          <w:b/>
          <w:i/>
          <w:iCs/>
          <w:sz w:val="24"/>
          <w:szCs w:val="24"/>
          <w:lang w:val="en-AU"/>
        </w:rPr>
        <w:t xml:space="preserve">Table: </w:t>
      </w:r>
      <w:r>
        <w:rPr>
          <w:rFonts w:ascii="Times New Roman" w:cs="Times New Roman" w:eastAsia="Calibri" w:hAnsi="Times New Roman"/>
          <w:i/>
          <w:iCs/>
          <w:sz w:val="24"/>
          <w:szCs w:val="24"/>
          <w:lang w:val="en-AU"/>
        </w:rPr>
        <w:t xml:space="preserve">Definition of consumer </w:t>
      </w:r>
      <w:bookmarkEnd w:id="0"/>
      <w:r>
        <w:rPr>
          <w:rFonts w:ascii="Times New Roman" w:cs="Times New Roman" w:eastAsia="Calibri" w:hAnsi="Times New Roman"/>
          <w:i/>
          <w:iCs/>
          <w:sz w:val="24"/>
          <w:szCs w:val="24"/>
          <w:lang w:val="en-AU"/>
        </w:rPr>
        <w:t>behavior</w:t>
      </w:r>
    </w:p>
    <w:tbl>
      <w:tblPr>
        <w:tblW w:w="949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701"/>
        <w:gridCol w:w="2977"/>
        <w:gridCol w:w="709"/>
        <w:gridCol w:w="1134"/>
        <w:gridCol w:w="1276"/>
        <w:gridCol w:w="1701"/>
      </w:tblGrid>
      <w:tr>
        <w:trPr>
          <w:trHeight w:val="841" w:hRule="atLeast"/>
        </w:trPr>
        <w:tc>
          <w:tcPr>
            <w:tcW w:w="1701" w:type="dxa"/>
            <w:tcBorders/>
            <w:vAlign w:val="center"/>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Title</w:t>
            </w: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Definition</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Year</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Author</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Empirical/ Theoretical</w:t>
            </w:r>
          </w:p>
        </w:tc>
        <w:tc>
          <w:tcPr>
            <w:tcW w:w="1701" w:type="dxa"/>
            <w:tcBorders/>
            <w:vAlign w:val="center"/>
          </w:tcPr>
          <w:p>
            <w:pPr>
              <w:pStyle w:val="style0"/>
              <w:spacing w:after="0" w:lineRule="auto" w:line="240"/>
              <w:rPr>
                <w:rFonts w:ascii="Times New Roman" w:cs="Times New Roman" w:eastAsia="Calibri" w:hAnsi="Times New Roman"/>
                <w:b/>
                <w:bCs/>
                <w:color w:val="000000"/>
                <w:sz w:val="24"/>
                <w:szCs w:val="24"/>
                <w:lang w:val="en-AU"/>
              </w:rPr>
            </w:pPr>
            <w:r>
              <w:rPr>
                <w:rFonts w:ascii="Times New Roman" w:cs="Times New Roman" w:eastAsia="Calibri" w:hAnsi="Times New Roman"/>
                <w:b/>
                <w:bCs/>
                <w:color w:val="000000"/>
                <w:sz w:val="24"/>
                <w:szCs w:val="24"/>
                <w:lang w:val="en-AU"/>
              </w:rPr>
              <w:t>Theory</w:t>
            </w:r>
          </w:p>
        </w:tc>
      </w:tr>
      <w:tr>
        <w:tblPrEx/>
        <w:trPr>
          <w:trHeight w:val="1275" w:hRule="atLeast"/>
        </w:trPr>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CB with tourism social media brands</w:t>
            </w: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Repeated interactions with companies and brands on social media between consumers and organisations increase the level of emotional, psychological, or physical investment consumers are willing to make with a brand.</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2017</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Harrigan et al.</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Empirical</w:t>
            </w:r>
          </w:p>
        </w:tc>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Social exchange theory</w:t>
            </w:r>
          </w:p>
        </w:tc>
      </w:tr>
      <w:tr>
        <w:tblPrEx/>
        <w:trPr>
          <w:trHeight w:val="1020" w:hRule="atLeast"/>
        </w:trPr>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Influence of CB with company social networks on </w:t>
            </w:r>
            <w:r>
              <w:rPr>
                <w:rFonts w:ascii="Times New Roman" w:cs="Times New Roman" w:eastAsia="Calibri" w:hAnsi="Times New Roman"/>
                <w:color w:val="000000"/>
                <w:sz w:val="24"/>
                <w:szCs w:val="24"/>
                <w:lang w:val="en-AU"/>
              </w:rPr>
              <w:t>stickiness: Mediating effect of consumer value creation</w:t>
            </w: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Repeated interactions between consumers and brands on social media that strengthen the emotional, psychological, and physical </w:t>
            </w:r>
            <w:r>
              <w:rPr>
                <w:rFonts w:ascii="Times New Roman" w:cs="Times New Roman" w:eastAsia="Calibri" w:hAnsi="Times New Roman"/>
                <w:color w:val="000000"/>
                <w:sz w:val="24"/>
                <w:szCs w:val="24"/>
                <w:lang w:val="en-AU"/>
              </w:rPr>
              <w:t>involvement of consumers with brands.</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2017</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Zhang et al.</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Empirical</w:t>
            </w:r>
          </w:p>
        </w:tc>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Theory of value co-creation</w:t>
            </w:r>
          </w:p>
        </w:tc>
      </w:tr>
      <w:tr>
        <w:tblPrEx/>
        <w:trPr>
          <w:trHeight w:val="510" w:hRule="atLeast"/>
        </w:trPr>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Post language and user engagement in online content communities</w:t>
            </w:r>
          </w:p>
          <w:p>
            <w:pPr>
              <w:pStyle w:val="style0"/>
              <w:spacing w:after="0" w:lineRule="auto" w:line="240"/>
              <w:rPr>
                <w:rFonts w:ascii="Times New Roman" w:cs="Times New Roman" w:eastAsia="Calibri" w:hAnsi="Times New Roman"/>
                <w:color w:val="000000"/>
                <w:sz w:val="24"/>
                <w:szCs w:val="24"/>
                <w:lang w:val="en-AU"/>
              </w:rPr>
            </w:pP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 number of likes and comments that users make on online brand communities.</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2016</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Noguti</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Empirical</w:t>
            </w:r>
          </w:p>
        </w:tc>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Communication theory</w:t>
            </w:r>
          </w:p>
        </w:tc>
      </w:tr>
      <w:tr>
        <w:tblPrEx/>
        <w:trPr>
          <w:trHeight w:val="510" w:hRule="atLeast"/>
        </w:trPr>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Social consumer experience: Engage and retain consumers through social media</w:t>
            </w: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Progression towards increasing consumers’ participation in online brand communities.</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2019</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hAnsi="Times New Roman"/>
                <w:color w:val="222222"/>
                <w:sz w:val="24"/>
                <w:szCs w:val="24"/>
                <w:shd w:val="clear" w:color="auto" w:fill="ffffff"/>
              </w:rPr>
              <w:t>Little</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Theoretical</w:t>
            </w:r>
          </w:p>
        </w:tc>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Community theory</w:t>
            </w:r>
          </w:p>
        </w:tc>
      </w:tr>
      <w:tr>
        <w:tblPrEx/>
        <w:trPr>
          <w:trHeight w:val="765" w:hRule="atLeast"/>
        </w:trPr>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Managing brands and CB in online brand communities</w:t>
            </w:r>
          </w:p>
        </w:tc>
        <w:tc>
          <w:tcPr>
            <w:tcW w:w="2977"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Intrinsic motivation of the consumer to interact and cooperate with community members in online brand communities.</w:t>
            </w:r>
          </w:p>
        </w:tc>
        <w:tc>
          <w:tcPr>
            <w:tcW w:w="709"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2017</w:t>
            </w:r>
          </w:p>
        </w:tc>
        <w:tc>
          <w:tcPr>
            <w:tcW w:w="1134"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Abuljadail</w:t>
            </w:r>
          </w:p>
        </w:tc>
        <w:tc>
          <w:tcPr>
            <w:tcW w:w="1276" w:type="dxa"/>
            <w:tcBorders/>
            <w:shd w:val="clear" w:color="auto" w:fill="auto"/>
            <w:vAlign w:val="center"/>
            <w:hideMark/>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Theoretical</w:t>
            </w:r>
          </w:p>
        </w:tc>
        <w:tc>
          <w:tcPr>
            <w:tcW w:w="1701" w:type="dxa"/>
            <w:tcBorders/>
            <w:vAlign w:val="center"/>
          </w:tcPr>
          <w:p>
            <w:pPr>
              <w:pStyle w:val="style0"/>
              <w:spacing w:after="0" w:lineRule="auto" w:line="240"/>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Social identity theory</w:t>
            </w:r>
          </w:p>
        </w:tc>
      </w:tr>
    </w:tbl>
    <w:p>
      <w:pPr>
        <w:pStyle w:val="style0"/>
        <w:spacing w:after="160" w:lineRule="auto" w:line="24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hAnsi="Times New Roman"/>
          <w:b/>
          <w:i/>
          <w:sz w:val="24"/>
          <w:szCs w:val="24"/>
        </w:rPr>
      </w:pPr>
      <w:r>
        <w:rPr>
          <w:rFonts w:ascii="Times New Roman" w:cs="Times New Roman" w:hAnsi="Times New Roman"/>
          <w:b/>
          <w:i/>
          <w:sz w:val="24"/>
          <w:szCs w:val="24"/>
        </w:rPr>
        <w:t>Historical Context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Mid-20th Century: Pioneering Explorations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roots of consumer behavior research delve into the mid-20th century, where scholars embarked on a formal exploration grounded in psychological theories. Focused on unraveling individual decision-making processes, this period saw notable works like Ernest Dichter's psychoanalytical approach and Vance Packard's investigation into the societal impact of advertising in "The Hidden Persuaders" (Abuljadail, 2017). These foundational studies set the stage for a deeper understanding of the psychological underpinnings of consumer choices.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Late 1960s - 1970s: Sociological and Anthropological Shift</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As the late 1960s and 1970s unfolded, consumer behavior research witnessed a significant shift toward sociological and anthropological perspectives. Scholars began recognizing the profound influence of social and cultural factors on consumer choices, exploring concepts such as social influences, reference groups, and cultural norms (Dolan et al., 2016). This marked a pivotal moment in broadening the scope of understanding beyond individual psychology.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1980s - 1990s: Interdisciplinary In</w:t>
      </w:r>
      <w:r>
        <w:rPr>
          <w:rFonts w:ascii="Times New Roman" w:cs="Times New Roman" w:hAnsi="Times New Roman"/>
          <w:sz w:val="24"/>
          <w:szCs w:val="24"/>
        </w:rPr>
        <w:t>sights and Behavioral Economics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subsequent decades, namely the 1980s and 1990s, were characterized by the rise of interdisciplinary approaches. Scholars acknowledged that a comprehensive understanding required integration of insights from psychology, sociology, anthropology, and economics. The introduction of behavioral economics further enriched the theoretical toolkit, providing a nuanced lens to explain deviations from rational decision-making and explore the role of heuristics and biases in consumer choices (Dolan et al., 2019).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21st Century: Digital Transformation and Global Perspectives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The dawn of the 21st century marked a pivotal turning point with the proliferation of digital technologies and globalization. The information age transformed how consumers accessed information, communicated, and made purchasing decisions. Consumer behavior research responded to these changes, incorporating insights from digital marketing, e-commerce, and global marketplace studies (Rosenbaum et al., 2017). The impact of online platforms, social media, and the digitalization of commerce became focal points of investigation, showcasing the dynamic evolution of the field.</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Contemporary Landscape: Integrating Tradition and Innovation</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the present era, consumer behavior research has evolved into a dynamic and multifaceted field (Algesheimer et al., 2005). Scholars continue to navigate traditional psychological and sociological dimensions while incorporating insights from diverse disciplines (Sawhney et al, 2015). Themes such as sustainability, ethical consumption, and the role of technology in shaping consumer choices now prominently feature in contemporary research, reflecting the ongoing evolution of this vibrant field.</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Conclusion: A Tapestry of Progress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In summary, the historical journey of consumer behavior research weaves a tapestry of progress, from its inception in psychological theories to embracing sociological perspectives, interdisciplinary approaches, and the transformative impact of the digital age. This evolution not only reflects the resilience of the field but also underscores its adaptability to societal changes and technological advancements. As we explore consumer behavior in the contemporary landscape, we stand on the shoulders of decades of research that have shaped and refined our understanding of the intricacies of consumer decision-making.</w:t>
      </w:r>
    </w:p>
    <w:p>
      <w:pPr>
        <w:pStyle w:val="style0"/>
        <w:spacing w:lineRule="auto" w:line="240"/>
        <w:rPr>
          <w:rFonts w:ascii="Times New Roman" w:cs="Times New Roman" w:hAnsi="Times New Roman"/>
          <w:b/>
          <w:sz w:val="24"/>
          <w:szCs w:val="24"/>
        </w:rPr>
      </w:pPr>
      <w:r>
        <w:rPr>
          <w:rFonts w:ascii="Times New Roman" w:cs="Times New Roman" w:hAnsi="Times New Roman"/>
          <w:b/>
          <w:sz w:val="24"/>
          <w:szCs w:val="24"/>
        </w:rPr>
        <w:t>Theories of Consumer Behavior</w:t>
      </w:r>
    </w:p>
    <w:p>
      <w:pPr>
        <w:pStyle w:val="style179"/>
        <w:numPr>
          <w:ilvl w:val="0"/>
          <w:numId w:val="2"/>
        </w:numPr>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Elaboration Likelihood Model (ELM)</w:t>
      </w:r>
    </w:p>
    <w:p>
      <w:pPr>
        <w:pStyle w:val="style179"/>
        <w:spacing w:after="0" w:lineRule="auto" w:line="240"/>
        <w:ind w:firstLine="72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Petty and Cacioppo (1986) developed the </w:t>
      </w:r>
      <w:r>
        <w:rPr>
          <w:rFonts w:ascii="Times New Roman" w:cs="Times New Roman" w:eastAsia="Calibri" w:hAnsi="Times New Roman"/>
          <w:iCs/>
          <w:color w:val="000000"/>
          <w:sz w:val="24"/>
          <w:szCs w:val="24"/>
          <w:lang w:val="en-AU"/>
        </w:rPr>
        <w:t>elaboration likelihood model (ELM),</w:t>
      </w:r>
      <w:r>
        <w:rPr>
          <w:rFonts w:ascii="Times New Roman" w:cs="Times New Roman" w:eastAsia="Calibri" w:hAnsi="Times New Roman"/>
          <w:color w:val="000000"/>
          <w:sz w:val="24"/>
          <w:szCs w:val="24"/>
          <w:lang w:val="en-AU"/>
        </w:rPr>
        <w:t xml:space="preserve"> which represents a dual-process theory about the mechanisms of persuasion (Algesheimer et al., 2005). The elaboration likelihood model posits that persuasion occurs through two distinct cognitive pathways: the central and peripheral routes (Carlson et al., 2019). Within the theoretical framework of ELM, CE occupies a central and pivotal role, predominantly emerging as an outcome resulting from central processing (Aydin et al., 2021). This cognitive route involves consumers immersing themselves profoundly within a message or product, carefully scrutinising its substantive content, and completely assessing its implications and relevance (Kapoor et al., 2018). In this way, consumers engage in a discerning and rigorous evaluation of the </w:t>
      </w:r>
      <w:r>
        <w:rPr>
          <w:rFonts w:ascii="Times New Roman" w:cs="Times New Roman" w:eastAsia="Calibri" w:hAnsi="Times New Roman"/>
          <w:color w:val="000000"/>
          <w:sz w:val="24"/>
          <w:szCs w:val="24"/>
          <w:lang w:val="en-AU"/>
        </w:rPr>
        <w:t>informational content provided, making their level of engagement contingent upon the outcomes of this precise cognitive appraisal.</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With the deployment of the ELM, CE emerges as a central facet of the persuasion process (</w:t>
      </w:r>
      <w:r>
        <w:rPr>
          <w:rFonts w:ascii="Times New Roman" w:cs="Times New Roman" w:eastAsia="Calibri" w:hAnsi="Times New Roman"/>
          <w:color w:val="000000"/>
          <w:sz w:val="24"/>
          <w:szCs w:val="24"/>
          <w:lang w:val="en-AU"/>
        </w:rPr>
        <w:t>Dhir</w:t>
      </w:r>
      <w:r>
        <w:rPr>
          <w:rFonts w:ascii="Times New Roman" w:cs="Times New Roman" w:eastAsia="Calibri" w:hAnsi="Times New Roman"/>
          <w:color w:val="000000"/>
          <w:sz w:val="24"/>
          <w:szCs w:val="24"/>
          <w:lang w:val="en-AU"/>
        </w:rPr>
        <w:t xml:space="preserve"> &amp; </w:t>
      </w:r>
      <w:r>
        <w:rPr>
          <w:rFonts w:ascii="Times New Roman" w:cs="Times New Roman" w:eastAsia="Calibri" w:hAnsi="Times New Roman"/>
          <w:color w:val="000000"/>
          <w:sz w:val="24"/>
          <w:szCs w:val="24"/>
          <w:lang w:val="en-AU"/>
        </w:rPr>
        <w:t>Torsheim</w:t>
      </w:r>
      <w:r>
        <w:rPr>
          <w:rFonts w:ascii="Times New Roman" w:cs="Times New Roman" w:eastAsia="Calibri" w:hAnsi="Times New Roman"/>
          <w:color w:val="000000"/>
          <w:sz w:val="24"/>
          <w:szCs w:val="24"/>
          <w:lang w:val="en-AU"/>
        </w:rPr>
        <w:t>, 2016). This prominence is primarily attributed to the central processing route, the primary mechanism for consumer engagement (Mareno &amp; Lockett, 2018). In the central processing route, individuals immerse themselves profoundly within the message or product conveyed, involving deep scrutiny of the message's substantive content and assessment of its implications and relevance to their cognitive ability. Within this cognitive mode, consumers engage in a discerning and rigorous evaluation of the informational content provided (Taha, 2020). They critically analyse the message's arguments, evidence, and relevance to their values and beliefs. This cognitive appraisal process requires a heightened level of cognitive effort and ability (Taha, 2020).</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 outcomes of this cognitive appraisal influence the level of consumer engagement. If the message or product aligns with their existing beliefs or the arguments presented are compelling and substantiated, individuals are more likely to become deeply engaged (Tong et al., 2008). Engagement decreases if the message lacks coherence, is considered irrelevant, or fails to resonate with their values (Mazer et al., 2009). Essentially, ELM's central processing route underscores the significance of cognitive engagement in persuasion, illustrating how consumers actively construct their attitudes and beliefs through a comprehensive examination of persuasive stimuli (Taha, 2020). This dual-process theory provides valuable insights into the interplay between cognitive processing and persuasion, shedding light on the factors underpinning effective persuasion strategies in various contexts, including marketing, advertising, and communication (Taha, 2020).</w:t>
      </w:r>
    </w:p>
    <w:p>
      <w:pPr>
        <w:pStyle w:val="style179"/>
        <w:numPr>
          <w:ilvl w:val="0"/>
          <w:numId w:val="2"/>
        </w:numPr>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Cognitive Dissonance Theory</w:t>
      </w:r>
    </w:p>
    <w:p>
      <w:pPr>
        <w:pStyle w:val="style179"/>
        <w:spacing w:after="0" w:lineRule="auto" w:line="24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Cognitive dissonance theory, originally postulated by Leon Festinger (1957), is a seminal and substantive contribution to social psychology, providing profound insights into the intricate interplay of cognitive processes, attitudes, and human behaviour (Bush et al., 2000). Within this theoretical construct, it is posited that individuals, when confronted with differing beliefs or attitudes regarding a particular product or brand, undergo a state of cognitive dissonance, experiencing pervasive psychological unease (</w:t>
      </w:r>
      <w:r>
        <w:rPr>
          <w:rFonts w:ascii="Times New Roman" w:cs="Times New Roman" w:eastAsia="Calibri" w:hAnsi="Times New Roman"/>
          <w:color w:val="000000"/>
          <w:sz w:val="24"/>
          <w:szCs w:val="24"/>
          <w:lang w:val="en-AU"/>
        </w:rPr>
        <w:t>Weiyan</w:t>
      </w:r>
      <w:r>
        <w:rPr>
          <w:rFonts w:ascii="Times New Roman" w:cs="Times New Roman" w:eastAsia="Calibri" w:hAnsi="Times New Roman"/>
          <w:color w:val="000000"/>
          <w:sz w:val="24"/>
          <w:szCs w:val="24"/>
          <w:lang w:val="en-AU"/>
        </w:rPr>
        <w:t>, 2015). This discordant psychological state fundamentally stems from the innate human propensity for cognitive harmony and coherence within their mental landscapes (</w:t>
      </w:r>
      <w:r>
        <w:rPr>
          <w:rFonts w:ascii="Times New Roman" w:cs="Times New Roman" w:eastAsia="Calibri" w:hAnsi="Times New Roman"/>
          <w:color w:val="000000"/>
          <w:sz w:val="24"/>
          <w:szCs w:val="24"/>
          <w:lang w:val="en-AU"/>
        </w:rPr>
        <w:t>Macafee</w:t>
      </w:r>
      <w:r>
        <w:rPr>
          <w:rFonts w:ascii="Times New Roman" w:cs="Times New Roman" w:eastAsia="Calibri" w:hAnsi="Times New Roman"/>
          <w:color w:val="000000"/>
          <w:sz w:val="24"/>
          <w:szCs w:val="24"/>
          <w:lang w:val="en-AU"/>
        </w:rPr>
        <w:t>, 2013).</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Cognitive dissonance stimulates a significant increase in consumer behaviour, particularly when individuals find themselves entangled in situations where their existing attitudes or convictions directly conflict with new information or experiences associated with a specific product or brand (Al-Jabri et al., 2015). This state of dissonance serves as a catalytic agent, generating the psychological tension that compels individuals to take proactive measures to alleviate this discomfort and restore cognitive consonance (Ku et al., 2013). The array of behaviours that consumers employ to mitigate cognitive ability is marked by its multifaceted and dynamic nature (</w:t>
      </w:r>
      <w:r>
        <w:rPr>
          <w:rFonts w:ascii="Times New Roman" w:cs="Times New Roman" w:eastAsia="Calibri" w:hAnsi="Times New Roman"/>
          <w:color w:val="000000"/>
          <w:sz w:val="24"/>
          <w:szCs w:val="24"/>
          <w:lang w:val="en-AU"/>
        </w:rPr>
        <w:t>Weiyan</w:t>
      </w:r>
      <w:r>
        <w:rPr>
          <w:rFonts w:ascii="Times New Roman" w:cs="Times New Roman" w:eastAsia="Calibri" w:hAnsi="Times New Roman"/>
          <w:color w:val="000000"/>
          <w:sz w:val="24"/>
          <w:szCs w:val="24"/>
          <w:lang w:val="en-AU"/>
        </w:rPr>
        <w:t xml:space="preserve">, 2015). To alleviate such dissonance, individuals undertake various actions, including vigorous searching for additional information or knowledge that is relevant to the product or brand. This proactive quest for information is a pivotal mechanism that reconciles inconsistent </w:t>
      </w:r>
      <w:r>
        <w:rPr>
          <w:rFonts w:ascii="Times New Roman" w:cs="Times New Roman" w:eastAsia="Calibri" w:hAnsi="Times New Roman"/>
          <w:color w:val="000000"/>
          <w:sz w:val="24"/>
          <w:szCs w:val="24"/>
          <w:lang w:val="en-AU"/>
        </w:rPr>
        <w:t>cognitions. It enables individuals to reassess their beliefs and potentially adjust them to align with the newly acquired information, ultimately resolving cognitive dissonance (Gil de Zuniga et al., 2012).</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Furthermore, cognitive ability triggers robust and interactive discussions, often involving dialogues with peers or experts who provide insights and perspectives to resolve the cognitive conflict. These exchanges serve as instrumental channels for individuals to actively seek validation for their existing attitudes or engage in efforts to accommodate alternative viewpoints, leading to cognitive realignment (Mazer et al., 2009). Cognitive ability is a catalyst for consumer advocacy, where individuals enthusiastically endorse the product or brand by spreading positive word of mouth (WOM) reports or other forms of public advocacy. Individuals may deliberately reinforce their initial attitudes or convictions, effectively reducing the discord by reaffirming their endorsement (</w:t>
      </w:r>
      <w:r>
        <w:rPr>
          <w:rFonts w:ascii="Times New Roman" w:cs="Times New Roman" w:eastAsia="Calibri" w:hAnsi="Times New Roman"/>
          <w:color w:val="000000"/>
          <w:sz w:val="24"/>
          <w:szCs w:val="24"/>
          <w:lang w:val="en-AU"/>
        </w:rPr>
        <w:t>Xueming</w:t>
      </w:r>
      <w:r>
        <w:rPr>
          <w:rFonts w:ascii="Times New Roman" w:cs="Times New Roman" w:eastAsia="Calibri" w:hAnsi="Times New Roman"/>
          <w:color w:val="000000"/>
          <w:sz w:val="24"/>
          <w:szCs w:val="24"/>
          <w:lang w:val="en-AU"/>
        </w:rPr>
        <w:t>, 2002).</w:t>
      </w:r>
    </w:p>
    <w:p>
      <w:pPr>
        <w:pStyle w:val="style179"/>
        <w:numPr>
          <w:ilvl w:val="0"/>
          <w:numId w:val="2"/>
        </w:numPr>
        <w:tabs>
          <w:tab w:val="left" w:leader="none" w:pos="6990"/>
        </w:tabs>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Flow Theory</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Csikszentmihalyi (1975) coined flow theory, which stands as a seminal and foundational construct in psychology, encapsulating a profound psychological state characterised by a heightened level of engagement and enjoyment (Dolan et al., 2016). This distinctive state of consciousness is achieved when individuals become profoundly absorbed in an activity to the extent that they lose track of time and self-awareness. In the context of flow theory, </w:t>
      </w:r>
      <w:r>
        <w:rPr>
          <w:rFonts w:ascii="Times New Roman" w:cs="Times New Roman" w:eastAsia="Calibri" w:hAnsi="Times New Roman"/>
          <w:iCs/>
          <w:color w:val="000000"/>
          <w:sz w:val="24"/>
          <w:szCs w:val="24"/>
          <w:lang w:val="en-AU"/>
        </w:rPr>
        <w:t>‘flow</w:t>
      </w:r>
      <w:r>
        <w:rPr>
          <w:rFonts w:ascii="Times New Roman" w:cs="Times New Roman" w:eastAsia="Calibri" w:hAnsi="Times New Roman"/>
          <w:i/>
          <w:color w:val="000000"/>
          <w:sz w:val="24"/>
          <w:szCs w:val="24"/>
          <w:lang w:val="en-AU"/>
        </w:rPr>
        <w:t>’</w:t>
      </w:r>
      <w:r>
        <w:rPr>
          <w:rFonts w:ascii="Times New Roman" w:cs="Times New Roman" w:eastAsia="Calibri" w:hAnsi="Times New Roman"/>
          <w:color w:val="000000"/>
          <w:sz w:val="24"/>
          <w:szCs w:val="24"/>
          <w:lang w:val="en-AU"/>
        </w:rPr>
        <w:t xml:space="preserve"> signifies the harmonious alignment of an individual’s skills and challenges, resulting in an optimal state of cognitive absorption and emotional fulfilment (Ku et al., 2013). </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In marketing and consumer behaviour literature, flow theory has emerged as a guiding theoretical framework, significantly influencing practitioners who seek to design experiences that facilitate consumer immersion (Malthouse et al., 2013). This theoretical paradigm provides a comprehensive lens for marketers who can comprehend and harness the dynamics underlying consumer experiences, particularly in interactive advertisements and social media (Malthouse et al., 2013). Flow theory is extremely relevant in interactive advertisements, providing marketers with a blueprint for crafting campaigns tailored to induce and sustain the flow state in their target audiences (Carlson et al., 2019). Cultivating flow experiences, in this context, involves deliberately designing advertisements that align with consumers' cognitive abilities and interests, promoting immersion and engrossment. Successful execution captivates consumers and enhances the likelihood of message retention and favourable brand perceptions (Carlson et al., 2019).</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Furthermore, </w:t>
      </w:r>
      <w:r>
        <w:rPr>
          <w:rFonts w:ascii="Times New Roman" w:cs="Times New Roman" w:eastAsia="Calibri" w:hAnsi="Times New Roman"/>
          <w:iCs/>
          <w:color w:val="000000"/>
          <w:sz w:val="24"/>
          <w:szCs w:val="24"/>
          <w:lang w:val="en-AU"/>
        </w:rPr>
        <w:t>flow theory is relevant in various situations, and social media engagement provides a notable example (Sheldon et al., 2021). Due to their interactive nature, social media platforms can naturally create lasting immersion and enjoyment for users (</w:t>
      </w:r>
      <w:r>
        <w:rPr>
          <w:rFonts w:ascii="Times New Roman" w:cs="Times New Roman" w:eastAsia="Calibri" w:hAnsi="Times New Roman"/>
          <w:iCs/>
          <w:color w:val="000000"/>
          <w:sz w:val="24"/>
          <w:szCs w:val="24"/>
          <w:lang w:val="en-AU"/>
        </w:rPr>
        <w:t>Vinerean</w:t>
      </w:r>
      <w:r>
        <w:rPr>
          <w:rFonts w:ascii="Times New Roman" w:cs="Times New Roman" w:eastAsia="Calibri" w:hAnsi="Times New Roman"/>
          <w:iCs/>
          <w:color w:val="000000"/>
          <w:sz w:val="24"/>
          <w:szCs w:val="24"/>
          <w:lang w:val="en-AU"/>
        </w:rPr>
        <w:t xml:space="preserve"> &amp; </w:t>
      </w:r>
      <w:r>
        <w:rPr>
          <w:rFonts w:ascii="Times New Roman" w:cs="Times New Roman" w:eastAsia="Calibri" w:hAnsi="Times New Roman"/>
          <w:iCs/>
          <w:color w:val="000000"/>
          <w:sz w:val="24"/>
          <w:szCs w:val="24"/>
          <w:lang w:val="en-AU"/>
        </w:rPr>
        <w:t>Opreana</w:t>
      </w:r>
      <w:r>
        <w:rPr>
          <w:rFonts w:ascii="Times New Roman" w:cs="Times New Roman" w:eastAsia="Calibri" w:hAnsi="Times New Roman"/>
          <w:iCs/>
          <w:color w:val="000000"/>
          <w:sz w:val="24"/>
          <w:szCs w:val="24"/>
          <w:lang w:val="en-AU"/>
        </w:rPr>
        <w:t>, 2021). Applying flow theory</w:t>
      </w:r>
      <w:r>
        <w:rPr>
          <w:rFonts w:ascii="Times New Roman" w:cs="Times New Roman" w:eastAsia="Calibri" w:hAnsi="Times New Roman"/>
          <w:color w:val="000000"/>
          <w:sz w:val="24"/>
          <w:szCs w:val="24"/>
          <w:lang w:val="en-AU"/>
        </w:rPr>
        <w:t xml:space="preserve"> to social media design involves tailoring the challenges, such as content variety and interaction opportunities, to align with users' preferences and skill levels, ensuring an ongoing state of engagement (Carlson et al., 2019). This deliberate arrangement of flow-inducing elements captures users' attention, resulting in an immersive experience that goes beyond mere interaction and becomes an inherently satisfying online activity (</w:t>
      </w:r>
      <w:r>
        <w:rPr>
          <w:rFonts w:ascii="Times New Roman" w:cs="Times New Roman" w:eastAsia="Calibri" w:hAnsi="Times New Roman"/>
          <w:color w:val="000000"/>
          <w:sz w:val="24"/>
          <w:szCs w:val="24"/>
          <w:lang w:val="en-AU"/>
        </w:rPr>
        <w:t>Vinerean</w:t>
      </w:r>
      <w:r>
        <w:rPr>
          <w:rFonts w:ascii="Times New Roman" w:cs="Times New Roman" w:eastAsia="Calibri" w:hAnsi="Times New Roman"/>
          <w:color w:val="000000"/>
          <w:sz w:val="24"/>
          <w:szCs w:val="24"/>
          <w:lang w:val="en-AU"/>
        </w:rPr>
        <w:t xml:space="preserve"> &amp; </w:t>
      </w:r>
      <w:r>
        <w:rPr>
          <w:rFonts w:ascii="Times New Roman" w:cs="Times New Roman" w:eastAsia="Calibri" w:hAnsi="Times New Roman"/>
          <w:color w:val="000000"/>
          <w:sz w:val="24"/>
          <w:szCs w:val="24"/>
          <w:lang w:val="en-AU"/>
        </w:rPr>
        <w:t>Opreana</w:t>
      </w:r>
      <w:r>
        <w:rPr>
          <w:rFonts w:ascii="Times New Roman" w:cs="Times New Roman" w:eastAsia="Calibri" w:hAnsi="Times New Roman"/>
          <w:color w:val="000000"/>
          <w:sz w:val="24"/>
          <w:szCs w:val="24"/>
          <w:lang w:val="en-AU"/>
        </w:rPr>
        <w:t xml:space="preserve">, 2021). In essence, </w:t>
      </w:r>
      <w:r>
        <w:rPr>
          <w:rFonts w:ascii="Times New Roman" w:cs="Times New Roman" w:eastAsia="Calibri" w:hAnsi="Times New Roman"/>
          <w:iCs/>
          <w:color w:val="000000"/>
          <w:sz w:val="24"/>
          <w:szCs w:val="24"/>
          <w:lang w:val="en-AU"/>
        </w:rPr>
        <w:t>flow theory is</w:t>
      </w:r>
      <w:r>
        <w:rPr>
          <w:rFonts w:ascii="Times New Roman" w:cs="Times New Roman" w:eastAsia="Calibri" w:hAnsi="Times New Roman"/>
          <w:color w:val="000000"/>
          <w:sz w:val="24"/>
          <w:szCs w:val="24"/>
          <w:lang w:val="en-AU"/>
        </w:rPr>
        <w:t xml:space="preserve"> a very important construct with profound implications for marketers and practitioners. It serves as an important marker for creating experiences that immerse consumers in states of heightened engagement (</w:t>
      </w:r>
      <w:r>
        <w:rPr>
          <w:rFonts w:ascii="Times New Roman" w:cs="Times New Roman" w:eastAsia="Calibri" w:hAnsi="Times New Roman"/>
          <w:color w:val="000000"/>
          <w:sz w:val="24"/>
          <w:szCs w:val="24"/>
          <w:lang w:val="en-AU"/>
        </w:rPr>
        <w:t>Gvili</w:t>
      </w:r>
      <w:r>
        <w:rPr>
          <w:rFonts w:ascii="Times New Roman" w:cs="Times New Roman" w:eastAsia="Calibri" w:hAnsi="Times New Roman"/>
          <w:color w:val="000000"/>
          <w:sz w:val="24"/>
          <w:szCs w:val="24"/>
          <w:lang w:val="en-AU"/>
        </w:rPr>
        <w:t xml:space="preserve"> &amp; Shalom, 2021). Its principles resonate particularly strongly in interactive media contexts, where the pursuit of sustained immersion and enjoyment </w:t>
      </w:r>
      <w:r>
        <w:rPr>
          <w:rFonts w:ascii="Times New Roman" w:cs="Times New Roman" w:eastAsia="Calibri" w:hAnsi="Times New Roman"/>
          <w:color w:val="000000"/>
          <w:sz w:val="24"/>
          <w:szCs w:val="24"/>
          <w:lang w:val="en-AU"/>
        </w:rPr>
        <w:t>is most important. Marketers and designers navigate the intricate terrain of CE and satisfaction, forging deeper connections with their target audiences and enhancing the efficacy of their efforts (</w:t>
      </w:r>
      <w:r>
        <w:rPr>
          <w:rFonts w:ascii="Times New Roman" w:cs="Times New Roman" w:eastAsia="Calibri" w:hAnsi="Times New Roman"/>
          <w:color w:val="000000"/>
          <w:sz w:val="24"/>
          <w:szCs w:val="24"/>
          <w:lang w:val="en-AU"/>
        </w:rPr>
        <w:t>Gvili</w:t>
      </w:r>
      <w:r>
        <w:rPr>
          <w:rFonts w:ascii="Times New Roman" w:cs="Times New Roman" w:eastAsia="Calibri" w:hAnsi="Times New Roman"/>
          <w:color w:val="000000"/>
          <w:sz w:val="24"/>
          <w:szCs w:val="24"/>
          <w:lang w:val="en-AU"/>
        </w:rPr>
        <w:t xml:space="preserve"> &amp; Levy, 2021).</w:t>
      </w:r>
    </w:p>
    <w:p>
      <w:pPr>
        <w:pStyle w:val="style179"/>
        <w:numPr>
          <w:ilvl w:val="0"/>
          <w:numId w:val="2"/>
        </w:numPr>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Narrative Transportation Theory</w:t>
      </w:r>
    </w:p>
    <w:p>
      <w:pPr>
        <w:pStyle w:val="style179"/>
        <w:spacing w:after="0" w:lineRule="auto" w:line="24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Crafted by Green and Brock (2000), </w:t>
      </w:r>
      <w:r>
        <w:rPr>
          <w:rFonts w:ascii="Times New Roman" w:cs="Times New Roman" w:eastAsia="Calibri" w:hAnsi="Times New Roman"/>
          <w:iCs/>
          <w:color w:val="000000"/>
          <w:sz w:val="24"/>
          <w:szCs w:val="24"/>
          <w:lang w:val="en-AU"/>
        </w:rPr>
        <w:t>narrative transportation theory</w:t>
      </w:r>
      <w:r>
        <w:rPr>
          <w:rFonts w:ascii="Times New Roman" w:cs="Times New Roman" w:eastAsia="Calibri" w:hAnsi="Times New Roman"/>
          <w:color w:val="000000"/>
          <w:sz w:val="24"/>
          <w:szCs w:val="24"/>
          <w:lang w:val="en-AU"/>
        </w:rPr>
        <w:t xml:space="preserve"> is a seminal and robust theoretical framework within the field of communication studies and narrative psychology (Hudson et al., 2016). This theoretical construct proclaims a foundational assertion, positing that representations endowed with potent narrative force have the transformative capacity to boost consumers into an alternative cognitive realm, engendering profound and immersive captivation within the narrative's constructed cognitive domain (Andrade, 2020). The essence of this theory lies in its proposition that, when skilfully executed, storytelling achieves the remarkable feat of inducing a heightened state of CE. This elevated engagement is not merely superficial involvement; rather, it entails cognitive immersion wherein individuals are profoundly subsumed within the intricately woven fabric of the narrative's compelling arc (Andrade, 2020).</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This storytelling structure, integral to the craft, acts as the pathway through which individuals navigate, undertaking a psychological journey. In this context, they assume a standpoint aligned with the narrative's characters, fostering a heightened level of empathy and emotional investment in the developing plot (Radcliffe &amp; Lam, 2017). Essentially, this theory introduces the idea that effective storytelling transports individuals into an alternative mental state characterised by a cognitive and emotional connection with the narrative framework (Cheung et al., 2019). This narrative shift is not a passive process, but a deeply engaging and participatory encounter, where individuals willingly suspend disbelief and yield to the message’s captivating influence, actively contributing to the co-creation of the narrative's meaning and significance (Dolan et al., 2019).</w:t>
      </w:r>
    </w:p>
    <w:p>
      <w:pPr>
        <w:pStyle w:val="style179"/>
        <w:numPr>
          <w:ilvl w:val="0"/>
          <w:numId w:val="2"/>
        </w:numPr>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Social Identity Theory</w:t>
      </w:r>
    </w:p>
    <w:p>
      <w:pPr>
        <w:pStyle w:val="style0"/>
        <w:spacing w:lineRule="auto" w:line="24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Emerging from the seminal research of Tajfel and Turner (1979), </w:t>
      </w:r>
      <w:r>
        <w:rPr>
          <w:rFonts w:ascii="Times New Roman" w:cs="Times New Roman" w:eastAsia="Calibri" w:hAnsi="Times New Roman"/>
          <w:iCs/>
          <w:color w:val="000000"/>
          <w:sz w:val="24"/>
          <w:szCs w:val="24"/>
          <w:lang w:val="en-AU"/>
        </w:rPr>
        <w:t>social identity theory (SIT)</w:t>
      </w:r>
      <w:r>
        <w:rPr>
          <w:rFonts w:ascii="Times New Roman" w:cs="Times New Roman" w:eastAsia="Calibri" w:hAnsi="Times New Roman"/>
          <w:color w:val="000000"/>
          <w:sz w:val="24"/>
          <w:szCs w:val="24"/>
          <w:lang w:val="en-AU"/>
        </w:rPr>
        <w:t xml:space="preserve"> is a foundational and influential construct in social psychology and group dynamics (Abuljadail, 2017). At its core, this theory postulates that individuals possess an inherent propensity to categorise themselves into social groups, a process integral to constructing their self-identity and self-concept. In marketing, applying this theory transcends conceptualisation; it extends into the strategic sphere, aligning products or campaigns with the salient group memberships that define consumers' social identities (Taha, 2020). The foundational tenet of </w:t>
      </w:r>
      <w:r>
        <w:rPr>
          <w:rFonts w:ascii="Times New Roman" w:cs="Times New Roman" w:eastAsia="Calibri" w:hAnsi="Times New Roman"/>
          <w:iCs/>
          <w:color w:val="000000"/>
          <w:sz w:val="24"/>
          <w:szCs w:val="24"/>
          <w:lang w:val="en-AU"/>
        </w:rPr>
        <w:t>social identity theory</w:t>
      </w:r>
      <w:r>
        <w:rPr>
          <w:rFonts w:ascii="Times New Roman" w:cs="Times New Roman" w:eastAsia="Calibri" w:hAnsi="Times New Roman"/>
          <w:color w:val="000000"/>
          <w:sz w:val="24"/>
          <w:szCs w:val="24"/>
          <w:lang w:val="en-AU"/>
        </w:rPr>
        <w:t xml:space="preserve"> is grounded in recognising that individuals do not exist in isolation but are integral members of various social collectives and communities (Taha, 2020). These group affiliations include various categories, not limited to cultural, ethnic, national, gender, professional, and interest-based groups. The intrinsic implications are that individuals derive most of their self-identity and self-esteem from their membership in these groups, influencing their perceptions, attitudes, and behaviours (Abuljadail, 2017). In marketing, the strategic application of </w:t>
      </w:r>
      <w:r>
        <w:rPr>
          <w:rFonts w:ascii="Times New Roman" w:cs="Times New Roman" w:eastAsia="Calibri" w:hAnsi="Times New Roman"/>
          <w:iCs/>
          <w:color w:val="000000"/>
          <w:sz w:val="24"/>
          <w:szCs w:val="24"/>
          <w:lang w:val="en-AU"/>
        </w:rPr>
        <w:t>social identity theory</w:t>
      </w:r>
      <w:r>
        <w:rPr>
          <w:rFonts w:ascii="Times New Roman" w:cs="Times New Roman" w:eastAsia="Calibri" w:hAnsi="Times New Roman"/>
          <w:color w:val="000000"/>
          <w:sz w:val="24"/>
          <w:szCs w:val="24"/>
          <w:lang w:val="en-AU"/>
        </w:rPr>
        <w:t xml:space="preserve"> affirms the importance of marketing to groups that help form consumer attitudes and social identities (</w:t>
      </w:r>
      <w:r>
        <w:rPr>
          <w:rFonts w:ascii="Times New Roman" w:cs="Times New Roman" w:eastAsia="Calibri" w:hAnsi="Times New Roman"/>
          <w:color w:val="000000"/>
          <w:sz w:val="24"/>
          <w:szCs w:val="24"/>
          <w:lang w:val="en-AU"/>
        </w:rPr>
        <w:t>Jashari</w:t>
      </w:r>
      <w:r>
        <w:rPr>
          <w:rFonts w:ascii="Times New Roman" w:cs="Times New Roman" w:eastAsia="Calibri" w:hAnsi="Times New Roman"/>
          <w:color w:val="000000"/>
          <w:sz w:val="24"/>
          <w:szCs w:val="24"/>
          <w:lang w:val="en-AU"/>
        </w:rPr>
        <w:t xml:space="preserve"> &amp; </w:t>
      </w:r>
      <w:r>
        <w:rPr>
          <w:rFonts w:ascii="Times New Roman" w:cs="Times New Roman" w:eastAsia="Calibri" w:hAnsi="Times New Roman"/>
          <w:color w:val="000000"/>
          <w:sz w:val="24"/>
          <w:szCs w:val="24"/>
          <w:lang w:val="en-AU"/>
        </w:rPr>
        <w:t>Rrustemi</w:t>
      </w:r>
      <w:r>
        <w:rPr>
          <w:rFonts w:ascii="Times New Roman" w:cs="Times New Roman" w:eastAsia="Calibri" w:hAnsi="Times New Roman"/>
          <w:color w:val="000000"/>
          <w:sz w:val="24"/>
          <w:szCs w:val="24"/>
          <w:lang w:val="en-AU"/>
        </w:rPr>
        <w:t xml:space="preserve">, 2017). This alignment is rooted in the understanding that individuals are inherently motivated to affiliate and identify with those social groups that mirror their self-concept and desired social identity. Consequently, marketers leverage the </w:t>
      </w:r>
      <w:r>
        <w:rPr>
          <w:rFonts w:ascii="Times New Roman" w:cs="Times New Roman" w:eastAsia="Calibri" w:hAnsi="Times New Roman"/>
          <w:color w:val="000000"/>
          <w:sz w:val="24"/>
          <w:szCs w:val="24"/>
          <w:lang w:val="en-AU"/>
        </w:rPr>
        <w:t>psychological mechanisms of social identity formation and group identification to galvanise consumer engagement (</w:t>
      </w:r>
      <w:r>
        <w:rPr>
          <w:rFonts w:ascii="Times New Roman" w:cs="Times New Roman" w:eastAsia="Calibri" w:hAnsi="Times New Roman"/>
          <w:color w:val="000000"/>
          <w:sz w:val="24"/>
          <w:szCs w:val="24"/>
          <w:lang w:val="en-AU"/>
        </w:rPr>
        <w:t>Jashari</w:t>
      </w:r>
      <w:r>
        <w:rPr>
          <w:rFonts w:ascii="Times New Roman" w:cs="Times New Roman" w:eastAsia="Calibri" w:hAnsi="Times New Roman"/>
          <w:color w:val="000000"/>
          <w:sz w:val="24"/>
          <w:szCs w:val="24"/>
          <w:lang w:val="en-AU"/>
        </w:rPr>
        <w:t xml:space="preserve"> &amp; </w:t>
      </w:r>
      <w:r>
        <w:rPr>
          <w:rFonts w:ascii="Times New Roman" w:cs="Times New Roman" w:eastAsia="Calibri" w:hAnsi="Times New Roman"/>
          <w:color w:val="000000"/>
          <w:sz w:val="24"/>
          <w:szCs w:val="24"/>
          <w:lang w:val="en-AU"/>
        </w:rPr>
        <w:t>Rrustemi</w:t>
      </w:r>
      <w:r>
        <w:rPr>
          <w:rFonts w:ascii="Times New Roman" w:cs="Times New Roman" w:eastAsia="Calibri" w:hAnsi="Times New Roman"/>
          <w:color w:val="000000"/>
          <w:sz w:val="24"/>
          <w:szCs w:val="24"/>
          <w:lang w:val="en-AU"/>
        </w:rPr>
        <w:t>, 2017). By strategically crafting products or campaigns that resonate with the core values, norms, and aspirations of specific social groups, marketers facilitate the group identification process (Al-Jabri et al., 2015). This strategic alignment resonates with consumers, who, in turn, become more engaged with the marketed offerings. This engagement transcends product use and includes the emotional and symbolic domains, where consumers perceive the brand or product as a means of expressing and affirming their group membership (</w:t>
      </w:r>
      <w:r>
        <w:rPr>
          <w:rFonts w:ascii="Times New Roman" w:cs="Times New Roman" w:eastAsia="Calibri" w:hAnsi="Times New Roman"/>
          <w:color w:val="000000"/>
          <w:sz w:val="24"/>
          <w:szCs w:val="24"/>
          <w:lang w:val="en-AU"/>
        </w:rPr>
        <w:t>Jashari</w:t>
      </w:r>
      <w:r>
        <w:rPr>
          <w:rFonts w:ascii="Times New Roman" w:cs="Times New Roman" w:eastAsia="Calibri" w:hAnsi="Times New Roman"/>
          <w:color w:val="000000"/>
          <w:sz w:val="24"/>
          <w:szCs w:val="24"/>
          <w:lang w:val="en-AU"/>
        </w:rPr>
        <w:t xml:space="preserve"> &amp; </w:t>
      </w:r>
      <w:r>
        <w:rPr>
          <w:rFonts w:ascii="Times New Roman" w:cs="Times New Roman" w:eastAsia="Calibri" w:hAnsi="Times New Roman"/>
          <w:color w:val="000000"/>
          <w:sz w:val="24"/>
          <w:szCs w:val="24"/>
          <w:lang w:val="en-AU"/>
        </w:rPr>
        <w:t>Rrustemi</w:t>
      </w:r>
      <w:r>
        <w:rPr>
          <w:rFonts w:ascii="Times New Roman" w:cs="Times New Roman" w:eastAsia="Calibri" w:hAnsi="Times New Roman"/>
          <w:color w:val="000000"/>
          <w:sz w:val="24"/>
          <w:szCs w:val="24"/>
          <w:lang w:val="en-AU"/>
        </w:rPr>
        <w:t>, 2017).</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The application of </w:t>
      </w:r>
      <w:r>
        <w:rPr>
          <w:rFonts w:ascii="Times New Roman" w:cs="Times New Roman" w:eastAsia="Calibri" w:hAnsi="Times New Roman"/>
          <w:iCs/>
          <w:color w:val="000000"/>
          <w:sz w:val="24"/>
          <w:szCs w:val="24"/>
          <w:lang w:val="en-AU"/>
        </w:rPr>
        <w:t xml:space="preserve">social identity theory </w:t>
      </w:r>
      <w:r>
        <w:rPr>
          <w:rFonts w:ascii="Times New Roman" w:cs="Times New Roman" w:eastAsia="Calibri" w:hAnsi="Times New Roman"/>
          <w:color w:val="000000"/>
          <w:sz w:val="24"/>
          <w:szCs w:val="24"/>
          <w:lang w:val="en-AU"/>
        </w:rPr>
        <w:t xml:space="preserve">underscores the significance of context and social influence in shaping consumer behaviour. It acknowledges that the preferences and choices of individuals are, to a considerable extent, influenced by the norms and behaviours of their reference groups. As such, marketers seek to position their offerings as fulfilling individual needs and aligning with the collective identity and aspirations of targeted social groups (Taha, 2020). </w:t>
      </w:r>
      <w:r>
        <w:rPr>
          <w:rFonts w:ascii="Times New Roman" w:cs="Times New Roman" w:eastAsia="Calibri" w:hAnsi="Times New Roman"/>
          <w:iCs/>
          <w:color w:val="000000"/>
          <w:sz w:val="24"/>
          <w:szCs w:val="24"/>
          <w:lang w:val="en-AU"/>
        </w:rPr>
        <w:t>Social identity theory (SIT),</w:t>
      </w:r>
      <w:r>
        <w:rPr>
          <w:rFonts w:ascii="Times New Roman" w:cs="Times New Roman" w:eastAsia="Calibri" w:hAnsi="Times New Roman"/>
          <w:color w:val="000000"/>
          <w:sz w:val="24"/>
          <w:szCs w:val="24"/>
          <w:lang w:val="en-AU"/>
        </w:rPr>
        <w:t xml:space="preserve"> rooted in Tajfel and Turner's seminal work in 1979, is fundamental in social psychology and group dynamics (Abuljadail, 2017). It posits that individuals categorise themselves into social groups, shaping self-identity. In marketing, SIT guides strategies aligning products with consumers' social identities (Taha, 2020). Recognising individuals as part of diverse social collectives (cultural, ethnic, national, gender, professional, and interest-based), marketers strategically apply </w:t>
      </w:r>
      <w:r>
        <w:rPr>
          <w:rFonts w:ascii="Times New Roman" w:cs="Times New Roman" w:eastAsia="Calibri" w:hAnsi="Times New Roman"/>
          <w:iCs/>
          <w:color w:val="000000"/>
          <w:sz w:val="24"/>
          <w:szCs w:val="24"/>
          <w:lang w:val="en-AU"/>
        </w:rPr>
        <w:t>social identity theory to target groups influencing consumer attitudes (</w:t>
      </w:r>
      <w:r>
        <w:rPr>
          <w:rFonts w:ascii="Times New Roman" w:cs="Times New Roman" w:eastAsia="Calibri" w:hAnsi="Times New Roman"/>
          <w:iCs/>
          <w:color w:val="000000"/>
          <w:sz w:val="24"/>
          <w:szCs w:val="24"/>
          <w:lang w:val="en-AU"/>
        </w:rPr>
        <w:t>Jashari</w:t>
      </w:r>
      <w:r>
        <w:rPr>
          <w:rFonts w:ascii="Times New Roman" w:cs="Times New Roman" w:eastAsia="Calibri" w:hAnsi="Times New Roman"/>
          <w:iCs/>
          <w:color w:val="000000"/>
          <w:sz w:val="24"/>
          <w:szCs w:val="24"/>
          <w:lang w:val="en-AU"/>
        </w:rPr>
        <w:t xml:space="preserve"> &amp; </w:t>
      </w:r>
      <w:r>
        <w:rPr>
          <w:rFonts w:ascii="Times New Roman" w:cs="Times New Roman" w:eastAsia="Calibri" w:hAnsi="Times New Roman"/>
          <w:iCs/>
          <w:color w:val="000000"/>
          <w:sz w:val="24"/>
          <w:szCs w:val="24"/>
          <w:lang w:val="en-AU"/>
        </w:rPr>
        <w:t>Rrustemi</w:t>
      </w:r>
      <w:r>
        <w:rPr>
          <w:rFonts w:ascii="Times New Roman" w:cs="Times New Roman" w:eastAsia="Calibri" w:hAnsi="Times New Roman"/>
          <w:iCs/>
          <w:color w:val="000000"/>
          <w:sz w:val="24"/>
          <w:szCs w:val="24"/>
          <w:lang w:val="en-AU"/>
        </w:rPr>
        <w:t>, 2017). Tailoring products to specific group values fosters engagement beyond product use (Al-Jabri et al., 2015). Engagement extends to emotional and symbolic domains, where consumers see brands as expressions of group membership (</w:t>
      </w:r>
      <w:r>
        <w:rPr>
          <w:rFonts w:ascii="Times New Roman" w:cs="Times New Roman" w:eastAsia="Calibri" w:hAnsi="Times New Roman"/>
          <w:iCs/>
          <w:color w:val="000000"/>
          <w:sz w:val="24"/>
          <w:szCs w:val="24"/>
          <w:lang w:val="en-AU"/>
        </w:rPr>
        <w:t>Jashari</w:t>
      </w:r>
      <w:r>
        <w:rPr>
          <w:rFonts w:ascii="Times New Roman" w:cs="Times New Roman" w:eastAsia="Calibri" w:hAnsi="Times New Roman"/>
          <w:iCs/>
          <w:color w:val="000000"/>
          <w:sz w:val="24"/>
          <w:szCs w:val="24"/>
          <w:lang w:val="en-AU"/>
        </w:rPr>
        <w:t xml:space="preserve"> &amp; </w:t>
      </w:r>
      <w:r>
        <w:rPr>
          <w:rFonts w:ascii="Times New Roman" w:cs="Times New Roman" w:eastAsia="Calibri" w:hAnsi="Times New Roman"/>
          <w:iCs/>
          <w:color w:val="000000"/>
          <w:sz w:val="24"/>
          <w:szCs w:val="24"/>
          <w:lang w:val="en-AU"/>
        </w:rPr>
        <w:t>Rrustemi</w:t>
      </w:r>
      <w:r>
        <w:rPr>
          <w:rFonts w:ascii="Times New Roman" w:cs="Times New Roman" w:eastAsia="Calibri" w:hAnsi="Times New Roman"/>
          <w:iCs/>
          <w:color w:val="000000"/>
          <w:sz w:val="24"/>
          <w:szCs w:val="24"/>
          <w:lang w:val="en-AU"/>
        </w:rPr>
        <w:t xml:space="preserve">, 2017). Social identity theory </w:t>
      </w:r>
      <w:r>
        <w:rPr>
          <w:rFonts w:ascii="Times New Roman" w:cs="Times New Roman" w:eastAsia="Calibri" w:hAnsi="Times New Roman"/>
          <w:color w:val="000000"/>
          <w:sz w:val="24"/>
          <w:szCs w:val="24"/>
          <w:lang w:val="en-AU"/>
        </w:rPr>
        <w:t>highlights context and social influence in shaping consumer behaviour, guiding marketers to align offerings with collective identities (Taha, 2020).</w:t>
      </w:r>
    </w:p>
    <w:p>
      <w:pPr>
        <w:pStyle w:val="style179"/>
        <w:numPr>
          <w:ilvl w:val="0"/>
          <w:numId w:val="2"/>
        </w:numPr>
        <w:tabs>
          <w:tab w:val="left" w:leader="none" w:pos="720"/>
          <w:tab w:val="left" w:leader="none" w:pos="1440"/>
          <w:tab w:val="left" w:leader="none" w:pos="2160"/>
          <w:tab w:val="left" w:leader="none" w:pos="2880"/>
          <w:tab w:val="left" w:leader="none" w:pos="3600"/>
          <w:tab w:val="left" w:leader="none" w:pos="8055"/>
        </w:tabs>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Expectancy Value Theory</w:t>
      </w:r>
      <w:r>
        <w:rPr>
          <w:rFonts w:ascii="Times New Roman" w:cs="Times New Roman" w:eastAsia="Calibri" w:hAnsi="Times New Roman"/>
          <w:color w:val="000000"/>
          <w:sz w:val="24"/>
          <w:szCs w:val="24"/>
          <w:lang w:val="en-AU"/>
        </w:rPr>
        <w:tab/>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Embedded within the </w:t>
      </w:r>
      <w:r>
        <w:rPr>
          <w:rFonts w:ascii="Times New Roman" w:cs="Times New Roman" w:eastAsia="Calibri" w:hAnsi="Times New Roman"/>
          <w:iCs/>
          <w:color w:val="000000"/>
          <w:sz w:val="24"/>
          <w:szCs w:val="24"/>
          <w:lang w:val="en-AU"/>
        </w:rPr>
        <w:t>expectancy value paradigms of consumer behaviour theory</w:t>
      </w:r>
      <w:r>
        <w:rPr>
          <w:rFonts w:ascii="Times New Roman" w:cs="Times New Roman" w:eastAsia="Calibri" w:hAnsi="Times New Roman"/>
          <w:color w:val="000000"/>
          <w:sz w:val="24"/>
          <w:szCs w:val="24"/>
          <w:lang w:val="en-AU"/>
        </w:rPr>
        <w:t>, this theoretical framework proposes that CE is intricately linked to the interplay of perceived value and anticipatory assessments ascribed to a product or brand (Taha, 2020). In essence, CE emerges as an outcome intricately intertwined with the evaluations undertaken by individuals concerning a particular offering. Specifically, the proclivity of consumers to engage depends on the cognitive processes through which they understand the utility and desirability of a given product or brand proposition (Shah et al., 2019). This theory recognises that consumers actively engage in a multifaceted evaluation process when considering a product or brand. They assess the tangible and intangible attributes, as well as the perceived benefits, of the offering in question. This evaluation encompasses functional utility, quality, price, and other pertinent factors contributing to the overall perceived value of the product or brand (Sawhney et al., 2015). Moreover, the theory underscores the significance of anticipatory assessments in shaping CE. These assessments include the expectations and anticipations held by consumers regarding the forthcoming interaction with the product or brand. Positive expectations indicate an optimistic outlook, where consumers anticipate satisfying experiences, while negative expectations signal potential reservations or concerns. This anticipatory facet plays a pivotal role in shaping subsequent consumer behaviour, including the level of engagement (Weng &amp; Rasul, 2022).</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The perceived perceptions of value from favourable evaluations of the product's attributes and benefits, as well as the positive expectations of perceived interaction, are integral CE drivers (Weng &amp; Rasul, 2022). When consumers perceive that the product or brand aligns with their needs, preferences, and aspirations, and when they harbour positive expectations regarding the potential outcomes of their engagement, there is a greater likelihood of increased engagement (Rosenbaum &amp; Seger-Guttmann, 2017). Furthermore, this theoretical framework acknowledges that consumer engagement is not a static or one-dimensional factor but that it fluctuates and evolves around CE. Consumer engagement levels may vary across different consumer journeys and in response to various situational factors. Effective marketing strategies should consider the dynamic nature of CE, offering tailored value propositions and managing expectations throughout the consumer's interaction with the brand or product (Weng &amp; Rasul, 2022).</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This theory, firmly rooted in </w:t>
      </w:r>
      <w:r>
        <w:rPr>
          <w:rFonts w:ascii="Times New Roman" w:cs="Times New Roman" w:eastAsia="Calibri" w:hAnsi="Times New Roman"/>
          <w:iCs/>
          <w:color w:val="000000"/>
          <w:sz w:val="24"/>
          <w:szCs w:val="24"/>
          <w:lang w:val="en-AU"/>
        </w:rPr>
        <w:t xml:space="preserve">expectancy-value </w:t>
      </w:r>
      <w:r>
        <w:rPr>
          <w:rFonts w:ascii="Times New Roman" w:cs="Times New Roman" w:eastAsia="Calibri" w:hAnsi="Times New Roman"/>
          <w:color w:val="000000"/>
          <w:sz w:val="24"/>
          <w:szCs w:val="24"/>
          <w:lang w:val="en-AU"/>
        </w:rPr>
        <w:t>paradigms, advances a convincing perspective on CE, underscoring its intrinsic connection to perceived value and anticipatory assessments (Algesheimer et al., 2005). The cognitive processes through which consumers evaluate a product or brand and their expectations significantly influence their engagement. This framework provides a robust conceptual foundation for marketers, highlighting the importance of crafting offerings that resonate with consumers' needs and aspirations and managing expectations to foster and sustain heightened CE levels (Algesheimer et al., 2005).</w:t>
      </w:r>
    </w:p>
    <w:p>
      <w:pPr>
        <w:pStyle w:val="style179"/>
        <w:numPr>
          <w:ilvl w:val="0"/>
          <w:numId w:val="2"/>
        </w:numPr>
        <w:spacing w:after="0"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color w:val="000000"/>
          <w:sz w:val="24"/>
          <w:szCs w:val="24"/>
          <w:lang w:val="en-AU"/>
        </w:rPr>
        <w:t xml:space="preserve">Expectancy Theory of Motivation by Vroom </w:t>
      </w:r>
    </w:p>
    <w:p>
      <w:pPr>
        <w:pStyle w:val="style179"/>
        <w:spacing w:after="0" w:lineRule="auto" w:line="240"/>
        <w:jc w:val="both"/>
        <w:rPr>
          <w:rFonts w:ascii="Times New Roman" w:cs="Times New Roman" w:eastAsia="Calibri" w:hAnsi="Times New Roman"/>
          <w:color w:val="000000"/>
          <w:sz w:val="24"/>
          <w:szCs w:val="24"/>
          <w:lang w:val="en-AU"/>
        </w:rPr>
      </w:pP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iCs/>
          <w:color w:val="000000"/>
          <w:sz w:val="24"/>
          <w:szCs w:val="24"/>
          <w:lang w:val="en-AU"/>
        </w:rPr>
        <w:t>Victor Vroom’s expectancy theory of motivation</w:t>
      </w:r>
      <w:r>
        <w:rPr>
          <w:rFonts w:ascii="Times New Roman" w:cs="Times New Roman" w:eastAsia="Calibri" w:hAnsi="Times New Roman"/>
          <w:color w:val="000000"/>
          <w:sz w:val="24"/>
          <w:szCs w:val="24"/>
          <w:lang w:val="en-AU"/>
        </w:rPr>
        <w:t xml:space="preserve"> adds another layer focusing on the intrinsic relationship between effort, performance, and outcomes in driving human behaviour (Vroom, 1964). Within CE, Vroom's theory postulates that individuals are more likely to engage with a product or brand when they believe their efforts, such as researching, purchasing, or interacting, will yield positive outcomes. This belief system aligns seamlessly with the anticipatory assessments underscored in the expectancy value theory. Positive expectations, representing the anticipated positive outcomes, shape CE decisions. Their engagement choices are intricately linked to their perceptions of effort and expected favourable outcomes (Weng &amp; Rasul, 2022).</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iCs/>
          <w:color w:val="000000"/>
          <w:sz w:val="24"/>
          <w:szCs w:val="24"/>
          <w:lang w:val="en-AU"/>
        </w:rPr>
        <w:t>Kurt Lewin's force field analysis, as applied to the expectancy value theory, considers the intricate balance between the driving forces propelling change and the restraining forces impeding it (Lewin, 1951). Within consumer behaviour, this conceptualisation clarifies the psychological dynamics influencing consumer' decision-making processes regarding engagements. Lewin's framework posits that CE can be seen as the outcome of continuous evaluation, weighing their desires to engage (the driving forces) against perceived obstacles or uncertainties (the restraining forces). This approach aligns seamlessly with expectancy value theory's</w:t>
      </w:r>
      <w:r>
        <w:rPr>
          <w:rFonts w:ascii="Times New Roman" w:cs="Times New Roman" w:eastAsia="Calibri" w:hAnsi="Times New Roman"/>
          <w:color w:val="000000"/>
          <w:sz w:val="24"/>
          <w:szCs w:val="24"/>
          <w:lang w:val="en-AU"/>
        </w:rPr>
        <w:t xml:space="preserve"> emphasis on anticipatory assessments. The positive expectations act as driving forces, fuelling consumers' willingness to engage, while negative expectations act as restraining forces, curbing their inclination to engage (Weng &amp; Rasul, 2022).</w:t>
      </w:r>
    </w:p>
    <w:p>
      <w:pPr>
        <w:pStyle w:val="style0"/>
        <w:spacing w:lineRule="auto" w:line="240"/>
        <w:jc w:val="both"/>
        <w:rPr>
          <w:rFonts w:ascii="Times New Roman" w:cs="Times New Roman" w:eastAsia="Calibri" w:hAnsi="Times New Roman"/>
          <w:color w:val="000000"/>
          <w:sz w:val="24"/>
          <w:szCs w:val="24"/>
          <w:lang w:val="en-AU"/>
        </w:rPr>
      </w:pPr>
      <w:r>
        <w:rPr>
          <w:rFonts w:ascii="Times New Roman" w:cs="Times New Roman" w:eastAsia="Calibri" w:hAnsi="Times New Roman"/>
          <w:iCs/>
          <w:color w:val="000000"/>
          <w:sz w:val="24"/>
          <w:szCs w:val="24"/>
          <w:lang w:val="en-AU"/>
        </w:rPr>
        <w:t>Jacquelynne</w:t>
      </w:r>
      <w:r>
        <w:rPr>
          <w:rFonts w:ascii="Times New Roman" w:cs="Times New Roman" w:eastAsia="Calibri" w:hAnsi="Times New Roman"/>
          <w:iCs/>
          <w:color w:val="000000"/>
          <w:sz w:val="24"/>
          <w:szCs w:val="24"/>
          <w:lang w:val="en-AU"/>
        </w:rPr>
        <w:t xml:space="preserve"> Eccles’ contribution</w:t>
      </w:r>
      <w:r>
        <w:rPr>
          <w:rFonts w:ascii="Times New Roman" w:cs="Times New Roman" w:eastAsia="Calibri" w:hAnsi="Times New Roman"/>
          <w:color w:val="000000"/>
          <w:sz w:val="24"/>
          <w:szCs w:val="24"/>
          <w:lang w:val="en-AU"/>
        </w:rPr>
        <w:t xml:space="preserve">, particularly in educational contexts, emphasises the influential role of social and environmental factors, including social norms, peer interactions, and family influences, in shaping individuals' beliefs and expectations (Eccles et al., 1983). In the context of </w:t>
      </w:r>
      <w:r>
        <w:rPr>
          <w:rFonts w:ascii="Times New Roman" w:cs="Times New Roman" w:eastAsia="Calibri" w:hAnsi="Times New Roman"/>
          <w:iCs/>
          <w:color w:val="000000"/>
          <w:sz w:val="24"/>
          <w:szCs w:val="24"/>
          <w:lang w:val="en-AU"/>
        </w:rPr>
        <w:t xml:space="preserve">expectancy value theory, Eccles </w:t>
      </w:r>
      <w:r>
        <w:rPr>
          <w:rFonts w:ascii="Times New Roman" w:cs="Times New Roman" w:eastAsia="Calibri" w:hAnsi="Times New Roman"/>
          <w:color w:val="000000"/>
          <w:sz w:val="24"/>
          <w:szCs w:val="24"/>
          <w:lang w:val="en-AU"/>
        </w:rPr>
        <w:t xml:space="preserve">highlights the crucial impact of these social and environmental factors on consumers' anticipatory assessments. Positive social influences, such as peer </w:t>
      </w:r>
      <w:r>
        <w:rPr>
          <w:rFonts w:ascii="Times New Roman" w:cs="Times New Roman" w:eastAsia="Calibri" w:hAnsi="Times New Roman"/>
          <w:color w:val="000000"/>
          <w:sz w:val="24"/>
          <w:szCs w:val="24"/>
          <w:lang w:val="en-AU"/>
        </w:rPr>
        <w:t>encouragement or alignment with social norms, contribute to favourable expectations, encouraging consumers to engage with a product or brand. In addition, negative social influences act as restraining forces, dissuading engagement by arousing doubts or reservations (Weng &amp; Rasul, 2022).</w:t>
      </w:r>
    </w:p>
    <w:bookmarkStart w:id="1" w:name="_Toc151390846"/>
    <w:p>
      <w:pPr>
        <w:pStyle w:val="style0"/>
        <w:keepNext/>
        <w:spacing w:after="0" w:lineRule="auto" w:line="240"/>
        <w:jc w:val="both"/>
        <w:rPr>
          <w:rFonts w:ascii="Times New Roman" w:cs="Times New Roman" w:eastAsia="Calibri" w:hAnsi="Times New Roman"/>
          <w:b/>
          <w:i/>
          <w:iCs/>
          <w:sz w:val="24"/>
          <w:szCs w:val="24"/>
          <w:lang w:val="en-AU"/>
        </w:rPr>
      </w:pPr>
      <w:r>
        <w:rPr>
          <w:rFonts w:ascii="Times New Roman" w:cs="Times New Roman" w:eastAsia="Calibri" w:hAnsi="Times New Roman"/>
          <w:b/>
          <w:i/>
          <w:iCs/>
          <w:sz w:val="24"/>
          <w:szCs w:val="24"/>
          <w:lang w:val="en-AU"/>
        </w:rPr>
        <w:t xml:space="preserve">Table: </w:t>
      </w:r>
      <w:r>
        <w:rPr>
          <w:rFonts w:ascii="Times New Roman" w:cs="Times New Roman" w:eastAsia="Calibri" w:hAnsi="Times New Roman"/>
          <w:i/>
          <w:iCs/>
          <w:sz w:val="24"/>
          <w:szCs w:val="24"/>
          <w:lang w:val="en-AU"/>
        </w:rPr>
        <w:t>Theories of consumer engagement</w:t>
      </w:r>
      <w:bookmarkEnd w:id="1"/>
    </w:p>
    <w:tbl>
      <w:tblPr>
        <w:tblStyle w:val="style4097"/>
        <w:tblW w:w="3750" w:type="pct"/>
        <w:jc w:val="center"/>
        <w:tblLook w:val="04A0" w:firstRow="1" w:lastRow="0" w:firstColumn="1" w:lastColumn="0" w:noHBand="0" w:noVBand="1"/>
      </w:tblPr>
      <w:tblGrid>
        <w:gridCol w:w="2341"/>
        <w:gridCol w:w="2340"/>
        <w:gridCol w:w="2339"/>
      </w:tblGrid>
      <w:tr>
        <w:trPr>
          <w:jc w:val="center"/>
        </w:trPr>
        <w:tc>
          <w:tcPr>
            <w:tcW w:w="1667" w:type="pct"/>
            <w:tcBorders/>
            <w:shd w:val="clear" w:color="auto" w:fill="auto"/>
          </w:tcPr>
          <w:p>
            <w:pPr>
              <w:pStyle w:val="style0"/>
              <w:tabs>
                <w:tab w:val="left" w:leader="none" w:pos="720"/>
                <w:tab w:val="center" w:leader="none" w:pos="1089"/>
              </w:tabs>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ab/>
            </w:r>
            <w:r>
              <w:rPr>
                <w:rFonts w:ascii="Times New Roman" w:cs="Times New Roman" w:eastAsia="Calibri" w:hAnsi="Times New Roman"/>
                <w:color w:val="000000"/>
                <w:sz w:val="24"/>
                <w:szCs w:val="24"/>
              </w:rPr>
              <w:tab/>
            </w:r>
            <w:r>
              <w:rPr>
                <w:rFonts w:ascii="Times New Roman" w:cs="Times New Roman" w:eastAsia="Calibri" w:hAnsi="Times New Roman"/>
                <w:color w:val="000000"/>
                <w:sz w:val="24"/>
                <w:szCs w:val="24"/>
              </w:rPr>
              <w:t>Model</w:t>
            </w:r>
          </w:p>
        </w:tc>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Identified by</w:t>
            </w:r>
          </w:p>
        </w:tc>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Characteristics</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Elaboration likelihood model</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Petty and Cacioppo (1986)</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Consumer engagement occupies a central and pivotal role.</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Cognitive dissonance theory</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Leon Festinger (1957)</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Individuals experience psychological discomfort when holding conflicting beliefs or attitudes, prompting them to seek consistency by adjusting their cognitions or </w:t>
            </w:r>
            <w:r>
              <w:rPr>
                <w:rFonts w:ascii="Times New Roman" w:cs="Times New Roman" w:eastAsia="Calibri" w:hAnsi="Times New Roman"/>
                <w:color w:val="000000"/>
                <w:sz w:val="24"/>
                <w:szCs w:val="24"/>
              </w:rPr>
              <w:t>behaviours</w:t>
            </w:r>
            <w:r>
              <w:rPr>
                <w:rFonts w:ascii="Times New Roman" w:cs="Times New Roman" w:eastAsia="Calibri" w:hAnsi="Times New Roman"/>
                <w:color w:val="000000"/>
                <w:sz w:val="24"/>
                <w:szCs w:val="24"/>
              </w:rPr>
              <w:t>.</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Flow theory</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Mihaly Csikszentmihalyi (1975)</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Individuals experience deep engagement and optimal satisfaction when immersed in activities that balance their skills and challenges.</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Narrative transportation theory</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Green and Brock (2000)</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Posits that immersive storytelling captivates individuals, leading them to mentally transport into a narrative.</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Social identity theory</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Tajfel and Turner (1979)</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A foundational and influential construct in social psychology and group dynamics.</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Expectancy-value theory</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Julian Rotter (1950)</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Consumers actively engage in a multifaceted evaluation process when considering a product or brand.</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r>
              <w:rPr>
                <w:rFonts w:ascii="Times New Roman" w:cs="Times New Roman" w:eastAsia="Calibri" w:hAnsi="Times New Roman"/>
                <w:color w:val="000000"/>
                <w:sz w:val="24"/>
                <w:szCs w:val="24"/>
              </w:rPr>
              <w:t xml:space="preserve">Expectancy theory of </w:t>
            </w:r>
            <w:r>
              <w:rPr>
                <w:rFonts w:ascii="Times New Roman" w:cs="Times New Roman" w:eastAsia="Calibri" w:hAnsi="Times New Roman"/>
                <w:color w:val="000000"/>
                <w:sz w:val="24"/>
                <w:szCs w:val="24"/>
              </w:rPr>
              <w:t>motivation</w:t>
            </w:r>
          </w:p>
          <w:p>
            <w:pPr>
              <w:pStyle w:val="style0"/>
              <w:jc w:val="center"/>
              <w:rPr>
                <w:rFonts w:ascii="Times New Roman" w:cs="Times New Roman" w:eastAsia="Calibri" w:hAnsi="Times New Roman"/>
                <w:b w:val="false"/>
                <w:color w:val="000000"/>
                <w:sz w:val="24"/>
                <w:szCs w:val="24"/>
              </w:rPr>
            </w:pP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Vroom (1964)</w:t>
            </w: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r>
              <w:rPr>
                <w:rFonts w:ascii="Times New Roman" w:cs="Times New Roman" w:eastAsia="Calibri" w:hAnsi="Times New Roman"/>
                <w:color w:val="000000"/>
                <w:sz w:val="24"/>
                <w:szCs w:val="24"/>
              </w:rPr>
              <w:t xml:space="preserve">Individuals are </w:t>
            </w:r>
            <w:r>
              <w:rPr>
                <w:rFonts w:ascii="Times New Roman" w:cs="Times New Roman" w:eastAsia="Calibri" w:hAnsi="Times New Roman"/>
                <w:color w:val="000000"/>
                <w:sz w:val="24"/>
                <w:szCs w:val="24"/>
              </w:rPr>
              <w:t>motivated to act in a certain way based on their beliefs.</w:t>
            </w: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p>
        </w:tc>
      </w:tr>
      <w:tr>
        <w:tblPrEx/>
        <w:trPr>
          <w:jc w:val="center"/>
        </w:trPr>
        <w:tc>
          <w:tcPr>
            <w:tcW w:w="1667" w:type="pct"/>
            <w:tcBorders/>
            <w:shd w:val="clear" w:color="auto" w:fill="auto"/>
          </w:tcPr>
          <w:p>
            <w:pPr>
              <w:pStyle w:val="style0"/>
              <w:jc w:val="center"/>
              <w:rPr>
                <w:rFonts w:ascii="Times New Roman" w:cs="Times New Roman" w:eastAsia="Calibri" w:hAnsi="Times New Roman"/>
                <w:b w:val="false"/>
                <w:color w:val="000000"/>
                <w:sz w:val="24"/>
                <w:szCs w:val="24"/>
              </w:rPr>
            </w:pP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p>
        </w:tc>
        <w:tc>
          <w:tcPr>
            <w:tcW w:w="1667" w:type="pct"/>
            <w:tcBorders/>
            <w:shd w:val="clear" w:color="auto" w:fill="auto"/>
          </w:tcPr>
          <w:p>
            <w:pPr>
              <w:pStyle w:val="style0"/>
              <w:jc w:val="center"/>
              <w:rPr>
                <w:rFonts w:ascii="Times New Roman" w:cs="Times New Roman" w:eastAsia="Calibri" w:hAnsi="Times New Roman"/>
                <w:color w:val="000000"/>
                <w:sz w:val="24"/>
                <w:szCs w:val="24"/>
              </w:rPr>
            </w:pPr>
          </w:p>
        </w:tc>
      </w:tr>
    </w:tbl>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tabs>
          <w:tab w:val="left" w:leader="none" w:pos="1335"/>
        </w:tabs>
        <w:spacing w:lineRule="auto" w:line="240"/>
        <w:jc w:val="both"/>
        <w:rPr>
          <w:rFonts w:ascii="Times New Roman" w:cs="Times New Roman" w:hAnsi="Times New Roman"/>
          <w:sz w:val="24"/>
          <w:szCs w:val="24"/>
        </w:rPr>
      </w:pPr>
      <w:r>
        <w:rPr>
          <w:rFonts w:ascii="Times New Roman" w:cs="Times New Roman" w:hAnsi="Times New Roman"/>
          <w:sz w:val="24"/>
          <w:szCs w:val="24"/>
        </w:rPr>
        <w:t>In conclusion, the analysis of consumer behavior theories, notably the Elaboration Likelihood Model (ELM), Cognitive Dissonance Theory, Flow Theory, Narrative Transportation Theory, Social Identity Theory (SIT), Expectancy Value Theory, and Expectancy Theory of Motivation by Vroom, establishes a robust framework for comprehending the cognitive, emotional, and motivational factors influencing consumer engagement across various decision-making stages. These theories shed light on the intricate dynamics shaping how individuals explore, select, acquire, use, and dispose of products and services. They provide insights into cognitive processes, emotional responses, and the impact of social and environmental contexts on consumer decisions. Such understanding is imperative for businesses and marketers seeking to tailor their strategies to align with consumer needs, preferences, and ethical considerati</w:t>
      </w:r>
      <w:r>
        <w:rPr>
          <w:rFonts w:ascii="Times New Roman" w:cs="Times New Roman" w:hAnsi="Times New Roman"/>
          <w:sz w:val="24"/>
          <w:szCs w:val="24"/>
        </w:rPr>
        <w:t>ons.</w:t>
      </w:r>
    </w:p>
    <w:p>
      <w:pPr>
        <w:pStyle w:val="style0"/>
        <w:tabs>
          <w:tab w:val="left" w:leader="none" w:pos="1335"/>
        </w:tabs>
        <w:spacing w:lineRule="auto" w:line="240"/>
        <w:jc w:val="both"/>
        <w:rPr>
          <w:rFonts w:ascii="Times New Roman" w:cs="Times New Roman" w:hAnsi="Times New Roman"/>
          <w:sz w:val="24"/>
          <w:szCs w:val="24"/>
        </w:rPr>
      </w:pPr>
      <w:r>
        <w:rPr>
          <w:rFonts w:ascii="Times New Roman" w:cs="Times New Roman" w:hAnsi="Times New Roman"/>
          <w:sz w:val="24"/>
          <w:szCs w:val="24"/>
        </w:rPr>
        <w:t>Similarly, theories related to green marketing, such as the Theory of Environmental Marketing and the Theory of Societal Marketing, emphasize the necessity for businesses to integrate environmental concerns into their operations. Scholars advocate for eco-friendly practices throughout the product lifecycle, aligning with the global focus on sustainability. The latter urges businesses to prioritize not only consumer welfare but also broader societal well-being, endorsing a sustainable and socially resp</w:t>
      </w:r>
      <w:r>
        <w:rPr>
          <w:rFonts w:ascii="Times New Roman" w:cs="Times New Roman" w:hAnsi="Times New Roman"/>
          <w:sz w:val="24"/>
          <w:szCs w:val="24"/>
        </w:rPr>
        <w:t>onsible approach.</w:t>
      </w:r>
    </w:p>
    <w:p>
      <w:pPr>
        <w:pStyle w:val="style0"/>
        <w:tabs>
          <w:tab w:val="left" w:leader="none" w:pos="1335"/>
        </w:tabs>
        <w:spacing w:lineRule="auto" w:line="240"/>
        <w:jc w:val="both"/>
        <w:rPr>
          <w:rFonts w:ascii="Times New Roman" w:cs="Times New Roman" w:hAnsi="Times New Roman"/>
          <w:sz w:val="24"/>
          <w:szCs w:val="24"/>
        </w:rPr>
      </w:pPr>
      <w:r>
        <w:rPr>
          <w:rFonts w:ascii="Times New Roman" w:cs="Times New Roman" w:hAnsi="Times New Roman"/>
          <w:sz w:val="24"/>
          <w:szCs w:val="24"/>
        </w:rPr>
        <w:t>Both sets of theories converge on the idea that consumer engagement and environmental sustainability are interconnected. Today's conscientious consumers consider not only product attributes but also the ethical and environmental implications of their choices. In navigating this landscape, insights from consumer behavior and green marketing theories become crucial for creating strategies that resonate with eco-conscious consumers. Essentially, these theories collectively provide a framework that elucidates the complex relationship between businesses and consumers, highlighting the importance of ethical and environmentally conscious practices. As the global emphasis on sustainability grows, the ongoing exploration and application of these theories will guide businesses toward more responsible and consumer-centric approaches, fostering a balanced relationship between commerce</w:t>
      </w:r>
      <w:r>
        <w:rPr>
          <w:rFonts w:ascii="Times New Roman" w:cs="Times New Roman" w:hAnsi="Times New Roman"/>
          <w:sz w:val="24"/>
          <w:szCs w:val="24"/>
        </w:rPr>
        <w:t xml:space="preserve"> and conscientious consumerism.</w:t>
      </w:r>
    </w:p>
    <w:p>
      <w:pPr>
        <w:pStyle w:val="style0"/>
        <w:tabs>
          <w:tab w:val="left" w:leader="none" w:pos="1335"/>
        </w:tabs>
        <w:spacing w:lineRule="auto" w:line="240"/>
        <w:jc w:val="both"/>
        <w:rPr>
          <w:rFonts w:ascii="Times New Roman" w:cs="Times New Roman" w:hAnsi="Times New Roman"/>
          <w:sz w:val="24"/>
          <w:szCs w:val="24"/>
        </w:rPr>
      </w:pPr>
      <w:r>
        <w:rPr>
          <w:rFonts w:ascii="Times New Roman" w:cs="Times New Roman" w:hAnsi="Times New Roman"/>
          <w:sz w:val="24"/>
          <w:szCs w:val="24"/>
        </w:rPr>
        <w:t>This comprehensive perspective is integral for businesses aspiring to thrive in an environment where ethical considerations and sustainability play pivotal roles in shaping consumer preferences and brand loyalty, aligning with societal values and expectations.</w:t>
      </w:r>
    </w:p>
    <w:p>
      <w:pPr>
        <w:pStyle w:val="style0"/>
        <w:tabs>
          <w:tab w:val="left" w:leader="none" w:pos="1335"/>
        </w:tabs>
        <w:spacing w:lineRule="auto" w:line="240"/>
        <w:jc w:val="both"/>
        <w:rPr>
          <w:rFonts w:ascii="Times New Roman" w:cs="Times New Roman" w:hAnsi="Times New Roman"/>
          <w:sz w:val="24"/>
          <w:szCs w:val="24"/>
        </w:rPr>
      </w:pPr>
    </w:p>
    <w:p>
      <w:pPr>
        <w:pStyle w:val="style0"/>
        <w:tabs>
          <w:tab w:val="left" w:leader="none" w:pos="1335"/>
        </w:tabs>
        <w:spacing w:lineRule="auto" w:line="240"/>
        <w:jc w:val="both"/>
        <w:rPr>
          <w:rFonts w:ascii="Times New Roman" w:cs="Times New Roman" w:hAnsi="Times New Roman"/>
          <w:sz w:val="24"/>
          <w:szCs w:val="24"/>
        </w:rPr>
      </w:pPr>
    </w:p>
    <w:p>
      <w:pPr>
        <w:pStyle w:val="style0"/>
        <w:tabs>
          <w:tab w:val="left" w:leader="none" w:pos="1335"/>
        </w:tabs>
        <w:spacing w:lineRule="auto" w:line="240"/>
        <w:jc w:val="center"/>
        <w:rPr>
          <w:rFonts w:ascii="Times New Roman" w:cs="Times New Roman" w:hAnsi="Times New Roman"/>
          <w:b/>
          <w:sz w:val="24"/>
          <w:szCs w:val="24"/>
        </w:rPr>
      </w:pPr>
    </w:p>
    <w:p>
      <w:pPr>
        <w:pStyle w:val="style0"/>
        <w:tabs>
          <w:tab w:val="left" w:leader="none" w:pos="1335"/>
        </w:tabs>
        <w:spacing w:lineRule="auto" w:line="240"/>
        <w:jc w:val="center"/>
        <w:rPr>
          <w:rFonts w:ascii="Times New Roman" w:cs="Times New Roman" w:hAnsi="Times New Roman"/>
          <w:b/>
          <w:sz w:val="24"/>
          <w:szCs w:val="24"/>
        </w:rPr>
      </w:pPr>
    </w:p>
    <w:p>
      <w:pPr>
        <w:pStyle w:val="style0"/>
        <w:tabs>
          <w:tab w:val="left" w:leader="none" w:pos="1335"/>
        </w:tabs>
        <w:spacing w:lineRule="auto" w:line="240"/>
        <w:jc w:val="center"/>
        <w:rPr>
          <w:rFonts w:ascii="Times New Roman" w:cs="Times New Roman" w:hAnsi="Times New Roman"/>
          <w:b/>
          <w:sz w:val="24"/>
          <w:szCs w:val="24"/>
        </w:rPr>
      </w:pPr>
      <w:r>
        <w:rPr>
          <w:rFonts w:ascii="Times New Roman" w:cs="Times New Roman" w:hAnsi="Times New Roman"/>
          <w:b/>
          <w:sz w:val="24"/>
          <w:szCs w:val="24"/>
        </w:rPr>
        <w:t>Limitations of study</w:t>
      </w:r>
    </w:p>
    <w:p>
      <w:pPr>
        <w:pStyle w:val="style0"/>
        <w:tabs>
          <w:tab w:val="left" w:leader="none" w:pos="1335"/>
        </w:tabs>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The study acknowledges several limitations that warrant consideration. Firstly, its scope is delimited to specific parameters, potentially limiting the generalizability of findings beyond the defined boundaries. Additionally, limitations in analytical techniques or statistical methods may restrict the depth of interpretation, while the scope of the literature review may be constrained by the availability of relevant sources. Recognizing these limitations is crucial for maintaining research transparency and integrity, allowing for a </w:t>
      </w:r>
      <w:r>
        <w:rPr>
          <w:rFonts w:ascii="Times New Roman" w:cs="Times New Roman" w:hAnsi="Times New Roman"/>
          <w:sz w:val="24"/>
          <w:szCs w:val="24"/>
        </w:rPr>
        <w:t xml:space="preserve">detailed </w:t>
      </w:r>
      <w:r>
        <w:rPr>
          <w:rFonts w:ascii="Times New Roman" w:cs="Times New Roman" w:hAnsi="Times New Roman"/>
          <w:sz w:val="24"/>
          <w:szCs w:val="24"/>
        </w:rPr>
        <w:t xml:space="preserve">understanding of the study's outcomes and informing future research </w:t>
      </w:r>
      <w:r>
        <w:rPr>
          <w:rFonts w:ascii="Times New Roman" w:cs="Times New Roman" w:hAnsi="Times New Roman"/>
          <w:sz w:val="24"/>
          <w:szCs w:val="24"/>
        </w:rPr>
        <w:t>activities</w:t>
      </w:r>
      <w:r>
        <w:rPr>
          <w:rFonts w:ascii="Times New Roman" w:cs="Times New Roman" w:hAnsi="Times New Roman"/>
          <w:sz w:val="24"/>
          <w:szCs w:val="24"/>
        </w:rPr>
        <w:t>.</w:t>
      </w: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p>
    <w:p>
      <w:pPr>
        <w:pStyle w:val="style0"/>
        <w:tabs>
          <w:tab w:val="left" w:leader="none" w:pos="1335"/>
        </w:tabs>
        <w:spacing w:lineRule="auto" w:line="240"/>
        <w:rPr>
          <w:rFonts w:ascii="Times New Roman" w:cs="Times New Roman" w:hAnsi="Times New Roman"/>
          <w:b/>
          <w:sz w:val="24"/>
          <w:szCs w:val="24"/>
        </w:rPr>
      </w:pPr>
      <w:r>
        <w:rPr>
          <w:rFonts w:ascii="Times New Roman" w:cs="Times New Roman" w:hAnsi="Times New Roman"/>
          <w:b/>
          <w:sz w:val="24"/>
          <w:szCs w:val="24"/>
        </w:rPr>
        <w:t>Re</w:t>
      </w:r>
      <w:r>
        <w:rPr>
          <w:rFonts w:ascii="Times New Roman" w:cs="Times New Roman" w:hAnsi="Times New Roman"/>
          <w:b/>
          <w:sz w:val="24"/>
          <w:szCs w:val="24"/>
        </w:rPr>
        <w:t>ferences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Abuljadail, M. (2017). The role of social identity theory in facilitating understanding of the concept of 'Self' in the process of addiction recovery. Journal of Social Work Practice in the Addictions, 17(3-4), 318-336.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Albertini, E. (2013). Does environmental management Improve financial Performance? A Meta-Analytical Review. </w:t>
      </w:r>
      <w:r>
        <w:rPr>
          <w:rFonts w:ascii="Times New Roman" w:cs="Times New Roman" w:hAnsi="Times New Roman"/>
          <w:i/>
          <w:iCs/>
          <w:sz w:val="24"/>
          <w:szCs w:val="24"/>
        </w:rPr>
        <w:t>Organization &amp; Environment</w:t>
      </w:r>
      <w:r>
        <w:rPr>
          <w:rFonts w:ascii="Times New Roman" w:cs="Times New Roman" w:hAnsi="Times New Roman"/>
          <w:sz w:val="24"/>
          <w:szCs w:val="24"/>
        </w:rPr>
        <w:t xml:space="preserve">, </w:t>
      </w:r>
      <w:r>
        <w:rPr>
          <w:rFonts w:ascii="Times New Roman" w:cs="Times New Roman" w:hAnsi="Times New Roman"/>
          <w:i/>
          <w:iCs/>
          <w:sz w:val="24"/>
          <w:szCs w:val="24"/>
        </w:rPr>
        <w:t>26</w:t>
      </w:r>
      <w:r>
        <w:rPr>
          <w:rFonts w:ascii="Times New Roman" w:cs="Times New Roman" w:hAnsi="Times New Roman"/>
          <w:sz w:val="24"/>
          <w:szCs w:val="24"/>
        </w:rPr>
        <w:t>(4), 431–457. https://doi.org/10.1177/1086026613510301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Algesheimer, R., Dholakia, U. M., &amp; Herrmann, A. (2005). The social influence of brand community: Evidence from European car clubs. Journal of Marketing, 69(3), 19-34.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Ali, F., </w:t>
      </w:r>
      <w:r>
        <w:rPr>
          <w:rFonts w:ascii="Times New Roman" w:cs="Times New Roman" w:hAnsi="Times New Roman"/>
          <w:sz w:val="24"/>
          <w:szCs w:val="24"/>
        </w:rPr>
        <w:t>Rasoolimanesh</w:t>
      </w:r>
      <w:r>
        <w:rPr>
          <w:rFonts w:ascii="Times New Roman" w:cs="Times New Roman" w:hAnsi="Times New Roman"/>
          <w:sz w:val="24"/>
          <w:szCs w:val="24"/>
        </w:rPr>
        <w:t xml:space="preserve">, S. M., </w:t>
      </w:r>
      <w:r>
        <w:rPr>
          <w:rFonts w:ascii="Times New Roman" w:cs="Times New Roman" w:hAnsi="Times New Roman"/>
          <w:sz w:val="24"/>
          <w:szCs w:val="24"/>
        </w:rPr>
        <w:t>Sarstedt</w:t>
      </w:r>
      <w:r>
        <w:rPr>
          <w:rFonts w:ascii="Times New Roman" w:cs="Times New Roman" w:hAnsi="Times New Roman"/>
          <w:sz w:val="24"/>
          <w:szCs w:val="24"/>
        </w:rPr>
        <w:t xml:space="preserve">, M., </w:t>
      </w:r>
      <w:r>
        <w:rPr>
          <w:rFonts w:ascii="Times New Roman" w:cs="Times New Roman" w:hAnsi="Times New Roman"/>
          <w:sz w:val="24"/>
          <w:szCs w:val="24"/>
        </w:rPr>
        <w:t>Ringle</w:t>
      </w:r>
      <w:r>
        <w:rPr>
          <w:rFonts w:ascii="Times New Roman" w:cs="Times New Roman" w:hAnsi="Times New Roman"/>
          <w:sz w:val="24"/>
          <w:szCs w:val="24"/>
        </w:rPr>
        <w:t xml:space="preserve">, C. M., &amp; Ryu, K. (2018). An assessment of the use of partial least squares structural equation modeling (PLS-SEM) in hospitality research. </w:t>
      </w:r>
      <w:r>
        <w:rPr>
          <w:rFonts w:ascii="Times New Roman" w:cs="Times New Roman" w:hAnsi="Times New Roman"/>
          <w:i/>
          <w:iCs/>
          <w:sz w:val="24"/>
          <w:szCs w:val="24"/>
        </w:rPr>
        <w:t>International Journal of Contemporary Hospitality Management</w:t>
      </w:r>
      <w:r>
        <w:rPr>
          <w:rFonts w:ascii="Times New Roman" w:cs="Times New Roman" w:hAnsi="Times New Roman"/>
          <w:sz w:val="24"/>
          <w:szCs w:val="24"/>
        </w:rPr>
        <w:t xml:space="preserve">, </w:t>
      </w:r>
      <w:r>
        <w:rPr>
          <w:rFonts w:ascii="Times New Roman" w:cs="Times New Roman" w:hAnsi="Times New Roman"/>
          <w:i/>
          <w:iCs/>
          <w:sz w:val="24"/>
          <w:szCs w:val="24"/>
        </w:rPr>
        <w:t>30</w:t>
      </w:r>
      <w:r>
        <w:rPr>
          <w:rFonts w:ascii="Times New Roman" w:cs="Times New Roman" w:hAnsi="Times New Roman"/>
          <w:sz w:val="24"/>
          <w:szCs w:val="24"/>
        </w:rPr>
        <w:t>(1), 514–538. https://doi.org/10.1108/ijchm-10-2016-0568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Al-Jabri, I. M., </w:t>
      </w:r>
      <w:r>
        <w:rPr>
          <w:rFonts w:ascii="Times New Roman" w:cs="Times New Roman" w:hAnsi="Times New Roman"/>
          <w:sz w:val="24"/>
          <w:szCs w:val="24"/>
        </w:rPr>
        <w:t>Sohail</w:t>
      </w:r>
      <w:r>
        <w:rPr>
          <w:rFonts w:ascii="Times New Roman" w:cs="Times New Roman" w:hAnsi="Times New Roman"/>
          <w:sz w:val="24"/>
          <w:szCs w:val="24"/>
        </w:rPr>
        <w:t>, M. S., &amp; Al-Madi, F. (2015). Factors influencing consumer purchasing decisions in electronic markets: An empirical study. Journal of Systems and Information Technology, 17(3), 272-292.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Andrade, E. B. (2020). The effects of pacing and order of presentation on responses to narrated slide shows. Journal of Interactive Marketing, 52, 89-103.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Aydin, G., Ozer, A., &amp; </w:t>
      </w:r>
      <w:r>
        <w:rPr>
          <w:rFonts w:ascii="Times New Roman" w:cs="Times New Roman" w:hAnsi="Times New Roman"/>
          <w:sz w:val="24"/>
          <w:szCs w:val="24"/>
        </w:rPr>
        <w:t>Arasil</w:t>
      </w:r>
      <w:r>
        <w:rPr>
          <w:rFonts w:ascii="Times New Roman" w:cs="Times New Roman" w:hAnsi="Times New Roman"/>
          <w:sz w:val="24"/>
          <w:szCs w:val="24"/>
        </w:rPr>
        <w:t>, O. (2021). The role of aesthetic–emotional design attributes in enhancing consumers’ satisfaction and loyalty. Journal of Business Research, 131, 669-678.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Banerjee, S. B. (2002). Corporate environmentalism: the construct and its measurement. </w:t>
      </w:r>
      <w:r>
        <w:rPr>
          <w:rFonts w:ascii="Times New Roman" w:cs="Times New Roman" w:hAnsi="Times New Roman"/>
          <w:i/>
          <w:iCs/>
          <w:sz w:val="24"/>
          <w:szCs w:val="24"/>
        </w:rPr>
        <w:t>Journal of Business Research</w:t>
      </w:r>
      <w:r>
        <w:rPr>
          <w:rFonts w:ascii="Times New Roman" w:cs="Times New Roman" w:hAnsi="Times New Roman"/>
          <w:sz w:val="24"/>
          <w:szCs w:val="24"/>
        </w:rPr>
        <w:t xml:space="preserve">, </w:t>
      </w:r>
      <w:r>
        <w:rPr>
          <w:rFonts w:ascii="Times New Roman" w:cs="Times New Roman" w:hAnsi="Times New Roman"/>
          <w:i/>
          <w:iCs/>
          <w:sz w:val="24"/>
          <w:szCs w:val="24"/>
        </w:rPr>
        <w:t>55</w:t>
      </w:r>
      <w:r>
        <w:rPr>
          <w:rFonts w:ascii="Times New Roman" w:cs="Times New Roman" w:hAnsi="Times New Roman"/>
          <w:sz w:val="24"/>
          <w:szCs w:val="24"/>
        </w:rPr>
        <w:t>(3), 177–191. https://doi.org/10.1016/s0148-2963(00)00135-1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Bhat, S. A., Darzi, M. A., &amp; Hakim, I. A. (2019). Understanding Social Marketing and Well-being: A review of selective databases. </w:t>
      </w:r>
      <w:r>
        <w:rPr>
          <w:rFonts w:ascii="Times New Roman" w:cs="Times New Roman" w:hAnsi="Times New Roman"/>
          <w:i/>
          <w:iCs/>
          <w:sz w:val="24"/>
          <w:szCs w:val="24"/>
        </w:rPr>
        <w:t>Vikalpa</w:t>
      </w:r>
      <w:r>
        <w:rPr>
          <w:rFonts w:ascii="Times New Roman" w:cs="Times New Roman" w:hAnsi="Times New Roman"/>
          <w:sz w:val="24"/>
          <w:szCs w:val="24"/>
        </w:rPr>
        <w:t xml:space="preserve">, </w:t>
      </w:r>
      <w:r>
        <w:rPr>
          <w:rFonts w:ascii="Times New Roman" w:cs="Times New Roman" w:hAnsi="Times New Roman"/>
          <w:i/>
          <w:iCs/>
          <w:sz w:val="24"/>
          <w:szCs w:val="24"/>
        </w:rPr>
        <w:t>44</w:t>
      </w:r>
      <w:r>
        <w:rPr>
          <w:rFonts w:ascii="Times New Roman" w:cs="Times New Roman" w:hAnsi="Times New Roman"/>
          <w:sz w:val="24"/>
          <w:szCs w:val="24"/>
        </w:rPr>
        <w:t>(2), 75–87. https://doi.org/10.1177/0256090919861010</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Bulsara, H. P., </w:t>
      </w:r>
      <w:r>
        <w:rPr>
          <w:rFonts w:ascii="Times New Roman" w:cs="Times New Roman" w:hAnsi="Times New Roman"/>
          <w:sz w:val="24"/>
          <w:szCs w:val="24"/>
        </w:rPr>
        <w:t>Matharu</w:t>
      </w:r>
      <w:r>
        <w:rPr>
          <w:rFonts w:ascii="Times New Roman" w:cs="Times New Roman" w:hAnsi="Times New Roman"/>
          <w:sz w:val="24"/>
          <w:szCs w:val="24"/>
        </w:rPr>
        <w:t xml:space="preserve">, M., </w:t>
      </w:r>
      <w:r>
        <w:rPr>
          <w:rFonts w:ascii="Times New Roman" w:cs="Times New Roman" w:hAnsi="Times New Roman"/>
          <w:sz w:val="24"/>
          <w:szCs w:val="24"/>
        </w:rPr>
        <w:t>Тарасова</w:t>
      </w:r>
      <w:r>
        <w:rPr>
          <w:rFonts w:ascii="Times New Roman" w:cs="Times New Roman" w:hAnsi="Times New Roman"/>
          <w:sz w:val="24"/>
          <w:szCs w:val="24"/>
        </w:rPr>
        <w:t xml:space="preserve">, К., </w:t>
      </w:r>
      <w:r>
        <w:rPr>
          <w:rFonts w:ascii="Times New Roman" w:cs="Times New Roman" w:hAnsi="Times New Roman"/>
          <w:sz w:val="24"/>
          <w:szCs w:val="24"/>
        </w:rPr>
        <w:t>Rulinska</w:t>
      </w:r>
      <w:r>
        <w:rPr>
          <w:rFonts w:ascii="Times New Roman" w:cs="Times New Roman" w:hAnsi="Times New Roman"/>
          <w:sz w:val="24"/>
          <w:szCs w:val="24"/>
        </w:rPr>
        <w:t xml:space="preserve">, O., &amp; Gogol, I. (2021a). An exploratory study of theories of green marketing and its practices. </w:t>
      </w:r>
      <w:r>
        <w:rPr>
          <w:rFonts w:ascii="Times New Roman" w:cs="Times New Roman" w:hAnsi="Times New Roman"/>
          <w:i/>
          <w:iCs/>
          <w:sz w:val="24"/>
          <w:szCs w:val="24"/>
        </w:rPr>
        <w:t>Independent Journal of Management &amp; Production</w:t>
      </w:r>
      <w:r>
        <w:rPr>
          <w:rFonts w:ascii="Times New Roman" w:cs="Times New Roman" w:hAnsi="Times New Roman"/>
          <w:sz w:val="24"/>
          <w:szCs w:val="24"/>
        </w:rPr>
        <w:t xml:space="preserve">, </w:t>
      </w:r>
      <w:r>
        <w:rPr>
          <w:rFonts w:ascii="Times New Roman" w:cs="Times New Roman" w:hAnsi="Times New Roman"/>
          <w:i/>
          <w:iCs/>
          <w:sz w:val="24"/>
          <w:szCs w:val="24"/>
        </w:rPr>
        <w:t>12</w:t>
      </w:r>
      <w:r>
        <w:rPr>
          <w:rFonts w:ascii="Times New Roman" w:cs="Times New Roman" w:hAnsi="Times New Roman"/>
          <w:sz w:val="24"/>
          <w:szCs w:val="24"/>
        </w:rPr>
        <w:t>(6), s431–s444. https://doi.org/10.14807/ijmp.v12i6.1781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Burke, M. C. (1984). Strategic Choice and Marketing Managers: An Examination of Business-Level Marketing Objectives. </w:t>
      </w:r>
      <w:r>
        <w:rPr>
          <w:rFonts w:ascii="Times New Roman" w:cs="Times New Roman" w:hAnsi="Times New Roman"/>
          <w:i/>
          <w:iCs/>
          <w:sz w:val="24"/>
          <w:szCs w:val="24"/>
        </w:rPr>
        <w:t>Journal of Marketing Research</w:t>
      </w:r>
      <w:r>
        <w:rPr>
          <w:rFonts w:ascii="Times New Roman" w:cs="Times New Roman" w:hAnsi="Times New Roman"/>
          <w:sz w:val="24"/>
          <w:szCs w:val="24"/>
        </w:rPr>
        <w:t xml:space="preserve">, </w:t>
      </w:r>
      <w:r>
        <w:rPr>
          <w:rFonts w:ascii="Times New Roman" w:cs="Times New Roman" w:hAnsi="Times New Roman"/>
          <w:i/>
          <w:iCs/>
          <w:sz w:val="24"/>
          <w:szCs w:val="24"/>
        </w:rPr>
        <w:t>21</w:t>
      </w:r>
      <w:r>
        <w:rPr>
          <w:rFonts w:ascii="Times New Roman" w:cs="Times New Roman" w:hAnsi="Times New Roman"/>
          <w:sz w:val="24"/>
          <w:szCs w:val="24"/>
        </w:rPr>
        <w:t>(4), 345–359. https://doi.org/10.1177/002224378402100401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Bush, A. J., Martin, C. A., &amp; Bush, V. D. (2000). Sports celebrity influence on the behavioral intentions of generation Y. Journal of Advertising Research, 40(3), 19-27.</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Caiado</w:t>
      </w:r>
      <w:r>
        <w:rPr>
          <w:rFonts w:ascii="Times New Roman" w:cs="Times New Roman" w:hAnsi="Times New Roman"/>
          <w:sz w:val="24"/>
          <w:szCs w:val="24"/>
        </w:rPr>
        <w:t xml:space="preserve">, R. G. G., </w:t>
      </w:r>
      <w:r>
        <w:rPr>
          <w:rFonts w:ascii="Times New Roman" w:cs="Times New Roman" w:hAnsi="Times New Roman"/>
          <w:sz w:val="24"/>
          <w:szCs w:val="24"/>
        </w:rPr>
        <w:t>Quelhas</w:t>
      </w:r>
      <w:r>
        <w:rPr>
          <w:rFonts w:ascii="Times New Roman" w:cs="Times New Roman" w:hAnsi="Times New Roman"/>
          <w:sz w:val="24"/>
          <w:szCs w:val="24"/>
        </w:rPr>
        <w:t xml:space="preserve">, O. L. G., De Mattos Nascimento, D. L., </w:t>
      </w:r>
      <w:r>
        <w:rPr>
          <w:rFonts w:ascii="Times New Roman" w:cs="Times New Roman" w:hAnsi="Times New Roman"/>
          <w:sz w:val="24"/>
          <w:szCs w:val="24"/>
        </w:rPr>
        <w:t>Anholon</w:t>
      </w:r>
      <w:r>
        <w:rPr>
          <w:rFonts w:ascii="Times New Roman" w:cs="Times New Roman" w:hAnsi="Times New Roman"/>
          <w:sz w:val="24"/>
          <w:szCs w:val="24"/>
        </w:rPr>
        <w:t xml:space="preserve">, R., &amp; Filho, W. L. (2019). Towards sustainability by aligning operational programmes and sustainable performance measures. </w:t>
      </w:r>
      <w:r>
        <w:rPr>
          <w:rFonts w:ascii="Times New Roman" w:cs="Times New Roman" w:hAnsi="Times New Roman"/>
          <w:i/>
          <w:iCs/>
          <w:sz w:val="24"/>
          <w:szCs w:val="24"/>
        </w:rPr>
        <w:t xml:space="preserve">Prod. </w:t>
      </w:r>
      <w:r>
        <w:rPr>
          <w:rFonts w:ascii="Times New Roman" w:cs="Times New Roman" w:hAnsi="Times New Roman"/>
          <w:i/>
          <w:iCs/>
          <w:sz w:val="24"/>
          <w:szCs w:val="24"/>
        </w:rPr>
        <w:t>Plann</w:t>
      </w:r>
      <w:r>
        <w:rPr>
          <w:rFonts w:ascii="Times New Roman" w:cs="Times New Roman" w:hAnsi="Times New Roman"/>
          <w:i/>
          <w:iCs/>
          <w:sz w:val="24"/>
          <w:szCs w:val="24"/>
        </w:rPr>
        <w:t>. Control</w:t>
      </w:r>
      <w:r>
        <w:rPr>
          <w:rFonts w:ascii="Times New Roman" w:cs="Times New Roman" w:hAnsi="Times New Roman"/>
          <w:sz w:val="24"/>
          <w:szCs w:val="24"/>
        </w:rPr>
        <w:t xml:space="preserve">, </w:t>
      </w:r>
      <w:r>
        <w:rPr>
          <w:rFonts w:ascii="Times New Roman" w:cs="Times New Roman" w:hAnsi="Times New Roman"/>
          <w:i/>
          <w:iCs/>
          <w:sz w:val="24"/>
          <w:szCs w:val="24"/>
        </w:rPr>
        <w:t>30</w:t>
      </w:r>
      <w:r>
        <w:rPr>
          <w:rFonts w:ascii="Times New Roman" w:cs="Times New Roman" w:hAnsi="Times New Roman"/>
          <w:sz w:val="24"/>
          <w:szCs w:val="24"/>
        </w:rPr>
        <w:t>(5–6), 413–425. https://doi.org/10.1080/09537287.2018.1501817</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Carlson, B. D., Donavan, D. T., &amp; </w:t>
      </w:r>
      <w:r>
        <w:rPr>
          <w:rFonts w:ascii="Times New Roman" w:cs="Times New Roman" w:hAnsi="Times New Roman"/>
          <w:sz w:val="24"/>
          <w:szCs w:val="24"/>
        </w:rPr>
        <w:t>Cumiskey</w:t>
      </w:r>
      <w:r>
        <w:rPr>
          <w:rFonts w:ascii="Times New Roman" w:cs="Times New Roman" w:hAnsi="Times New Roman"/>
          <w:sz w:val="24"/>
          <w:szCs w:val="24"/>
        </w:rPr>
        <w:t>, K. J. (2019). Consumer perceptions of smart home product adoption: An application of the extended parallel process model. Journal of Business Research, 101, 725-734.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Chamorro, A., Rubio, S., &amp; Miranda, F. J. (2007). Characteristics of research on green marketing. </w:t>
      </w:r>
      <w:r>
        <w:rPr>
          <w:rFonts w:ascii="Times New Roman" w:cs="Times New Roman" w:hAnsi="Times New Roman"/>
          <w:i/>
          <w:iCs/>
          <w:sz w:val="24"/>
          <w:szCs w:val="24"/>
        </w:rPr>
        <w:t>Business Strategy and the Environment</w:t>
      </w:r>
      <w:r>
        <w:rPr>
          <w:rFonts w:ascii="Times New Roman" w:cs="Times New Roman" w:hAnsi="Times New Roman"/>
          <w:sz w:val="24"/>
          <w:szCs w:val="24"/>
        </w:rPr>
        <w:t xml:space="preserve">, </w:t>
      </w:r>
      <w:r>
        <w:rPr>
          <w:rFonts w:ascii="Times New Roman" w:cs="Times New Roman" w:hAnsi="Times New Roman"/>
          <w:i/>
          <w:iCs/>
          <w:sz w:val="24"/>
          <w:szCs w:val="24"/>
        </w:rPr>
        <w:t>18</w:t>
      </w:r>
      <w:r>
        <w:rPr>
          <w:rFonts w:ascii="Times New Roman" w:cs="Times New Roman" w:hAnsi="Times New Roman"/>
          <w:sz w:val="24"/>
          <w:szCs w:val="24"/>
        </w:rPr>
        <w:t>(4), 223–239. https://doi.org/10.1002/bse.571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Chang, C. H. (2011). The influence of corporate environmental ethics on competitive advantage: The mediation role of Green Innovation. </w:t>
      </w:r>
      <w:r>
        <w:rPr>
          <w:rFonts w:ascii="Times New Roman" w:cs="Times New Roman" w:hAnsi="Times New Roman"/>
          <w:i/>
          <w:iCs/>
          <w:sz w:val="24"/>
          <w:szCs w:val="24"/>
        </w:rPr>
        <w:t>Journal of Business Ethics</w:t>
      </w:r>
      <w:r>
        <w:rPr>
          <w:rFonts w:ascii="Times New Roman" w:cs="Times New Roman" w:hAnsi="Times New Roman"/>
          <w:sz w:val="24"/>
          <w:szCs w:val="24"/>
        </w:rPr>
        <w:t xml:space="preserve">, </w:t>
      </w:r>
      <w:r>
        <w:rPr>
          <w:rFonts w:ascii="Times New Roman" w:cs="Times New Roman" w:hAnsi="Times New Roman"/>
          <w:i/>
          <w:iCs/>
          <w:sz w:val="24"/>
          <w:szCs w:val="24"/>
        </w:rPr>
        <w:t>104</w:t>
      </w:r>
      <w:r>
        <w:rPr>
          <w:rFonts w:ascii="Times New Roman" w:cs="Times New Roman" w:hAnsi="Times New Roman"/>
          <w:sz w:val="24"/>
          <w:szCs w:val="24"/>
        </w:rPr>
        <w:t>(3), 361–370. https://doi.org/10.1007/s10551-011-0914-x</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Chen, Y., Tang, G., Jin, J., Ji, L., &amp; </w:t>
      </w:r>
      <w:r>
        <w:rPr>
          <w:rFonts w:ascii="Times New Roman" w:cs="Times New Roman" w:hAnsi="Times New Roman"/>
          <w:sz w:val="24"/>
          <w:szCs w:val="24"/>
        </w:rPr>
        <w:t>Paillé</w:t>
      </w:r>
      <w:r>
        <w:rPr>
          <w:rFonts w:ascii="Times New Roman" w:cs="Times New Roman" w:hAnsi="Times New Roman"/>
          <w:sz w:val="24"/>
          <w:szCs w:val="24"/>
        </w:rPr>
        <w:t xml:space="preserve">, P. (2014). Linking market orientation and environmental performance: the influence of environmental strategy, employee’s environmental involvement, and environmental product quality. </w:t>
      </w:r>
      <w:r>
        <w:rPr>
          <w:rFonts w:ascii="Times New Roman" w:cs="Times New Roman" w:hAnsi="Times New Roman"/>
          <w:i/>
          <w:iCs/>
          <w:sz w:val="24"/>
          <w:szCs w:val="24"/>
        </w:rPr>
        <w:t>Journal of Business Ethics</w:t>
      </w:r>
      <w:r>
        <w:rPr>
          <w:rFonts w:ascii="Times New Roman" w:cs="Times New Roman" w:hAnsi="Times New Roman"/>
          <w:sz w:val="24"/>
          <w:szCs w:val="24"/>
        </w:rPr>
        <w:t xml:space="preserve">, </w:t>
      </w:r>
      <w:r>
        <w:rPr>
          <w:rFonts w:ascii="Times New Roman" w:cs="Times New Roman" w:hAnsi="Times New Roman"/>
          <w:i/>
          <w:iCs/>
          <w:sz w:val="24"/>
          <w:szCs w:val="24"/>
        </w:rPr>
        <w:t>127</w:t>
      </w:r>
      <w:r>
        <w:rPr>
          <w:rFonts w:ascii="Times New Roman" w:cs="Times New Roman" w:hAnsi="Times New Roman"/>
          <w:sz w:val="24"/>
          <w:szCs w:val="24"/>
        </w:rPr>
        <w:t>(2), 479–500. https://doi.org/10.1007/s10551-014-2059-1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Cheung, C. M., Xiao, B., &amp; Liu, I. (2019). Do social media affect Chinese consumers’ narrative transportation and purchase intentions in online shopping? A perspective of dual mediation. Information &amp; Management, 56(3), 361-374.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Chung, K. C. (2019). Green marketing orientation: achieving sustainable development in green hotel management. </w:t>
      </w:r>
      <w:r>
        <w:rPr>
          <w:rFonts w:ascii="Times New Roman" w:cs="Times New Roman" w:hAnsi="Times New Roman"/>
          <w:i/>
          <w:iCs/>
          <w:sz w:val="24"/>
          <w:szCs w:val="24"/>
        </w:rPr>
        <w:t>Journal of Marketing</w:t>
      </w:r>
      <w:r>
        <w:rPr>
          <w:rFonts w:ascii="Times New Roman" w:cs="Times New Roman" w:hAnsi="Times New Roman"/>
          <w:sz w:val="24"/>
          <w:szCs w:val="24"/>
        </w:rPr>
        <w:t xml:space="preserve">, </w:t>
      </w:r>
      <w:r>
        <w:rPr>
          <w:rFonts w:ascii="Times New Roman" w:cs="Times New Roman" w:hAnsi="Times New Roman"/>
          <w:i/>
          <w:iCs/>
          <w:sz w:val="24"/>
          <w:szCs w:val="24"/>
        </w:rPr>
        <w:t>29</w:t>
      </w:r>
      <w:r>
        <w:rPr>
          <w:rFonts w:ascii="Times New Roman" w:cs="Times New Roman" w:hAnsi="Times New Roman"/>
          <w:sz w:val="24"/>
          <w:szCs w:val="24"/>
        </w:rPr>
        <w:t>(6), 722–738. https://doi.org/10.1080/19368623.2020.1693471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Correia, E., Sousa, S., </w:t>
      </w:r>
      <w:r>
        <w:rPr>
          <w:rFonts w:ascii="Times New Roman" w:cs="Times New Roman" w:hAnsi="Times New Roman"/>
          <w:sz w:val="24"/>
          <w:szCs w:val="24"/>
        </w:rPr>
        <w:t>Viseu</w:t>
      </w:r>
      <w:r>
        <w:rPr>
          <w:rFonts w:ascii="Times New Roman" w:cs="Times New Roman" w:hAnsi="Times New Roman"/>
          <w:sz w:val="24"/>
          <w:szCs w:val="24"/>
        </w:rPr>
        <w:t xml:space="preserve">, C., &amp; </w:t>
      </w:r>
      <w:r>
        <w:rPr>
          <w:rFonts w:ascii="Times New Roman" w:cs="Times New Roman" w:hAnsi="Times New Roman"/>
          <w:sz w:val="24"/>
          <w:szCs w:val="24"/>
        </w:rPr>
        <w:t>Larguinho</w:t>
      </w:r>
      <w:r>
        <w:rPr>
          <w:rFonts w:ascii="Times New Roman" w:cs="Times New Roman" w:hAnsi="Times New Roman"/>
          <w:sz w:val="24"/>
          <w:szCs w:val="24"/>
        </w:rPr>
        <w:t xml:space="preserve">, M. (2023). </w:t>
      </w:r>
      <w:r>
        <w:rPr>
          <w:rFonts w:ascii="Times New Roman" w:cs="Times New Roman" w:hAnsi="Times New Roman"/>
          <w:sz w:val="24"/>
          <w:szCs w:val="24"/>
        </w:rPr>
        <w:t>Analysing</w:t>
      </w:r>
      <w:r>
        <w:rPr>
          <w:rFonts w:ascii="Times New Roman" w:cs="Times New Roman" w:hAnsi="Times New Roman"/>
          <w:sz w:val="24"/>
          <w:szCs w:val="24"/>
        </w:rPr>
        <w:t xml:space="preserve"> the influence of green marketing communication in consumers’ green purchase behaviour. </w:t>
      </w:r>
      <w:r>
        <w:rPr>
          <w:rFonts w:ascii="Times New Roman" w:cs="Times New Roman" w:hAnsi="Times New Roman"/>
          <w:i/>
          <w:iCs/>
          <w:sz w:val="24"/>
          <w:szCs w:val="24"/>
        </w:rPr>
        <w:t>International Journal of Environmental Research and Public Health</w:t>
      </w:r>
      <w:r>
        <w:rPr>
          <w:rFonts w:ascii="Times New Roman" w:cs="Times New Roman" w:hAnsi="Times New Roman"/>
          <w:sz w:val="24"/>
          <w:szCs w:val="24"/>
        </w:rPr>
        <w:t xml:space="preserve">, </w:t>
      </w:r>
      <w:r>
        <w:rPr>
          <w:rFonts w:ascii="Times New Roman" w:cs="Times New Roman" w:hAnsi="Times New Roman"/>
          <w:i/>
          <w:iCs/>
          <w:sz w:val="24"/>
          <w:szCs w:val="24"/>
        </w:rPr>
        <w:t>20</w:t>
      </w:r>
      <w:r>
        <w:rPr>
          <w:rFonts w:ascii="Times New Roman" w:cs="Times New Roman" w:hAnsi="Times New Roman"/>
          <w:sz w:val="24"/>
          <w:szCs w:val="24"/>
        </w:rPr>
        <w:t>(2), 1356. https://doi.org/10.3390/ijerph20021356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Crittenden, V. L., Crittenden, W. F., Ferrell, L., Ferrell, O. C., &amp; </w:t>
      </w:r>
      <w:r>
        <w:rPr>
          <w:rFonts w:ascii="Times New Roman" w:cs="Times New Roman" w:hAnsi="Times New Roman"/>
          <w:sz w:val="24"/>
          <w:szCs w:val="24"/>
        </w:rPr>
        <w:t>Pinney</w:t>
      </w:r>
      <w:r>
        <w:rPr>
          <w:rFonts w:ascii="Times New Roman" w:cs="Times New Roman" w:hAnsi="Times New Roman"/>
          <w:sz w:val="24"/>
          <w:szCs w:val="24"/>
        </w:rPr>
        <w:t xml:space="preserve">, C. C. (2010a). Market-oriented sustainability: a conceptual framework and propositions. </w:t>
      </w:r>
      <w:r>
        <w:rPr>
          <w:rFonts w:ascii="Times New Roman" w:cs="Times New Roman" w:hAnsi="Times New Roman"/>
          <w:i/>
          <w:iCs/>
          <w:sz w:val="24"/>
          <w:szCs w:val="24"/>
        </w:rPr>
        <w:t>Journal of the Academy of Marketing Science</w:t>
      </w:r>
      <w:r>
        <w:rPr>
          <w:rFonts w:ascii="Times New Roman" w:cs="Times New Roman" w:hAnsi="Times New Roman"/>
          <w:sz w:val="24"/>
          <w:szCs w:val="24"/>
        </w:rPr>
        <w:t xml:space="preserve">, </w:t>
      </w:r>
      <w:r>
        <w:rPr>
          <w:rFonts w:ascii="Times New Roman" w:cs="Times New Roman" w:hAnsi="Times New Roman"/>
          <w:i/>
          <w:iCs/>
          <w:sz w:val="24"/>
          <w:szCs w:val="24"/>
        </w:rPr>
        <w:t>39</w:t>
      </w:r>
      <w:r>
        <w:rPr>
          <w:rFonts w:ascii="Times New Roman" w:cs="Times New Roman" w:hAnsi="Times New Roman"/>
          <w:sz w:val="24"/>
          <w:szCs w:val="24"/>
        </w:rPr>
        <w:t>(1), 71–85. https://doi.org/10.1007/s11747-010-0217-2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Csikszentmihalyi, M. (1975). Beyond boredom and anxiety. Jossey-Bass.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Deshmukh, P., &amp; Tare, H. (2022). effects of green marketing practices on consumer behavior in India. </w:t>
      </w:r>
      <w:r>
        <w:rPr>
          <w:rFonts w:ascii="Times New Roman" w:cs="Times New Roman" w:hAnsi="Times New Roman"/>
          <w:i/>
          <w:iCs/>
          <w:sz w:val="24"/>
          <w:szCs w:val="24"/>
        </w:rPr>
        <w:t>International Journal of Health Sciences (IJHS)</w:t>
      </w:r>
      <w:r>
        <w:rPr>
          <w:rFonts w:ascii="Times New Roman" w:cs="Times New Roman" w:hAnsi="Times New Roman"/>
          <w:sz w:val="24"/>
          <w:szCs w:val="24"/>
        </w:rPr>
        <w:t>, 3292–3310. https://doi.org/10.53730/ijhs.v6ns8.12835</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Dhir</w:t>
      </w:r>
      <w:r>
        <w:rPr>
          <w:rFonts w:ascii="Times New Roman" w:cs="Times New Roman" w:hAnsi="Times New Roman"/>
          <w:sz w:val="24"/>
          <w:szCs w:val="24"/>
        </w:rPr>
        <w:t xml:space="preserve">, A., &amp; </w:t>
      </w:r>
      <w:r>
        <w:rPr>
          <w:rFonts w:ascii="Times New Roman" w:cs="Times New Roman" w:hAnsi="Times New Roman"/>
          <w:sz w:val="24"/>
          <w:szCs w:val="24"/>
        </w:rPr>
        <w:t>Torsheim</w:t>
      </w:r>
      <w:r>
        <w:rPr>
          <w:rFonts w:ascii="Times New Roman" w:cs="Times New Roman" w:hAnsi="Times New Roman"/>
          <w:sz w:val="24"/>
          <w:szCs w:val="24"/>
        </w:rPr>
        <w:t>, T. (2016). Factors affecting engagement to use of the MyFitnessPal app: A case study on food tracking. Telematics and Informatics, 33(2), 293-303.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Dolan, R. J., Peck, J., &amp; Huffman, C. (2016). Psychological influences on the share of mental simulation. Journal of Marketing Research, 53(5), 767-780.</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Dolan, R. J., Peck, J., &amp; Huffman, C. (2019). Social exchange theory and research on business-to-business exchange relationships. Journal of Business &amp; Industrial Marketing.</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Eccles, J. S., </w:t>
      </w:r>
      <w:r>
        <w:rPr>
          <w:rFonts w:ascii="Times New Roman" w:cs="Times New Roman" w:hAnsi="Times New Roman"/>
          <w:sz w:val="24"/>
          <w:szCs w:val="24"/>
        </w:rPr>
        <w:t>Wigfield</w:t>
      </w:r>
      <w:r>
        <w:rPr>
          <w:rFonts w:ascii="Times New Roman" w:cs="Times New Roman" w:hAnsi="Times New Roman"/>
          <w:sz w:val="24"/>
          <w:szCs w:val="24"/>
        </w:rPr>
        <w:t xml:space="preserve">, A., &amp; </w:t>
      </w:r>
      <w:r>
        <w:rPr>
          <w:rFonts w:ascii="Times New Roman" w:cs="Times New Roman" w:hAnsi="Times New Roman"/>
          <w:sz w:val="24"/>
          <w:szCs w:val="24"/>
        </w:rPr>
        <w:t>Schiefele</w:t>
      </w:r>
      <w:r>
        <w:rPr>
          <w:rFonts w:ascii="Times New Roman" w:cs="Times New Roman" w:hAnsi="Times New Roman"/>
          <w:sz w:val="24"/>
          <w:szCs w:val="24"/>
        </w:rPr>
        <w:t>, U. (1983). Motivation to succeed. In J. T. Spence (Ed.), Achievement and achievement motives (pp. 75-109). W. H. Freeman and Company.</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Fatoki</w:t>
      </w:r>
      <w:r>
        <w:rPr>
          <w:rFonts w:ascii="Times New Roman" w:cs="Times New Roman" w:hAnsi="Times New Roman"/>
          <w:sz w:val="24"/>
          <w:szCs w:val="24"/>
        </w:rPr>
        <w:t xml:space="preserve">, O. (2019). Green marketing orientation and environmental and social performance of hospitality firms in South Africa. </w:t>
      </w:r>
      <w:r>
        <w:rPr>
          <w:rFonts w:ascii="Times New Roman" w:cs="Times New Roman" w:hAnsi="Times New Roman"/>
          <w:i/>
          <w:iCs/>
          <w:sz w:val="24"/>
          <w:szCs w:val="24"/>
        </w:rPr>
        <w:t>Foundations of Management</w:t>
      </w:r>
      <w:r>
        <w:rPr>
          <w:rFonts w:ascii="Times New Roman" w:cs="Times New Roman" w:hAnsi="Times New Roman"/>
          <w:sz w:val="24"/>
          <w:szCs w:val="24"/>
        </w:rPr>
        <w:t xml:space="preserve">, </w:t>
      </w:r>
      <w:r>
        <w:rPr>
          <w:rFonts w:ascii="Times New Roman" w:cs="Times New Roman" w:hAnsi="Times New Roman"/>
          <w:i/>
          <w:iCs/>
          <w:sz w:val="24"/>
          <w:szCs w:val="24"/>
        </w:rPr>
        <w:t>11</w:t>
      </w:r>
      <w:r>
        <w:rPr>
          <w:rFonts w:ascii="Times New Roman" w:cs="Times New Roman" w:hAnsi="Times New Roman"/>
          <w:sz w:val="24"/>
          <w:szCs w:val="24"/>
        </w:rPr>
        <w:t>(1), 277–290. https://doi.org/10.2478/fman-2019-0023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Feder, M., &amp; </w:t>
      </w:r>
      <w:r>
        <w:rPr>
          <w:rFonts w:ascii="Times New Roman" w:cs="Times New Roman" w:hAnsi="Times New Roman"/>
          <w:sz w:val="24"/>
          <w:szCs w:val="24"/>
        </w:rPr>
        <w:t>Weißenberger</w:t>
      </w:r>
      <w:r>
        <w:rPr>
          <w:rFonts w:ascii="Times New Roman" w:cs="Times New Roman" w:hAnsi="Times New Roman"/>
          <w:sz w:val="24"/>
          <w:szCs w:val="24"/>
        </w:rPr>
        <w:t xml:space="preserve">, B. E. (2021). Towards a holistic view of CSR-related management control systems in German companies: Determinants and corporate performance effects. </w:t>
      </w:r>
      <w:r>
        <w:rPr>
          <w:rFonts w:ascii="Times New Roman" w:cs="Times New Roman" w:hAnsi="Times New Roman"/>
          <w:i/>
          <w:iCs/>
          <w:sz w:val="24"/>
          <w:szCs w:val="24"/>
        </w:rPr>
        <w:t>Journal of Cleaner Production</w:t>
      </w:r>
      <w:r>
        <w:rPr>
          <w:rFonts w:ascii="Times New Roman" w:cs="Times New Roman" w:hAnsi="Times New Roman"/>
          <w:sz w:val="24"/>
          <w:szCs w:val="24"/>
        </w:rPr>
        <w:t xml:space="preserve">, </w:t>
      </w:r>
      <w:r>
        <w:rPr>
          <w:rFonts w:ascii="Times New Roman" w:cs="Times New Roman" w:hAnsi="Times New Roman"/>
          <w:i/>
          <w:iCs/>
          <w:sz w:val="24"/>
          <w:szCs w:val="24"/>
        </w:rPr>
        <w:t>294</w:t>
      </w:r>
      <w:r>
        <w:rPr>
          <w:rFonts w:ascii="Times New Roman" w:cs="Times New Roman" w:hAnsi="Times New Roman"/>
          <w:sz w:val="24"/>
          <w:szCs w:val="24"/>
        </w:rPr>
        <w:t>, 126084. https://doi.org/10.1016/j.jclepro.2021.126084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Festinger, L. (1957). A theory of cognitive dissonance. Stanford University Press.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Fraj</w:t>
      </w:r>
      <w:r>
        <w:rPr>
          <w:rFonts w:ascii="Times New Roman" w:cs="Times New Roman" w:hAnsi="Times New Roman"/>
          <w:sz w:val="24"/>
          <w:szCs w:val="24"/>
        </w:rPr>
        <w:t xml:space="preserve">, E., Martínez, E. P., &amp; </w:t>
      </w:r>
      <w:r>
        <w:rPr>
          <w:rFonts w:ascii="Times New Roman" w:cs="Times New Roman" w:hAnsi="Times New Roman"/>
          <w:sz w:val="24"/>
          <w:szCs w:val="24"/>
        </w:rPr>
        <w:t>Matute</w:t>
      </w:r>
      <w:r>
        <w:rPr>
          <w:rFonts w:ascii="Times New Roman" w:cs="Times New Roman" w:hAnsi="Times New Roman"/>
          <w:sz w:val="24"/>
          <w:szCs w:val="24"/>
        </w:rPr>
        <w:t xml:space="preserve">, J. (2013). Green marketing in B2B </w:t>
      </w:r>
      <w:r>
        <w:rPr>
          <w:rFonts w:ascii="Times New Roman" w:cs="Times New Roman" w:hAnsi="Times New Roman"/>
          <w:sz w:val="24"/>
          <w:szCs w:val="24"/>
        </w:rPr>
        <w:t>organisations</w:t>
      </w:r>
      <w:r>
        <w:rPr>
          <w:rFonts w:ascii="Times New Roman" w:cs="Times New Roman" w:hAnsi="Times New Roman"/>
          <w:sz w:val="24"/>
          <w:szCs w:val="24"/>
        </w:rPr>
        <w:t xml:space="preserve">: an empirical analysis from the natural‐resource‐based view of the firm. </w:t>
      </w:r>
      <w:r>
        <w:rPr>
          <w:rFonts w:ascii="Times New Roman" w:cs="Times New Roman" w:hAnsi="Times New Roman"/>
          <w:i/>
          <w:iCs/>
          <w:sz w:val="24"/>
          <w:szCs w:val="24"/>
        </w:rPr>
        <w:t>Journal of Business &amp; Industrial Marketing</w:t>
      </w:r>
      <w:r>
        <w:rPr>
          <w:rFonts w:ascii="Times New Roman" w:cs="Times New Roman" w:hAnsi="Times New Roman"/>
          <w:sz w:val="24"/>
          <w:szCs w:val="24"/>
        </w:rPr>
        <w:t xml:space="preserve">, </w:t>
      </w:r>
      <w:r>
        <w:rPr>
          <w:rFonts w:ascii="Times New Roman" w:cs="Times New Roman" w:hAnsi="Times New Roman"/>
          <w:i/>
          <w:iCs/>
          <w:sz w:val="24"/>
          <w:szCs w:val="24"/>
        </w:rPr>
        <w:t>28</w:t>
      </w:r>
      <w:r>
        <w:rPr>
          <w:rFonts w:ascii="Times New Roman" w:cs="Times New Roman" w:hAnsi="Times New Roman"/>
          <w:sz w:val="24"/>
          <w:szCs w:val="24"/>
        </w:rPr>
        <w:t>(5), 396–410. https://doi.org/10.1108/08858621311330245</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Ghodeswar</w:t>
      </w:r>
      <w:r>
        <w:rPr>
          <w:rFonts w:ascii="Times New Roman" w:cs="Times New Roman" w:hAnsi="Times New Roman"/>
          <w:sz w:val="24"/>
          <w:szCs w:val="24"/>
        </w:rPr>
        <w:t xml:space="preserve">, B., &amp; Kumar, P. (2014). A study of green marketing practices in Indian companies. </w:t>
      </w:r>
      <w:r>
        <w:rPr>
          <w:rFonts w:ascii="Times New Roman" w:cs="Times New Roman" w:hAnsi="Times New Roman"/>
          <w:i/>
          <w:iCs/>
          <w:sz w:val="24"/>
          <w:szCs w:val="24"/>
        </w:rPr>
        <w:t>International Journal of Applied Management Sciences and Engineering</w:t>
      </w:r>
      <w:r>
        <w:rPr>
          <w:rFonts w:ascii="Times New Roman" w:cs="Times New Roman" w:hAnsi="Times New Roman"/>
          <w:sz w:val="24"/>
          <w:szCs w:val="24"/>
        </w:rPr>
        <w:t xml:space="preserve">, </w:t>
      </w:r>
      <w:r>
        <w:rPr>
          <w:rFonts w:ascii="Times New Roman" w:cs="Times New Roman" w:hAnsi="Times New Roman"/>
          <w:i/>
          <w:iCs/>
          <w:sz w:val="24"/>
          <w:szCs w:val="24"/>
        </w:rPr>
        <w:t>1</w:t>
      </w:r>
      <w:r>
        <w:rPr>
          <w:rFonts w:ascii="Times New Roman" w:cs="Times New Roman" w:hAnsi="Times New Roman"/>
          <w:sz w:val="24"/>
          <w:szCs w:val="24"/>
        </w:rPr>
        <w:t>(2), 46–64. https://doi.org/10.4018/ijamse.2014070104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Gil de Zuniga, H., Puig-</w:t>
      </w:r>
      <w:r>
        <w:rPr>
          <w:rFonts w:ascii="Times New Roman" w:cs="Times New Roman" w:hAnsi="Times New Roman"/>
          <w:sz w:val="24"/>
          <w:szCs w:val="24"/>
        </w:rPr>
        <w:t>i</w:t>
      </w:r>
      <w:r>
        <w:rPr>
          <w:rFonts w:ascii="Times New Roman" w:cs="Times New Roman" w:hAnsi="Times New Roman"/>
          <w:sz w:val="24"/>
          <w:szCs w:val="24"/>
        </w:rPr>
        <w:t>-Abril, E., &amp; Rojas, H. (2012). Weblogs, traditional sources online and political participation: An assessment of how the internet is changing the political environment. New Media &amp; Society, 14(2), 201-218.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Gordon, R., Carrigan, M., &amp; Hastings, G. (2011). A framework for sustainable marketing. </w:t>
      </w:r>
      <w:r>
        <w:rPr>
          <w:rFonts w:ascii="Times New Roman" w:cs="Times New Roman" w:hAnsi="Times New Roman"/>
          <w:i/>
          <w:iCs/>
          <w:sz w:val="24"/>
          <w:szCs w:val="24"/>
        </w:rPr>
        <w:t>Marketing Theory</w:t>
      </w:r>
      <w:r>
        <w:rPr>
          <w:rFonts w:ascii="Times New Roman" w:cs="Times New Roman" w:hAnsi="Times New Roman"/>
          <w:sz w:val="24"/>
          <w:szCs w:val="24"/>
        </w:rPr>
        <w:t xml:space="preserve">, </w:t>
      </w:r>
      <w:r>
        <w:rPr>
          <w:rFonts w:ascii="Times New Roman" w:cs="Times New Roman" w:hAnsi="Times New Roman"/>
          <w:i/>
          <w:iCs/>
          <w:sz w:val="24"/>
          <w:szCs w:val="24"/>
        </w:rPr>
        <w:t>11</w:t>
      </w:r>
      <w:r>
        <w:rPr>
          <w:rFonts w:ascii="Times New Roman" w:cs="Times New Roman" w:hAnsi="Times New Roman"/>
          <w:sz w:val="24"/>
          <w:szCs w:val="24"/>
        </w:rPr>
        <w:t>(2), 143–163. https://doi.org/10.1177/1470593111403218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Green, M. C., &amp; Brock, T. C. (2000). The role of transportation in the persuasiveness of public narratives. Journal of Personality and Social Psychology, 79(5), 701.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Groening, C., Sarkis, J., &amp; Zhu, Q. (2018a). Green marketing consumer-level theory review: A compendium of applied theories and further research directions. </w:t>
      </w:r>
      <w:r>
        <w:rPr>
          <w:rFonts w:ascii="Times New Roman" w:cs="Times New Roman" w:hAnsi="Times New Roman"/>
          <w:i/>
          <w:iCs/>
          <w:sz w:val="24"/>
          <w:szCs w:val="24"/>
        </w:rPr>
        <w:t>Journal of Cleaner Production</w:t>
      </w:r>
      <w:r>
        <w:rPr>
          <w:rFonts w:ascii="Times New Roman" w:cs="Times New Roman" w:hAnsi="Times New Roman"/>
          <w:sz w:val="24"/>
          <w:szCs w:val="24"/>
        </w:rPr>
        <w:t xml:space="preserve">, </w:t>
      </w:r>
      <w:r>
        <w:rPr>
          <w:rFonts w:ascii="Times New Roman" w:cs="Times New Roman" w:hAnsi="Times New Roman"/>
          <w:i/>
          <w:iCs/>
          <w:sz w:val="24"/>
          <w:szCs w:val="24"/>
        </w:rPr>
        <w:t>172</w:t>
      </w:r>
      <w:r>
        <w:rPr>
          <w:rFonts w:ascii="Times New Roman" w:cs="Times New Roman" w:hAnsi="Times New Roman"/>
          <w:sz w:val="24"/>
          <w:szCs w:val="24"/>
        </w:rPr>
        <w:t>, 1848–1866. https://doi.org/10.1016/j.jclepro.2017.12.002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Groening, C., Sarkis, J., &amp; Zhu, Q. (2018b). Green marketing consumer-level theory review: A compendium of applied theories and further research directions. </w:t>
      </w:r>
      <w:r>
        <w:rPr>
          <w:rFonts w:ascii="Times New Roman" w:cs="Times New Roman" w:hAnsi="Times New Roman"/>
          <w:i/>
          <w:iCs/>
          <w:sz w:val="24"/>
          <w:szCs w:val="24"/>
        </w:rPr>
        <w:t>Journal of Cleaner Production</w:t>
      </w:r>
      <w:r>
        <w:rPr>
          <w:rFonts w:ascii="Times New Roman" w:cs="Times New Roman" w:hAnsi="Times New Roman"/>
          <w:sz w:val="24"/>
          <w:szCs w:val="24"/>
        </w:rPr>
        <w:t xml:space="preserve">, </w:t>
      </w:r>
      <w:r>
        <w:rPr>
          <w:rFonts w:ascii="Times New Roman" w:cs="Times New Roman" w:hAnsi="Times New Roman"/>
          <w:i/>
          <w:iCs/>
          <w:sz w:val="24"/>
          <w:szCs w:val="24"/>
        </w:rPr>
        <w:t>172</w:t>
      </w:r>
      <w:r>
        <w:rPr>
          <w:rFonts w:ascii="Times New Roman" w:cs="Times New Roman" w:hAnsi="Times New Roman"/>
          <w:sz w:val="24"/>
          <w:szCs w:val="24"/>
        </w:rPr>
        <w:t>, 1848–1866. https://doi.org/10.1016/j.jclepro.2017.12.002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Gvili</w:t>
      </w:r>
      <w:r>
        <w:rPr>
          <w:rFonts w:ascii="Times New Roman" w:cs="Times New Roman" w:hAnsi="Times New Roman"/>
          <w:sz w:val="24"/>
          <w:szCs w:val="24"/>
        </w:rPr>
        <w:t>, Y., &amp; Levy, Y. (2021). The impact of telepresence and flow on online consumer behavior. Journal of Business Research, 128, 464-473.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Haq</w:t>
      </w:r>
      <w:r>
        <w:rPr>
          <w:rFonts w:ascii="Times New Roman" w:cs="Times New Roman" w:hAnsi="Times New Roman"/>
          <w:sz w:val="24"/>
          <w:szCs w:val="24"/>
        </w:rPr>
        <w:t xml:space="preserve">, F., Adil, A., &amp; </w:t>
      </w:r>
      <w:r>
        <w:rPr>
          <w:rFonts w:ascii="Times New Roman" w:cs="Times New Roman" w:hAnsi="Times New Roman"/>
          <w:sz w:val="24"/>
          <w:szCs w:val="24"/>
        </w:rPr>
        <w:t>Arif</w:t>
      </w:r>
      <w:r>
        <w:rPr>
          <w:rFonts w:ascii="Times New Roman" w:cs="Times New Roman" w:hAnsi="Times New Roman"/>
          <w:sz w:val="24"/>
          <w:szCs w:val="24"/>
        </w:rPr>
        <w:t xml:space="preserve">, M. (2021). Relationship between green marketing determinants and consumer buying behavior: Mediating role of environmental awareness. </w:t>
      </w:r>
      <w:r>
        <w:rPr>
          <w:rFonts w:ascii="Times New Roman" w:cs="Times New Roman" w:hAnsi="Times New Roman"/>
          <w:i/>
          <w:iCs/>
          <w:sz w:val="24"/>
          <w:szCs w:val="24"/>
        </w:rPr>
        <w:t>Global Economics Review</w:t>
      </w:r>
      <w:r>
        <w:rPr>
          <w:rFonts w:ascii="Times New Roman" w:cs="Times New Roman" w:hAnsi="Times New Roman"/>
          <w:sz w:val="24"/>
          <w:szCs w:val="24"/>
        </w:rPr>
        <w:t xml:space="preserve">, </w:t>
      </w:r>
      <w:r>
        <w:rPr>
          <w:rFonts w:ascii="Times New Roman" w:cs="Times New Roman" w:hAnsi="Times New Roman"/>
          <w:i/>
          <w:iCs/>
          <w:sz w:val="24"/>
          <w:szCs w:val="24"/>
        </w:rPr>
        <w:t>VI</w:t>
      </w:r>
      <w:r>
        <w:rPr>
          <w:rFonts w:ascii="Times New Roman" w:cs="Times New Roman" w:hAnsi="Times New Roman"/>
          <w:sz w:val="24"/>
          <w:szCs w:val="24"/>
        </w:rPr>
        <w:t>(I), 38–52. https://doi.org/10.31703/ger.2021(vi-i).04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Hauslbauer</w:t>
      </w:r>
      <w:r>
        <w:rPr>
          <w:rFonts w:ascii="Times New Roman" w:cs="Times New Roman" w:hAnsi="Times New Roman"/>
          <w:sz w:val="24"/>
          <w:szCs w:val="24"/>
        </w:rPr>
        <w:t xml:space="preserve">, A. L., Schade, J., Drexler, C. E., &amp; </w:t>
      </w:r>
      <w:r>
        <w:rPr>
          <w:rFonts w:ascii="Times New Roman" w:cs="Times New Roman" w:hAnsi="Times New Roman"/>
          <w:sz w:val="24"/>
          <w:szCs w:val="24"/>
        </w:rPr>
        <w:t>Petzoldt</w:t>
      </w:r>
      <w:r>
        <w:rPr>
          <w:rFonts w:ascii="Times New Roman" w:cs="Times New Roman" w:hAnsi="Times New Roman"/>
          <w:sz w:val="24"/>
          <w:szCs w:val="24"/>
        </w:rPr>
        <w:t xml:space="preserve">, T. (2022). Extending the theory of planned behavior to predict and nudge toward the subscription to a public transport ticket. </w:t>
      </w:r>
      <w:r>
        <w:rPr>
          <w:rFonts w:ascii="Times New Roman" w:cs="Times New Roman" w:hAnsi="Times New Roman"/>
          <w:i/>
          <w:iCs/>
          <w:sz w:val="24"/>
          <w:szCs w:val="24"/>
        </w:rPr>
        <w:t>European Transport Research Review</w:t>
      </w:r>
      <w:r>
        <w:rPr>
          <w:rFonts w:ascii="Times New Roman" w:cs="Times New Roman" w:hAnsi="Times New Roman"/>
          <w:sz w:val="24"/>
          <w:szCs w:val="24"/>
        </w:rPr>
        <w:t xml:space="preserve">, </w:t>
      </w:r>
      <w:r>
        <w:rPr>
          <w:rFonts w:ascii="Times New Roman" w:cs="Times New Roman" w:hAnsi="Times New Roman"/>
          <w:i/>
          <w:iCs/>
          <w:sz w:val="24"/>
          <w:szCs w:val="24"/>
        </w:rPr>
        <w:t>14</w:t>
      </w:r>
      <w:r>
        <w:rPr>
          <w:rFonts w:ascii="Times New Roman" w:cs="Times New Roman" w:hAnsi="Times New Roman"/>
          <w:sz w:val="24"/>
          <w:szCs w:val="24"/>
        </w:rPr>
        <w:t>(1). https://doi.org/10.1186/s12544-022-00528-3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Hudson, J. M., Huang, L., Roth, M. S., &amp; Madden, T. J. (2016). The influence of friends on consumer spending: The role of agency-communion orientation and materialism. Journal of the Academy of Marketing Science, 44(6), 728-744.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Jashari</w:t>
      </w:r>
      <w:r>
        <w:rPr>
          <w:rFonts w:ascii="Times New Roman" w:cs="Times New Roman" w:hAnsi="Times New Roman"/>
          <w:sz w:val="24"/>
          <w:szCs w:val="24"/>
        </w:rPr>
        <w:t xml:space="preserve">, I., &amp; </w:t>
      </w:r>
      <w:r>
        <w:rPr>
          <w:rFonts w:ascii="Times New Roman" w:cs="Times New Roman" w:hAnsi="Times New Roman"/>
          <w:sz w:val="24"/>
          <w:szCs w:val="24"/>
        </w:rPr>
        <w:t>Rrustemi</w:t>
      </w:r>
      <w:r>
        <w:rPr>
          <w:rFonts w:ascii="Times New Roman" w:cs="Times New Roman" w:hAnsi="Times New Roman"/>
          <w:sz w:val="24"/>
          <w:szCs w:val="24"/>
        </w:rPr>
        <w:t>, A. (2017). Consumer behavior and brand purchase intention: Evidence from the Kosovo retail market. European Scientific Journal, 13(17), 427-441.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Kalafatis</w:t>
      </w:r>
      <w:r>
        <w:rPr>
          <w:rFonts w:ascii="Times New Roman" w:cs="Times New Roman" w:hAnsi="Times New Roman"/>
          <w:sz w:val="24"/>
          <w:szCs w:val="24"/>
        </w:rPr>
        <w:t xml:space="preserve">, S., Pollard, M. S., East, R., &amp; </w:t>
      </w:r>
      <w:r>
        <w:rPr>
          <w:rFonts w:ascii="Times New Roman" w:cs="Times New Roman" w:hAnsi="Times New Roman"/>
          <w:sz w:val="24"/>
          <w:szCs w:val="24"/>
        </w:rPr>
        <w:t>Tsogas</w:t>
      </w:r>
      <w:r>
        <w:rPr>
          <w:rFonts w:ascii="Times New Roman" w:cs="Times New Roman" w:hAnsi="Times New Roman"/>
          <w:sz w:val="24"/>
          <w:szCs w:val="24"/>
        </w:rPr>
        <w:t xml:space="preserve">, M. (1999). Green marketing and Ajzen’s theory of planned behaviour: a cross‐market examination. </w:t>
      </w:r>
      <w:r>
        <w:rPr>
          <w:rFonts w:ascii="Times New Roman" w:cs="Times New Roman" w:hAnsi="Times New Roman"/>
          <w:i/>
          <w:iCs/>
          <w:sz w:val="24"/>
          <w:szCs w:val="24"/>
        </w:rPr>
        <w:t>Journal of Consumer Marketing</w:t>
      </w:r>
      <w:r>
        <w:rPr>
          <w:rFonts w:ascii="Times New Roman" w:cs="Times New Roman" w:hAnsi="Times New Roman"/>
          <w:sz w:val="24"/>
          <w:szCs w:val="24"/>
        </w:rPr>
        <w:t xml:space="preserve">, </w:t>
      </w:r>
      <w:r>
        <w:rPr>
          <w:rFonts w:ascii="Times New Roman" w:cs="Times New Roman" w:hAnsi="Times New Roman"/>
          <w:i/>
          <w:iCs/>
          <w:sz w:val="24"/>
          <w:szCs w:val="24"/>
        </w:rPr>
        <w:t>16</w:t>
      </w:r>
      <w:r>
        <w:rPr>
          <w:rFonts w:ascii="Times New Roman" w:cs="Times New Roman" w:hAnsi="Times New Roman"/>
          <w:sz w:val="24"/>
          <w:szCs w:val="24"/>
        </w:rPr>
        <w:t>(5), 441–460. https://doi.org/10.1108/07363769910289550</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Kapoor, K. K., </w:t>
      </w:r>
      <w:r>
        <w:rPr>
          <w:rFonts w:ascii="Times New Roman" w:cs="Times New Roman" w:hAnsi="Times New Roman"/>
          <w:sz w:val="24"/>
          <w:szCs w:val="24"/>
        </w:rPr>
        <w:t>Tamilmani</w:t>
      </w:r>
      <w:r>
        <w:rPr>
          <w:rFonts w:ascii="Times New Roman" w:cs="Times New Roman" w:hAnsi="Times New Roman"/>
          <w:sz w:val="24"/>
          <w:szCs w:val="24"/>
        </w:rPr>
        <w:t xml:space="preserve">, K., Rana, N. P., Patil, P., Dwivedi, Y. K., &amp; </w:t>
      </w:r>
      <w:r>
        <w:rPr>
          <w:rFonts w:ascii="Times New Roman" w:cs="Times New Roman" w:hAnsi="Times New Roman"/>
          <w:sz w:val="24"/>
          <w:szCs w:val="24"/>
        </w:rPr>
        <w:t>Nerur</w:t>
      </w:r>
      <w:r>
        <w:rPr>
          <w:rFonts w:ascii="Times New Roman" w:cs="Times New Roman" w:hAnsi="Times New Roman"/>
          <w:sz w:val="24"/>
          <w:szCs w:val="24"/>
        </w:rPr>
        <w:t>, S. (2018). Advances in social media research: Past, present and future. Information Systems Frontiers, 20(3), 531-558.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Kharabsheh</w:t>
      </w:r>
      <w:r>
        <w:rPr>
          <w:rFonts w:ascii="Times New Roman" w:cs="Times New Roman" w:hAnsi="Times New Roman"/>
          <w:sz w:val="24"/>
          <w:szCs w:val="24"/>
        </w:rPr>
        <w:t>, B., Al-</w:t>
      </w:r>
      <w:r>
        <w:rPr>
          <w:rFonts w:ascii="Times New Roman" w:cs="Times New Roman" w:hAnsi="Times New Roman"/>
          <w:sz w:val="24"/>
          <w:szCs w:val="24"/>
        </w:rPr>
        <w:t>Shammari</w:t>
      </w:r>
      <w:r>
        <w:rPr>
          <w:rFonts w:ascii="Times New Roman" w:cs="Times New Roman" w:hAnsi="Times New Roman"/>
          <w:sz w:val="24"/>
          <w:szCs w:val="24"/>
        </w:rPr>
        <w:t xml:space="preserve">, H., &amp; </w:t>
      </w:r>
      <w:r>
        <w:rPr>
          <w:rFonts w:ascii="Times New Roman" w:cs="Times New Roman" w:hAnsi="Times New Roman"/>
          <w:sz w:val="24"/>
          <w:szCs w:val="24"/>
        </w:rPr>
        <w:t>Bataineh</w:t>
      </w:r>
      <w:r>
        <w:rPr>
          <w:rFonts w:ascii="Times New Roman" w:cs="Times New Roman" w:hAnsi="Times New Roman"/>
          <w:sz w:val="24"/>
          <w:szCs w:val="24"/>
        </w:rPr>
        <w:t xml:space="preserve">, K. (2023). Research on Corporate Social Responsibility: Insights and future directions. </w:t>
      </w:r>
      <w:r>
        <w:rPr>
          <w:rFonts w:ascii="Times New Roman" w:cs="Times New Roman" w:hAnsi="Times New Roman"/>
          <w:i/>
          <w:iCs/>
          <w:sz w:val="24"/>
          <w:szCs w:val="24"/>
        </w:rPr>
        <w:t>Administrative Sciences</w:t>
      </w:r>
      <w:r>
        <w:rPr>
          <w:rFonts w:ascii="Times New Roman" w:cs="Times New Roman" w:hAnsi="Times New Roman"/>
          <w:sz w:val="24"/>
          <w:szCs w:val="24"/>
        </w:rPr>
        <w:t xml:space="preserve">, </w:t>
      </w:r>
      <w:r>
        <w:rPr>
          <w:rFonts w:ascii="Times New Roman" w:cs="Times New Roman" w:hAnsi="Times New Roman"/>
          <w:i/>
          <w:iCs/>
          <w:sz w:val="24"/>
          <w:szCs w:val="24"/>
        </w:rPr>
        <w:t>13</w:t>
      </w:r>
      <w:r>
        <w:rPr>
          <w:rFonts w:ascii="Times New Roman" w:cs="Times New Roman" w:hAnsi="Times New Roman"/>
          <w:sz w:val="24"/>
          <w:szCs w:val="24"/>
        </w:rPr>
        <w:t>(2), 64. https://doi.org/10.3390/admsci13020064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Ku, Y. C., Chen, T. T., &amp; Zhang, H. (2013). Why do users choose specific social media sites? A uses and gratifications approach. Computers in Human Behavior, 29(3), 1039-1046.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Lee, J., &amp; Yang, Y. S. (2022). The impact of Corporate Social Responsibility Performance Feedback on Corporate Social Responsibility Performance. </w:t>
      </w:r>
      <w:r>
        <w:rPr>
          <w:rFonts w:ascii="Times New Roman" w:cs="Times New Roman" w:hAnsi="Times New Roman"/>
          <w:i/>
          <w:iCs/>
          <w:sz w:val="24"/>
          <w:szCs w:val="24"/>
        </w:rPr>
        <w:t>Frontiers in Psychology</w:t>
      </w:r>
      <w:r>
        <w:rPr>
          <w:rFonts w:ascii="Times New Roman" w:cs="Times New Roman" w:hAnsi="Times New Roman"/>
          <w:sz w:val="24"/>
          <w:szCs w:val="24"/>
        </w:rPr>
        <w:t xml:space="preserve">, </w:t>
      </w:r>
      <w:r>
        <w:rPr>
          <w:rFonts w:ascii="Times New Roman" w:cs="Times New Roman" w:hAnsi="Times New Roman"/>
          <w:i/>
          <w:iCs/>
          <w:sz w:val="24"/>
          <w:szCs w:val="24"/>
        </w:rPr>
        <w:t>13</w:t>
      </w:r>
      <w:r>
        <w:rPr>
          <w:rFonts w:ascii="Times New Roman" w:cs="Times New Roman" w:hAnsi="Times New Roman"/>
          <w:sz w:val="24"/>
          <w:szCs w:val="24"/>
        </w:rPr>
        <w:t>. https://doi.org/10.3389/fpsyg.2022.893193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Leonidou</w:t>
      </w:r>
      <w:r>
        <w:rPr>
          <w:rFonts w:ascii="Times New Roman" w:cs="Times New Roman" w:hAnsi="Times New Roman"/>
          <w:sz w:val="24"/>
          <w:szCs w:val="24"/>
        </w:rPr>
        <w:t xml:space="preserve">, C. N., &amp; </w:t>
      </w:r>
      <w:r>
        <w:rPr>
          <w:rFonts w:ascii="Times New Roman" w:cs="Times New Roman" w:hAnsi="Times New Roman"/>
          <w:sz w:val="24"/>
          <w:szCs w:val="24"/>
        </w:rPr>
        <w:t>Leonidou</w:t>
      </w:r>
      <w:r>
        <w:rPr>
          <w:rFonts w:ascii="Times New Roman" w:cs="Times New Roman" w:hAnsi="Times New Roman"/>
          <w:sz w:val="24"/>
          <w:szCs w:val="24"/>
        </w:rPr>
        <w:t xml:space="preserve">, L. C. (2011). Research into environmental marketing/management: a bibliographic analysis. </w:t>
      </w:r>
      <w:r>
        <w:rPr>
          <w:rFonts w:ascii="Times New Roman" w:cs="Times New Roman" w:hAnsi="Times New Roman"/>
          <w:i/>
          <w:iCs/>
          <w:sz w:val="24"/>
          <w:szCs w:val="24"/>
        </w:rPr>
        <w:t>European Journal of Marketing</w:t>
      </w:r>
      <w:r>
        <w:rPr>
          <w:rFonts w:ascii="Times New Roman" w:cs="Times New Roman" w:hAnsi="Times New Roman"/>
          <w:sz w:val="24"/>
          <w:szCs w:val="24"/>
        </w:rPr>
        <w:t xml:space="preserve">, </w:t>
      </w:r>
      <w:r>
        <w:rPr>
          <w:rFonts w:ascii="Times New Roman" w:cs="Times New Roman" w:hAnsi="Times New Roman"/>
          <w:i/>
          <w:iCs/>
          <w:sz w:val="24"/>
          <w:szCs w:val="24"/>
        </w:rPr>
        <w:t>45</w:t>
      </w:r>
      <w:r>
        <w:rPr>
          <w:rFonts w:ascii="Times New Roman" w:cs="Times New Roman" w:hAnsi="Times New Roman"/>
          <w:sz w:val="24"/>
          <w:szCs w:val="24"/>
        </w:rPr>
        <w:t>(1/2), 68–103. https://doi.org/10.1108/03090561111095603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Leonidou</w:t>
      </w:r>
      <w:r>
        <w:rPr>
          <w:rFonts w:ascii="Times New Roman" w:cs="Times New Roman" w:hAnsi="Times New Roman"/>
          <w:sz w:val="24"/>
          <w:szCs w:val="24"/>
        </w:rPr>
        <w:t xml:space="preserve">, C. N., </w:t>
      </w:r>
      <w:r>
        <w:rPr>
          <w:rFonts w:ascii="Times New Roman" w:cs="Times New Roman" w:hAnsi="Times New Roman"/>
          <w:sz w:val="24"/>
          <w:szCs w:val="24"/>
        </w:rPr>
        <w:t>Katsikeas</w:t>
      </w:r>
      <w:r>
        <w:rPr>
          <w:rFonts w:ascii="Times New Roman" w:cs="Times New Roman" w:hAnsi="Times New Roman"/>
          <w:sz w:val="24"/>
          <w:szCs w:val="24"/>
        </w:rPr>
        <w:t xml:space="preserve">, C. S., &amp; Morgan, N. (2012). “Greening” the marketing mix: do firms do it and does it pay off? </w:t>
      </w:r>
      <w:r>
        <w:rPr>
          <w:rFonts w:ascii="Times New Roman" w:cs="Times New Roman" w:hAnsi="Times New Roman"/>
          <w:i/>
          <w:iCs/>
          <w:sz w:val="24"/>
          <w:szCs w:val="24"/>
        </w:rPr>
        <w:t>Journal of the Academy of Marketing Science</w:t>
      </w:r>
      <w:r>
        <w:rPr>
          <w:rFonts w:ascii="Times New Roman" w:cs="Times New Roman" w:hAnsi="Times New Roman"/>
          <w:sz w:val="24"/>
          <w:szCs w:val="24"/>
        </w:rPr>
        <w:t xml:space="preserve">, </w:t>
      </w:r>
      <w:r>
        <w:rPr>
          <w:rFonts w:ascii="Times New Roman" w:cs="Times New Roman" w:hAnsi="Times New Roman"/>
          <w:i/>
          <w:iCs/>
          <w:sz w:val="24"/>
          <w:szCs w:val="24"/>
        </w:rPr>
        <w:t>41</w:t>
      </w:r>
      <w:r>
        <w:rPr>
          <w:rFonts w:ascii="Times New Roman" w:cs="Times New Roman" w:hAnsi="Times New Roman"/>
          <w:sz w:val="24"/>
          <w:szCs w:val="24"/>
        </w:rPr>
        <w:t>(2), 151–170. https://doi.org/10.1007/s11747-012-0317-2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Levit</w:t>
      </w:r>
      <w:r>
        <w:rPr>
          <w:rFonts w:ascii="Times New Roman" w:cs="Times New Roman" w:hAnsi="Times New Roman"/>
          <w:sz w:val="24"/>
          <w:szCs w:val="24"/>
        </w:rPr>
        <w:t xml:space="preserve">, T., &amp; </w:t>
      </w:r>
      <w:r>
        <w:rPr>
          <w:rFonts w:ascii="Times New Roman" w:cs="Times New Roman" w:hAnsi="Times New Roman"/>
          <w:sz w:val="24"/>
          <w:szCs w:val="24"/>
        </w:rPr>
        <w:t>Cismaru</w:t>
      </w:r>
      <w:r>
        <w:rPr>
          <w:rFonts w:ascii="Times New Roman" w:cs="Times New Roman" w:hAnsi="Times New Roman"/>
          <w:sz w:val="24"/>
          <w:szCs w:val="24"/>
        </w:rPr>
        <w:t xml:space="preserve">, M. (2020). Marketing social marketing theory to practitioners. </w:t>
      </w:r>
      <w:r>
        <w:rPr>
          <w:rFonts w:ascii="Times New Roman" w:cs="Times New Roman" w:hAnsi="Times New Roman"/>
          <w:i/>
          <w:iCs/>
          <w:sz w:val="24"/>
          <w:szCs w:val="24"/>
        </w:rPr>
        <w:t>International Review on Public and Nonprofit Marketing</w:t>
      </w:r>
      <w:r>
        <w:rPr>
          <w:rFonts w:ascii="Times New Roman" w:cs="Times New Roman" w:hAnsi="Times New Roman"/>
          <w:sz w:val="24"/>
          <w:szCs w:val="24"/>
        </w:rPr>
        <w:t xml:space="preserve">, </w:t>
      </w:r>
      <w:r>
        <w:rPr>
          <w:rFonts w:ascii="Times New Roman" w:cs="Times New Roman" w:hAnsi="Times New Roman"/>
          <w:i/>
          <w:iCs/>
          <w:sz w:val="24"/>
          <w:szCs w:val="24"/>
        </w:rPr>
        <w:t>17</w:t>
      </w:r>
      <w:r>
        <w:rPr>
          <w:rFonts w:ascii="Times New Roman" w:cs="Times New Roman" w:hAnsi="Times New Roman"/>
          <w:sz w:val="24"/>
          <w:szCs w:val="24"/>
        </w:rPr>
        <w:t>(2), 237–252. https://doi.org/10.1007/s12208-020-00245-4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Lewin, K. (1951). Field theory in social science: Selected theoretical papers (D. Cartwright, Ed.). Harper &amp; Row.</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Li, X., Du, J., &amp; Long, H. (2019). Theoretical framework and formation mechanism of the green development system model in China. </w:t>
      </w:r>
      <w:r>
        <w:rPr>
          <w:rFonts w:ascii="Times New Roman" w:cs="Times New Roman" w:hAnsi="Times New Roman"/>
          <w:i/>
          <w:iCs/>
          <w:sz w:val="24"/>
          <w:szCs w:val="24"/>
        </w:rPr>
        <w:t>MDPI</w:t>
      </w:r>
      <w:r>
        <w:rPr>
          <w:rFonts w:ascii="Times New Roman" w:cs="Times New Roman" w:hAnsi="Times New Roman"/>
          <w:sz w:val="24"/>
          <w:szCs w:val="24"/>
        </w:rPr>
        <w:t xml:space="preserve">, </w:t>
      </w:r>
      <w:r>
        <w:rPr>
          <w:rFonts w:ascii="Times New Roman" w:cs="Times New Roman" w:hAnsi="Times New Roman"/>
          <w:i/>
          <w:iCs/>
          <w:sz w:val="24"/>
          <w:szCs w:val="24"/>
        </w:rPr>
        <w:t>32</w:t>
      </w:r>
      <w:r>
        <w:rPr>
          <w:rFonts w:ascii="Times New Roman" w:cs="Times New Roman" w:hAnsi="Times New Roman"/>
          <w:sz w:val="24"/>
          <w:szCs w:val="24"/>
        </w:rPr>
        <w:t>, 100465. https://doi.org/10.1016/j.envdev.2019.100465</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Li, Y., Ye, F., </w:t>
      </w:r>
      <w:r>
        <w:rPr>
          <w:rFonts w:ascii="Times New Roman" w:cs="Times New Roman" w:hAnsi="Times New Roman"/>
          <w:sz w:val="24"/>
          <w:szCs w:val="24"/>
        </w:rPr>
        <w:t>Sheu</w:t>
      </w:r>
      <w:r>
        <w:rPr>
          <w:rFonts w:ascii="Times New Roman" w:cs="Times New Roman" w:hAnsi="Times New Roman"/>
          <w:sz w:val="24"/>
          <w:szCs w:val="24"/>
        </w:rPr>
        <w:t xml:space="preserve">, C., &amp; Yang, Q. (2018). Linking green market orientation and performance: Antecedents and processes. </w:t>
      </w:r>
      <w:r>
        <w:rPr>
          <w:rFonts w:ascii="Times New Roman" w:cs="Times New Roman" w:hAnsi="Times New Roman"/>
          <w:i/>
          <w:iCs/>
          <w:sz w:val="24"/>
          <w:szCs w:val="24"/>
        </w:rPr>
        <w:t>Journal of Cleaner Production</w:t>
      </w:r>
      <w:r>
        <w:rPr>
          <w:rFonts w:ascii="Times New Roman" w:cs="Times New Roman" w:hAnsi="Times New Roman"/>
          <w:sz w:val="24"/>
          <w:szCs w:val="24"/>
        </w:rPr>
        <w:t xml:space="preserve">, </w:t>
      </w:r>
      <w:r>
        <w:rPr>
          <w:rFonts w:ascii="Times New Roman" w:cs="Times New Roman" w:hAnsi="Times New Roman"/>
          <w:i/>
          <w:iCs/>
          <w:sz w:val="24"/>
          <w:szCs w:val="24"/>
        </w:rPr>
        <w:t>192</w:t>
      </w:r>
      <w:r>
        <w:rPr>
          <w:rFonts w:ascii="Times New Roman" w:cs="Times New Roman" w:hAnsi="Times New Roman"/>
          <w:sz w:val="24"/>
          <w:szCs w:val="24"/>
        </w:rPr>
        <w:t>, 924–931. https://doi.org/10.1016/j.jclepro.2018.05.052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Macafee</w:t>
      </w:r>
      <w:r>
        <w:rPr>
          <w:rFonts w:ascii="Times New Roman" w:cs="Times New Roman" w:hAnsi="Times New Roman"/>
          <w:sz w:val="24"/>
          <w:szCs w:val="24"/>
        </w:rPr>
        <w:t>, T. (2013). Philosophy and the quest for happiness. Palgrave Macmillan.</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Malthouse, E. C., Calder, B. J., Kim, S. J., &amp; </w:t>
      </w:r>
      <w:r>
        <w:rPr>
          <w:rFonts w:ascii="Times New Roman" w:cs="Times New Roman" w:hAnsi="Times New Roman"/>
          <w:sz w:val="24"/>
          <w:szCs w:val="24"/>
        </w:rPr>
        <w:t>Vandenbosch</w:t>
      </w:r>
      <w:r>
        <w:rPr>
          <w:rFonts w:ascii="Times New Roman" w:cs="Times New Roman" w:hAnsi="Times New Roman"/>
          <w:sz w:val="24"/>
          <w:szCs w:val="24"/>
        </w:rPr>
        <w:t xml:space="preserve">, M. (2016). Evidence that user-generated content that produces engagement increases purchase </w:t>
      </w:r>
      <w:r>
        <w:rPr>
          <w:rFonts w:ascii="Times New Roman" w:cs="Times New Roman" w:hAnsi="Times New Roman"/>
          <w:sz w:val="24"/>
          <w:szCs w:val="24"/>
        </w:rPr>
        <w:t>behaviours</w:t>
      </w:r>
      <w:r>
        <w:rPr>
          <w:rFonts w:ascii="Times New Roman" w:cs="Times New Roman" w:hAnsi="Times New Roman"/>
          <w:sz w:val="24"/>
          <w:szCs w:val="24"/>
        </w:rPr>
        <w:t>. Journal of Marketing Management, 32(5-6), 427-444.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Mareno, M. C., &amp; Lockett, B. A. (2018). Augmented reality in marketing: A visual cue ability framework. Psychology &amp; Marketing, 35(8), 560-572.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Mazer, J. P., Murphy, R. E., &amp; Simonds, C. J. (2009). I'll see you on" Facebook": The effects of computer-mediated teacher self-disclosure on student motivation, affective learning, and classroom climate. Communication Education, 58(1), 1-17.</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Merskin, D. (2020). The SAGE International Encyclopedia of Mass Media and Society. In </w:t>
      </w:r>
      <w:r>
        <w:rPr>
          <w:rFonts w:ascii="Times New Roman" w:cs="Times New Roman" w:hAnsi="Times New Roman"/>
          <w:i/>
          <w:iCs/>
          <w:sz w:val="24"/>
          <w:szCs w:val="24"/>
        </w:rPr>
        <w:t>SAGE Publications, Inc. eBooks</w:t>
      </w:r>
      <w:r>
        <w:rPr>
          <w:rFonts w:ascii="Times New Roman" w:cs="Times New Roman" w:hAnsi="Times New Roman"/>
          <w:sz w:val="24"/>
          <w:szCs w:val="24"/>
        </w:rPr>
        <w:t>. https://doi.org/10.4135/9781483375519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Mura, L., </w:t>
      </w:r>
      <w:r>
        <w:rPr>
          <w:rFonts w:ascii="Times New Roman" w:cs="Times New Roman" w:hAnsi="Times New Roman"/>
          <w:sz w:val="24"/>
          <w:szCs w:val="24"/>
        </w:rPr>
        <w:t>Ambrus</w:t>
      </w:r>
      <w:r>
        <w:rPr>
          <w:rFonts w:ascii="Times New Roman" w:cs="Times New Roman" w:hAnsi="Times New Roman"/>
          <w:sz w:val="24"/>
          <w:szCs w:val="24"/>
        </w:rPr>
        <w:t xml:space="preserve">, R., </w:t>
      </w:r>
      <w:r>
        <w:rPr>
          <w:rFonts w:ascii="Times New Roman" w:cs="Times New Roman" w:hAnsi="Times New Roman"/>
          <w:sz w:val="24"/>
          <w:szCs w:val="24"/>
        </w:rPr>
        <w:t>Zsigmond</w:t>
      </w:r>
      <w:r>
        <w:rPr>
          <w:rFonts w:ascii="Times New Roman" w:cs="Times New Roman" w:hAnsi="Times New Roman"/>
          <w:sz w:val="24"/>
          <w:szCs w:val="24"/>
        </w:rPr>
        <w:t xml:space="preserve">, T., &amp; </w:t>
      </w:r>
      <w:r>
        <w:rPr>
          <w:rFonts w:ascii="Times New Roman" w:cs="Times New Roman" w:hAnsi="Times New Roman"/>
          <w:sz w:val="24"/>
          <w:szCs w:val="24"/>
        </w:rPr>
        <w:t>Bakó</w:t>
      </w:r>
      <w:r>
        <w:rPr>
          <w:rFonts w:ascii="Times New Roman" w:cs="Times New Roman" w:hAnsi="Times New Roman"/>
          <w:sz w:val="24"/>
          <w:szCs w:val="24"/>
        </w:rPr>
        <w:t xml:space="preserve">, F. (2022). The impact of green marketing on consumer behavior in the market of palm oil products. </w:t>
      </w:r>
      <w:r>
        <w:rPr>
          <w:rFonts w:ascii="Times New Roman" w:cs="Times New Roman" w:hAnsi="Times New Roman"/>
          <w:i/>
          <w:iCs/>
          <w:sz w:val="24"/>
          <w:szCs w:val="24"/>
        </w:rPr>
        <w:t>Sustainability</w:t>
      </w:r>
      <w:r>
        <w:rPr>
          <w:rFonts w:ascii="Times New Roman" w:cs="Times New Roman" w:hAnsi="Times New Roman"/>
          <w:sz w:val="24"/>
          <w:szCs w:val="24"/>
        </w:rPr>
        <w:t xml:space="preserve">, </w:t>
      </w:r>
      <w:r>
        <w:rPr>
          <w:rFonts w:ascii="Times New Roman" w:cs="Times New Roman" w:hAnsi="Times New Roman"/>
          <w:i/>
          <w:iCs/>
          <w:sz w:val="24"/>
          <w:szCs w:val="24"/>
        </w:rPr>
        <w:t>14</w:t>
      </w:r>
      <w:r>
        <w:rPr>
          <w:rFonts w:ascii="Times New Roman" w:cs="Times New Roman" w:hAnsi="Times New Roman"/>
          <w:sz w:val="24"/>
          <w:szCs w:val="24"/>
        </w:rPr>
        <w:t>(3), 1364. https://doi.org/10.3390/su14031364</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Omran</w:t>
      </w:r>
      <w:r>
        <w:rPr>
          <w:rFonts w:ascii="Times New Roman" w:cs="Times New Roman" w:hAnsi="Times New Roman"/>
          <w:sz w:val="24"/>
          <w:szCs w:val="24"/>
        </w:rPr>
        <w:t xml:space="preserve">, M., &amp; </w:t>
      </w:r>
      <w:r>
        <w:rPr>
          <w:rFonts w:ascii="Times New Roman" w:cs="Times New Roman" w:hAnsi="Times New Roman"/>
          <w:sz w:val="24"/>
          <w:szCs w:val="24"/>
        </w:rPr>
        <w:t>Ramdhony</w:t>
      </w:r>
      <w:r>
        <w:rPr>
          <w:rFonts w:ascii="Times New Roman" w:cs="Times New Roman" w:hAnsi="Times New Roman"/>
          <w:sz w:val="24"/>
          <w:szCs w:val="24"/>
        </w:rPr>
        <w:t xml:space="preserve">, D. (2015). Theoretical Perspectives on Corporate Social Responsibility Disclosure: A Critical review. </w:t>
      </w:r>
      <w:r>
        <w:rPr>
          <w:rFonts w:ascii="Times New Roman" w:cs="Times New Roman" w:hAnsi="Times New Roman"/>
          <w:i/>
          <w:iCs/>
          <w:sz w:val="24"/>
          <w:szCs w:val="24"/>
        </w:rPr>
        <w:t>International Journal of Accounting and Financial Reporting</w:t>
      </w:r>
      <w:r>
        <w:rPr>
          <w:rFonts w:ascii="Times New Roman" w:cs="Times New Roman" w:hAnsi="Times New Roman"/>
          <w:sz w:val="24"/>
          <w:szCs w:val="24"/>
        </w:rPr>
        <w:t xml:space="preserve">, </w:t>
      </w:r>
      <w:r>
        <w:rPr>
          <w:rFonts w:ascii="Times New Roman" w:cs="Times New Roman" w:hAnsi="Times New Roman"/>
          <w:i/>
          <w:iCs/>
          <w:sz w:val="24"/>
          <w:szCs w:val="24"/>
        </w:rPr>
        <w:t>5</w:t>
      </w:r>
      <w:r>
        <w:rPr>
          <w:rFonts w:ascii="Times New Roman" w:cs="Times New Roman" w:hAnsi="Times New Roman"/>
          <w:sz w:val="24"/>
          <w:szCs w:val="24"/>
        </w:rPr>
        <w:t>(2), 38. https://doi.org/10.5296/ijafr.v5i2.8035</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Petty, R. E., &amp; Cacioppo, J. T. (1986). Communication and persuasion: Central and peripheral routes to attitude change. Springer-Verlag.</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Podvorica</w:t>
      </w:r>
      <w:r>
        <w:rPr>
          <w:rFonts w:ascii="Times New Roman" w:cs="Times New Roman" w:hAnsi="Times New Roman"/>
          <w:sz w:val="24"/>
          <w:szCs w:val="24"/>
        </w:rPr>
        <w:t xml:space="preserve">, G., &amp; </w:t>
      </w:r>
      <w:r>
        <w:rPr>
          <w:rFonts w:ascii="Times New Roman" w:cs="Times New Roman" w:hAnsi="Times New Roman"/>
          <w:sz w:val="24"/>
          <w:szCs w:val="24"/>
        </w:rPr>
        <w:t>Ukaj</w:t>
      </w:r>
      <w:r>
        <w:rPr>
          <w:rFonts w:ascii="Times New Roman" w:cs="Times New Roman" w:hAnsi="Times New Roman"/>
          <w:sz w:val="24"/>
          <w:szCs w:val="24"/>
        </w:rPr>
        <w:t xml:space="preserve">, F. (2019). The role of consumers’ behaviour in applying green Marketing: An economic analysis of the non-alcoholic beverages industry in </w:t>
      </w:r>
      <w:r>
        <w:rPr>
          <w:rFonts w:ascii="Times New Roman" w:cs="Times New Roman" w:hAnsi="Times New Roman"/>
          <w:sz w:val="24"/>
          <w:szCs w:val="24"/>
        </w:rPr>
        <w:t>Kosova</w:t>
      </w:r>
      <w:r>
        <w:rPr>
          <w:rFonts w:ascii="Times New Roman" w:cs="Times New Roman" w:hAnsi="Times New Roman"/>
          <w:sz w:val="24"/>
          <w:szCs w:val="24"/>
        </w:rPr>
        <w:t xml:space="preserve">. </w:t>
      </w:r>
      <w:r>
        <w:rPr>
          <w:rFonts w:ascii="Times New Roman" w:cs="Times New Roman" w:hAnsi="Times New Roman"/>
          <w:i/>
          <w:iCs/>
          <w:sz w:val="24"/>
          <w:szCs w:val="24"/>
        </w:rPr>
        <w:t>Wroclaw Review of Law, Administration and Economics</w:t>
      </w:r>
      <w:r>
        <w:rPr>
          <w:rFonts w:ascii="Times New Roman" w:cs="Times New Roman" w:hAnsi="Times New Roman"/>
          <w:sz w:val="24"/>
          <w:szCs w:val="24"/>
        </w:rPr>
        <w:t xml:space="preserve">, </w:t>
      </w:r>
      <w:r>
        <w:rPr>
          <w:rFonts w:ascii="Times New Roman" w:cs="Times New Roman" w:hAnsi="Times New Roman"/>
          <w:i/>
          <w:iCs/>
          <w:sz w:val="24"/>
          <w:szCs w:val="24"/>
        </w:rPr>
        <w:t>9</w:t>
      </w:r>
      <w:r>
        <w:rPr>
          <w:rFonts w:ascii="Times New Roman" w:cs="Times New Roman" w:hAnsi="Times New Roman"/>
          <w:sz w:val="24"/>
          <w:szCs w:val="24"/>
        </w:rPr>
        <w:t>(1), 1–25. https://doi.org/10.1515/wrlae-2018-0061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Radcliffe, A., &amp; Lam, J. S. (2017). Transported into the story: How language proficiency and transportation work together to predict the enjoyment of native and non-native stories. International Journal of Bilingual Education and Bilingualism, 20(6), 670-686.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Rosenbaum, M. S., &amp; Seger-Guttmann, T. (2017). Antecedents of customer engagement in a retail setting. Journal of Services Marketing, 31(5), 498-510.</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Sawhney, M., Verona, G., &amp; Prandelli, E. (2015). Collaborating with customer communities: Lessons from the Lego Group. MIT Sloan Management Review, 56(1), 73-79.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Shah, A. N., Houghton, D. E., &amp; Lynch, J. G. (2019). Anticipation, free trials, and customers’ expectations: A study of online subscription-based services. Journal of the Academy of Marketing Science, 47(2), 356-376.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Sharma, A. P. (2021). Consumers’ purchase behaviour and green marketing: A synthesis, review and agenda. </w:t>
      </w:r>
      <w:r>
        <w:rPr>
          <w:rFonts w:ascii="Times New Roman" w:cs="Times New Roman" w:hAnsi="Times New Roman"/>
          <w:i/>
          <w:iCs/>
          <w:sz w:val="24"/>
          <w:szCs w:val="24"/>
        </w:rPr>
        <w:t>International Journal of Consumer Studies</w:t>
      </w:r>
      <w:r>
        <w:rPr>
          <w:rFonts w:ascii="Times New Roman" w:cs="Times New Roman" w:hAnsi="Times New Roman"/>
          <w:sz w:val="24"/>
          <w:szCs w:val="24"/>
        </w:rPr>
        <w:t xml:space="preserve">, </w:t>
      </w:r>
      <w:r>
        <w:rPr>
          <w:rFonts w:ascii="Times New Roman" w:cs="Times New Roman" w:hAnsi="Times New Roman"/>
          <w:i/>
          <w:iCs/>
          <w:sz w:val="24"/>
          <w:szCs w:val="24"/>
        </w:rPr>
        <w:t>45</w:t>
      </w:r>
      <w:r>
        <w:rPr>
          <w:rFonts w:ascii="Times New Roman" w:cs="Times New Roman" w:hAnsi="Times New Roman"/>
          <w:sz w:val="24"/>
          <w:szCs w:val="24"/>
        </w:rPr>
        <w:t>(6), 1217–1238. https://doi.org/10.1111/ijcs.12722</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Shaukat, F., &amp; Wang, T. (2022). Green marketing orientation impact on business performance: Case of pharmaceutical industry of Pakistan. </w:t>
      </w:r>
      <w:r>
        <w:rPr>
          <w:rFonts w:ascii="Times New Roman" w:cs="Times New Roman" w:hAnsi="Times New Roman"/>
          <w:i/>
          <w:iCs/>
          <w:sz w:val="24"/>
          <w:szCs w:val="24"/>
        </w:rPr>
        <w:t>Frontiers in Psychology</w:t>
      </w:r>
      <w:r>
        <w:rPr>
          <w:rFonts w:ascii="Times New Roman" w:cs="Times New Roman" w:hAnsi="Times New Roman"/>
          <w:sz w:val="24"/>
          <w:szCs w:val="24"/>
        </w:rPr>
        <w:t xml:space="preserve">, </w:t>
      </w:r>
      <w:r>
        <w:rPr>
          <w:rFonts w:ascii="Times New Roman" w:cs="Times New Roman" w:hAnsi="Times New Roman"/>
          <w:i/>
          <w:iCs/>
          <w:sz w:val="24"/>
          <w:szCs w:val="24"/>
        </w:rPr>
        <w:t>13</w:t>
      </w:r>
      <w:r>
        <w:rPr>
          <w:rFonts w:ascii="Times New Roman" w:cs="Times New Roman" w:hAnsi="Times New Roman"/>
          <w:sz w:val="24"/>
          <w:szCs w:val="24"/>
        </w:rPr>
        <w:t>. https://doi.org/10.3389/fpsyg.2022.940278</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Sheldon, P., Bryant, K., &amp; Bolls, P. (2021). The role of narrative presence in promoting elaboration, the ultimate experience, and brand recall in advertising. Journal of Advertising, 50(3), 299-313.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Skačkauskienė</w:t>
      </w:r>
      <w:r>
        <w:rPr>
          <w:rFonts w:ascii="Times New Roman" w:cs="Times New Roman" w:hAnsi="Times New Roman"/>
          <w:sz w:val="24"/>
          <w:szCs w:val="24"/>
        </w:rPr>
        <w:t xml:space="preserve">, I., &amp; </w:t>
      </w:r>
      <w:r>
        <w:rPr>
          <w:rFonts w:ascii="Times New Roman" w:cs="Times New Roman" w:hAnsi="Times New Roman"/>
          <w:sz w:val="24"/>
          <w:szCs w:val="24"/>
        </w:rPr>
        <w:t>Vilkaitė-Vaitonė</w:t>
      </w:r>
      <w:r>
        <w:rPr>
          <w:rFonts w:ascii="Times New Roman" w:cs="Times New Roman" w:hAnsi="Times New Roman"/>
          <w:sz w:val="24"/>
          <w:szCs w:val="24"/>
        </w:rPr>
        <w:t xml:space="preserve">, N. (2022). Green Marketing and Customers’ Purchasing Behavior: A Systematic Literature Review for future Research agenda. </w:t>
      </w:r>
      <w:r>
        <w:rPr>
          <w:rFonts w:ascii="Times New Roman" w:cs="Times New Roman" w:hAnsi="Times New Roman"/>
          <w:i/>
          <w:iCs/>
          <w:sz w:val="24"/>
          <w:szCs w:val="24"/>
        </w:rPr>
        <w:t>Energies</w:t>
      </w:r>
      <w:r>
        <w:rPr>
          <w:rFonts w:ascii="Times New Roman" w:cs="Times New Roman" w:hAnsi="Times New Roman"/>
          <w:sz w:val="24"/>
          <w:szCs w:val="24"/>
        </w:rPr>
        <w:t xml:space="preserve">, </w:t>
      </w:r>
      <w:r>
        <w:rPr>
          <w:rFonts w:ascii="Times New Roman" w:cs="Times New Roman" w:hAnsi="Times New Roman"/>
          <w:i/>
          <w:iCs/>
          <w:sz w:val="24"/>
          <w:szCs w:val="24"/>
        </w:rPr>
        <w:t>16</w:t>
      </w:r>
      <w:r>
        <w:rPr>
          <w:rFonts w:ascii="Times New Roman" w:cs="Times New Roman" w:hAnsi="Times New Roman"/>
          <w:sz w:val="24"/>
          <w:szCs w:val="24"/>
        </w:rPr>
        <w:t>(1), 456. https://doi.org/10.3390/en16010456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Taha, Z. (2020). Examining the effects of consumer brand engagement, brand love, and perceived value on loyalty in the social media brand community context. Journal of Brand Management, 27(4), 394-409.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Taha, Z. (2020). Examining the effects of consumer brand engagement, brand love, and perceived value on loyalty in the social media brand community context. Journal of Brand Management, 27(4), 394-409.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Tajfel, H., &amp; Turner, J. C. (1979). An integrative theory of intergroup conflict. In W. G. Austin &amp; S. </w:t>
      </w:r>
      <w:r>
        <w:rPr>
          <w:rFonts w:ascii="Times New Roman" w:cs="Times New Roman" w:hAnsi="Times New Roman"/>
          <w:sz w:val="24"/>
          <w:szCs w:val="24"/>
        </w:rPr>
        <w:t>Worchel</w:t>
      </w:r>
      <w:r>
        <w:rPr>
          <w:rFonts w:ascii="Times New Roman" w:cs="Times New Roman" w:hAnsi="Times New Roman"/>
          <w:sz w:val="24"/>
          <w:szCs w:val="24"/>
        </w:rPr>
        <w:t xml:space="preserve"> (Eds.), The social psychology of intergroup relations (pp. 33-47). Brooks/Cole.</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Tong, S. T., Van Der Heide, B., </w:t>
      </w:r>
      <w:r>
        <w:rPr>
          <w:rFonts w:ascii="Times New Roman" w:cs="Times New Roman" w:hAnsi="Times New Roman"/>
          <w:sz w:val="24"/>
          <w:szCs w:val="24"/>
        </w:rPr>
        <w:t>Langwell</w:t>
      </w:r>
      <w:r>
        <w:rPr>
          <w:rFonts w:ascii="Times New Roman" w:cs="Times New Roman" w:hAnsi="Times New Roman"/>
          <w:sz w:val="24"/>
          <w:szCs w:val="24"/>
        </w:rPr>
        <w:t>, L., &amp; Walther, J. B. (2008). Too much of a good thing? The relationship between number of friends and interpersonal impressions on Facebook. Journal of Computer-Mediated Communication, 13(3), 531-549.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Ulker‐Demirel</w:t>
      </w:r>
      <w:r>
        <w:rPr>
          <w:rFonts w:ascii="Times New Roman" w:cs="Times New Roman" w:hAnsi="Times New Roman"/>
          <w:sz w:val="24"/>
          <w:szCs w:val="24"/>
        </w:rPr>
        <w:t xml:space="preserve">, E., &amp; </w:t>
      </w:r>
      <w:r>
        <w:rPr>
          <w:rFonts w:ascii="Times New Roman" w:cs="Times New Roman" w:hAnsi="Times New Roman"/>
          <w:sz w:val="24"/>
          <w:szCs w:val="24"/>
        </w:rPr>
        <w:t>Çiftçi</w:t>
      </w:r>
      <w:r>
        <w:rPr>
          <w:rFonts w:ascii="Times New Roman" w:cs="Times New Roman" w:hAnsi="Times New Roman"/>
          <w:sz w:val="24"/>
          <w:szCs w:val="24"/>
        </w:rPr>
        <w:t xml:space="preserve">, G. (2020). A systematic literature review of the theory of planned behavior in tourism, leisure and hospitality management research. </w:t>
      </w:r>
      <w:r>
        <w:rPr>
          <w:rFonts w:ascii="Times New Roman" w:cs="Times New Roman" w:hAnsi="Times New Roman"/>
          <w:i/>
          <w:iCs/>
          <w:sz w:val="24"/>
          <w:szCs w:val="24"/>
        </w:rPr>
        <w:t>Journal of Hospitality and Tourism Management</w:t>
      </w:r>
      <w:r>
        <w:rPr>
          <w:rFonts w:ascii="Times New Roman" w:cs="Times New Roman" w:hAnsi="Times New Roman"/>
          <w:sz w:val="24"/>
          <w:szCs w:val="24"/>
        </w:rPr>
        <w:t xml:space="preserve">, </w:t>
      </w:r>
      <w:r>
        <w:rPr>
          <w:rFonts w:ascii="Times New Roman" w:cs="Times New Roman" w:hAnsi="Times New Roman"/>
          <w:i/>
          <w:iCs/>
          <w:sz w:val="24"/>
          <w:szCs w:val="24"/>
        </w:rPr>
        <w:t>43</w:t>
      </w:r>
      <w:r>
        <w:rPr>
          <w:rFonts w:ascii="Times New Roman" w:cs="Times New Roman" w:hAnsi="Times New Roman"/>
          <w:sz w:val="24"/>
          <w:szCs w:val="24"/>
        </w:rPr>
        <w:t>, 209–219. https://doi.org/10.1016/j.jhtm.2020.04.003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Vinerean</w:t>
      </w:r>
      <w:r>
        <w:rPr>
          <w:rFonts w:ascii="Times New Roman" w:cs="Times New Roman" w:hAnsi="Times New Roman"/>
          <w:sz w:val="24"/>
          <w:szCs w:val="24"/>
        </w:rPr>
        <w:t xml:space="preserve">, S., &amp; </w:t>
      </w:r>
      <w:r>
        <w:rPr>
          <w:rFonts w:ascii="Times New Roman" w:cs="Times New Roman" w:hAnsi="Times New Roman"/>
          <w:sz w:val="24"/>
          <w:szCs w:val="24"/>
        </w:rPr>
        <w:t>Opreana</w:t>
      </w:r>
      <w:r>
        <w:rPr>
          <w:rFonts w:ascii="Times New Roman" w:cs="Times New Roman" w:hAnsi="Times New Roman"/>
          <w:sz w:val="24"/>
          <w:szCs w:val="24"/>
        </w:rPr>
        <w:t>, A. (2021). The relationship between flow and emotional responses: An exploratory study. Frontiers in Psychology, 12, 1211.</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Vroom, V. H. (1964). Work and motivation. John Wiley &amp; Sons.</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Weiyan</w:t>
      </w:r>
      <w:r>
        <w:rPr>
          <w:rFonts w:ascii="Times New Roman" w:cs="Times New Roman" w:hAnsi="Times New Roman"/>
          <w:sz w:val="24"/>
          <w:szCs w:val="24"/>
        </w:rPr>
        <w:t>, X. (2015). Analysis of consumer behavior in the new era. Journal of Business and Economics, 6(1), 36-43.</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Weng, Q., &amp; Rasul, M. G. (2022). Understanding consumer engagement: A systematic review of theoretical frameworks, antecedents, and consequences. Journal of Retailing and Consumer Services, 62, 102696.</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 xml:space="preserve">White, K., Habib, R., &amp; Hardisty, D. J. (2019). How to SHIFT Consumer Behaviors to be More Sustainable: A Literature Review and Guiding Framework. </w:t>
      </w:r>
      <w:r>
        <w:rPr>
          <w:rFonts w:ascii="Times New Roman" w:cs="Times New Roman" w:hAnsi="Times New Roman"/>
          <w:i/>
          <w:iCs/>
          <w:sz w:val="24"/>
          <w:szCs w:val="24"/>
        </w:rPr>
        <w:t>Journal of Marketing</w:t>
      </w:r>
      <w:r>
        <w:rPr>
          <w:rFonts w:ascii="Times New Roman" w:cs="Times New Roman" w:hAnsi="Times New Roman"/>
          <w:sz w:val="24"/>
          <w:szCs w:val="24"/>
        </w:rPr>
        <w:t xml:space="preserve">, </w:t>
      </w:r>
      <w:r>
        <w:rPr>
          <w:rFonts w:ascii="Times New Roman" w:cs="Times New Roman" w:hAnsi="Times New Roman"/>
          <w:i/>
          <w:iCs/>
          <w:sz w:val="24"/>
          <w:szCs w:val="24"/>
        </w:rPr>
        <w:t>83</w:t>
      </w:r>
      <w:r>
        <w:rPr>
          <w:rFonts w:ascii="Times New Roman" w:cs="Times New Roman" w:hAnsi="Times New Roman"/>
          <w:sz w:val="24"/>
          <w:szCs w:val="24"/>
        </w:rPr>
        <w:t>(3), 22–49. https://doi.org/10.1177/0022242919825649</w:t>
      </w:r>
    </w:p>
    <w:p>
      <w:pPr>
        <w:pStyle w:val="style0"/>
        <w:spacing w:lineRule="auto" w:line="240"/>
        <w:jc w:val="both"/>
        <w:rPr>
          <w:rFonts w:ascii="Times New Roman" w:cs="Times New Roman" w:hAnsi="Times New Roman"/>
          <w:sz w:val="24"/>
          <w:szCs w:val="24"/>
        </w:rPr>
      </w:pPr>
      <w:r>
        <w:rPr>
          <w:rFonts w:ascii="Times New Roman" w:cs="Times New Roman" w:hAnsi="Times New Roman"/>
          <w:sz w:val="24"/>
          <w:szCs w:val="24"/>
        </w:rPr>
        <w:t>Wirba</w:t>
      </w:r>
      <w:r>
        <w:rPr>
          <w:rFonts w:ascii="Times New Roman" w:cs="Times New Roman" w:hAnsi="Times New Roman"/>
          <w:sz w:val="24"/>
          <w:szCs w:val="24"/>
        </w:rPr>
        <w:t xml:space="preserve">, A. V. (2023). Corporate Social Responsibility (CSR): The Role of Government in promoting CSR. </w:t>
      </w:r>
      <w:r>
        <w:rPr>
          <w:rFonts w:ascii="Times New Roman" w:cs="Times New Roman" w:hAnsi="Times New Roman"/>
          <w:i/>
          <w:iCs/>
          <w:sz w:val="24"/>
          <w:szCs w:val="24"/>
        </w:rPr>
        <w:t>Journal of the Knowledge Economy</w:t>
      </w:r>
      <w:r>
        <w:rPr>
          <w:rFonts w:ascii="Times New Roman" w:cs="Times New Roman" w:hAnsi="Times New Roman"/>
          <w:sz w:val="24"/>
          <w:szCs w:val="24"/>
        </w:rPr>
        <w:t>. https://doi.org/10.1007/s13132-023-011850</w:t>
      </w: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0"/>
    <w:family w:val="decorative"/>
    <w:pitch w:val="variable"/>
    <w:sig w:usb0="00000003" w:usb1="00000000" w:usb2="00000000" w:usb3="00000000" w:csb0="80000001"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8F6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6682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table" w:customStyle="1" w:styleId="style4097">
    <w:name w:val="List Table 6 Colorful2"/>
    <w:basedOn w:val="style105"/>
    <w:next w:val="style4097"/>
    <w:uiPriority w:val="51"/>
    <w:pPr>
      <w:spacing w:after="0" w:lineRule="auto" w:line="240"/>
    </w:pPr>
    <w:rPr>
      <w:color w:val="000000"/>
    </w:rPr>
    <w:tblPr>
      <w:tblStyleRowBandSize w:val="1"/>
      <w:tblStyleColBandSize w:val="1"/>
      <w:tblBorders>
        <w:top w:val="single" w:sz="4" w:space="0" w:color="000000"/>
        <w:bottom w:val="single" w:sz="4" w:space="0" w:color="000000"/>
      </w:tblBorders>
    </w:tblPr>
    <w:tblStylePr w:type="firstRow">
      <w:pPr/>
      <w:rPr>
        <w:b/>
        <w:bCs/>
      </w:rPr>
      <w:tblPr/>
      <w:tcPr>
        <w:tcBorders>
          <w:bottom w:val="single" w:sz="4" w:space="0" w:color="000000"/>
        </w:tcBorders>
      </w:tcPr>
    </w:tblStylePr>
    <w:tblStylePr w:type="lastRow">
      <w:pPr/>
      <w:rPr>
        <w:b/>
        <w:bCs/>
      </w:rPr>
      <w:tblPr/>
      <w:tcPr>
        <w:tcBorders>
          <w:top w:val="double" w:sz="4" w:space="0" w:color="000000"/>
        </w:tcBorders>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shd w:val="clear" w:color="auto" w:fill="cccccc"/>
      </w:tcPr>
    </w:tblStyle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XSL" StyleName="Harvard - Anglia*"/>
</file>

<file path=customXml/itemProps1.xml><?xml version="1.0" encoding="utf-8"?>
<ds:datastoreItem xmlns:ds="http://schemas.openxmlformats.org/officeDocument/2006/customXml" ds:itemID="{0E102650-F15C-48DC-B6D4-E746A15E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9374</Words>
  <Pages>25</Pages>
  <Characters>61368</Characters>
  <Application>WPS Office</Application>
  <DocSecurity>0</DocSecurity>
  <Paragraphs>346</Paragraphs>
  <ScaleCrop>false</ScaleCrop>
  <LinksUpToDate>false</LinksUpToDate>
  <CharactersWithSpaces>70504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2024-02-22T11:08:00Z</dcterms:created>
  <dc:creator>E.M</dc:creator>
  <lastModifiedBy>M2004J19C</lastModifiedBy>
  <dcterms:modified xsi:type="dcterms:W3CDTF">2024-06-11T09:11:56Z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a39d123caba74d62918605d3054ec3b5</vt:lpwstr>
  </property>
</Properties>
</file>