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D55640" w14:textId="77777777" w:rsidR="00BC5EB1" w:rsidRPr="00166248" w:rsidRDefault="00BC5EB1" w:rsidP="00BC5EB1">
      <w:pPr>
        <w:pStyle w:val="Heading1"/>
        <w:rPr>
          <w:sz w:val="28"/>
          <w:szCs w:val="44"/>
        </w:rPr>
      </w:pPr>
      <w:r w:rsidRPr="00166248">
        <w:rPr>
          <w:sz w:val="28"/>
          <w:szCs w:val="44"/>
        </w:rPr>
        <w:t>Wellbeing Washing</w:t>
      </w:r>
    </w:p>
    <w:p w14:paraId="369A2DA1" w14:textId="77777777" w:rsidR="00BC5EB1" w:rsidRDefault="00BC5EB1" w:rsidP="00FA5E92">
      <w:pPr>
        <w:pStyle w:val="Heading1"/>
      </w:pPr>
    </w:p>
    <w:p w14:paraId="2B75DDBD" w14:textId="77777777" w:rsidR="00BC5EB1" w:rsidRPr="00BC5EB1" w:rsidRDefault="00BC5EB1" w:rsidP="00BC5EB1"/>
    <w:p w14:paraId="78F24A3B" w14:textId="565FDC7B" w:rsidR="00367136" w:rsidRPr="009232AD" w:rsidRDefault="00367136" w:rsidP="00FA5E92">
      <w:pPr>
        <w:pStyle w:val="Heading1"/>
      </w:pPr>
      <w:r w:rsidRPr="009232AD">
        <w:t>Abstract</w:t>
      </w:r>
    </w:p>
    <w:p w14:paraId="2C9E7BAB" w14:textId="1036C556" w:rsidR="00367136" w:rsidRPr="009232AD" w:rsidRDefault="00367136" w:rsidP="000C3285">
      <w:pPr>
        <w:ind w:firstLine="0"/>
        <w:jc w:val="both"/>
      </w:pPr>
      <w:r w:rsidRPr="009232AD">
        <w:t>Th</w:t>
      </w:r>
      <w:r w:rsidR="00A83602">
        <w:t>is paper aim</w:t>
      </w:r>
      <w:r w:rsidRPr="009232AD">
        <w:t xml:space="preserve">s to </w:t>
      </w:r>
      <w:r w:rsidR="00A669D8" w:rsidRPr="009232AD">
        <w:t>investigat</w:t>
      </w:r>
      <w:r w:rsidRPr="009232AD">
        <w:t xml:space="preserve">e </w:t>
      </w:r>
      <w:r w:rsidR="00A669D8" w:rsidRPr="009232AD">
        <w:t xml:space="preserve">the phenomenon of wellbeing washing, where </w:t>
      </w:r>
      <w:r w:rsidR="00295711">
        <w:t>organisations</w:t>
      </w:r>
      <w:r w:rsidR="00A669D8" w:rsidRPr="009232AD">
        <w:t xml:space="preserve"> claim to prioritise the wellbeing of their employees but fail to implement such claims in practise. Specifically, we focus</w:t>
      </w:r>
      <w:r w:rsidR="00A81434" w:rsidRPr="009232AD">
        <w:t>ed</w:t>
      </w:r>
      <w:r w:rsidR="00A669D8" w:rsidRPr="009232AD">
        <w:t xml:space="preserve"> on wellbeing disclosures in ESG reports, particularly those of S&amp;P 100 </w:t>
      </w:r>
      <w:r w:rsidR="0022178B">
        <w:t>or</w:t>
      </w:r>
      <w:r w:rsidR="00951832">
        <w:t>ganisations</w:t>
      </w:r>
      <w:r w:rsidR="00A669D8" w:rsidRPr="009232AD">
        <w:t xml:space="preserve">. </w:t>
      </w:r>
      <w:r w:rsidR="00D87535" w:rsidRPr="009232AD">
        <w:t>Drawing on legitimacy theory</w:t>
      </w:r>
      <w:r w:rsidR="00304FC4" w:rsidRPr="009232AD">
        <w:t xml:space="preserve">, </w:t>
      </w:r>
      <w:r w:rsidR="00A669D8" w:rsidRPr="009232AD">
        <w:t>we examine</w:t>
      </w:r>
      <w:r w:rsidR="00D26CA1" w:rsidRPr="009232AD">
        <w:t>d</w:t>
      </w:r>
      <w:r w:rsidR="00A669D8" w:rsidRPr="009232AD">
        <w:t xml:space="preserve"> the association between </w:t>
      </w:r>
      <w:r w:rsidR="00D87535" w:rsidRPr="009232AD">
        <w:t>disclosures regarding employee wellbeing</w:t>
      </w:r>
      <w:r w:rsidR="00A669D8" w:rsidRPr="009232AD">
        <w:t xml:space="preserve"> and the ratings of employees on the Glassdoor website. We f</w:t>
      </w:r>
      <w:r w:rsidR="00D26CA1" w:rsidRPr="009232AD">
        <w:t>oun</w:t>
      </w:r>
      <w:r w:rsidR="00A669D8" w:rsidRPr="009232AD">
        <w:t>d that, overall, wellbeing disclosures in ESG reports are negatively associated with contemporaneous Glassdoor ratings of current employees. This indicates a mismatch between the two sources of voluntary disclosures and suggests the existence of wellbeing washing.</w:t>
      </w:r>
      <w:r w:rsidR="008F76DE">
        <w:t xml:space="preserve"> </w:t>
      </w:r>
      <w:r w:rsidR="008F76DE" w:rsidRPr="008F76DE">
        <w:t>Additionally, we found that organisations that disclose a high level of wellbeing, regardless of their actual employee satisfaction, have a significantly higher market valuation, as measured by Tobin's Q. This supports the concept of wellbeing washing in which strategic disclosures are used to mislead the market and increase the value of an organisation</w:t>
      </w:r>
      <w:r w:rsidR="000C3285">
        <w:t>.</w:t>
      </w:r>
    </w:p>
    <w:p w14:paraId="022A9E69" w14:textId="77777777" w:rsidR="00D147A0" w:rsidRDefault="00D147A0" w:rsidP="00FA5E92">
      <w:pPr>
        <w:pStyle w:val="Heading1"/>
        <w:sectPr w:rsidR="00D147A0" w:rsidSect="00B3183C">
          <w:headerReference w:type="default" r:id="rId8"/>
          <w:footerReference w:type="default" r:id="rId9"/>
          <w:pgSz w:w="11906" w:h="16838" w:code="9"/>
          <w:pgMar w:top="1440" w:right="1440" w:bottom="1440" w:left="1440" w:header="709" w:footer="709" w:gutter="0"/>
          <w:cols w:space="720"/>
          <w:titlePg/>
          <w:docGrid w:linePitch="360"/>
        </w:sectPr>
      </w:pPr>
    </w:p>
    <w:p w14:paraId="38AE9F63" w14:textId="23C08AED" w:rsidR="001030B5" w:rsidRPr="009232AD" w:rsidRDefault="001030B5" w:rsidP="00FA5E92">
      <w:pPr>
        <w:pStyle w:val="Heading1"/>
      </w:pPr>
      <w:r w:rsidRPr="009232AD">
        <w:lastRenderedPageBreak/>
        <w:t>Introduction</w:t>
      </w:r>
    </w:p>
    <w:p w14:paraId="13A11479" w14:textId="77777777" w:rsidR="004937C0" w:rsidRDefault="006227A1" w:rsidP="004937C0">
      <w:pPr>
        <w:jc w:val="both"/>
      </w:pPr>
      <w:r w:rsidRPr="009232AD">
        <w:t xml:space="preserve">Workplace </w:t>
      </w:r>
      <w:r w:rsidR="00D87535" w:rsidRPr="009232AD">
        <w:t>w</w:t>
      </w:r>
      <w:r w:rsidRPr="009232AD">
        <w:t xml:space="preserve">ellbeing is crucial for employees to maintain good health, as well as </w:t>
      </w:r>
      <w:r w:rsidR="00A5630E" w:rsidRPr="009232AD">
        <w:t xml:space="preserve">for </w:t>
      </w:r>
      <w:r w:rsidRPr="009232AD">
        <w:t>managers and organisations, with evidence indicating that low wellbeing at work negatively impacts performance and overall productivity (Kowalski and Loretto, 2017). Prioritising employees’ wellbeing has</w:t>
      </w:r>
      <w:r w:rsidR="00367136" w:rsidRPr="009232AD">
        <w:t xml:space="preserve"> </w:t>
      </w:r>
      <w:r w:rsidRPr="009232AD">
        <w:t xml:space="preserve">numerous advantages for organisations, including increased employee productivity and reduced turnover rates </w:t>
      </w:r>
      <w:r w:rsidRPr="009232AD">
        <w:rPr>
          <w:shd w:val="clear" w:color="auto" w:fill="FFFFFF"/>
        </w:rPr>
        <w:t>(Krekel, Ward and De Neve, 2019).</w:t>
      </w:r>
      <w:r w:rsidRPr="009232AD">
        <w:t xml:space="preserve"> Over the last twenty years, several concepts representing various forms of workplace wellbeing or positive affective experiences have</w:t>
      </w:r>
      <w:r w:rsidR="00D87535" w:rsidRPr="009232AD">
        <w:t xml:space="preserve"> been</w:t>
      </w:r>
      <w:r w:rsidRPr="009232AD">
        <w:t xml:space="preserve"> developed, all sharing the common trait of being linked to favourable judgments (positive attitudes) or pleasant experiences (favourable feelings, moods, emotions, flow states) in the workplace (Fisher, 2010). </w:t>
      </w:r>
    </w:p>
    <w:p w14:paraId="0C483744" w14:textId="573C6956" w:rsidR="002D3536" w:rsidRPr="00BE0463" w:rsidRDefault="006227A1" w:rsidP="004937C0">
      <w:pPr>
        <w:jc w:val="both"/>
      </w:pPr>
      <w:r w:rsidRPr="009232AD">
        <w:t xml:space="preserve">Recently, </w:t>
      </w:r>
      <w:r w:rsidR="004848DD">
        <w:t>organisation</w:t>
      </w:r>
      <w:r w:rsidR="00E2781C">
        <w:t>s</w:t>
      </w:r>
      <w:r w:rsidRPr="009232AD">
        <w:t xml:space="preserve"> have faced increasing demands from various groups—including their employees, clients, shareholders, and communities—to publicly express their positions on major political and social issues </w:t>
      </w:r>
      <w:r w:rsidRPr="009232AD">
        <w:rPr>
          <w:rFonts w:asciiTheme="majorBidi" w:hAnsiTheme="majorBidi" w:cstheme="majorBidi"/>
          <w:szCs w:val="24"/>
        </w:rPr>
        <w:t>(</w:t>
      </w:r>
      <w:r w:rsidRPr="009232AD">
        <w:rPr>
          <w:rFonts w:asciiTheme="majorBidi" w:hAnsiTheme="majorBidi"/>
          <w:szCs w:val="24"/>
          <w:shd w:val="clear" w:color="auto" w:fill="FFFFFF"/>
        </w:rPr>
        <w:t>Argenti, 2020</w:t>
      </w:r>
      <w:r w:rsidRPr="009232AD">
        <w:rPr>
          <w:rFonts w:asciiTheme="majorBidi" w:hAnsiTheme="majorBidi" w:cstheme="majorBidi"/>
          <w:szCs w:val="24"/>
          <w:shd w:val="clear" w:color="auto" w:fill="FFFFFF"/>
        </w:rPr>
        <w:t>). In light of these expectations, it</w:t>
      </w:r>
      <w:r w:rsidR="000133F5" w:rsidRPr="009232AD">
        <w:rPr>
          <w:rFonts w:asciiTheme="majorBidi" w:hAnsiTheme="majorBidi" w:cstheme="majorBidi"/>
          <w:szCs w:val="24"/>
          <w:shd w:val="clear" w:color="auto" w:fill="FFFFFF"/>
        </w:rPr>
        <w:t xml:space="preserve"> i</w:t>
      </w:r>
      <w:r w:rsidRPr="009232AD">
        <w:rPr>
          <w:rFonts w:asciiTheme="majorBidi" w:hAnsiTheme="majorBidi" w:cstheme="majorBidi"/>
          <w:szCs w:val="24"/>
          <w:shd w:val="clear" w:color="auto" w:fill="FFFFFF"/>
        </w:rPr>
        <w:t xml:space="preserve">s essential to recognise that </w:t>
      </w:r>
      <w:r w:rsidR="000133F5" w:rsidRPr="009232AD">
        <w:rPr>
          <w:rFonts w:asciiTheme="majorBidi" w:hAnsiTheme="majorBidi" w:cstheme="majorBidi"/>
          <w:szCs w:val="24"/>
          <w:shd w:val="clear" w:color="auto" w:fill="FFFFFF"/>
        </w:rPr>
        <w:t xml:space="preserve">employees’ </w:t>
      </w:r>
      <w:r w:rsidRPr="009232AD">
        <w:rPr>
          <w:rFonts w:asciiTheme="majorBidi" w:hAnsiTheme="majorBidi" w:cstheme="majorBidi"/>
          <w:szCs w:val="24"/>
          <w:shd w:val="clear" w:color="auto" w:fill="FFFFFF"/>
        </w:rPr>
        <w:t xml:space="preserve">wellbeing is a crucial element of the social issues </w:t>
      </w:r>
      <w:r w:rsidR="004848DD">
        <w:t>organisation</w:t>
      </w:r>
      <w:r w:rsidR="00E2781C">
        <w:t>s</w:t>
      </w:r>
      <w:r w:rsidR="00E2781C" w:rsidRPr="009232AD">
        <w:rPr>
          <w:rFonts w:asciiTheme="majorBidi" w:hAnsiTheme="majorBidi" w:cstheme="majorBidi"/>
          <w:szCs w:val="24"/>
          <w:shd w:val="clear" w:color="auto" w:fill="FFFFFF"/>
        </w:rPr>
        <w:t xml:space="preserve"> </w:t>
      </w:r>
      <w:r w:rsidRPr="009232AD">
        <w:rPr>
          <w:rFonts w:asciiTheme="majorBidi" w:hAnsiTheme="majorBidi" w:cstheme="majorBidi"/>
          <w:szCs w:val="24"/>
          <w:shd w:val="clear" w:color="auto" w:fill="FFFFFF"/>
        </w:rPr>
        <w:t xml:space="preserve">are pushed to address. </w:t>
      </w:r>
      <w:r w:rsidR="004848DD">
        <w:rPr>
          <w:rFonts w:asciiTheme="majorBidi" w:hAnsiTheme="majorBidi" w:cstheme="majorBidi"/>
          <w:szCs w:val="24"/>
        </w:rPr>
        <w:t>Organisation</w:t>
      </w:r>
      <w:r w:rsidR="00E2781C">
        <w:rPr>
          <w:rFonts w:asciiTheme="majorBidi" w:hAnsiTheme="majorBidi" w:cstheme="majorBidi"/>
          <w:szCs w:val="24"/>
        </w:rPr>
        <w:t>s</w:t>
      </w:r>
      <w:r w:rsidRPr="009232AD">
        <w:rPr>
          <w:rFonts w:asciiTheme="majorBidi" w:hAnsiTheme="majorBidi" w:cstheme="majorBidi"/>
          <w:szCs w:val="24"/>
        </w:rPr>
        <w:t xml:space="preserve"> are subject to various social demands regarding how they treat their employees</w:t>
      </w:r>
      <w:r w:rsidRPr="009232AD">
        <w:rPr>
          <w:rFonts w:asciiTheme="majorBidi" w:hAnsiTheme="majorBidi" w:cstheme="majorBidi"/>
          <w:szCs w:val="24"/>
          <w:shd w:val="clear" w:color="auto" w:fill="FFFFFF"/>
        </w:rPr>
        <w:t xml:space="preserve"> (</w:t>
      </w:r>
      <w:r w:rsidRPr="009232AD">
        <w:rPr>
          <w:rFonts w:asciiTheme="majorBidi" w:hAnsiTheme="majorBidi"/>
          <w:szCs w:val="24"/>
          <w:shd w:val="clear" w:color="auto" w:fill="FFFFFF"/>
        </w:rPr>
        <w:t>Hersel et al., 2019</w:t>
      </w:r>
      <w:r w:rsidRPr="009232AD">
        <w:rPr>
          <w:rFonts w:asciiTheme="majorBidi" w:hAnsiTheme="majorBidi" w:cstheme="majorBidi"/>
          <w:szCs w:val="24"/>
          <w:shd w:val="clear" w:color="auto" w:fill="FFFFFF"/>
        </w:rPr>
        <w:t>).</w:t>
      </w:r>
      <w:r w:rsidRPr="009232AD">
        <w:rPr>
          <w:rFonts w:asciiTheme="majorBidi" w:hAnsiTheme="majorBidi" w:cstheme="majorBidi"/>
          <w:szCs w:val="24"/>
        </w:rPr>
        <w:t xml:space="preserve"> </w:t>
      </w:r>
      <w:r w:rsidRPr="009232AD">
        <w:rPr>
          <w:rFonts w:asciiTheme="majorBidi" w:hAnsiTheme="majorBidi" w:cstheme="majorBidi"/>
          <w:szCs w:val="24"/>
          <w:shd w:val="clear" w:color="auto" w:fill="FFFFFF"/>
        </w:rPr>
        <w:t xml:space="preserve">When dealing with these </w:t>
      </w:r>
      <w:r w:rsidR="00CF6A05">
        <w:rPr>
          <w:rFonts w:asciiTheme="majorBidi" w:hAnsiTheme="majorBidi" w:cstheme="majorBidi"/>
          <w:szCs w:val="24"/>
          <w:shd w:val="clear" w:color="auto" w:fill="FFFFFF"/>
        </w:rPr>
        <w:t>demands</w:t>
      </w:r>
      <w:r w:rsidRPr="009232AD">
        <w:rPr>
          <w:rFonts w:asciiTheme="majorBidi" w:hAnsiTheme="majorBidi" w:cstheme="majorBidi"/>
          <w:szCs w:val="24"/>
          <w:shd w:val="clear" w:color="auto" w:fill="FFFFFF"/>
        </w:rPr>
        <w:t xml:space="preserve">, </w:t>
      </w:r>
      <w:r w:rsidR="004848DD">
        <w:t>organisation</w:t>
      </w:r>
      <w:r w:rsidR="00E2781C">
        <w:t>s</w:t>
      </w:r>
      <w:r w:rsidRPr="009232AD">
        <w:rPr>
          <w:rFonts w:asciiTheme="majorBidi" w:hAnsiTheme="majorBidi" w:cstheme="majorBidi"/>
          <w:szCs w:val="24"/>
          <w:shd w:val="clear" w:color="auto" w:fill="FFFFFF"/>
        </w:rPr>
        <w:t xml:space="preserve"> may respond in </w:t>
      </w:r>
      <w:r w:rsidR="00A5630E" w:rsidRPr="009232AD">
        <w:rPr>
          <w:rFonts w:asciiTheme="majorBidi" w:hAnsiTheme="majorBidi" w:cstheme="majorBidi"/>
          <w:szCs w:val="24"/>
          <w:shd w:val="clear" w:color="auto" w:fill="FFFFFF"/>
        </w:rPr>
        <w:t xml:space="preserve">different </w:t>
      </w:r>
      <w:r w:rsidRPr="009232AD">
        <w:rPr>
          <w:rFonts w:asciiTheme="majorBidi" w:hAnsiTheme="majorBidi" w:cstheme="majorBidi"/>
          <w:szCs w:val="24"/>
          <w:shd w:val="clear" w:color="auto" w:fill="FFFFFF"/>
        </w:rPr>
        <w:t xml:space="preserve">ways: </w:t>
      </w:r>
      <w:r w:rsidR="000133F5" w:rsidRPr="009232AD">
        <w:rPr>
          <w:rFonts w:asciiTheme="majorBidi" w:hAnsiTheme="majorBidi" w:cstheme="majorBidi"/>
          <w:szCs w:val="24"/>
          <w:shd w:val="clear" w:color="auto" w:fill="FFFFFF"/>
        </w:rPr>
        <w:t xml:space="preserve">truly change to meet these demands, </w:t>
      </w:r>
      <w:r w:rsidRPr="009232AD">
        <w:rPr>
          <w:rFonts w:asciiTheme="majorBidi" w:hAnsiTheme="majorBidi" w:cstheme="majorBidi"/>
          <w:szCs w:val="24"/>
          <w:shd w:val="clear" w:color="auto" w:fill="FFFFFF"/>
        </w:rPr>
        <w:t>pretend</w:t>
      </w:r>
      <w:r w:rsidR="000133F5" w:rsidRPr="009232AD">
        <w:rPr>
          <w:rFonts w:asciiTheme="majorBidi" w:hAnsiTheme="majorBidi" w:cstheme="majorBidi"/>
          <w:szCs w:val="24"/>
          <w:shd w:val="clear" w:color="auto" w:fill="FFFFFF"/>
        </w:rPr>
        <w:t>ing</w:t>
      </w:r>
      <w:r w:rsidRPr="009232AD">
        <w:rPr>
          <w:rFonts w:asciiTheme="majorBidi" w:hAnsiTheme="majorBidi" w:cstheme="majorBidi"/>
          <w:szCs w:val="24"/>
          <w:shd w:val="clear" w:color="auto" w:fill="FFFFFF"/>
        </w:rPr>
        <w:t xml:space="preserve"> to agree to the demands without </w:t>
      </w:r>
      <w:r w:rsidR="000133F5" w:rsidRPr="009232AD">
        <w:rPr>
          <w:rFonts w:asciiTheme="majorBidi" w:hAnsiTheme="majorBidi" w:cstheme="majorBidi"/>
          <w:szCs w:val="24"/>
          <w:shd w:val="clear" w:color="auto" w:fill="FFFFFF"/>
        </w:rPr>
        <w:t>actually making any substantial change</w:t>
      </w:r>
      <w:r w:rsidRPr="009232AD">
        <w:rPr>
          <w:rFonts w:asciiTheme="majorBidi" w:hAnsiTheme="majorBidi" w:cstheme="majorBidi"/>
          <w:szCs w:val="24"/>
          <w:shd w:val="clear" w:color="auto" w:fill="FFFFFF"/>
        </w:rPr>
        <w:t>, or choos</w:t>
      </w:r>
      <w:r w:rsidR="003C3B2D">
        <w:rPr>
          <w:rFonts w:asciiTheme="majorBidi" w:hAnsiTheme="majorBidi" w:cstheme="majorBidi"/>
          <w:szCs w:val="24"/>
          <w:shd w:val="clear" w:color="auto" w:fill="FFFFFF"/>
        </w:rPr>
        <w:t>ing</w:t>
      </w:r>
      <w:r w:rsidRPr="009232AD">
        <w:rPr>
          <w:rFonts w:asciiTheme="majorBidi" w:hAnsiTheme="majorBidi" w:cstheme="majorBidi"/>
          <w:szCs w:val="24"/>
          <w:shd w:val="clear" w:color="auto" w:fill="FFFFFF"/>
        </w:rPr>
        <w:t xml:space="preserve"> not to respond at all (</w:t>
      </w:r>
      <w:r w:rsidRPr="009232AD">
        <w:rPr>
          <w:rFonts w:asciiTheme="majorBidi" w:hAnsiTheme="majorBidi"/>
          <w:szCs w:val="24"/>
          <w:shd w:val="clear" w:color="auto" w:fill="FFFFFF"/>
        </w:rPr>
        <w:t xml:space="preserve">Durand, Hawn and </w:t>
      </w:r>
      <w:r w:rsidRPr="009232AD">
        <w:rPr>
          <w:rFonts w:asciiTheme="majorBidi" w:hAnsiTheme="majorBidi" w:cstheme="majorBidi"/>
          <w:szCs w:val="24"/>
          <w:shd w:val="clear" w:color="auto" w:fill="FFFFFF"/>
        </w:rPr>
        <w:t>Ioannou</w:t>
      </w:r>
      <w:r w:rsidRPr="009232AD">
        <w:rPr>
          <w:rFonts w:asciiTheme="majorBidi" w:hAnsiTheme="majorBidi"/>
          <w:szCs w:val="24"/>
          <w:shd w:val="clear" w:color="auto" w:fill="FFFFFF"/>
        </w:rPr>
        <w:t>, 2019</w:t>
      </w:r>
      <w:r w:rsidRPr="009232AD">
        <w:rPr>
          <w:rFonts w:asciiTheme="majorBidi" w:hAnsiTheme="majorBidi" w:cstheme="majorBidi"/>
          <w:szCs w:val="24"/>
          <w:shd w:val="clear" w:color="auto" w:fill="FFFFFF"/>
        </w:rPr>
        <w:t xml:space="preserve">). </w:t>
      </w:r>
    </w:p>
    <w:p w14:paraId="6ABF750B" w14:textId="026D2FB4" w:rsidR="004078EB" w:rsidRDefault="006227A1" w:rsidP="000F7483">
      <w:pPr>
        <w:jc w:val="both"/>
        <w:rPr>
          <w:rFonts w:eastAsia="Times New Roman" w:cs="Times New Roman"/>
          <w:kern w:val="0"/>
          <w:lang w:eastAsia="en-GB"/>
          <w14:ligatures w14:val="none"/>
        </w:rPr>
      </w:pPr>
      <w:r w:rsidRPr="009232AD">
        <w:rPr>
          <w:shd w:val="clear" w:color="auto" w:fill="FFFFFF"/>
        </w:rPr>
        <w:t xml:space="preserve">Whole Foods, Pinterest, and Adidas have all faced public criticism from their former and current employees, saying that the </w:t>
      </w:r>
      <w:r w:rsidR="008D0CC4">
        <w:rPr>
          <w:shd w:val="clear" w:color="auto" w:fill="FFFFFF"/>
        </w:rPr>
        <w:t>organisations’</w:t>
      </w:r>
      <w:r w:rsidRPr="009232AD">
        <w:rPr>
          <w:shd w:val="clear" w:color="auto" w:fill="FFFFFF"/>
        </w:rPr>
        <w:t xml:space="preserve"> public shows of support don’t address fundamental unfairness </w:t>
      </w:r>
      <w:r w:rsidR="00A5630E" w:rsidRPr="009232AD">
        <w:rPr>
          <w:shd w:val="clear" w:color="auto" w:fill="FFFFFF"/>
        </w:rPr>
        <w:t xml:space="preserve">within </w:t>
      </w:r>
      <w:r w:rsidRPr="009232AD">
        <w:rPr>
          <w:shd w:val="clear" w:color="auto" w:fill="FFFFFF"/>
        </w:rPr>
        <w:t xml:space="preserve">the </w:t>
      </w:r>
      <w:r w:rsidR="00A5630E" w:rsidRPr="009232AD">
        <w:rPr>
          <w:shd w:val="clear" w:color="auto" w:fill="FFFFFF"/>
        </w:rPr>
        <w:t xml:space="preserve">organisations </w:t>
      </w:r>
      <w:r w:rsidRPr="009232AD">
        <w:rPr>
          <w:shd w:val="clear" w:color="auto" w:fill="FFFFFF"/>
        </w:rPr>
        <w:t xml:space="preserve">(Dowell and Jackson, 2020). Many workers feel that these public statements from the executive leadership don’t </w:t>
      </w:r>
      <w:r w:rsidR="00A5630E" w:rsidRPr="009232AD">
        <w:rPr>
          <w:shd w:val="clear" w:color="auto" w:fill="FFFFFF"/>
        </w:rPr>
        <w:t xml:space="preserve">always </w:t>
      </w:r>
      <w:r w:rsidRPr="009232AD">
        <w:rPr>
          <w:shd w:val="clear" w:color="auto" w:fill="FFFFFF"/>
        </w:rPr>
        <w:t xml:space="preserve">match their actions; for example, in relation to Black Lives, some </w:t>
      </w:r>
      <w:r w:rsidR="00556371" w:rsidRPr="00556371">
        <w:rPr>
          <w:shd w:val="clear" w:color="auto" w:fill="FFFFFF"/>
        </w:rPr>
        <w:t>organisation</w:t>
      </w:r>
      <w:r w:rsidR="00556371">
        <w:rPr>
          <w:shd w:val="clear" w:color="auto" w:fill="FFFFFF"/>
        </w:rPr>
        <w:t>s</w:t>
      </w:r>
      <w:r w:rsidRPr="009232AD">
        <w:rPr>
          <w:shd w:val="clear" w:color="auto" w:fill="FFFFFF"/>
        </w:rPr>
        <w:t xml:space="preserve"> </w:t>
      </w:r>
      <w:r w:rsidR="008808EB" w:rsidRPr="009232AD">
        <w:rPr>
          <w:shd w:val="clear" w:color="auto" w:fill="FFFFFF"/>
        </w:rPr>
        <w:t xml:space="preserve">seem to have </w:t>
      </w:r>
      <w:r w:rsidRPr="009232AD">
        <w:rPr>
          <w:shd w:val="clear" w:color="auto" w:fill="FFFFFF"/>
        </w:rPr>
        <w:t>use</w:t>
      </w:r>
      <w:r w:rsidR="008808EB" w:rsidRPr="009232AD">
        <w:rPr>
          <w:shd w:val="clear" w:color="auto" w:fill="FFFFFF"/>
        </w:rPr>
        <w:t>d</w:t>
      </w:r>
      <w:r w:rsidRPr="009232AD">
        <w:rPr>
          <w:shd w:val="clear" w:color="auto" w:fill="FFFFFF"/>
        </w:rPr>
        <w:t xml:space="preserve"> them to make a profit </w:t>
      </w:r>
      <w:r w:rsidR="00A5630E" w:rsidRPr="009232AD">
        <w:rPr>
          <w:shd w:val="clear" w:color="auto" w:fill="FFFFFF"/>
        </w:rPr>
        <w:t xml:space="preserve">rather than addressing problems related to equality, inclusion and diversity </w:t>
      </w:r>
      <w:r w:rsidRPr="009232AD">
        <w:rPr>
          <w:shd w:val="clear" w:color="auto" w:fill="FFFFFF"/>
        </w:rPr>
        <w:t xml:space="preserve">(Dowell and </w:t>
      </w:r>
      <w:r w:rsidRPr="009232AD">
        <w:rPr>
          <w:shd w:val="clear" w:color="auto" w:fill="FFFFFF"/>
        </w:rPr>
        <w:lastRenderedPageBreak/>
        <w:t xml:space="preserve">Jackson, 2020). </w:t>
      </w:r>
      <w:r w:rsidRPr="009232AD">
        <w:rPr>
          <w:rFonts w:eastAsia="Times New Roman" w:cs="Times New Roman"/>
          <w:kern w:val="0"/>
          <w:lang w:eastAsia="en-GB"/>
          <w14:ligatures w14:val="none"/>
        </w:rPr>
        <w:t xml:space="preserve">The growing problem </w:t>
      </w:r>
      <w:r w:rsidR="00A5630E" w:rsidRPr="009232AD">
        <w:rPr>
          <w:rFonts w:eastAsia="Times New Roman" w:cs="Times New Roman"/>
          <w:kern w:val="0"/>
          <w:lang w:eastAsia="en-GB"/>
          <w14:ligatures w14:val="none"/>
        </w:rPr>
        <w:t xml:space="preserve">related to </w:t>
      </w:r>
      <w:r w:rsidR="004848DD">
        <w:rPr>
          <w:rFonts w:eastAsia="Times New Roman" w:cs="Times New Roman"/>
          <w:kern w:val="0"/>
          <w:lang w:eastAsia="en-GB"/>
          <w14:ligatures w14:val="none"/>
        </w:rPr>
        <w:t>organisation</w:t>
      </w:r>
      <w:r w:rsidR="00475364">
        <w:rPr>
          <w:rFonts w:eastAsia="Times New Roman" w:cs="Times New Roman"/>
          <w:kern w:val="0"/>
          <w:lang w:eastAsia="en-GB"/>
          <w14:ligatures w14:val="none"/>
        </w:rPr>
        <w:t>s</w:t>
      </w:r>
      <w:r w:rsidR="000F0C76">
        <w:rPr>
          <w:rFonts w:eastAsia="Times New Roman" w:cs="Times New Roman"/>
          <w:kern w:val="0"/>
          <w:lang w:eastAsia="en-GB"/>
          <w14:ligatures w14:val="none"/>
        </w:rPr>
        <w:t>'</w:t>
      </w:r>
      <w:r w:rsidR="00475364" w:rsidRPr="009232AD">
        <w:rPr>
          <w:rFonts w:eastAsia="Times New Roman" w:cs="Times New Roman"/>
          <w:kern w:val="0"/>
          <w:lang w:eastAsia="en-GB"/>
          <w14:ligatures w14:val="none"/>
        </w:rPr>
        <w:t xml:space="preserve"> </w:t>
      </w:r>
      <w:r w:rsidR="00A5630E" w:rsidRPr="009232AD">
        <w:rPr>
          <w:rFonts w:eastAsia="Times New Roman" w:cs="Times New Roman"/>
          <w:kern w:val="0"/>
          <w:lang w:eastAsia="en-GB"/>
          <w14:ligatures w14:val="none"/>
        </w:rPr>
        <w:t xml:space="preserve">inconsistency between what they say and what they do in relation to wellbeing and their possible strategic use of wellbeing claims for financial and reputation benefit </w:t>
      </w:r>
      <w:r w:rsidRPr="009232AD">
        <w:rPr>
          <w:rFonts w:eastAsia="Times New Roman" w:cs="Times New Roman"/>
          <w:kern w:val="0"/>
          <w:lang w:eastAsia="en-GB"/>
          <w14:ligatures w14:val="none"/>
        </w:rPr>
        <w:t xml:space="preserve">is the focus of this study. </w:t>
      </w:r>
    </w:p>
    <w:p w14:paraId="1DBD276B" w14:textId="0884EE7A" w:rsidR="003D1F95" w:rsidRPr="009232AD" w:rsidRDefault="00A5630E" w:rsidP="000F7483">
      <w:pPr>
        <w:jc w:val="both"/>
      </w:pPr>
      <w:r w:rsidRPr="009232AD">
        <w:t>In particular</w:t>
      </w:r>
      <w:r w:rsidR="008808EB" w:rsidRPr="009232AD">
        <w:t>, we</w:t>
      </w:r>
      <w:r w:rsidR="006227A1" w:rsidRPr="009232AD">
        <w:t xml:space="preserve"> aim to investigate ‘wellbeing washing’, where </w:t>
      </w:r>
      <w:r w:rsidR="00DD4F0B">
        <w:t>organisations</w:t>
      </w:r>
      <w:r w:rsidR="006227A1" w:rsidRPr="009232AD">
        <w:t xml:space="preserve"> disclose employee wellbeing initiatives but fail to implement them effectively, as evidenced by employee satisfaction toward the </w:t>
      </w:r>
      <w:r w:rsidR="002E4931">
        <w:t>organisation</w:t>
      </w:r>
      <w:r w:rsidR="006227A1" w:rsidRPr="009232AD">
        <w:t xml:space="preserve">. </w:t>
      </w:r>
      <w:r w:rsidR="008808EB" w:rsidRPr="009232AD">
        <w:t xml:space="preserve">More precisely, </w:t>
      </w:r>
      <w:r w:rsidR="008950F2" w:rsidRPr="009232AD">
        <w:t>this</w:t>
      </w:r>
      <w:r w:rsidR="006227A1" w:rsidRPr="009232AD">
        <w:t xml:space="preserve"> study </w:t>
      </w:r>
      <w:r w:rsidR="008950F2" w:rsidRPr="009232AD">
        <w:t xml:space="preserve">examines </w:t>
      </w:r>
      <w:r w:rsidR="006227A1" w:rsidRPr="009232AD">
        <w:t xml:space="preserve">whether there is an inconsistency between </w:t>
      </w:r>
      <w:r w:rsidR="002E4931">
        <w:t>organisations</w:t>
      </w:r>
      <w:r w:rsidR="008950F2" w:rsidRPr="009232AD">
        <w:t>’</w:t>
      </w:r>
      <w:r w:rsidR="006227A1" w:rsidRPr="009232AD">
        <w:t xml:space="preserve"> disclosures on employee wellbeing</w:t>
      </w:r>
      <w:r w:rsidR="009569BA" w:rsidRPr="009232AD">
        <w:t xml:space="preserve"> </w:t>
      </w:r>
      <w:r w:rsidR="006227A1" w:rsidRPr="009232AD">
        <w:t xml:space="preserve">and </w:t>
      </w:r>
      <w:r w:rsidR="008950F2" w:rsidRPr="009232AD">
        <w:t xml:space="preserve">employees’ </w:t>
      </w:r>
      <w:r w:rsidR="006227A1" w:rsidRPr="009232AD">
        <w:t xml:space="preserve">satisfaction with their </w:t>
      </w:r>
      <w:r w:rsidR="00524B8B">
        <w:t>organisations</w:t>
      </w:r>
      <w:r w:rsidR="008950F2" w:rsidRPr="009232AD">
        <w:t xml:space="preserve"> and whether this inconsistency has financial benefits in terms of market value (e.g., Tobin’s Q)</w:t>
      </w:r>
      <w:r w:rsidR="006227A1" w:rsidRPr="009232AD">
        <w:t xml:space="preserve">. This scenario is possible, as merely 13% of S&amp;P 100 </w:t>
      </w:r>
      <w:r w:rsidR="004848DD">
        <w:t>organisation</w:t>
      </w:r>
      <w:r w:rsidR="00E2781C">
        <w:t>s</w:t>
      </w:r>
      <w:r w:rsidR="006227A1" w:rsidRPr="009232AD">
        <w:t xml:space="preserve"> (our sample selection) have portions of their </w:t>
      </w:r>
      <w:r w:rsidR="00FB1330" w:rsidRPr="009232AD">
        <w:t xml:space="preserve">Environmental, Social, and Governance (ESG) </w:t>
      </w:r>
      <w:r w:rsidR="006227A1" w:rsidRPr="009232AD">
        <w:t>information assured by a public company auditing firm (CAQ, 2021)</w:t>
      </w:r>
      <w:r w:rsidR="006227A1" w:rsidRPr="009232AD">
        <w:rPr>
          <w:rStyle w:val="FootnoteReference"/>
          <w:rFonts w:asciiTheme="majorBidi" w:hAnsiTheme="majorBidi"/>
          <w:szCs w:val="24"/>
        </w:rPr>
        <w:footnoteReference w:id="1"/>
      </w:r>
      <w:r w:rsidR="008950F2" w:rsidRPr="009232AD">
        <w:t>.</w:t>
      </w:r>
      <w:r w:rsidR="006227A1" w:rsidRPr="009232AD">
        <w:t xml:space="preserve"> This situation raises concerns about </w:t>
      </w:r>
      <w:r w:rsidR="008950F2" w:rsidRPr="009232AD">
        <w:t>‘</w:t>
      </w:r>
      <w:r w:rsidR="006227A1" w:rsidRPr="009232AD">
        <w:t>wellbeing washing</w:t>
      </w:r>
      <w:r w:rsidR="008950F2" w:rsidRPr="009232AD">
        <w:t>’</w:t>
      </w:r>
      <w:r w:rsidR="006227A1" w:rsidRPr="009232AD">
        <w:t xml:space="preserve">, where </w:t>
      </w:r>
      <w:r w:rsidR="00DD4F0B">
        <w:t>organisations</w:t>
      </w:r>
      <w:r w:rsidR="006227A1" w:rsidRPr="009232AD">
        <w:t xml:space="preserve"> may disclose positive wellbeing initiatives and underreport negative outcomes, thus questioning the integrity of their commitments.</w:t>
      </w:r>
    </w:p>
    <w:p w14:paraId="6FE9CFFF" w14:textId="77777777" w:rsidR="00391F2D" w:rsidRDefault="00287910" w:rsidP="00A9377B">
      <w:pPr>
        <w:jc w:val="both"/>
      </w:pPr>
      <w:r w:rsidRPr="009232AD">
        <w:t xml:space="preserve">Our study makes </w:t>
      </w:r>
      <w:r w:rsidR="00C07413">
        <w:t>three</w:t>
      </w:r>
      <w:r w:rsidR="00C07413" w:rsidRPr="009232AD">
        <w:t xml:space="preserve"> </w:t>
      </w:r>
      <w:r w:rsidRPr="009232AD">
        <w:t xml:space="preserve">key contributions. Firstly, while past research has studied greenwashing </w:t>
      </w:r>
      <w:r w:rsidRPr="009232AD">
        <w:rPr>
          <w:shd w:val="clear" w:color="auto" w:fill="FFFFFF"/>
        </w:rPr>
        <w:t>(Delmas and Burbano, 2011; Wu</w:t>
      </w:r>
      <w:r w:rsidR="00E92969" w:rsidRPr="009232AD">
        <w:rPr>
          <w:shd w:val="clear" w:color="auto" w:fill="FFFFFF"/>
        </w:rPr>
        <w:t>, Zh</w:t>
      </w:r>
      <w:r w:rsidR="00E46B8F" w:rsidRPr="009232AD">
        <w:rPr>
          <w:shd w:val="clear" w:color="auto" w:fill="FFFFFF"/>
        </w:rPr>
        <w:t xml:space="preserve">ang and Xie, </w:t>
      </w:r>
      <w:r w:rsidRPr="009232AD">
        <w:rPr>
          <w:shd w:val="clear" w:color="auto" w:fill="FFFFFF"/>
        </w:rPr>
        <w:t xml:space="preserve">2020; Torelli </w:t>
      </w:r>
      <w:proofErr w:type="spellStart"/>
      <w:r w:rsidR="002105DF" w:rsidRPr="009232AD">
        <w:rPr>
          <w:shd w:val="clear" w:color="auto" w:fill="FFFFFF"/>
        </w:rPr>
        <w:t>Balluchi</w:t>
      </w:r>
      <w:proofErr w:type="spellEnd"/>
      <w:r w:rsidR="002105DF" w:rsidRPr="009232AD">
        <w:rPr>
          <w:shd w:val="clear" w:color="auto" w:fill="FFFFFF"/>
        </w:rPr>
        <w:t xml:space="preserve"> and </w:t>
      </w:r>
      <w:proofErr w:type="spellStart"/>
      <w:r w:rsidR="002105DF" w:rsidRPr="009232AD">
        <w:rPr>
          <w:shd w:val="clear" w:color="auto" w:fill="FFFFFF"/>
        </w:rPr>
        <w:t>Lazzini</w:t>
      </w:r>
      <w:proofErr w:type="spellEnd"/>
      <w:r w:rsidR="002105DF" w:rsidRPr="009232AD">
        <w:rPr>
          <w:shd w:val="clear" w:color="auto" w:fill="FFFFFF"/>
        </w:rPr>
        <w:t xml:space="preserve">, </w:t>
      </w:r>
      <w:r w:rsidRPr="009232AD">
        <w:rPr>
          <w:shd w:val="clear" w:color="auto" w:fill="FFFFFF"/>
        </w:rPr>
        <w:t xml:space="preserve">2020; </w:t>
      </w:r>
      <w:r w:rsidRPr="009232AD">
        <w:t>Barrymore, 2022</w:t>
      </w:r>
      <w:r w:rsidRPr="009232AD">
        <w:rPr>
          <w:rStyle w:val="fontstyle01"/>
          <w:rFonts w:asciiTheme="majorBidi" w:hAnsiTheme="majorBidi"/>
          <w:color w:val="auto"/>
        </w:rPr>
        <w:t>;</w:t>
      </w:r>
      <w:r w:rsidRPr="009232AD">
        <w:rPr>
          <w:shd w:val="clear" w:color="auto" w:fill="FFFFFF"/>
        </w:rPr>
        <w:t xml:space="preserve"> Zhang, 2022; Ioannou</w:t>
      </w:r>
      <w:r w:rsidR="00D04BF0" w:rsidRPr="009232AD">
        <w:rPr>
          <w:shd w:val="clear" w:color="auto" w:fill="FFFFFF"/>
        </w:rPr>
        <w:t>,</w:t>
      </w:r>
      <w:r w:rsidRPr="009232AD">
        <w:rPr>
          <w:shd w:val="clear" w:color="auto" w:fill="FFFFFF"/>
        </w:rPr>
        <w:t xml:space="preserve"> </w:t>
      </w:r>
      <w:proofErr w:type="spellStart"/>
      <w:r w:rsidR="00D04BF0" w:rsidRPr="009232AD">
        <w:rPr>
          <w:shd w:val="clear" w:color="auto" w:fill="FFFFFF"/>
        </w:rPr>
        <w:t>Kassinis</w:t>
      </w:r>
      <w:proofErr w:type="spellEnd"/>
      <w:r w:rsidR="00D04BF0" w:rsidRPr="009232AD">
        <w:rPr>
          <w:shd w:val="clear" w:color="auto" w:fill="FFFFFF"/>
        </w:rPr>
        <w:t xml:space="preserve"> and </w:t>
      </w:r>
      <w:proofErr w:type="spellStart"/>
      <w:r w:rsidR="00D04BF0" w:rsidRPr="009232AD">
        <w:rPr>
          <w:shd w:val="clear" w:color="auto" w:fill="FFFFFF"/>
        </w:rPr>
        <w:t>Papagiannakis</w:t>
      </w:r>
      <w:proofErr w:type="spellEnd"/>
      <w:r w:rsidR="00D04BF0" w:rsidRPr="009232AD">
        <w:rPr>
          <w:shd w:val="clear" w:color="auto" w:fill="FFFFFF"/>
        </w:rPr>
        <w:t xml:space="preserve">, </w:t>
      </w:r>
      <w:r w:rsidRPr="009232AD">
        <w:rPr>
          <w:shd w:val="clear" w:color="auto" w:fill="FFFFFF"/>
        </w:rPr>
        <w:t>2023</w:t>
      </w:r>
      <w:r w:rsidRPr="009232AD">
        <w:rPr>
          <w:rStyle w:val="fontstyle01"/>
          <w:rFonts w:asciiTheme="majorBidi" w:hAnsiTheme="majorBidi"/>
          <w:color w:val="auto"/>
        </w:rPr>
        <w:t>),</w:t>
      </w:r>
      <w:r w:rsidRPr="009232AD">
        <w:t xml:space="preserve"> ours is the first paper to explore wellbeing washing. By presenting evidence that wellbeing washing might happen, especially within the most prominent </w:t>
      </w:r>
      <w:r w:rsidR="005768EE">
        <w:t>organisations</w:t>
      </w:r>
      <w:r w:rsidRPr="009232AD">
        <w:t xml:space="preserve"> in the S&amp;P index, we shed light on a practice that investors and users of ESG reports should consider.</w:t>
      </w:r>
      <w:r w:rsidR="001A2CC6" w:rsidRPr="009232AD">
        <w:t xml:space="preserve"> </w:t>
      </w:r>
    </w:p>
    <w:p w14:paraId="629FA72C" w14:textId="4B78AF4C" w:rsidR="003A58D7" w:rsidRPr="009232AD" w:rsidRDefault="00600FE0" w:rsidP="00A9377B">
      <w:pPr>
        <w:jc w:val="both"/>
      </w:pPr>
      <w:r>
        <w:t>Secondly</w:t>
      </w:r>
      <w:r w:rsidR="00287910" w:rsidRPr="009232AD">
        <w:t>, our study significantly bui</w:t>
      </w:r>
      <w:r w:rsidR="00826C42" w:rsidRPr="009232AD">
        <w:t>l</w:t>
      </w:r>
      <w:r w:rsidR="000476B0" w:rsidRPr="009232AD">
        <w:t>t</w:t>
      </w:r>
      <w:r w:rsidR="00287910" w:rsidRPr="009232AD">
        <w:t xml:space="preserve"> on the findings of a 2023 survey by the Institution of Occupational Safety and Health, which f</w:t>
      </w:r>
      <w:r w:rsidR="000476B0" w:rsidRPr="009232AD">
        <w:t>ound</w:t>
      </w:r>
      <w:r w:rsidR="00287910" w:rsidRPr="009232AD">
        <w:t xml:space="preserve"> that 51% of employees view </w:t>
      </w:r>
      <w:r w:rsidR="00FB1330" w:rsidRPr="009232AD">
        <w:t>‘</w:t>
      </w:r>
      <w:r w:rsidR="00287910" w:rsidRPr="009232AD">
        <w:t>wellbeing washing</w:t>
      </w:r>
      <w:r w:rsidR="00FB1330" w:rsidRPr="009232AD">
        <w:t>’</w:t>
      </w:r>
      <w:r w:rsidR="00287910" w:rsidRPr="009232AD">
        <w:t xml:space="preserve"> as a major issue in their workplaces (IOSH, 2023). We further explore</w:t>
      </w:r>
      <w:r w:rsidR="006173B8" w:rsidRPr="009232AD">
        <w:t>d</w:t>
      </w:r>
      <w:r w:rsidR="00287910" w:rsidRPr="009232AD">
        <w:t xml:space="preserve"> </w:t>
      </w:r>
      <w:r w:rsidR="00287910" w:rsidRPr="009232AD">
        <w:lastRenderedPageBreak/>
        <w:t>these initial insights by conducting comprehensive tests across multiple dimensions, extending beyond overall job satisfaction to examine employee satisfaction on culture and values, work-life balance, senior management, compensation and benefits, and career opportunities.</w:t>
      </w:r>
      <w:r w:rsidR="00FB1330" w:rsidRPr="009232AD">
        <w:t xml:space="preserve"> </w:t>
      </w:r>
    </w:p>
    <w:p w14:paraId="51FDB4EC" w14:textId="5970B4C5" w:rsidR="008D3086" w:rsidRPr="009232AD" w:rsidRDefault="00287DD5" w:rsidP="00A9377B">
      <w:pPr>
        <w:jc w:val="both"/>
      </w:pPr>
      <w:r>
        <w:t>Finally, t</w:t>
      </w:r>
      <w:r w:rsidR="00F30172" w:rsidRPr="009232AD">
        <w:t xml:space="preserve">his study </w:t>
      </w:r>
      <w:r w:rsidR="00FB1330" w:rsidRPr="009232AD">
        <w:t xml:space="preserve">also </w:t>
      </w:r>
      <w:r w:rsidR="00F30172" w:rsidRPr="009232AD">
        <w:t xml:space="preserve">contributes to the literature by performing a sophisticated analysis to explore </w:t>
      </w:r>
      <w:r w:rsidR="003C1AFF" w:rsidRPr="009232AD">
        <w:t>market reaction to</w:t>
      </w:r>
      <w:r w:rsidR="00F30172" w:rsidRPr="009232AD">
        <w:t xml:space="preserve"> </w:t>
      </w:r>
      <w:r w:rsidR="004848DD">
        <w:t>organisation</w:t>
      </w:r>
      <w:r w:rsidR="0058462F">
        <w:t>s</w:t>
      </w:r>
      <w:r w:rsidR="00FB1330" w:rsidRPr="009232AD">
        <w:t xml:space="preserve">’ </w:t>
      </w:r>
      <w:r w:rsidR="00F30172" w:rsidRPr="009232AD">
        <w:t xml:space="preserve">high wellbeing disclosures, considering employee ratings. This analysis is crucial as it reveals whether </w:t>
      </w:r>
      <w:r w:rsidR="004848DD">
        <w:t>organisation</w:t>
      </w:r>
      <w:r w:rsidR="0058462F">
        <w:t>s</w:t>
      </w:r>
      <w:r w:rsidR="00F30172" w:rsidRPr="009232AD">
        <w:t xml:space="preserve"> use wellbeing disclosures to mask internal issues and enhance their market value. The findings have important implications for investors and stakeholders, emphasi</w:t>
      </w:r>
      <w:r w:rsidR="00FB1330" w:rsidRPr="009232AD">
        <w:t>s</w:t>
      </w:r>
      <w:r w:rsidR="00F30172" w:rsidRPr="009232AD">
        <w:t>ing the need for genuine corporate social responsibility practices.</w:t>
      </w:r>
      <w:r w:rsidR="001A2CC6" w:rsidRPr="009232AD">
        <w:t xml:space="preserve"> </w:t>
      </w:r>
    </w:p>
    <w:p w14:paraId="7EBCDF73" w14:textId="77777777" w:rsidR="00F07BC4" w:rsidRPr="009232AD" w:rsidRDefault="00CF5215" w:rsidP="00FA5E92">
      <w:pPr>
        <w:pStyle w:val="Heading2"/>
      </w:pPr>
      <w:r w:rsidRPr="009232AD">
        <w:t>Wellbeing Washing</w:t>
      </w:r>
    </w:p>
    <w:p w14:paraId="50C29DF0" w14:textId="52FBDBFE" w:rsidR="0064446E" w:rsidRPr="009232AD" w:rsidRDefault="004D022D" w:rsidP="00B54A8F">
      <w:pPr>
        <w:jc w:val="both"/>
      </w:pPr>
      <w:r w:rsidRPr="009232AD">
        <w:t>Wellbeing washing</w:t>
      </w:r>
      <w:r w:rsidR="00FB1330" w:rsidRPr="009232AD">
        <w:t xml:space="preserve"> </w:t>
      </w:r>
      <w:r w:rsidRPr="009232AD">
        <w:t xml:space="preserve">refers to the practice where </w:t>
      </w:r>
      <w:r w:rsidR="00B54A8F">
        <w:t>organisations</w:t>
      </w:r>
      <w:r w:rsidRPr="009232AD">
        <w:t xml:space="preserve"> publicly promote their employee wellbeing initiatives but fail to implement them effectively, as shown by employee</w:t>
      </w:r>
      <w:r w:rsidR="00F71D74" w:rsidRPr="009232AD">
        <w:t xml:space="preserve"> </w:t>
      </w:r>
      <w:r w:rsidRPr="009232AD">
        <w:t xml:space="preserve">satisfaction levels. According to Delmas and Burbano (2011), </w:t>
      </w:r>
      <w:r w:rsidR="00195632">
        <w:t>organisations</w:t>
      </w:r>
      <w:r w:rsidRPr="009232AD">
        <w:t xml:space="preserve"> frequently engage in </w:t>
      </w:r>
      <w:r w:rsidR="00787B0B" w:rsidRPr="009232AD">
        <w:t xml:space="preserve">greenwashing to mislead stakeholders </w:t>
      </w:r>
      <w:r w:rsidR="00FB1330" w:rsidRPr="009232AD">
        <w:t>about the</w:t>
      </w:r>
      <w:r w:rsidRPr="009232AD">
        <w:t xml:space="preserve"> environmental measures they take. Similarly, wellbein</w:t>
      </w:r>
      <w:r w:rsidR="00F07BC4" w:rsidRPr="009232AD">
        <w:t xml:space="preserve">g </w:t>
      </w:r>
      <w:r w:rsidR="00B90C28" w:rsidRPr="009232AD">
        <w:t>washing involves</w:t>
      </w:r>
      <w:r w:rsidR="004E31F5" w:rsidRPr="009232AD">
        <w:t xml:space="preserve"> creating a false perception of corporate responsibility regarding employee wellbeing.</w:t>
      </w:r>
      <w:r w:rsidR="00D2231C" w:rsidRPr="009232AD">
        <w:t xml:space="preserve"> </w:t>
      </w:r>
      <w:r w:rsidRPr="009232AD">
        <w:t xml:space="preserve">Such practices occur when </w:t>
      </w:r>
      <w:r w:rsidR="00617EC7">
        <w:t>organisations</w:t>
      </w:r>
      <w:r w:rsidRPr="009232AD">
        <w:t xml:space="preserve"> are under external pressure, which may lead them to participate in wellbeing washing. </w:t>
      </w:r>
    </w:p>
    <w:p w14:paraId="48589377" w14:textId="47390775" w:rsidR="008A655B" w:rsidRPr="009232AD" w:rsidRDefault="004D022D" w:rsidP="00B54A8F">
      <w:pPr>
        <w:jc w:val="both"/>
      </w:pPr>
      <w:r w:rsidRPr="009232AD">
        <w:t xml:space="preserve">The demand comes from market participants such as investors, competitors, and consumers, as well as nonmarket participants such as NGOs and regulators (Delmas and Burbano, 2011). Additionally, some </w:t>
      </w:r>
      <w:r w:rsidR="00617EC7">
        <w:t>organisations</w:t>
      </w:r>
      <w:r w:rsidRPr="009232AD">
        <w:t xml:space="preserve"> may disclose more information to </w:t>
      </w:r>
      <w:r w:rsidR="00FB1330" w:rsidRPr="009232AD">
        <w:t>boost</w:t>
      </w:r>
      <w:r w:rsidR="006A474D" w:rsidRPr="009232AD">
        <w:t xml:space="preserve"> their public</w:t>
      </w:r>
      <w:r w:rsidRPr="009232AD">
        <w:t xml:space="preserve"> image</w:t>
      </w:r>
      <w:r w:rsidR="006A474D" w:rsidRPr="009232AD">
        <w:t>,</w:t>
      </w:r>
      <w:r w:rsidRPr="009232AD">
        <w:t xml:space="preserve"> as there is evidence that emerging market multinational </w:t>
      </w:r>
      <w:r w:rsidR="001F0C3D">
        <w:t>organisations</w:t>
      </w:r>
      <w:r w:rsidRPr="009232AD">
        <w:t xml:space="preserve"> are progressively employing</w:t>
      </w:r>
      <w:r w:rsidR="00203DC7" w:rsidRPr="009232AD">
        <w:t xml:space="preserve"> </w:t>
      </w:r>
      <w:r w:rsidRPr="009232AD">
        <w:t>ESG reporting as a strategy to legitimise themselves internationally (Tashman</w:t>
      </w:r>
      <w:r w:rsidR="008D4C52" w:rsidRPr="009232AD">
        <w:t xml:space="preserve">, </w:t>
      </w:r>
      <w:r w:rsidR="008D4C52" w:rsidRPr="009232AD">
        <w:rPr>
          <w:shd w:val="clear" w:color="auto" w:fill="FFFFFF"/>
        </w:rPr>
        <w:t xml:space="preserve">Marano and Kostova, </w:t>
      </w:r>
      <w:r w:rsidRPr="009232AD">
        <w:t>2019)</w:t>
      </w:r>
      <w:r w:rsidR="00203DC7" w:rsidRPr="009232AD">
        <w:rPr>
          <w:rStyle w:val="FootnoteReference"/>
          <w:rFonts w:asciiTheme="majorBidi" w:hAnsiTheme="majorBidi" w:cstheme="majorBidi"/>
          <w:szCs w:val="24"/>
        </w:rPr>
        <w:footnoteReference w:id="2"/>
      </w:r>
      <w:r w:rsidR="00FB1330" w:rsidRPr="009232AD">
        <w:t>.</w:t>
      </w:r>
    </w:p>
    <w:p w14:paraId="423857A3" w14:textId="068C2B0C" w:rsidR="00D15E38" w:rsidRPr="009232AD" w:rsidRDefault="004D022D" w:rsidP="001F0C3D">
      <w:pPr>
        <w:jc w:val="both"/>
      </w:pPr>
      <w:r w:rsidRPr="009232AD">
        <w:lastRenderedPageBreak/>
        <w:t>The growing importance of incorporating green finance concepts into the rapidly changing financial environment is demonstrated by the inclusion of ESG factors in investment choices. ESG has become more widely accepted in the business sector during the last 20 years (</w:t>
      </w:r>
      <w:r w:rsidR="005C661E" w:rsidRPr="009232AD">
        <w:rPr>
          <w:shd w:val="clear" w:color="auto" w:fill="FFFFFF"/>
        </w:rPr>
        <w:t xml:space="preserve">Wu, Zhang and Xie, </w:t>
      </w:r>
      <w:r w:rsidRPr="009232AD">
        <w:t>2020).</w:t>
      </w:r>
      <w:r w:rsidR="008F069E" w:rsidRPr="009232AD">
        <w:t xml:space="preserve"> </w:t>
      </w:r>
      <w:r w:rsidR="006A474D" w:rsidRPr="009232AD">
        <w:t>However</w:t>
      </w:r>
      <w:r w:rsidRPr="009232AD">
        <w:t xml:space="preserve">, the evaluation of </w:t>
      </w:r>
      <w:r w:rsidR="00712254">
        <w:t>organisations</w:t>
      </w:r>
      <w:r w:rsidR="00FB1330" w:rsidRPr="009232AD">
        <w:t xml:space="preserve">’ </w:t>
      </w:r>
      <w:r w:rsidRPr="009232AD">
        <w:t xml:space="preserve">ESG outcomes presents a challenge, as </w:t>
      </w:r>
      <w:r w:rsidR="00B13329">
        <w:t>organisations</w:t>
      </w:r>
      <w:r w:rsidRPr="009232AD">
        <w:t xml:space="preserve"> may engage in false or misleading disclosure; this is the practice of taking actions that, whether on purpose or not, give stakeholders a misleadingly positive impression of a</w:t>
      </w:r>
      <w:r w:rsidR="00B13329">
        <w:t>n</w:t>
      </w:r>
      <w:r w:rsidRPr="009232AD">
        <w:t xml:space="preserve"> </w:t>
      </w:r>
      <w:r w:rsidR="00B13329">
        <w:t>organisation</w:t>
      </w:r>
      <w:r w:rsidRPr="009232AD">
        <w:t>'s environmental and social performance (Barrymore, 2023; Chatterji et al., 2016).</w:t>
      </w:r>
    </w:p>
    <w:p w14:paraId="637DC9FE" w14:textId="0CD1F726" w:rsidR="00E519F4" w:rsidRPr="009232AD" w:rsidRDefault="001268E4" w:rsidP="00FA5E92">
      <w:pPr>
        <w:pStyle w:val="Heading2"/>
      </w:pPr>
      <w:r w:rsidRPr="009232AD">
        <w:t>Legitimacy Theory</w:t>
      </w:r>
    </w:p>
    <w:p w14:paraId="67E20196" w14:textId="51787451" w:rsidR="00D15E38" w:rsidRPr="009232AD" w:rsidRDefault="00D15E38" w:rsidP="00AF4C83">
      <w:pPr>
        <w:jc w:val="both"/>
        <w:rPr>
          <w:shd w:val="clear" w:color="auto" w:fill="FFFFFF"/>
        </w:rPr>
      </w:pPr>
      <w:r w:rsidRPr="009232AD">
        <w:rPr>
          <w:shd w:val="clear" w:color="auto" w:fill="FFFFFF"/>
        </w:rPr>
        <w:t xml:space="preserve">The foundation of legitimacy theory in organisational studies is frequently attributed to Dowling and Pfeffer (1975). Legitimacy occurs when </w:t>
      </w:r>
      <w:r w:rsidR="004848DD">
        <w:t>organisation</w:t>
      </w:r>
      <w:r w:rsidR="0058462F">
        <w:t>s</w:t>
      </w:r>
      <w:r w:rsidRPr="009232AD">
        <w:rPr>
          <w:shd w:val="clear" w:color="auto" w:fill="FFFFFF"/>
        </w:rPr>
        <w:t xml:space="preserve"> aim to create consistency between the rules of appropriate behaviour in the broader social system of which they are a part and the societal </w:t>
      </w:r>
      <w:r w:rsidR="00FB1330" w:rsidRPr="009232AD">
        <w:rPr>
          <w:shd w:val="clear" w:color="auto" w:fill="FFFFFF"/>
        </w:rPr>
        <w:t xml:space="preserve">values </w:t>
      </w:r>
      <w:r w:rsidRPr="009232AD">
        <w:rPr>
          <w:shd w:val="clear" w:color="auto" w:fill="FFFFFF"/>
        </w:rPr>
        <w:t>connected to or represented by their activities (Dowling and Pfeffer,</w:t>
      </w:r>
      <w:r w:rsidR="006A474D" w:rsidRPr="009232AD">
        <w:rPr>
          <w:shd w:val="clear" w:color="auto" w:fill="FFFFFF"/>
        </w:rPr>
        <w:t xml:space="preserve"> </w:t>
      </w:r>
      <w:r w:rsidRPr="009232AD">
        <w:rPr>
          <w:shd w:val="clear" w:color="auto" w:fill="FFFFFF"/>
        </w:rPr>
        <w:t xml:space="preserve">1975; </w:t>
      </w:r>
      <w:r w:rsidRPr="009232AD">
        <w:t>Suchman,</w:t>
      </w:r>
      <w:r w:rsidR="006A474D" w:rsidRPr="009232AD">
        <w:t xml:space="preserve"> </w:t>
      </w:r>
      <w:r w:rsidRPr="009232AD">
        <w:t>1995)</w:t>
      </w:r>
      <w:r w:rsidRPr="009232AD">
        <w:rPr>
          <w:shd w:val="clear" w:color="auto" w:fill="FFFFFF"/>
        </w:rPr>
        <w:t xml:space="preserve">. </w:t>
      </w:r>
      <w:r w:rsidR="00CF5B0F" w:rsidRPr="009232AD">
        <w:rPr>
          <w:shd w:val="clear" w:color="auto" w:fill="FFFFFF"/>
        </w:rPr>
        <w:t xml:space="preserve">Thus, it is as if a contract exists between </w:t>
      </w:r>
      <w:r w:rsidR="004848DD">
        <w:t>organisation</w:t>
      </w:r>
      <w:r w:rsidR="0058462F">
        <w:t>s</w:t>
      </w:r>
      <w:r w:rsidR="00CF5B0F" w:rsidRPr="009232AD">
        <w:rPr>
          <w:shd w:val="clear" w:color="auto" w:fill="FFFFFF"/>
        </w:rPr>
        <w:t xml:space="preserve"> and society, allowing them to operate. </w:t>
      </w:r>
      <w:r w:rsidRPr="009232AD">
        <w:rPr>
          <w:shd w:val="clear" w:color="auto" w:fill="FFFFFF"/>
        </w:rPr>
        <w:t xml:space="preserve">The legitimacy of the organisation will be threatened if there is a real or potential difference between the two value systems (Dowling and Pfeffer, 1975). </w:t>
      </w:r>
    </w:p>
    <w:p w14:paraId="6463CF9A" w14:textId="46612F27" w:rsidR="00D15E38" w:rsidRPr="009232AD" w:rsidRDefault="00D15E38" w:rsidP="00D15E38">
      <w:pPr>
        <w:jc w:val="both"/>
        <w:rPr>
          <w:rFonts w:asciiTheme="majorBidi" w:eastAsia="Times New Roman" w:hAnsiTheme="majorBidi" w:cstheme="majorBidi"/>
          <w:kern w:val="0"/>
          <w:szCs w:val="24"/>
          <w:lang w:eastAsia="en-GB"/>
          <w14:ligatures w14:val="none"/>
        </w:rPr>
      </w:pPr>
      <w:r w:rsidRPr="009232AD">
        <w:rPr>
          <w:rFonts w:asciiTheme="majorBidi" w:eastAsia="Times New Roman" w:hAnsiTheme="majorBidi" w:cstheme="majorBidi"/>
          <w:kern w:val="0"/>
          <w:szCs w:val="24"/>
          <w:lang w:eastAsia="en-GB"/>
          <w14:ligatures w14:val="none"/>
        </w:rPr>
        <w:t xml:space="preserve">Clegg, Kornberger and Rhodes (2007) discussed how </w:t>
      </w:r>
      <w:r w:rsidR="00FB1330" w:rsidRPr="009232AD">
        <w:rPr>
          <w:rFonts w:asciiTheme="majorBidi" w:eastAsia="Times New Roman" w:hAnsiTheme="majorBidi" w:cstheme="majorBidi"/>
          <w:kern w:val="0"/>
          <w:szCs w:val="24"/>
          <w:lang w:eastAsia="en-GB"/>
          <w14:ligatures w14:val="none"/>
        </w:rPr>
        <w:t xml:space="preserve">organisations’ </w:t>
      </w:r>
      <w:r w:rsidRPr="009232AD">
        <w:rPr>
          <w:rFonts w:asciiTheme="majorBidi" w:eastAsia="Times New Roman" w:hAnsiTheme="majorBidi" w:cstheme="majorBidi"/>
          <w:kern w:val="0"/>
          <w:szCs w:val="24"/>
          <w:lang w:eastAsia="en-GB"/>
          <w14:ligatures w14:val="none"/>
        </w:rPr>
        <w:t>adoption of codes of conduct and formal ethical systems serve a crucial function</w:t>
      </w:r>
      <w:r w:rsidR="006A474D" w:rsidRPr="009232AD">
        <w:rPr>
          <w:rFonts w:asciiTheme="majorBidi" w:eastAsia="Times New Roman" w:hAnsiTheme="majorBidi" w:cstheme="majorBidi"/>
          <w:kern w:val="0"/>
          <w:szCs w:val="24"/>
          <w:lang w:eastAsia="en-GB"/>
          <w14:ligatures w14:val="none"/>
        </w:rPr>
        <w:t xml:space="preserve"> for the </w:t>
      </w:r>
      <w:r w:rsidR="00D74A54">
        <w:t>organisation</w:t>
      </w:r>
      <w:r w:rsidR="006A474D" w:rsidRPr="009232AD">
        <w:rPr>
          <w:rFonts w:asciiTheme="majorBidi" w:eastAsia="Times New Roman" w:hAnsiTheme="majorBidi" w:cstheme="majorBidi"/>
          <w:kern w:val="0"/>
          <w:szCs w:val="24"/>
          <w:lang w:eastAsia="en-GB"/>
          <w14:ligatures w14:val="none"/>
        </w:rPr>
        <w:t xml:space="preserve"> to be seen as legitimate by society</w:t>
      </w:r>
      <w:r w:rsidRPr="009232AD">
        <w:rPr>
          <w:rFonts w:asciiTheme="majorBidi" w:eastAsia="Times New Roman" w:hAnsiTheme="majorBidi" w:cstheme="majorBidi"/>
          <w:kern w:val="0"/>
          <w:szCs w:val="24"/>
          <w:lang w:eastAsia="en-GB"/>
          <w14:ligatures w14:val="none"/>
        </w:rPr>
        <w:t>. They claim</w:t>
      </w:r>
      <w:r w:rsidR="002B5DC6" w:rsidRPr="009232AD">
        <w:rPr>
          <w:rFonts w:asciiTheme="majorBidi" w:eastAsia="Times New Roman" w:hAnsiTheme="majorBidi" w:cstheme="majorBidi"/>
          <w:kern w:val="0"/>
          <w:szCs w:val="24"/>
          <w:lang w:eastAsia="en-GB"/>
          <w14:ligatures w14:val="none"/>
        </w:rPr>
        <w:t>ed</w:t>
      </w:r>
      <w:r w:rsidRPr="009232AD">
        <w:rPr>
          <w:rFonts w:asciiTheme="majorBidi" w:eastAsia="Times New Roman" w:hAnsiTheme="majorBidi" w:cstheme="majorBidi"/>
          <w:kern w:val="0"/>
          <w:szCs w:val="24"/>
          <w:lang w:eastAsia="en-GB"/>
          <w14:ligatures w14:val="none"/>
        </w:rPr>
        <w:t xml:space="preserve"> that organisations are expected to adopt these codes ceremonially because,</w:t>
      </w:r>
      <w:r w:rsidR="00FB1330" w:rsidRPr="009232AD">
        <w:rPr>
          <w:rFonts w:asciiTheme="majorBidi" w:eastAsia="Times New Roman" w:hAnsiTheme="majorBidi" w:cstheme="majorBidi"/>
          <w:kern w:val="0"/>
          <w:szCs w:val="24"/>
          <w:lang w:eastAsia="en-GB"/>
          <w14:ligatures w14:val="none"/>
        </w:rPr>
        <w:t xml:space="preserve"> </w:t>
      </w:r>
      <w:r w:rsidRPr="009232AD">
        <w:rPr>
          <w:rFonts w:asciiTheme="majorBidi" w:eastAsia="Times New Roman" w:hAnsiTheme="majorBidi" w:cstheme="majorBidi"/>
          <w:kern w:val="0"/>
          <w:szCs w:val="24"/>
          <w:lang w:eastAsia="en-GB"/>
          <w14:ligatures w14:val="none"/>
        </w:rPr>
        <w:t>by adopting these codes, organisations seek to improve their prospects of survival, preserve stability, attract resources, and acquire legitimacy.</w:t>
      </w:r>
    </w:p>
    <w:p w14:paraId="6420274D" w14:textId="51BC0C19" w:rsidR="00D15E38" w:rsidRPr="009232AD" w:rsidRDefault="00D15E38" w:rsidP="00966857">
      <w:pPr>
        <w:jc w:val="both"/>
        <w:rPr>
          <w:lang w:eastAsia="en-GB"/>
        </w:rPr>
      </w:pPr>
      <w:r w:rsidRPr="009232AD">
        <w:rPr>
          <w:lang w:eastAsia="en-GB"/>
        </w:rPr>
        <w:t>Deegan</w:t>
      </w:r>
      <w:r w:rsidR="006A474D" w:rsidRPr="009232AD">
        <w:rPr>
          <w:lang w:eastAsia="en-GB"/>
        </w:rPr>
        <w:t xml:space="preserve"> </w:t>
      </w:r>
      <w:r w:rsidRPr="009232AD">
        <w:rPr>
          <w:lang w:eastAsia="en-GB"/>
        </w:rPr>
        <w:t>(2002)</w:t>
      </w:r>
      <w:r w:rsidR="006A474D" w:rsidRPr="009232AD">
        <w:rPr>
          <w:lang w:eastAsia="en-GB"/>
        </w:rPr>
        <w:t xml:space="preserve"> </w:t>
      </w:r>
      <w:r w:rsidR="00FB1330" w:rsidRPr="009232AD">
        <w:rPr>
          <w:lang w:eastAsia="en-GB"/>
        </w:rPr>
        <w:t xml:space="preserve">indicated </w:t>
      </w:r>
      <w:r w:rsidRPr="009232AD">
        <w:rPr>
          <w:lang w:eastAsia="en-GB"/>
        </w:rPr>
        <w:t>how</w:t>
      </w:r>
      <w:r w:rsidR="00FB1330" w:rsidRPr="009232AD">
        <w:rPr>
          <w:lang w:eastAsia="en-GB"/>
        </w:rPr>
        <w:t xml:space="preserve"> </w:t>
      </w:r>
      <w:r w:rsidRPr="009232AD">
        <w:rPr>
          <w:lang w:eastAsia="en-GB"/>
        </w:rPr>
        <w:t>and</w:t>
      </w:r>
      <w:r w:rsidR="00FB1330" w:rsidRPr="009232AD">
        <w:rPr>
          <w:lang w:eastAsia="en-GB"/>
        </w:rPr>
        <w:t xml:space="preserve"> </w:t>
      </w:r>
      <w:r w:rsidRPr="009232AD">
        <w:rPr>
          <w:lang w:eastAsia="en-GB"/>
        </w:rPr>
        <w:t>why</w:t>
      </w:r>
      <w:r w:rsidR="00FB1330" w:rsidRPr="009232AD">
        <w:rPr>
          <w:lang w:eastAsia="en-GB"/>
        </w:rPr>
        <w:t xml:space="preserve"> </w:t>
      </w:r>
      <w:r w:rsidRPr="009232AD">
        <w:rPr>
          <w:lang w:eastAsia="en-GB"/>
        </w:rPr>
        <w:t>managers</w:t>
      </w:r>
      <w:r w:rsidR="00FB1330" w:rsidRPr="009232AD">
        <w:rPr>
          <w:lang w:eastAsia="en-GB"/>
        </w:rPr>
        <w:t xml:space="preserve"> </w:t>
      </w:r>
      <w:r w:rsidRPr="009232AD">
        <w:rPr>
          <w:lang w:eastAsia="en-GB"/>
        </w:rPr>
        <w:t>may</w:t>
      </w:r>
      <w:r w:rsidR="00FB1330" w:rsidRPr="009232AD">
        <w:rPr>
          <w:lang w:eastAsia="en-GB"/>
        </w:rPr>
        <w:t xml:space="preserve"> </w:t>
      </w:r>
      <w:r w:rsidRPr="009232AD">
        <w:rPr>
          <w:lang w:eastAsia="en-GB"/>
        </w:rPr>
        <w:t>use</w:t>
      </w:r>
      <w:r w:rsidR="00FB1330" w:rsidRPr="009232AD">
        <w:rPr>
          <w:lang w:eastAsia="en-GB"/>
        </w:rPr>
        <w:t xml:space="preserve"> </w:t>
      </w:r>
      <w:r w:rsidRPr="009232AD">
        <w:rPr>
          <w:lang w:eastAsia="en-GB"/>
        </w:rPr>
        <w:t>reports</w:t>
      </w:r>
      <w:r w:rsidR="00FB1330" w:rsidRPr="009232AD">
        <w:rPr>
          <w:lang w:eastAsia="en-GB"/>
        </w:rPr>
        <w:t xml:space="preserve"> </w:t>
      </w:r>
      <w:r w:rsidRPr="009232AD">
        <w:rPr>
          <w:lang w:eastAsia="en-GB"/>
        </w:rPr>
        <w:t>with</w:t>
      </w:r>
      <w:r w:rsidR="00FB1330" w:rsidRPr="009232AD">
        <w:rPr>
          <w:lang w:eastAsia="en-GB"/>
        </w:rPr>
        <w:t xml:space="preserve"> </w:t>
      </w:r>
      <w:r w:rsidRPr="009232AD">
        <w:rPr>
          <w:lang w:eastAsia="en-GB"/>
        </w:rPr>
        <w:t>an</w:t>
      </w:r>
      <w:r w:rsidR="00FB1330" w:rsidRPr="009232AD">
        <w:rPr>
          <w:lang w:eastAsia="en-GB"/>
        </w:rPr>
        <w:t xml:space="preserve"> </w:t>
      </w:r>
      <w:r w:rsidRPr="009232AD">
        <w:rPr>
          <w:lang w:eastAsia="en-GB"/>
        </w:rPr>
        <w:t>external</w:t>
      </w:r>
      <w:r w:rsidR="00FB1330" w:rsidRPr="009232AD">
        <w:rPr>
          <w:lang w:eastAsia="en-GB"/>
        </w:rPr>
        <w:t xml:space="preserve"> </w:t>
      </w:r>
      <w:r w:rsidRPr="009232AD">
        <w:rPr>
          <w:lang w:eastAsia="en-GB"/>
        </w:rPr>
        <w:t>emphasis</w:t>
      </w:r>
      <w:r w:rsidR="00FB1330" w:rsidRPr="009232AD">
        <w:rPr>
          <w:lang w:eastAsia="en-GB"/>
        </w:rPr>
        <w:t xml:space="preserve"> </w:t>
      </w:r>
      <w:r w:rsidRPr="009232AD">
        <w:rPr>
          <w:lang w:eastAsia="en-GB"/>
        </w:rPr>
        <w:t>to</w:t>
      </w:r>
      <w:r w:rsidR="00FB1330" w:rsidRPr="009232AD">
        <w:rPr>
          <w:lang w:eastAsia="en-GB"/>
        </w:rPr>
        <w:t xml:space="preserve"> </w:t>
      </w:r>
      <w:r w:rsidRPr="009232AD">
        <w:rPr>
          <w:lang w:eastAsia="en-GB"/>
        </w:rPr>
        <w:t>the</w:t>
      </w:r>
      <w:r w:rsidR="00FB1330" w:rsidRPr="009232AD">
        <w:rPr>
          <w:lang w:eastAsia="en-GB"/>
        </w:rPr>
        <w:t xml:space="preserve"> </w:t>
      </w:r>
      <w:r w:rsidRPr="009232AD">
        <w:rPr>
          <w:lang w:eastAsia="en-GB"/>
        </w:rPr>
        <w:t>advantage</w:t>
      </w:r>
      <w:r w:rsidR="00FB1330" w:rsidRPr="009232AD">
        <w:rPr>
          <w:lang w:eastAsia="en-GB"/>
        </w:rPr>
        <w:t xml:space="preserve"> </w:t>
      </w:r>
      <w:r w:rsidRPr="009232AD">
        <w:rPr>
          <w:lang w:eastAsia="en-GB"/>
        </w:rPr>
        <w:t>of</w:t>
      </w:r>
      <w:r w:rsidR="00FB1330" w:rsidRPr="009232AD">
        <w:rPr>
          <w:lang w:eastAsia="en-GB"/>
        </w:rPr>
        <w:t xml:space="preserve"> </w:t>
      </w:r>
      <w:r w:rsidRPr="009232AD">
        <w:rPr>
          <w:lang w:eastAsia="en-GB"/>
        </w:rPr>
        <w:t>an</w:t>
      </w:r>
      <w:r w:rsidR="00FB1330" w:rsidRPr="009232AD">
        <w:rPr>
          <w:lang w:eastAsia="en-GB"/>
        </w:rPr>
        <w:t xml:space="preserve"> organisation</w:t>
      </w:r>
      <w:r w:rsidRPr="009232AD">
        <w:rPr>
          <w:lang w:eastAsia="en-GB"/>
        </w:rPr>
        <w:t>.</w:t>
      </w:r>
      <w:r w:rsidR="002A4ED6" w:rsidRPr="00FA5E92">
        <w:t xml:space="preserve"> </w:t>
      </w:r>
      <w:r w:rsidRPr="009232AD">
        <w:rPr>
          <w:lang w:eastAsia="en-GB"/>
        </w:rPr>
        <w:t xml:space="preserve">Tilling and Tilt (2010) investigated the use of voluntary social and environmental reporting by tobacco </w:t>
      </w:r>
      <w:r w:rsidR="00662678" w:rsidRPr="009232AD">
        <w:rPr>
          <w:rFonts w:asciiTheme="majorBidi" w:eastAsia="Times New Roman" w:hAnsiTheme="majorBidi" w:cstheme="majorBidi"/>
          <w:kern w:val="0"/>
          <w:szCs w:val="24"/>
          <w:lang w:eastAsia="en-GB"/>
          <w14:ligatures w14:val="none"/>
        </w:rPr>
        <w:t>organisations</w:t>
      </w:r>
      <w:r w:rsidRPr="009232AD">
        <w:rPr>
          <w:lang w:eastAsia="en-GB"/>
        </w:rPr>
        <w:t xml:space="preserve"> as a means of managing their legitimacy. The study highlighted how </w:t>
      </w:r>
      <w:r w:rsidR="0050740B" w:rsidRPr="009232AD">
        <w:rPr>
          <w:rFonts w:asciiTheme="majorBidi" w:eastAsia="Times New Roman" w:hAnsiTheme="majorBidi" w:cstheme="majorBidi"/>
          <w:kern w:val="0"/>
          <w:szCs w:val="24"/>
          <w:lang w:eastAsia="en-GB"/>
          <w14:ligatures w14:val="none"/>
        </w:rPr>
        <w:t>organisations</w:t>
      </w:r>
      <w:r w:rsidRPr="009232AD">
        <w:rPr>
          <w:lang w:eastAsia="en-GB"/>
        </w:rPr>
        <w:t xml:space="preserve"> use both qualitative and quantitative </w:t>
      </w:r>
      <w:r w:rsidR="007E234A">
        <w:rPr>
          <w:lang w:eastAsia="en-GB"/>
        </w:rPr>
        <w:lastRenderedPageBreak/>
        <w:t xml:space="preserve">disclosures </w:t>
      </w:r>
      <w:r w:rsidRPr="009232AD">
        <w:rPr>
          <w:lang w:eastAsia="en-GB"/>
        </w:rPr>
        <w:t xml:space="preserve">to bridge legitimacy gaps. Deegan (2019) underlined a crucial insight from legitimacy theory: if managers consistently include social and environmental disclosures in their suite of </w:t>
      </w:r>
      <w:r w:rsidR="00FB1330" w:rsidRPr="009232AD">
        <w:rPr>
          <w:lang w:eastAsia="en-GB"/>
        </w:rPr>
        <w:t xml:space="preserve">legitimising </w:t>
      </w:r>
      <w:r w:rsidRPr="009232AD">
        <w:rPr>
          <w:lang w:eastAsia="en-GB"/>
        </w:rPr>
        <w:t xml:space="preserve">approaches, it should raise serious red flags and serve as a basis for a </w:t>
      </w:r>
      <w:r w:rsidR="00FB1330" w:rsidRPr="009232AD">
        <w:rPr>
          <w:lang w:eastAsia="en-GB"/>
        </w:rPr>
        <w:t xml:space="preserve">‘call </w:t>
      </w:r>
      <w:r w:rsidRPr="009232AD">
        <w:rPr>
          <w:lang w:eastAsia="en-GB"/>
        </w:rPr>
        <w:t>to action</w:t>
      </w:r>
      <w:r w:rsidR="00FB1330" w:rsidRPr="009232AD">
        <w:rPr>
          <w:lang w:eastAsia="en-GB"/>
        </w:rPr>
        <w:t>’</w:t>
      </w:r>
      <w:r w:rsidRPr="009232AD">
        <w:rPr>
          <w:lang w:eastAsia="en-GB"/>
        </w:rPr>
        <w:t xml:space="preserve">. The concept of </w:t>
      </w:r>
      <w:r w:rsidR="00FB1330" w:rsidRPr="009232AD">
        <w:rPr>
          <w:lang w:eastAsia="en-GB"/>
        </w:rPr>
        <w:t>‘</w:t>
      </w:r>
      <w:r w:rsidRPr="009232AD">
        <w:rPr>
          <w:lang w:eastAsia="en-GB"/>
        </w:rPr>
        <w:t>wellbeing washing</w:t>
      </w:r>
      <w:r w:rsidR="00FB1330" w:rsidRPr="009232AD">
        <w:rPr>
          <w:lang w:eastAsia="en-GB"/>
        </w:rPr>
        <w:t xml:space="preserve">’ </w:t>
      </w:r>
      <w:r w:rsidRPr="009232AD">
        <w:rPr>
          <w:lang w:eastAsia="en-GB"/>
        </w:rPr>
        <w:t xml:space="preserve">could be applied to understanding legitimacy theory. </w:t>
      </w:r>
    </w:p>
    <w:p w14:paraId="07CAD513" w14:textId="6A199B16" w:rsidR="004950B0" w:rsidRPr="009232AD" w:rsidRDefault="00144474" w:rsidP="00966857">
      <w:pPr>
        <w:jc w:val="both"/>
        <w:rPr>
          <w:lang w:eastAsia="en-GB"/>
        </w:rPr>
      </w:pPr>
      <w:r w:rsidRPr="00144474">
        <w:rPr>
          <w:lang w:eastAsia="en-GB"/>
        </w:rPr>
        <w:t xml:space="preserve">The use of legitimacy theory provides a framework for critically evaluating whether an </w:t>
      </w:r>
      <w:r w:rsidR="004848DD">
        <w:rPr>
          <w:lang w:eastAsia="en-GB"/>
        </w:rPr>
        <w:t>organisation</w:t>
      </w:r>
      <w:r w:rsidRPr="00144474">
        <w:rPr>
          <w:lang w:eastAsia="en-GB"/>
        </w:rPr>
        <w:t xml:space="preserve">'s wellbeing initiatives reflect genuine efforts or are primarily designed as strategies to influence stakeholders' perceptions of the </w:t>
      </w:r>
      <w:r w:rsidR="004848DD">
        <w:rPr>
          <w:lang w:eastAsia="en-GB"/>
        </w:rPr>
        <w:t>organisation</w:t>
      </w:r>
      <w:r w:rsidRPr="00144474">
        <w:rPr>
          <w:lang w:eastAsia="en-GB"/>
        </w:rPr>
        <w:t xml:space="preserve"> through the disclosed information (i.e., impression management).</w:t>
      </w:r>
      <w:r>
        <w:rPr>
          <w:lang w:eastAsia="en-GB"/>
        </w:rPr>
        <w:t xml:space="preserve"> </w:t>
      </w:r>
      <w:r w:rsidR="00D15E38" w:rsidRPr="009232AD">
        <w:rPr>
          <w:lang w:eastAsia="en-GB"/>
        </w:rPr>
        <w:t xml:space="preserve">A better understanding of how </w:t>
      </w:r>
      <w:r w:rsidR="000E65DA" w:rsidRPr="009232AD">
        <w:rPr>
          <w:rFonts w:asciiTheme="majorBidi" w:eastAsia="Times New Roman" w:hAnsiTheme="majorBidi" w:cstheme="majorBidi"/>
          <w:kern w:val="0"/>
          <w:szCs w:val="24"/>
          <w:lang w:eastAsia="en-GB"/>
          <w14:ligatures w14:val="none"/>
        </w:rPr>
        <w:t>organisations</w:t>
      </w:r>
      <w:r w:rsidR="00D15E38" w:rsidRPr="009232AD">
        <w:rPr>
          <w:lang w:eastAsia="en-GB"/>
        </w:rPr>
        <w:t xml:space="preserve"> may use wellbeing disclosures to project a positive image while not always improving actual employee wellbeing is possible when legitimacy theory is applied to the phenomenon of wellbeing washing. This critical viewpoint enables stakeholders to identify and call out such practices, advocating for more authentic and impactful wellbeing initiatives.</w:t>
      </w:r>
    </w:p>
    <w:p w14:paraId="6E20CA88" w14:textId="2FFF62C6" w:rsidR="00BE6D8A" w:rsidRPr="009232AD" w:rsidRDefault="0043283F" w:rsidP="00FA5E92">
      <w:pPr>
        <w:pStyle w:val="Heading2"/>
      </w:pPr>
      <w:r w:rsidRPr="009232AD">
        <w:t>Hypotheses development</w:t>
      </w:r>
      <w:r w:rsidR="00FB1330" w:rsidRPr="009232AD">
        <w:t xml:space="preserve"> </w:t>
      </w:r>
    </w:p>
    <w:p w14:paraId="7683478F" w14:textId="5206D717" w:rsidR="00BE6D8A" w:rsidRPr="009232AD" w:rsidRDefault="00BE6D8A" w:rsidP="00FE0AC9">
      <w:pPr>
        <w:jc w:val="both"/>
      </w:pPr>
      <w:r w:rsidRPr="009232AD">
        <w:t>Human resource management research and policy must prioritise and give heightened attention to the wellbeing of employees (Guest, 2017), as human resources are fundamental to the health and prosperity of any organisation (O’Donohue</w:t>
      </w:r>
      <w:r w:rsidR="00806F2E" w:rsidRPr="009232AD">
        <w:t>,</w:t>
      </w:r>
      <w:r w:rsidRPr="009232AD">
        <w:t xml:space="preserve"> </w:t>
      </w:r>
      <w:r w:rsidR="00806F2E" w:rsidRPr="009232AD">
        <w:rPr>
          <w:shd w:val="clear" w:color="auto" w:fill="FFFFFF"/>
        </w:rPr>
        <w:t>Hutchings and Hansen,</w:t>
      </w:r>
      <w:r w:rsidR="00806F2E" w:rsidRPr="009232AD">
        <w:t xml:space="preserve"> </w:t>
      </w:r>
      <w:r w:rsidRPr="009232AD">
        <w:t xml:space="preserve">2018). The accessibility of health and wellbeing programmes has the potential to effectively communicate the level of </w:t>
      </w:r>
      <w:r w:rsidR="009232AD" w:rsidRPr="009232AD">
        <w:t xml:space="preserve">care </w:t>
      </w:r>
      <w:r w:rsidRPr="009232AD">
        <w:t xml:space="preserve">employers hold for their employees, which, in turn, can foster reciprocal respectful working relationships, leading to enhanced wellbeing and job satisfaction </w:t>
      </w:r>
      <w:r w:rsidRPr="00FA5E92">
        <w:t>(</w:t>
      </w:r>
      <w:proofErr w:type="spellStart"/>
      <w:r w:rsidRPr="00FA5E92">
        <w:t>Fida</w:t>
      </w:r>
      <w:proofErr w:type="spellEnd"/>
      <w:r w:rsidRPr="00FA5E92">
        <w:t xml:space="preserve"> et al., 2022)</w:t>
      </w:r>
      <w:r w:rsidRPr="009232AD">
        <w:t>. Employee wellbeing activities allow organisations to achieve a common agenda with their employees, serving as a mechanism for pursuing mutual</w:t>
      </w:r>
      <w:r w:rsidR="001944A6">
        <w:t>ly</w:t>
      </w:r>
      <w:r w:rsidRPr="009232AD">
        <w:t xml:space="preserve"> </w:t>
      </w:r>
      <w:r w:rsidR="009232AD" w:rsidRPr="009232AD">
        <w:t xml:space="preserve">beneficial </w:t>
      </w:r>
      <w:r w:rsidRPr="009232AD">
        <w:t xml:space="preserve">goals (Nayani et al., 2022). According to Daniels et al. (2021), there is potential for workplace health and wellbeing practices to be optimised to enhance psychological health and wellbeing inside the </w:t>
      </w:r>
      <w:r w:rsidRPr="009232AD">
        <w:lastRenderedPageBreak/>
        <w:t>workplace. Positive psychology interventions appear to improve an organisation’s healthcare performance through increased support, interaction, and wellbeing (Kletter et al., 2021)</w:t>
      </w:r>
      <w:r w:rsidR="009232AD" w:rsidRPr="009232AD">
        <w:t>.</w:t>
      </w:r>
    </w:p>
    <w:p w14:paraId="3BCE8614" w14:textId="4BB96797" w:rsidR="00FE6538" w:rsidRPr="009232AD" w:rsidRDefault="00BE6D8A" w:rsidP="00FE0AC9">
      <w:pPr>
        <w:jc w:val="both"/>
      </w:pPr>
      <w:proofErr w:type="spellStart"/>
      <w:r w:rsidRPr="00FA5E92">
        <w:t>Fida</w:t>
      </w:r>
      <w:proofErr w:type="spellEnd"/>
      <w:r w:rsidRPr="00FA5E92">
        <w:t xml:space="preserve"> et al. (2022) observe</w:t>
      </w:r>
      <w:r w:rsidR="00E63665" w:rsidRPr="00FA5E92">
        <w:t>d</w:t>
      </w:r>
      <w:r w:rsidRPr="00FA5E92">
        <w:t xml:space="preserve"> that while organisations may implement health and wellbeing initiatives with the primary intention of improving the health and wellbeing of their employees, there is also an indication that social interactions inside the organisation are enhanced, and there is a reduction in the incidence of bullying over time. This reduction contributes to the long-term satisfaction and wellbeing of employees.</w:t>
      </w:r>
      <w:r w:rsidR="00F068C4" w:rsidRPr="00FA5E92">
        <w:t xml:space="preserve"> </w:t>
      </w:r>
      <w:r w:rsidRPr="009232AD">
        <w:t xml:space="preserve">There are other benefits to wellbeing initiatives. Organisations will likely experience </w:t>
      </w:r>
      <w:r w:rsidR="00AC14B0">
        <w:t>higher performance</w:t>
      </w:r>
      <w:r w:rsidRPr="009232AD">
        <w:t xml:space="preserve"> and reduced expenditures due to valuing employee wellbeing (Guest</w:t>
      </w:r>
      <w:r w:rsidR="00897877" w:rsidRPr="009232AD">
        <w:t xml:space="preserve">, </w:t>
      </w:r>
      <w:r w:rsidRPr="009232AD">
        <w:t xml:space="preserve">2017). </w:t>
      </w:r>
      <w:r w:rsidR="004848DD">
        <w:rPr>
          <w:lang w:eastAsia="en-GB"/>
        </w:rPr>
        <w:t>Organisation</w:t>
      </w:r>
      <w:r w:rsidR="00DD3BC9">
        <w:rPr>
          <w:lang w:eastAsia="en-GB"/>
        </w:rPr>
        <w:t>s</w:t>
      </w:r>
      <w:r w:rsidR="008F362A" w:rsidRPr="008F362A">
        <w:t xml:space="preserve"> that prioritize employee satisfaction tend to outperform those with less employee-friendly cultures, as measured by Return on Assets (ROA) and Return on Equity (ROE)</w:t>
      </w:r>
      <w:r w:rsidR="00692A97">
        <w:t xml:space="preserve"> </w:t>
      </w:r>
      <w:r w:rsidRPr="009232AD">
        <w:t>(Fauver</w:t>
      </w:r>
      <w:r w:rsidR="00AF62D7" w:rsidRPr="009232AD">
        <w:t xml:space="preserve">, </w:t>
      </w:r>
      <w:r w:rsidR="00AF62D7" w:rsidRPr="009232AD">
        <w:rPr>
          <w:shd w:val="clear" w:color="auto" w:fill="FFFFFF"/>
        </w:rPr>
        <w:t>McDonald and Taboada,</w:t>
      </w:r>
      <w:r w:rsidR="00AF62D7" w:rsidRPr="009232AD">
        <w:t xml:space="preserve"> </w:t>
      </w:r>
      <w:r w:rsidRPr="009232AD">
        <w:t xml:space="preserve">2018). Furthermore, </w:t>
      </w:r>
      <w:r w:rsidR="004848DD">
        <w:rPr>
          <w:lang w:eastAsia="en-GB"/>
        </w:rPr>
        <w:t>organisation</w:t>
      </w:r>
      <w:r w:rsidR="00A1420D">
        <w:rPr>
          <w:lang w:eastAsia="en-GB"/>
        </w:rPr>
        <w:t>s</w:t>
      </w:r>
      <w:r w:rsidRPr="009232AD">
        <w:t xml:space="preserve"> that prioritise the wellbeing of their employees tend to exhibit superior levels of innovative performance (</w:t>
      </w:r>
      <w:bookmarkStart w:id="0" w:name="Wei"/>
      <w:r w:rsidR="000B7344" w:rsidRPr="009232AD">
        <w:rPr>
          <w:shd w:val="clear" w:color="auto" w:fill="FFFFFF"/>
        </w:rPr>
        <w:t xml:space="preserve">Wei, </w:t>
      </w:r>
      <w:bookmarkEnd w:id="0"/>
      <w:r w:rsidR="000B7344" w:rsidRPr="009232AD">
        <w:rPr>
          <w:shd w:val="clear" w:color="auto" w:fill="FFFFFF"/>
        </w:rPr>
        <w:t>Nan and Wei</w:t>
      </w:r>
      <w:r w:rsidR="000B7344" w:rsidRPr="009232AD">
        <w:t xml:space="preserve"> </w:t>
      </w:r>
      <w:r w:rsidRPr="009232AD">
        <w:t xml:space="preserve">2020). Finally, </w:t>
      </w:r>
      <w:r w:rsidR="004848DD">
        <w:rPr>
          <w:lang w:eastAsia="en-GB"/>
        </w:rPr>
        <w:t>organisation</w:t>
      </w:r>
      <w:r w:rsidR="00A1420D">
        <w:rPr>
          <w:lang w:eastAsia="en-GB"/>
        </w:rPr>
        <w:t>s</w:t>
      </w:r>
      <w:r w:rsidRPr="009232AD">
        <w:t xml:space="preserve"> that demonstrate high employee satisfaction are more likely to maintain crucial competencies and recruit new employees possessing those capabilities (Rad and </w:t>
      </w:r>
      <w:proofErr w:type="spellStart"/>
      <w:r w:rsidRPr="009232AD">
        <w:t>Yarmohammadian</w:t>
      </w:r>
      <w:proofErr w:type="spellEnd"/>
      <w:r w:rsidRPr="009232AD">
        <w:t>, 2006).</w:t>
      </w:r>
    </w:p>
    <w:p w14:paraId="7F972F1B" w14:textId="3290CF51" w:rsidR="00D27288" w:rsidRPr="009232AD" w:rsidRDefault="004848DD" w:rsidP="00FE0AC9">
      <w:pPr>
        <w:jc w:val="both"/>
      </w:pPr>
      <w:r>
        <w:rPr>
          <w:lang w:eastAsia="en-GB"/>
        </w:rPr>
        <w:t>Organisation</w:t>
      </w:r>
      <w:r w:rsidR="00D44736">
        <w:rPr>
          <w:lang w:eastAsia="en-GB"/>
        </w:rPr>
        <w:t>s</w:t>
      </w:r>
      <w:r w:rsidR="00BE6D8A" w:rsidRPr="009232AD">
        <w:t xml:space="preserve"> may increase their social disclosure to satisfy investors. </w:t>
      </w:r>
      <w:r w:rsidR="000E41DD" w:rsidRPr="000E41DD">
        <w:t xml:space="preserve">Due to social pressures, institutional investors may advocate for </w:t>
      </w:r>
      <w:r>
        <w:t>organisation</w:t>
      </w:r>
      <w:r w:rsidR="000E41DD" w:rsidRPr="000E41DD">
        <w:t>s to enhance their environmental and social performance levels (Dyck et al., 2019).</w:t>
      </w:r>
      <w:r w:rsidR="000E41DD">
        <w:t xml:space="preserve"> </w:t>
      </w:r>
      <w:r w:rsidR="00F068C4" w:rsidRPr="009232AD">
        <w:t xml:space="preserve">However, </w:t>
      </w:r>
      <w:r>
        <w:t>organisation</w:t>
      </w:r>
      <w:r w:rsidR="00BE6D8A" w:rsidRPr="009232AD">
        <w:t xml:space="preserve">s are not the only </w:t>
      </w:r>
      <w:r w:rsidR="00F068C4" w:rsidRPr="009232AD">
        <w:t xml:space="preserve">source of information about </w:t>
      </w:r>
      <w:r w:rsidR="00BE6D8A" w:rsidRPr="009232AD">
        <w:t xml:space="preserve">wellbeing, as employees can use </w:t>
      </w:r>
      <w:r w:rsidR="008A6441">
        <w:t xml:space="preserve">the </w:t>
      </w:r>
      <w:r w:rsidR="00BE6D8A" w:rsidRPr="009232AD">
        <w:t xml:space="preserve">Glassdoor website to evaluate the </w:t>
      </w:r>
      <w:r w:rsidR="00165F89">
        <w:t>organisation</w:t>
      </w:r>
      <w:r w:rsidR="00165F89" w:rsidRPr="009232AD">
        <w:t xml:space="preserve"> </w:t>
      </w:r>
      <w:r w:rsidR="00BE6D8A" w:rsidRPr="009232AD">
        <w:t xml:space="preserve">they work(ed) </w:t>
      </w:r>
      <w:r w:rsidR="00165F89">
        <w:t>for</w:t>
      </w:r>
      <w:r w:rsidR="00BE6D8A" w:rsidRPr="009232AD">
        <w:t>. This is particularly interesting because employees have an information advantage that external individuals do not, given their position as insiders within the organisation (Hales</w:t>
      </w:r>
      <w:r w:rsidR="00FF7875" w:rsidRPr="009232AD">
        <w:t>,</w:t>
      </w:r>
      <w:r w:rsidR="00BE6D8A" w:rsidRPr="009232AD">
        <w:t xml:space="preserve"> </w:t>
      </w:r>
      <w:r w:rsidR="00FF7875" w:rsidRPr="009232AD">
        <w:rPr>
          <w:shd w:val="clear" w:color="auto" w:fill="FFFFFF"/>
        </w:rPr>
        <w:t>Moon and Swenson,</w:t>
      </w:r>
      <w:r w:rsidR="00BE6D8A" w:rsidRPr="009232AD">
        <w:t xml:space="preserve"> 2018). </w:t>
      </w:r>
      <w:proofErr w:type="spellStart"/>
      <w:r w:rsidR="00BE6D8A" w:rsidRPr="009232AD">
        <w:t>Kyiu</w:t>
      </w:r>
      <w:proofErr w:type="spellEnd"/>
      <w:r w:rsidR="00540E4D" w:rsidRPr="009232AD">
        <w:t>,</w:t>
      </w:r>
      <w:r w:rsidR="00BE6D8A" w:rsidRPr="009232AD">
        <w:t xml:space="preserve"> </w:t>
      </w:r>
      <w:r w:rsidR="00540E4D" w:rsidRPr="009232AD">
        <w:t xml:space="preserve">Tawiah and Boamah </w:t>
      </w:r>
      <w:r w:rsidR="00BE6D8A" w:rsidRPr="009232AD">
        <w:t>(2023) provide</w:t>
      </w:r>
      <w:r w:rsidR="00943956">
        <w:t>d</w:t>
      </w:r>
      <w:r w:rsidR="00BE6D8A" w:rsidRPr="009232AD">
        <w:t xml:space="preserve"> evidence that employee insights can benefit investors by strengthening a</w:t>
      </w:r>
      <w:r w:rsidR="002F7978">
        <w:t>n</w:t>
      </w:r>
      <w:r w:rsidR="00BE6D8A" w:rsidRPr="009232AD">
        <w:t xml:space="preserve"> </w:t>
      </w:r>
      <w:r>
        <w:t>organisation</w:t>
      </w:r>
      <w:r w:rsidR="00BE6D8A" w:rsidRPr="009232AD">
        <w:t>’s information environment. Previous studies also indicate</w:t>
      </w:r>
      <w:r w:rsidR="00943956">
        <w:t>d</w:t>
      </w:r>
      <w:r w:rsidR="00BE6D8A" w:rsidRPr="009232AD">
        <w:t xml:space="preserve"> that </w:t>
      </w:r>
      <w:r w:rsidR="00BE6D8A" w:rsidRPr="009232AD">
        <w:lastRenderedPageBreak/>
        <w:t>employee ratings on Glassdoor are informative (</w:t>
      </w:r>
      <w:r w:rsidR="00540E4D" w:rsidRPr="009232AD">
        <w:t xml:space="preserve">Hales, </w:t>
      </w:r>
      <w:r w:rsidR="00540E4D" w:rsidRPr="009232AD">
        <w:rPr>
          <w:shd w:val="clear" w:color="auto" w:fill="FFFFFF"/>
        </w:rPr>
        <w:t>Moon and Swenson</w:t>
      </w:r>
      <w:r w:rsidR="00540E4D" w:rsidRPr="009232AD">
        <w:t>,</w:t>
      </w:r>
      <w:r w:rsidR="00F068C4" w:rsidRPr="009232AD">
        <w:t xml:space="preserve"> </w:t>
      </w:r>
      <w:r w:rsidR="00BE6D8A" w:rsidRPr="009232AD">
        <w:t xml:space="preserve">2018; Dube and Zhu, 2021; Lee et al., 2021; Kim and Ra, 2022; and </w:t>
      </w:r>
      <w:proofErr w:type="spellStart"/>
      <w:r w:rsidR="001C443F" w:rsidRPr="009232AD">
        <w:t>Kyiu</w:t>
      </w:r>
      <w:proofErr w:type="spellEnd"/>
      <w:r w:rsidR="001C443F" w:rsidRPr="009232AD">
        <w:t>, Tawiah and Boamah</w:t>
      </w:r>
      <w:r w:rsidR="00BE6D8A" w:rsidRPr="009232AD">
        <w:t xml:space="preserve">, 2023). </w:t>
      </w:r>
    </w:p>
    <w:p w14:paraId="63E6BFFB" w14:textId="7ADE990E" w:rsidR="00BE6D8A" w:rsidRPr="009232AD" w:rsidRDefault="00F068C4" w:rsidP="00911105">
      <w:pPr>
        <w:jc w:val="both"/>
      </w:pPr>
      <w:r w:rsidRPr="009232AD">
        <w:t xml:space="preserve">Given the existence of two </w:t>
      </w:r>
      <w:r w:rsidR="00BE6D8A" w:rsidRPr="009232AD">
        <w:t xml:space="preserve">sources of wellbeing </w:t>
      </w:r>
      <w:r w:rsidRPr="009232AD">
        <w:t xml:space="preserve">information, we </w:t>
      </w:r>
      <w:r w:rsidR="00AE42D5">
        <w:t>were</w:t>
      </w:r>
      <w:r w:rsidRPr="009232AD">
        <w:t xml:space="preserve"> interested </w:t>
      </w:r>
      <w:r w:rsidR="00165F89">
        <w:t xml:space="preserve">first </w:t>
      </w:r>
      <w:r w:rsidRPr="009232AD">
        <w:t>in assessing whether they</w:t>
      </w:r>
      <w:r w:rsidR="00BE6D8A" w:rsidRPr="009232AD">
        <w:t xml:space="preserve"> </w:t>
      </w:r>
      <w:r w:rsidR="00AE42D5">
        <w:t>were</w:t>
      </w:r>
      <w:r w:rsidR="00AE42D5" w:rsidRPr="009232AD">
        <w:t xml:space="preserve"> </w:t>
      </w:r>
      <w:r w:rsidRPr="009232AD">
        <w:t>aligned</w:t>
      </w:r>
      <w:r w:rsidR="00BE6D8A" w:rsidRPr="009232AD">
        <w:t>. On one hand, it is possible a positive association exists – this would suggest both sets of disclosure are consistent.</w:t>
      </w:r>
      <w:r w:rsidR="00D27288" w:rsidRPr="009232AD">
        <w:t xml:space="preserve"> </w:t>
      </w:r>
      <w:r w:rsidR="00BE6D8A" w:rsidRPr="009232AD">
        <w:t xml:space="preserve">On the other hand, it is possible that </w:t>
      </w:r>
      <w:r w:rsidR="004848DD">
        <w:rPr>
          <w:lang w:eastAsia="en-GB"/>
        </w:rPr>
        <w:t>organisation</w:t>
      </w:r>
      <w:r w:rsidR="00BE6D8A" w:rsidRPr="009232AD">
        <w:t xml:space="preserve">s make disclosures that are not consistent with the employees’ perceptions. A negative association would suggest an attempt of </w:t>
      </w:r>
      <w:r w:rsidR="004848DD">
        <w:rPr>
          <w:lang w:eastAsia="en-GB"/>
        </w:rPr>
        <w:t>organisation</w:t>
      </w:r>
      <w:r w:rsidR="002C6063" w:rsidRPr="009232AD">
        <w:t>s</w:t>
      </w:r>
      <w:r w:rsidR="00BE6D8A" w:rsidRPr="009232AD">
        <w:t xml:space="preserve">’ claim to emphasise the wellbeing of their employees but </w:t>
      </w:r>
      <w:r w:rsidRPr="009232AD">
        <w:t xml:space="preserve">a </w:t>
      </w:r>
      <w:r w:rsidR="00BE6D8A" w:rsidRPr="009232AD">
        <w:t>fail</w:t>
      </w:r>
      <w:r w:rsidRPr="009232AD">
        <w:t>ure</w:t>
      </w:r>
      <w:r w:rsidR="00BE6D8A" w:rsidRPr="009232AD">
        <w:t xml:space="preserve"> to implement such claims – we call this wellbeing washing. Given these two possible </w:t>
      </w:r>
      <w:r w:rsidRPr="009232AD">
        <w:t>scenarios</w:t>
      </w:r>
      <w:r w:rsidR="00BE6D8A" w:rsidRPr="009232AD">
        <w:t>, we state</w:t>
      </w:r>
      <w:r w:rsidR="00AE42D5">
        <w:t>d</w:t>
      </w:r>
      <w:r w:rsidR="00BE6D8A" w:rsidRPr="009232AD">
        <w:t xml:space="preserve"> our hypothesis in a</w:t>
      </w:r>
      <w:r w:rsidR="00FB1330" w:rsidRPr="009232AD">
        <w:t xml:space="preserve"> </w:t>
      </w:r>
      <w:r w:rsidR="00BE6D8A" w:rsidRPr="009232AD">
        <w:t>non-directional way, as follows:</w:t>
      </w:r>
    </w:p>
    <w:p w14:paraId="53ED421C" w14:textId="21E2F734" w:rsidR="002024F7" w:rsidRPr="00EC2BAA" w:rsidRDefault="004848DD" w:rsidP="00911105">
      <w:pPr>
        <w:jc w:val="both"/>
        <w:rPr>
          <w:i/>
          <w:iCs/>
        </w:rPr>
      </w:pPr>
      <w:r>
        <w:rPr>
          <w:i/>
          <w:iCs/>
        </w:rPr>
        <w:t>organisation</w:t>
      </w:r>
      <w:r w:rsidR="00BE6D8A" w:rsidRPr="00EC2BAA">
        <w:rPr>
          <w:i/>
          <w:iCs/>
        </w:rPr>
        <w:t xml:space="preserve">s’ disclosures on employee wellbeing in ESG reports are associated with employees’ disclosures on Glassdoor. </w:t>
      </w:r>
    </w:p>
    <w:p w14:paraId="5D6CFBFC" w14:textId="74255668" w:rsidR="00AE42D5" w:rsidRDefault="00AE42D5" w:rsidP="00911105">
      <w:pPr>
        <w:jc w:val="both"/>
      </w:pPr>
      <w:r>
        <w:t xml:space="preserve">Once we have established the existence of a misaligned wellbeing disclosure (wellbeing washing), we aimed to examine its effect on </w:t>
      </w:r>
      <w:r w:rsidR="002F7978">
        <w:t xml:space="preserve">the </w:t>
      </w:r>
      <w:r w:rsidR="004848DD">
        <w:t>organisation</w:t>
      </w:r>
      <w:r>
        <w:t>’s market value as captured by Tobin’s Q. We hypothesised that:</w:t>
      </w:r>
    </w:p>
    <w:p w14:paraId="1B53048C" w14:textId="6380C5CF" w:rsidR="00AE42D5" w:rsidRDefault="00AE42D5" w:rsidP="00911105">
      <w:pPr>
        <w:jc w:val="both"/>
      </w:pPr>
      <w:r>
        <w:rPr>
          <w:rFonts w:asciiTheme="majorBidi" w:hAnsiTheme="majorBidi" w:cstheme="majorBidi"/>
          <w:i/>
          <w:iCs/>
          <w:szCs w:val="24"/>
        </w:rPr>
        <w:t>Wellbeing washing would be associated with higher levels of Tobin’s Q.</w:t>
      </w:r>
    </w:p>
    <w:p w14:paraId="35C1DF81" w14:textId="18906F2A" w:rsidR="002F70A3" w:rsidRDefault="002F70A3" w:rsidP="00911105">
      <w:pPr>
        <w:jc w:val="both"/>
      </w:pPr>
      <w:r w:rsidRPr="009232AD">
        <w:t>We examine</w:t>
      </w:r>
      <w:r w:rsidR="00C42635">
        <w:t>d</w:t>
      </w:r>
      <w:r w:rsidRPr="009232AD">
        <w:t xml:space="preserve"> these associations using a multilevel model, panel</w:t>
      </w:r>
      <w:r w:rsidR="007A7FE5">
        <w:t xml:space="preserve"> </w:t>
      </w:r>
      <w:r w:rsidRPr="009232AD">
        <w:t>data, and then we discuss</w:t>
      </w:r>
      <w:r w:rsidR="00C42635">
        <w:t>ed</w:t>
      </w:r>
      <w:r w:rsidRPr="009232AD">
        <w:t xml:space="preserve"> the results and how they relate to theory and practice.</w:t>
      </w:r>
    </w:p>
    <w:p w14:paraId="71812972" w14:textId="77777777" w:rsidR="002024F7" w:rsidRPr="009232AD" w:rsidRDefault="002024F7" w:rsidP="00FA5E92">
      <w:pPr>
        <w:pStyle w:val="Heading1"/>
      </w:pPr>
      <w:r w:rsidRPr="009232AD">
        <w:t>Method</w:t>
      </w:r>
    </w:p>
    <w:p w14:paraId="107FB69E" w14:textId="0037688E" w:rsidR="00C1152F" w:rsidRPr="009232AD" w:rsidRDefault="00C1152F" w:rsidP="00FA5E92">
      <w:pPr>
        <w:pStyle w:val="Heading2"/>
        <w:rPr>
          <w:rFonts w:ascii="TimesNewRomanMTStd-Italic" w:hAnsi="TimesNewRomanMTStd-Italic" w:hint="eastAsia"/>
          <w:color w:val="000000"/>
        </w:rPr>
      </w:pPr>
      <w:r w:rsidRPr="009232AD">
        <w:t>Sample</w:t>
      </w:r>
      <w:r w:rsidR="00AC4334" w:rsidRPr="009232AD">
        <w:t xml:space="preserve"> and </w:t>
      </w:r>
      <w:r w:rsidR="00AC4334" w:rsidRPr="00FA5E92">
        <w:t>procedure</w:t>
      </w:r>
    </w:p>
    <w:p w14:paraId="623A0F79" w14:textId="757806CB" w:rsidR="008B486F" w:rsidRPr="00A269A1" w:rsidRDefault="008B486F" w:rsidP="00A269A1">
      <w:pPr>
        <w:jc w:val="both"/>
      </w:pPr>
      <w:r w:rsidRPr="009232AD">
        <w:t xml:space="preserve">The sample selected in this study is the S&amp;P 100 </w:t>
      </w:r>
      <w:r w:rsidR="004848DD">
        <w:rPr>
          <w:lang w:eastAsia="en-GB"/>
        </w:rPr>
        <w:t>organisation</w:t>
      </w:r>
      <w:r w:rsidR="00C227F4" w:rsidRPr="009232AD">
        <w:t>s</w:t>
      </w:r>
      <w:r w:rsidRPr="009232AD">
        <w:t xml:space="preserve"> from 2018 to 2022.</w:t>
      </w:r>
      <w:r w:rsidRPr="009232AD">
        <w:rPr>
          <w:shd w:val="clear" w:color="auto" w:fill="FFFFFF"/>
        </w:rPr>
        <w:t xml:space="preserve"> The S&amp;P 100 index is specifically constructed to evaluate the financial performance of prominent </w:t>
      </w:r>
      <w:r w:rsidR="00556371" w:rsidRPr="00556371">
        <w:rPr>
          <w:shd w:val="clear" w:color="auto" w:fill="FFFFFF"/>
        </w:rPr>
        <w:t>organisation</w:t>
      </w:r>
      <w:r w:rsidR="00556371">
        <w:rPr>
          <w:shd w:val="clear" w:color="auto" w:fill="FFFFFF"/>
        </w:rPr>
        <w:t>s</w:t>
      </w:r>
      <w:r w:rsidRPr="009232AD">
        <w:rPr>
          <w:shd w:val="clear" w:color="auto" w:fill="FFFFFF"/>
        </w:rPr>
        <w:t xml:space="preserve"> with substantial market capitalisation in the United States (S&amp;P Global, </w:t>
      </w:r>
      <w:proofErr w:type="spellStart"/>
      <w:r w:rsidRPr="009232AD">
        <w:rPr>
          <w:shd w:val="clear" w:color="auto" w:fill="FFFFFF"/>
        </w:rPr>
        <w:t>nd</w:t>
      </w:r>
      <w:proofErr w:type="spellEnd"/>
      <w:r w:rsidRPr="009232AD">
        <w:rPr>
          <w:shd w:val="clear" w:color="auto" w:fill="FFFFFF"/>
        </w:rPr>
        <w:t xml:space="preserve">). We initially aimed to collect 500 ESG reports. Nevertheless, not all </w:t>
      </w:r>
      <w:r w:rsidR="004848DD">
        <w:rPr>
          <w:lang w:eastAsia="en-GB"/>
        </w:rPr>
        <w:t>organisation</w:t>
      </w:r>
      <w:r w:rsidR="00C227F4" w:rsidRPr="009232AD">
        <w:t>s</w:t>
      </w:r>
      <w:r w:rsidR="00C227F4" w:rsidRPr="009232AD">
        <w:rPr>
          <w:shd w:val="clear" w:color="auto" w:fill="FFFFFF"/>
        </w:rPr>
        <w:t xml:space="preserve"> </w:t>
      </w:r>
      <w:r w:rsidRPr="009232AD">
        <w:rPr>
          <w:shd w:val="clear" w:color="auto" w:fill="FFFFFF"/>
        </w:rPr>
        <w:t>publish</w:t>
      </w:r>
      <w:r w:rsidR="00525FB4">
        <w:rPr>
          <w:shd w:val="clear" w:color="auto" w:fill="FFFFFF"/>
        </w:rPr>
        <w:t>ed</w:t>
      </w:r>
      <w:r w:rsidRPr="009232AD">
        <w:rPr>
          <w:shd w:val="clear" w:color="auto" w:fill="FFFFFF"/>
        </w:rPr>
        <w:t xml:space="preserve"> ESG reports every year, leading to a shortfall of 23 reports. Furthermore, five</w:t>
      </w:r>
      <w:r w:rsidR="00C227F4">
        <w:rPr>
          <w:shd w:val="clear" w:color="auto" w:fill="FFFFFF"/>
        </w:rPr>
        <w:t xml:space="preserve"> ESG</w:t>
      </w:r>
      <w:r w:rsidRPr="009232AD">
        <w:rPr>
          <w:shd w:val="clear" w:color="auto" w:fill="FFFFFF"/>
        </w:rPr>
        <w:t xml:space="preserve"> </w:t>
      </w:r>
      <w:r w:rsidR="003646DC">
        <w:rPr>
          <w:shd w:val="clear" w:color="auto" w:fill="FFFFFF"/>
        </w:rPr>
        <w:t>reports</w:t>
      </w:r>
      <w:r w:rsidRPr="009232AD">
        <w:rPr>
          <w:shd w:val="clear" w:color="auto" w:fill="FFFFFF"/>
        </w:rPr>
        <w:t xml:space="preserve"> </w:t>
      </w:r>
      <w:r w:rsidR="00525FB4">
        <w:rPr>
          <w:shd w:val="clear" w:color="auto" w:fill="FFFFFF"/>
        </w:rPr>
        <w:t>were</w:t>
      </w:r>
      <w:r w:rsidR="00525FB4" w:rsidRPr="009232AD">
        <w:rPr>
          <w:shd w:val="clear" w:color="auto" w:fill="FFFFFF"/>
        </w:rPr>
        <w:t xml:space="preserve"> </w:t>
      </w:r>
      <w:r w:rsidRPr="009232AD">
        <w:rPr>
          <w:shd w:val="clear" w:color="auto" w:fill="FFFFFF"/>
        </w:rPr>
        <w:lastRenderedPageBreak/>
        <w:t xml:space="preserve">available only on </w:t>
      </w:r>
      <w:r w:rsidR="004848DD">
        <w:rPr>
          <w:lang w:eastAsia="en-GB"/>
        </w:rPr>
        <w:t>organisation</w:t>
      </w:r>
      <w:r w:rsidR="003646DC" w:rsidRPr="009232AD">
        <w:t>s</w:t>
      </w:r>
      <w:r w:rsidRPr="009232AD">
        <w:rPr>
          <w:shd w:val="clear" w:color="auto" w:fill="FFFFFF"/>
        </w:rPr>
        <w:t xml:space="preserve">’ websites and </w:t>
      </w:r>
      <w:r w:rsidR="00525FB4">
        <w:rPr>
          <w:shd w:val="clear" w:color="auto" w:fill="FFFFFF"/>
        </w:rPr>
        <w:t>were</w:t>
      </w:r>
      <w:r w:rsidR="00525FB4" w:rsidRPr="009232AD">
        <w:rPr>
          <w:shd w:val="clear" w:color="auto" w:fill="FFFFFF"/>
        </w:rPr>
        <w:t xml:space="preserve"> </w:t>
      </w:r>
      <w:r w:rsidRPr="009232AD">
        <w:rPr>
          <w:shd w:val="clear" w:color="auto" w:fill="FFFFFF"/>
        </w:rPr>
        <w:t>not convertible to PDF format. We also encounter</w:t>
      </w:r>
      <w:r w:rsidR="008F4BCA" w:rsidRPr="009232AD">
        <w:rPr>
          <w:shd w:val="clear" w:color="auto" w:fill="FFFFFF"/>
        </w:rPr>
        <w:t>ed</w:t>
      </w:r>
      <w:r w:rsidRPr="009232AD">
        <w:rPr>
          <w:shd w:val="clear" w:color="auto" w:fill="FFFFFF"/>
        </w:rPr>
        <w:t xml:space="preserve"> four unparsed ESG reports; these reports might be scanned hard copies. This results in a final sample of 468 ESG reports. In collecting these reports, we use</w:t>
      </w:r>
      <w:r w:rsidR="00525FB4">
        <w:rPr>
          <w:shd w:val="clear" w:color="auto" w:fill="FFFFFF"/>
        </w:rPr>
        <w:t>d</w:t>
      </w:r>
      <w:r w:rsidRPr="009232AD">
        <w:rPr>
          <w:shd w:val="clear" w:color="auto" w:fill="FFFFFF"/>
        </w:rPr>
        <w:t xml:space="preserve"> different sources. Our primary step </w:t>
      </w:r>
      <w:r w:rsidR="00525FB4">
        <w:rPr>
          <w:shd w:val="clear" w:color="auto" w:fill="FFFFFF"/>
        </w:rPr>
        <w:t>was</w:t>
      </w:r>
      <w:r w:rsidR="00525FB4" w:rsidRPr="009232AD">
        <w:rPr>
          <w:shd w:val="clear" w:color="auto" w:fill="FFFFFF"/>
        </w:rPr>
        <w:t xml:space="preserve"> </w:t>
      </w:r>
      <w:r w:rsidRPr="009232AD">
        <w:rPr>
          <w:shd w:val="clear" w:color="auto" w:fill="FFFFFF"/>
        </w:rPr>
        <w:t xml:space="preserve">downloading publicly available ESG reports from each </w:t>
      </w:r>
      <w:r w:rsidR="004848DD">
        <w:rPr>
          <w:lang w:eastAsia="en-GB"/>
        </w:rPr>
        <w:t>organisation</w:t>
      </w:r>
      <w:r w:rsidR="00D26192">
        <w:rPr>
          <w:lang w:eastAsia="en-GB"/>
        </w:rPr>
        <w:t>’</w:t>
      </w:r>
      <w:r w:rsidR="00D26192" w:rsidRPr="009232AD">
        <w:t>s</w:t>
      </w:r>
      <w:r w:rsidRPr="009232AD">
        <w:rPr>
          <w:shd w:val="clear" w:color="auto" w:fill="FFFFFF"/>
        </w:rPr>
        <w:t xml:space="preserve"> website. We check</w:t>
      </w:r>
      <w:r w:rsidR="00525FB4">
        <w:rPr>
          <w:shd w:val="clear" w:color="auto" w:fill="FFFFFF"/>
        </w:rPr>
        <w:t>ed</w:t>
      </w:r>
      <w:r w:rsidRPr="009232AD">
        <w:rPr>
          <w:shd w:val="clear" w:color="auto" w:fill="FFFFFF"/>
        </w:rPr>
        <w:t xml:space="preserve"> the Responsibility Reports website if we </w:t>
      </w:r>
      <w:r w:rsidR="00525FB4">
        <w:rPr>
          <w:shd w:val="clear" w:color="auto" w:fill="FFFFFF"/>
        </w:rPr>
        <w:t>did not</w:t>
      </w:r>
      <w:r w:rsidR="00525FB4" w:rsidRPr="009232AD">
        <w:rPr>
          <w:shd w:val="clear" w:color="auto" w:fill="FFFFFF"/>
        </w:rPr>
        <w:t xml:space="preserve"> </w:t>
      </w:r>
      <w:r w:rsidRPr="009232AD">
        <w:rPr>
          <w:shd w:val="clear" w:color="auto" w:fill="FFFFFF"/>
        </w:rPr>
        <w:t xml:space="preserve">find a report on the </w:t>
      </w:r>
      <w:r w:rsidR="004848DD">
        <w:rPr>
          <w:lang w:eastAsia="en-GB"/>
        </w:rPr>
        <w:t>organisation</w:t>
      </w:r>
      <w:r w:rsidR="00D26192">
        <w:rPr>
          <w:lang w:eastAsia="en-GB"/>
        </w:rPr>
        <w:t>’</w:t>
      </w:r>
      <w:r w:rsidR="00D26192" w:rsidRPr="009232AD">
        <w:t>s</w:t>
      </w:r>
      <w:r w:rsidRPr="009232AD">
        <w:rPr>
          <w:shd w:val="clear" w:color="auto" w:fill="FFFFFF"/>
        </w:rPr>
        <w:t xml:space="preserve"> website</w:t>
      </w:r>
      <w:r w:rsidRPr="009232AD">
        <w:rPr>
          <w:rStyle w:val="FootnoteReference"/>
          <w:rFonts w:asciiTheme="majorBidi" w:hAnsiTheme="majorBidi"/>
          <w:spacing w:val="-5"/>
          <w:szCs w:val="24"/>
          <w:shd w:val="clear" w:color="auto" w:fill="FFFFFF"/>
        </w:rPr>
        <w:t xml:space="preserve"> </w:t>
      </w:r>
      <w:r w:rsidRPr="009232AD">
        <w:rPr>
          <w:rStyle w:val="FootnoteReference"/>
          <w:rFonts w:asciiTheme="majorBidi" w:hAnsiTheme="majorBidi"/>
          <w:spacing w:val="-5"/>
          <w:szCs w:val="24"/>
          <w:shd w:val="clear" w:color="auto" w:fill="FFFFFF"/>
        </w:rPr>
        <w:footnoteReference w:id="3"/>
      </w:r>
      <w:r w:rsidR="00525FB4" w:rsidRPr="00525FB4">
        <w:rPr>
          <w:rStyle w:val="FootnoteReference"/>
          <w:rFonts w:asciiTheme="majorBidi" w:hAnsiTheme="majorBidi"/>
          <w:spacing w:val="-5"/>
          <w:szCs w:val="24"/>
          <w:shd w:val="clear" w:color="auto" w:fill="FFFFFF"/>
          <w:vertAlign w:val="baseline"/>
        </w:rPr>
        <w:t>.</w:t>
      </w:r>
      <w:r w:rsidRPr="009232AD">
        <w:rPr>
          <w:shd w:val="clear" w:color="auto" w:fill="FFFFFF"/>
        </w:rPr>
        <w:t xml:space="preserve"> Lastly, we refe</w:t>
      </w:r>
      <w:r w:rsidR="00063ABF">
        <w:rPr>
          <w:shd w:val="clear" w:color="auto" w:fill="FFFFFF"/>
        </w:rPr>
        <w:t>r</w:t>
      </w:r>
      <w:r w:rsidRPr="009232AD">
        <w:rPr>
          <w:shd w:val="clear" w:color="auto" w:fill="FFFFFF"/>
        </w:rPr>
        <w:t>r</w:t>
      </w:r>
      <w:r w:rsidR="00525FB4">
        <w:rPr>
          <w:shd w:val="clear" w:color="auto" w:fill="FFFFFF"/>
        </w:rPr>
        <w:t>ed</w:t>
      </w:r>
      <w:r w:rsidRPr="009232AD">
        <w:rPr>
          <w:shd w:val="clear" w:color="auto" w:fill="FFFFFF"/>
        </w:rPr>
        <w:t xml:space="preserve"> to the Corporate Register database for missing reports.</w:t>
      </w:r>
      <w:r w:rsidRPr="009232AD">
        <w:rPr>
          <w:rStyle w:val="FootnoteReference"/>
          <w:rFonts w:asciiTheme="majorBidi" w:hAnsiTheme="majorBidi"/>
          <w:spacing w:val="-5"/>
          <w:szCs w:val="24"/>
          <w:shd w:val="clear" w:color="auto" w:fill="FFFFFF"/>
        </w:rPr>
        <w:t xml:space="preserve"> </w:t>
      </w:r>
      <w:r w:rsidRPr="009232AD">
        <w:rPr>
          <w:rStyle w:val="FootnoteReference"/>
          <w:rFonts w:asciiTheme="majorBidi" w:hAnsiTheme="majorBidi"/>
          <w:spacing w:val="-5"/>
          <w:szCs w:val="24"/>
          <w:shd w:val="clear" w:color="auto" w:fill="FFFFFF"/>
        </w:rPr>
        <w:footnoteReference w:id="4"/>
      </w:r>
    </w:p>
    <w:p w14:paraId="68708905" w14:textId="0FBE0B0A" w:rsidR="008B486F" w:rsidRPr="009232AD" w:rsidRDefault="008B486F" w:rsidP="003214B6">
      <w:pPr>
        <w:jc w:val="both"/>
      </w:pPr>
      <w:r w:rsidRPr="009232AD">
        <w:t>In our study, we supplement</w:t>
      </w:r>
      <w:r w:rsidR="00525FB4">
        <w:t>ed</w:t>
      </w:r>
      <w:r w:rsidRPr="009232AD">
        <w:t xml:space="preserve"> ESG report data with information from Glassdoor, where employees anonymously rate and comment about their employers. We gathered all employee ratings for the S&amp;P 100 </w:t>
      </w:r>
      <w:r w:rsidR="004848DD">
        <w:rPr>
          <w:lang w:eastAsia="en-GB"/>
        </w:rPr>
        <w:t>organisation</w:t>
      </w:r>
      <w:r w:rsidR="002473B9" w:rsidRPr="009232AD">
        <w:t>s</w:t>
      </w:r>
      <w:r w:rsidRPr="009232AD">
        <w:t xml:space="preserve"> from 2018 to 2022. This dataset </w:t>
      </w:r>
      <w:r w:rsidR="00525FB4" w:rsidRPr="009232AD">
        <w:t>include</w:t>
      </w:r>
      <w:r w:rsidR="00525FB4">
        <w:t>d</w:t>
      </w:r>
      <w:r w:rsidR="00525FB4" w:rsidRPr="009232AD">
        <w:t xml:space="preserve"> </w:t>
      </w:r>
      <w:r w:rsidRPr="009232AD">
        <w:t xml:space="preserve">ratings on various aspects: the </w:t>
      </w:r>
      <w:r w:rsidR="004848DD">
        <w:rPr>
          <w:lang w:eastAsia="en-GB"/>
        </w:rPr>
        <w:t>organisation</w:t>
      </w:r>
      <w:r w:rsidR="002473B9">
        <w:rPr>
          <w:lang w:eastAsia="en-GB"/>
        </w:rPr>
        <w:t>’</w:t>
      </w:r>
      <w:r w:rsidR="002473B9" w:rsidRPr="009232AD">
        <w:t>s</w:t>
      </w:r>
      <w:r w:rsidRPr="009232AD">
        <w:t xml:space="preserve"> overall rating, culture and values, work-life balance, senior management, compensation and benefits, and career opportunities. Additionally, it </w:t>
      </w:r>
      <w:r w:rsidR="00525FB4" w:rsidRPr="009232AD">
        <w:t>encompasse</w:t>
      </w:r>
      <w:r w:rsidR="00525FB4">
        <w:t>d</w:t>
      </w:r>
      <w:r w:rsidR="00525FB4" w:rsidRPr="009232AD">
        <w:t xml:space="preserve"> </w:t>
      </w:r>
      <w:r w:rsidRPr="009232AD">
        <w:t xml:space="preserve">data on whether employees would recommend their workplace, approve of the CEO, and their view on the business outlook. Initially, we had 807,671 employee reviews for the S&amp;P 100 from 2018 to 2022. </w:t>
      </w:r>
      <w:r w:rsidR="008315C0" w:rsidRPr="009232AD">
        <w:t>W</w:t>
      </w:r>
      <w:r w:rsidRPr="009232AD">
        <w:t>e exclude</w:t>
      </w:r>
      <w:r w:rsidR="00525FB4">
        <w:t>d</w:t>
      </w:r>
      <w:r w:rsidRPr="009232AD">
        <w:t xml:space="preserve"> reviews from years corresponding to missing ESG reports, as these could not be linked to their respective ESG data. To submit a review, an employee must rate the </w:t>
      </w:r>
      <w:r w:rsidR="007B30A6" w:rsidRPr="007B30A6">
        <w:t>organisation</w:t>
      </w:r>
      <w:r w:rsidRPr="009232AD">
        <w:t xml:space="preserve"> overall </w:t>
      </w:r>
      <w:r w:rsidR="008315C0" w:rsidRPr="009232AD">
        <w:t xml:space="preserve">but does </w:t>
      </w:r>
      <w:r w:rsidRPr="009232AD">
        <w:t xml:space="preserve">not </w:t>
      </w:r>
      <w:r w:rsidR="008315C0" w:rsidRPr="009232AD">
        <w:t>have to submit any</w:t>
      </w:r>
      <w:r w:rsidRPr="009232AD">
        <w:t xml:space="preserve"> sub-rating. </w:t>
      </w:r>
      <w:r w:rsidR="008315C0" w:rsidRPr="009232AD">
        <w:t>W</w:t>
      </w:r>
      <w:r w:rsidRPr="009232AD">
        <w:t>e notice</w:t>
      </w:r>
      <w:r w:rsidR="009626D0" w:rsidRPr="009232AD">
        <w:t>d</w:t>
      </w:r>
      <w:r w:rsidRPr="009232AD">
        <w:t xml:space="preserve"> that 222,887 reviews lacked one or more sub-ratings. So, to avoid inconsistent numbers in our sample, we exclude</w:t>
      </w:r>
      <w:r w:rsidR="009626D0" w:rsidRPr="009232AD">
        <w:t>d</w:t>
      </w:r>
      <w:r w:rsidRPr="009232AD">
        <w:t xml:space="preserve"> incomplete reviews. Focusing on complete reviews ensures that the data reflects employees' comprehensive and deliberate assessments of their workplace. Following other scholars who conducted studies on Glassdoor reviews, we exclude</w:t>
      </w:r>
      <w:r w:rsidR="00E43754" w:rsidRPr="009232AD">
        <w:t>d</w:t>
      </w:r>
      <w:r w:rsidRPr="009232AD">
        <w:t xml:space="preserve"> former </w:t>
      </w:r>
      <w:r w:rsidRPr="009232AD">
        <w:lastRenderedPageBreak/>
        <w:t xml:space="preserve">employees’ reviews </w:t>
      </w:r>
      <w:r w:rsidRPr="009232AD">
        <w:rPr>
          <w:shd w:val="clear" w:color="auto" w:fill="FFFFFF"/>
        </w:rPr>
        <w:t>(</w:t>
      </w:r>
      <w:r w:rsidR="00381D3C" w:rsidRPr="009232AD">
        <w:t xml:space="preserve">Hales, </w:t>
      </w:r>
      <w:r w:rsidR="00381D3C" w:rsidRPr="009232AD">
        <w:rPr>
          <w:shd w:val="clear" w:color="auto" w:fill="FFFFFF"/>
        </w:rPr>
        <w:t>Moon and Swenson</w:t>
      </w:r>
      <w:r w:rsidRPr="009232AD">
        <w:rPr>
          <w:shd w:val="clear" w:color="auto" w:fill="FFFFFF"/>
        </w:rPr>
        <w:t xml:space="preserve">, 2018; </w:t>
      </w:r>
      <w:r w:rsidRPr="009232AD">
        <w:t>Jing et al., 2019; Kim and Ra, 2022) as our main analysis. Finally, we dro</w:t>
      </w:r>
      <w:r w:rsidR="009D2738" w:rsidRPr="009232AD">
        <w:t>p</w:t>
      </w:r>
      <w:r w:rsidRPr="009232AD">
        <w:t>p</w:t>
      </w:r>
      <w:r w:rsidR="00E43754" w:rsidRPr="009232AD">
        <w:t xml:space="preserve">ed </w:t>
      </w:r>
      <w:r w:rsidRPr="009232AD">
        <w:t>observations with data missing control variables</w:t>
      </w:r>
      <w:r w:rsidR="00914DFB">
        <w:t>.</w:t>
      </w:r>
    </w:p>
    <w:p w14:paraId="206B011C" w14:textId="745E9E64" w:rsidR="008B486F" w:rsidRPr="009232AD" w:rsidRDefault="00B71828" w:rsidP="00FA5E92">
      <w:pPr>
        <w:pStyle w:val="Heading2"/>
      </w:pPr>
      <w:r w:rsidRPr="009232AD">
        <w:t>Measures</w:t>
      </w:r>
    </w:p>
    <w:p w14:paraId="33F33A89" w14:textId="6C02CA0A" w:rsidR="003C5D74" w:rsidRPr="009232AD" w:rsidRDefault="0085476F" w:rsidP="00FA5E92">
      <w:pPr>
        <w:pStyle w:val="Heading3"/>
        <w:rPr>
          <w:rFonts w:ascii="TimesNewRomanMTStd-Italic" w:hAnsi="TimesNewRomanMTStd-Italic" w:hint="eastAsia"/>
          <w:color w:val="000000"/>
          <w:szCs w:val="24"/>
        </w:rPr>
      </w:pPr>
      <w:r w:rsidRPr="009232AD">
        <w:t>Dictionary Construction</w:t>
      </w:r>
      <w:r w:rsidR="00DE3FE9" w:rsidRPr="009232AD">
        <w:t xml:space="preserve"> (</w:t>
      </w:r>
      <w:r w:rsidR="004848DD">
        <w:rPr>
          <w:lang w:eastAsia="en-GB"/>
        </w:rPr>
        <w:t>Organisation</w:t>
      </w:r>
      <w:r w:rsidR="0047268D" w:rsidRPr="009232AD">
        <w:t>s</w:t>
      </w:r>
      <w:r w:rsidR="00DE3FE9" w:rsidRPr="009232AD">
        <w:t>’ Wellbeing Disclosure)</w:t>
      </w:r>
    </w:p>
    <w:p w14:paraId="13A9012F" w14:textId="7358FAA2" w:rsidR="00381C0D" w:rsidRPr="009232AD" w:rsidRDefault="00381C0D" w:rsidP="002717EC">
      <w:pPr>
        <w:jc w:val="both"/>
      </w:pPr>
      <w:r w:rsidRPr="009232AD">
        <w:t xml:space="preserve">The main purpose of this dictionary is to proxy for wellbeing disclosure by identifying the frequency of terms related to wellbeing in ESG reports. This measure indicates the level of disclosure these </w:t>
      </w:r>
      <w:r w:rsidR="00556371" w:rsidRPr="00556371">
        <w:t>organisation</w:t>
      </w:r>
      <w:r w:rsidRPr="009232AD">
        <w:t xml:space="preserve">s exhibit on the wellbeing of their employees. The development of </w:t>
      </w:r>
      <w:r w:rsidR="00525FB4" w:rsidRPr="009232AD">
        <w:t>this</w:t>
      </w:r>
      <w:r w:rsidR="00525FB4">
        <w:t xml:space="preserve"> </w:t>
      </w:r>
      <w:r w:rsidRPr="009232AD">
        <w:t>dictionary on wellbeing is based on a comprehensive range of credible sources. Initially, we extract</w:t>
      </w:r>
      <w:r w:rsidR="00B94E1E" w:rsidRPr="009232AD">
        <w:t>ed</w:t>
      </w:r>
      <w:r w:rsidRPr="009232AD">
        <w:t xml:space="preserve"> relevant terms from </w:t>
      </w:r>
      <w:r w:rsidR="00525FB4">
        <w:t>established</w:t>
      </w:r>
      <w:r w:rsidR="00525FB4" w:rsidRPr="009232AD">
        <w:t xml:space="preserve"> </w:t>
      </w:r>
      <w:r w:rsidRPr="009232AD">
        <w:t>theories in the field of wellbeing (</w:t>
      </w:r>
      <w:r w:rsidR="00525FB4">
        <w:t xml:space="preserve">e.g., </w:t>
      </w:r>
      <w:r w:rsidRPr="009232AD">
        <w:t xml:space="preserve">Karasek Jr, 1979; Siegrist, 1996; Demerouti et al., 2001; </w:t>
      </w:r>
      <w:proofErr w:type="spellStart"/>
      <w:r w:rsidRPr="009232AD">
        <w:t>Ashkanasy</w:t>
      </w:r>
      <w:proofErr w:type="spellEnd"/>
      <w:r w:rsidRPr="009232AD">
        <w:t xml:space="preserve"> and Daus, 2002</w:t>
      </w:r>
      <w:r w:rsidR="00525FB4" w:rsidRPr="009232AD">
        <w:t>).</w:t>
      </w:r>
      <w:r w:rsidR="00525FB4">
        <w:t xml:space="preserve"> </w:t>
      </w:r>
      <w:r w:rsidRPr="009232AD">
        <w:t>Next</w:t>
      </w:r>
      <w:r w:rsidR="00525FB4" w:rsidRPr="009232AD">
        <w:t>,</w:t>
      </w:r>
      <w:r w:rsidR="00525FB4">
        <w:t xml:space="preserve"> </w:t>
      </w:r>
      <w:r w:rsidRPr="009232AD">
        <w:t>we integrate</w:t>
      </w:r>
      <w:r w:rsidR="00B94E1E" w:rsidRPr="009232AD">
        <w:t>d</w:t>
      </w:r>
      <w:r w:rsidRPr="009232AD">
        <w:t xml:space="preserve"> terminology identified in systematic reviews that examine</w:t>
      </w:r>
      <w:r w:rsidR="00B94E1E" w:rsidRPr="009232AD">
        <w:t>d</w:t>
      </w:r>
      <w:r w:rsidRPr="009232AD">
        <w:t xml:space="preserve"> interventions </w:t>
      </w:r>
      <w:r w:rsidR="00525FB4">
        <w:t xml:space="preserve">and programmes </w:t>
      </w:r>
      <w:r w:rsidRPr="009232AD">
        <w:t xml:space="preserve">designed to improve </w:t>
      </w:r>
      <w:r w:rsidR="00525FB4">
        <w:t xml:space="preserve">employees’ </w:t>
      </w:r>
      <w:r w:rsidRPr="009232AD">
        <w:t>wellbeing</w:t>
      </w:r>
      <w:r w:rsidRPr="009232AD" w:rsidDel="00E857E4">
        <w:t xml:space="preserve"> </w:t>
      </w:r>
      <w:r w:rsidRPr="009232AD">
        <w:t>(</w:t>
      </w:r>
      <w:r w:rsidR="00525FB4">
        <w:t xml:space="preserve">e.g., </w:t>
      </w:r>
      <w:r w:rsidRPr="009232AD">
        <w:t>Daniels</w:t>
      </w:r>
      <w:r w:rsidR="00A17A50" w:rsidRPr="009232AD">
        <w:t>,</w:t>
      </w:r>
      <w:r w:rsidRPr="009232AD">
        <w:t xml:space="preserve"> </w:t>
      </w:r>
      <w:r w:rsidR="00A17A50" w:rsidRPr="009232AD">
        <w:t xml:space="preserve">Watson and </w:t>
      </w:r>
      <w:proofErr w:type="spellStart"/>
      <w:r w:rsidR="00A17A50" w:rsidRPr="009232AD">
        <w:t>Gedikli</w:t>
      </w:r>
      <w:proofErr w:type="spellEnd"/>
      <w:r w:rsidR="00A17A50" w:rsidRPr="009232AD">
        <w:t xml:space="preserve">, </w:t>
      </w:r>
      <w:r w:rsidRPr="009232AD">
        <w:t xml:space="preserve">2017; </w:t>
      </w:r>
      <w:proofErr w:type="spellStart"/>
      <w:r w:rsidRPr="009232AD">
        <w:t>Rojatz</w:t>
      </w:r>
      <w:proofErr w:type="spellEnd"/>
      <w:r w:rsidR="00F40F96" w:rsidRPr="009232AD">
        <w:t>,</w:t>
      </w:r>
      <w:r w:rsidRPr="009232AD">
        <w:t xml:space="preserve"> </w:t>
      </w:r>
      <w:r w:rsidR="00F40F96" w:rsidRPr="009232AD">
        <w:t xml:space="preserve">Merchant and Nitsch, </w:t>
      </w:r>
      <w:r w:rsidRPr="009232AD">
        <w:t>2017; Watson et al., 2018; Eby et al., 2019; Daniels et al., 2021; Kletter</w:t>
      </w:r>
      <w:r w:rsidR="00E770AE" w:rsidRPr="009232AD">
        <w:t>,</w:t>
      </w:r>
      <w:r w:rsidRPr="009232AD">
        <w:t xml:space="preserve"> </w:t>
      </w:r>
      <w:r w:rsidR="00E770AE" w:rsidRPr="009232AD">
        <w:t>Harris</w:t>
      </w:r>
      <w:r w:rsidR="00551682" w:rsidRPr="009232AD">
        <w:t xml:space="preserve"> </w:t>
      </w:r>
      <w:r w:rsidR="00E770AE" w:rsidRPr="009232AD">
        <w:t>and Brown</w:t>
      </w:r>
      <w:r w:rsidR="00551682" w:rsidRPr="009232AD">
        <w:t>,</w:t>
      </w:r>
      <w:r w:rsidR="00E770AE" w:rsidRPr="009232AD">
        <w:t xml:space="preserve"> </w:t>
      </w:r>
      <w:r w:rsidRPr="009232AD">
        <w:t xml:space="preserve">2021). Keywords related to diversity, equity, and inclusion </w:t>
      </w:r>
      <w:r w:rsidR="00525FB4">
        <w:t>were also</w:t>
      </w:r>
      <w:r w:rsidR="00525FB4" w:rsidRPr="009232AD">
        <w:t xml:space="preserve"> </w:t>
      </w:r>
      <w:r w:rsidRPr="009232AD">
        <w:t>sourced from research by Goldman and Zhang (2022). Additionally, we incorporated the key dimensions of wellbeing as outlined by the Organisation for Economic Co-operation and Development (OECD, 2020). Finally, we propose</w:t>
      </w:r>
      <w:r w:rsidR="0070770B" w:rsidRPr="009232AD">
        <w:t xml:space="preserve">d </w:t>
      </w:r>
      <w:r w:rsidRPr="009232AD">
        <w:t>synonym terms drawn from the acquired sources to introduce variety to the vocabulary used</w:t>
      </w:r>
      <w:r w:rsidR="008F2652">
        <w:t>.</w:t>
      </w:r>
    </w:p>
    <w:p w14:paraId="559F3446" w14:textId="4B71E141" w:rsidR="00381C0D" w:rsidRPr="009232AD" w:rsidRDefault="00381C0D" w:rsidP="002717EC">
      <w:pPr>
        <w:jc w:val="both"/>
      </w:pPr>
      <w:r w:rsidRPr="009232AD">
        <w:t xml:space="preserve">Once all the relevant terms </w:t>
      </w:r>
      <w:r w:rsidR="000E2375" w:rsidRPr="009232AD">
        <w:t>were</w:t>
      </w:r>
      <w:r w:rsidRPr="009232AD">
        <w:t xml:space="preserve"> compiled, we organise</w:t>
      </w:r>
      <w:r w:rsidR="0070770B" w:rsidRPr="009232AD">
        <w:t>d</w:t>
      </w:r>
      <w:r w:rsidRPr="009232AD">
        <w:t xml:space="preserve"> them into appropriate </w:t>
      </w:r>
      <w:r w:rsidR="00525FB4" w:rsidRPr="009232AD">
        <w:t>categories</w:t>
      </w:r>
      <w:r w:rsidR="00525FB4">
        <w:t xml:space="preserve"> </w:t>
      </w:r>
      <w:r w:rsidRPr="009232AD">
        <w:t>associated with the concept of wellbeing</w:t>
      </w:r>
      <w:r w:rsidR="00525FB4">
        <w:t xml:space="preserve"> in organisations and their key associated factors</w:t>
      </w:r>
      <w:r w:rsidRPr="009232AD">
        <w:t xml:space="preserve">. These wellbeing categories </w:t>
      </w:r>
      <w:r w:rsidR="00525FB4">
        <w:t>were</w:t>
      </w:r>
      <w:r w:rsidR="00525FB4" w:rsidRPr="009232AD">
        <w:t xml:space="preserve"> </w:t>
      </w:r>
      <w:r w:rsidRPr="009232AD">
        <w:t xml:space="preserve">also derived from the same sources utilised for constructing the list of terms. </w:t>
      </w:r>
      <w:r w:rsidR="00620DDD" w:rsidRPr="009232AD">
        <w:t>The f</w:t>
      </w:r>
      <w:r w:rsidRPr="009232AD">
        <w:t xml:space="preserve">ive categories </w:t>
      </w:r>
      <w:r w:rsidR="00525FB4">
        <w:t>were</w:t>
      </w:r>
      <w:r w:rsidR="00620DDD" w:rsidRPr="009232AD">
        <w:t>:</w:t>
      </w:r>
      <w:r w:rsidRPr="009232AD">
        <w:t xml:space="preserve"> </w:t>
      </w:r>
      <w:r w:rsidR="00620DDD" w:rsidRPr="009232AD">
        <w:t>(</w:t>
      </w:r>
      <w:proofErr w:type="spellStart"/>
      <w:r w:rsidR="00620DDD" w:rsidRPr="009232AD">
        <w:t>i</w:t>
      </w:r>
      <w:proofErr w:type="spellEnd"/>
      <w:r w:rsidR="00620DDD" w:rsidRPr="009232AD">
        <w:t xml:space="preserve">) </w:t>
      </w:r>
      <w:r w:rsidRPr="009232AD">
        <w:t>D</w:t>
      </w:r>
      <w:r w:rsidR="0019235D" w:rsidRPr="009232AD">
        <w:t xml:space="preserve">iversity, </w:t>
      </w:r>
      <w:r w:rsidRPr="009232AD">
        <w:t>E</w:t>
      </w:r>
      <w:r w:rsidR="0019235D" w:rsidRPr="009232AD">
        <w:t xml:space="preserve">quity and </w:t>
      </w:r>
      <w:r w:rsidR="00E01137">
        <w:t>I</w:t>
      </w:r>
      <w:r w:rsidR="0019235D" w:rsidRPr="009232AD">
        <w:t>nclusion</w:t>
      </w:r>
      <w:r w:rsidRPr="00FA5E92">
        <w:t xml:space="preserve">, </w:t>
      </w:r>
      <w:r w:rsidR="00620DDD" w:rsidRPr="00FA5E92">
        <w:t xml:space="preserve">(ii) </w:t>
      </w:r>
      <w:r w:rsidRPr="00525FB4">
        <w:t>H</w:t>
      </w:r>
      <w:r w:rsidR="0019235D" w:rsidRPr="00525FB4">
        <w:t xml:space="preserve">uman </w:t>
      </w:r>
      <w:r w:rsidRPr="00525FB4">
        <w:t>R</w:t>
      </w:r>
      <w:r w:rsidR="0019235D" w:rsidRPr="00525FB4">
        <w:t xml:space="preserve">esource </w:t>
      </w:r>
      <w:r w:rsidRPr="00525FB4">
        <w:t>M</w:t>
      </w:r>
      <w:r w:rsidR="0019235D" w:rsidRPr="00525FB4">
        <w:t>anagement</w:t>
      </w:r>
      <w:r w:rsidRPr="00525FB4">
        <w:t xml:space="preserve"> Practices and Wellbeing Initiatives</w:t>
      </w:r>
      <w:r w:rsidRPr="00FA5E92">
        <w:t xml:space="preserve">, </w:t>
      </w:r>
      <w:r w:rsidR="00620DDD" w:rsidRPr="00FA5E92">
        <w:t xml:space="preserve">(iii) </w:t>
      </w:r>
      <w:r w:rsidRPr="00525FB4">
        <w:t>Mental Health and Associated Indicators</w:t>
      </w:r>
      <w:r w:rsidRPr="00FA5E92">
        <w:t xml:space="preserve">, </w:t>
      </w:r>
      <w:r w:rsidR="00620DDD" w:rsidRPr="00FA5E92">
        <w:t xml:space="preserve">(iv) </w:t>
      </w:r>
      <w:r w:rsidRPr="00525FB4">
        <w:t>Resources</w:t>
      </w:r>
      <w:r w:rsidR="00A445A1">
        <w:t>,</w:t>
      </w:r>
      <w:r w:rsidRPr="00FA5E92">
        <w:t xml:space="preserve"> </w:t>
      </w:r>
      <w:r w:rsidRPr="00525FB4">
        <w:t xml:space="preserve">and </w:t>
      </w:r>
      <w:r w:rsidR="00620DDD" w:rsidRPr="00525FB4">
        <w:t xml:space="preserve">(v) </w:t>
      </w:r>
      <w:r w:rsidRPr="00525FB4">
        <w:t>Job/occupat</w:t>
      </w:r>
      <w:r w:rsidRPr="009232AD">
        <w:t xml:space="preserve">ional risk factors. We described them </w:t>
      </w:r>
      <w:r w:rsidRPr="009232AD">
        <w:lastRenderedPageBreak/>
        <w:t>in</w:t>
      </w:r>
      <w:r w:rsidR="00A445A1">
        <w:t xml:space="preserve"> Appendix 1 in the</w:t>
      </w:r>
      <w:r w:rsidR="00C03FA7" w:rsidRPr="009232AD">
        <w:t xml:space="preserve"> online </w:t>
      </w:r>
      <w:r w:rsidR="00A445A1">
        <w:t>a</w:t>
      </w:r>
      <w:r w:rsidRPr="009232AD">
        <w:t xml:space="preserve">ppendix. Each category </w:t>
      </w:r>
      <w:r w:rsidR="00525FB4">
        <w:t>was</w:t>
      </w:r>
      <w:r w:rsidR="00525FB4" w:rsidRPr="009232AD">
        <w:t xml:space="preserve"> </w:t>
      </w:r>
      <w:r w:rsidRPr="009232AD">
        <w:t>clearly and precisely defined to aid the appropriate classification of terms</w:t>
      </w:r>
      <w:r w:rsidR="0049425C">
        <w:t xml:space="preserve"> (see Appendix 1 for variables definitions)</w:t>
      </w:r>
      <w:r w:rsidRPr="009232AD">
        <w:t>.</w:t>
      </w:r>
      <w:r w:rsidRPr="009232AD">
        <w:rPr>
          <w:rStyle w:val="FootnoteReference"/>
          <w:rFonts w:asciiTheme="majorBidi" w:hAnsiTheme="majorBidi"/>
          <w:szCs w:val="24"/>
        </w:rPr>
        <w:footnoteReference w:id="5"/>
      </w:r>
      <w:r w:rsidRPr="009232AD">
        <w:t xml:space="preserve"> </w:t>
      </w:r>
    </w:p>
    <w:p w14:paraId="6CE8A134" w14:textId="11D6C3D4" w:rsidR="0085476F" w:rsidRPr="009232AD" w:rsidRDefault="00DA1485" w:rsidP="00FA5E92">
      <w:pPr>
        <w:pStyle w:val="Heading3"/>
      </w:pPr>
      <w:r w:rsidRPr="009232AD">
        <w:t xml:space="preserve">Glassdoor </w:t>
      </w:r>
      <w:r w:rsidR="00B8648F" w:rsidRPr="009232AD">
        <w:t xml:space="preserve">Data (Employees’ </w:t>
      </w:r>
      <w:r w:rsidR="000F2652" w:rsidRPr="009232AD">
        <w:t>Wellbeing</w:t>
      </w:r>
      <w:r w:rsidR="00B8648F" w:rsidRPr="009232AD">
        <w:t>)</w:t>
      </w:r>
    </w:p>
    <w:p w14:paraId="52DBFFC8" w14:textId="29DCDDA5" w:rsidR="00DA1485" w:rsidRDefault="00DA1485" w:rsidP="007C5F0E">
      <w:pPr>
        <w:jc w:val="both"/>
        <w:rPr>
          <w:rFonts w:asciiTheme="majorBidi" w:hAnsiTheme="majorBidi" w:cstheme="majorBidi"/>
        </w:rPr>
      </w:pPr>
      <w:r w:rsidRPr="009232AD">
        <w:t>We use</w:t>
      </w:r>
      <w:r w:rsidR="00722825" w:rsidRPr="009232AD">
        <w:t>d</w:t>
      </w:r>
      <w:r w:rsidRPr="009232AD">
        <w:t xml:space="preserve"> Glassdoor ratings as a proxy for employees’ wellbeing, following other studies that use</w:t>
      </w:r>
      <w:r w:rsidR="00722825" w:rsidRPr="009232AD">
        <w:t>d</w:t>
      </w:r>
      <w:r w:rsidRPr="009232AD">
        <w:t xml:space="preserve"> Glassdoor data as a proxy for employee satisfaction (Hales</w:t>
      </w:r>
      <w:r w:rsidR="00E73C4D" w:rsidRPr="009232AD">
        <w:t xml:space="preserve">, </w:t>
      </w:r>
      <w:r w:rsidR="00E73C4D" w:rsidRPr="009232AD">
        <w:rPr>
          <w:rFonts w:asciiTheme="majorBidi" w:hAnsiTheme="majorBidi" w:cstheme="majorBidi"/>
          <w:shd w:val="clear" w:color="auto" w:fill="FFFFFF"/>
        </w:rPr>
        <w:t xml:space="preserve">Moon and Swenson, </w:t>
      </w:r>
      <w:r w:rsidRPr="009232AD">
        <w:t xml:space="preserve">2018; Lee et al., 2021; Mayew and Zhang, 2022; Kim and Ra, 2022). </w:t>
      </w:r>
      <w:r w:rsidRPr="009232AD" w:rsidDel="00B822D9">
        <w:rPr>
          <w:shd w:val="clear" w:color="auto" w:fill="FFFFFF"/>
        </w:rPr>
        <w:t>Glassdoor is an online platform that allows employees to rate their employer anonymously.</w:t>
      </w:r>
      <w:r w:rsidR="00FB0884" w:rsidRPr="009232AD">
        <w:rPr>
          <w:shd w:val="clear" w:color="auto" w:fill="FFFFFF"/>
        </w:rPr>
        <w:t xml:space="preserve"> </w:t>
      </w:r>
      <w:r w:rsidR="00FB0884" w:rsidRPr="009232AD">
        <w:rPr>
          <w:rFonts w:asciiTheme="majorBidi" w:hAnsiTheme="majorBidi" w:cstheme="majorBidi"/>
        </w:rPr>
        <w:t xml:space="preserve">We analysed six metrics from Glassdoor employee ratings: overall </w:t>
      </w:r>
      <w:r w:rsidR="004848DD">
        <w:t>organisation</w:t>
      </w:r>
      <w:r w:rsidR="00FB0884" w:rsidRPr="009232AD">
        <w:rPr>
          <w:rFonts w:asciiTheme="majorBidi" w:hAnsiTheme="majorBidi" w:cstheme="majorBidi"/>
        </w:rPr>
        <w:t xml:space="preserve"> rating, culture and values, work-life balance, senior management, compensation and benefits, and career opportunities</w:t>
      </w:r>
      <w:r w:rsidR="006D0479" w:rsidRPr="009232AD">
        <w:rPr>
          <w:rFonts w:asciiTheme="majorBidi" w:hAnsiTheme="majorBidi" w:cstheme="majorBidi"/>
        </w:rPr>
        <w:t>.</w:t>
      </w:r>
      <w:r w:rsidR="00743A7C">
        <w:rPr>
          <w:rFonts w:asciiTheme="majorBidi" w:hAnsiTheme="majorBidi" w:cstheme="majorBidi"/>
        </w:rPr>
        <w:t xml:space="preserve"> </w:t>
      </w:r>
      <w:r w:rsidR="00313770">
        <w:rPr>
          <w:rFonts w:asciiTheme="majorBidi" w:hAnsiTheme="majorBidi" w:cstheme="majorBidi"/>
        </w:rPr>
        <w:t>A</w:t>
      </w:r>
      <w:r w:rsidR="00743A7C" w:rsidRPr="00743A7C">
        <w:rPr>
          <w:rFonts w:asciiTheme="majorBidi" w:hAnsiTheme="majorBidi" w:cstheme="majorBidi"/>
        </w:rPr>
        <w:t xml:space="preserve">ppendix 2 </w:t>
      </w:r>
      <w:r w:rsidR="00743A7C">
        <w:rPr>
          <w:rFonts w:asciiTheme="majorBidi" w:hAnsiTheme="majorBidi" w:cstheme="majorBidi"/>
        </w:rPr>
        <w:t xml:space="preserve"> in the online appendix, </w:t>
      </w:r>
      <w:r w:rsidR="00743A7C" w:rsidRPr="00743A7C">
        <w:rPr>
          <w:rFonts w:asciiTheme="majorBidi" w:hAnsiTheme="majorBidi" w:cstheme="majorBidi"/>
        </w:rPr>
        <w:t>provides a screenshot from Glassdoor.com for Amazon.com, Inc., as an example, showing how these ratings</w:t>
      </w:r>
      <w:r w:rsidR="00743A7C">
        <w:rPr>
          <w:rFonts w:asciiTheme="majorBidi" w:hAnsiTheme="majorBidi" w:cstheme="majorBidi"/>
        </w:rPr>
        <w:t xml:space="preserve"> </w:t>
      </w:r>
      <w:r w:rsidR="00743A7C" w:rsidRPr="00743A7C">
        <w:rPr>
          <w:rFonts w:asciiTheme="majorBidi" w:hAnsiTheme="majorBidi" w:cstheme="majorBidi"/>
        </w:rPr>
        <w:t>appear in practice.</w:t>
      </w:r>
    </w:p>
    <w:p w14:paraId="4FE861E8" w14:textId="53E0F1EE" w:rsidR="005D6E92" w:rsidRPr="00FA5E92" w:rsidRDefault="00F2448B" w:rsidP="00FA5E92">
      <w:pPr>
        <w:ind w:firstLine="0"/>
        <w:rPr>
          <w:rFonts w:asciiTheme="majorBidi" w:hAnsiTheme="majorBidi" w:cstheme="majorBidi"/>
          <w:b/>
          <w:bCs/>
          <w:i/>
          <w:iCs/>
        </w:rPr>
      </w:pPr>
      <w:r w:rsidRPr="00FA5E92">
        <w:rPr>
          <w:rFonts w:asciiTheme="majorBidi" w:hAnsiTheme="majorBidi" w:cstheme="majorBidi"/>
          <w:b/>
          <w:bCs/>
          <w:i/>
          <w:iCs/>
        </w:rPr>
        <w:t xml:space="preserve">Control Variables </w:t>
      </w:r>
    </w:p>
    <w:p w14:paraId="17F68FD7" w14:textId="7CBA7C33" w:rsidR="00C413DC" w:rsidRDefault="009A51DC" w:rsidP="0017599B">
      <w:pPr>
        <w:jc w:val="both"/>
      </w:pPr>
      <w:r>
        <w:t xml:space="preserve">The data </w:t>
      </w:r>
      <w:r w:rsidR="005C08BF">
        <w:t xml:space="preserve">we used in this study spans from 2018 to 2022. </w:t>
      </w:r>
      <w:r w:rsidR="00C413DC" w:rsidRPr="009232AD">
        <w:t xml:space="preserve">In all models, we incorporated multiple controls that </w:t>
      </w:r>
      <w:r w:rsidR="00C413DC">
        <w:t>had</w:t>
      </w:r>
      <w:r w:rsidR="00C413DC" w:rsidRPr="009232AD">
        <w:t xml:space="preserve"> the potential to influence the dependent variable. </w:t>
      </w:r>
      <w:r w:rsidR="00C413DC" w:rsidRPr="00FA5E92">
        <w:t>Cash</w:t>
      </w:r>
      <w:r w:rsidR="00C413DC" w:rsidRPr="009232AD">
        <w:rPr>
          <w:i/>
          <w:iCs/>
        </w:rPr>
        <w:t xml:space="preserve"> </w:t>
      </w:r>
      <w:r w:rsidR="006B24BC" w:rsidRPr="006B24BC">
        <w:t xml:space="preserve">is </w:t>
      </w:r>
      <w:r w:rsidR="00C413DC">
        <w:t>measured as</w:t>
      </w:r>
      <w:r w:rsidR="00C413DC" w:rsidRPr="009232AD">
        <w:t xml:space="preserve"> </w:t>
      </w:r>
      <w:r w:rsidR="00C413DC">
        <w:t>c</w:t>
      </w:r>
      <w:r w:rsidR="00C413DC" w:rsidRPr="009232AD">
        <w:t>ash and equivalents divided by total assets.</w:t>
      </w:r>
      <w:r w:rsidR="00C413DC" w:rsidRPr="009232AD">
        <w:rPr>
          <w:i/>
          <w:iCs/>
        </w:rPr>
        <w:t xml:space="preserve"> </w:t>
      </w:r>
      <w:r w:rsidR="00C413DC" w:rsidRPr="009232AD">
        <w:t>The inclusion of public information disclosure is associated with an increase in liquidity, as evidenced by the positive relationship between the precision of public information disclosure and liquidity (Kim and Verrecchia, 1994</w:t>
      </w:r>
      <w:r w:rsidR="00C413DC" w:rsidRPr="0044362B">
        <w:t xml:space="preserve">). </w:t>
      </w:r>
      <w:r w:rsidR="00C413DC" w:rsidRPr="00FA5E92">
        <w:t>Leverage</w:t>
      </w:r>
      <w:r w:rsidR="00323C4E">
        <w:t xml:space="preserve"> is </w:t>
      </w:r>
      <w:r w:rsidR="00C413DC">
        <w:t xml:space="preserve">measured </w:t>
      </w:r>
      <w:r w:rsidR="00C413DC" w:rsidRPr="009232AD">
        <w:t xml:space="preserve">as total debt to total assets. For instance, leverage has been widely used in papers examining Glassdoor data (Dube and Zhu, 2021). </w:t>
      </w:r>
      <w:r w:rsidR="00C413DC" w:rsidRPr="003C02AD">
        <w:t>We also included</w:t>
      </w:r>
      <w:r w:rsidR="00C413DC">
        <w:rPr>
          <w:i/>
          <w:iCs/>
        </w:rPr>
        <w:t xml:space="preserve"> </w:t>
      </w:r>
      <w:r w:rsidR="00C413DC" w:rsidRPr="009232AD">
        <w:t xml:space="preserve">the log of the number of reviews submitted by employees for </w:t>
      </w:r>
      <w:r w:rsidR="0019217D">
        <w:t xml:space="preserve">an </w:t>
      </w:r>
      <w:r w:rsidR="004848DD">
        <w:t>organisation</w:t>
      </w:r>
      <w:r w:rsidR="00C413DC" w:rsidRPr="009232AD">
        <w:t xml:space="preserve">. It has been included in Hales, </w:t>
      </w:r>
      <w:r w:rsidR="00C413DC" w:rsidRPr="009232AD">
        <w:rPr>
          <w:shd w:val="clear" w:color="auto" w:fill="FFFFFF"/>
        </w:rPr>
        <w:t xml:space="preserve">Moon and Swenson </w:t>
      </w:r>
      <w:r w:rsidR="00C413DC" w:rsidRPr="009232AD">
        <w:t>(2018) when examining Glassdoor data. Return on Assets</w:t>
      </w:r>
      <w:r w:rsidR="00C413DC">
        <w:t xml:space="preserve"> (ROA) was another control </w:t>
      </w:r>
      <w:r w:rsidR="00C413DC" w:rsidRPr="009232AD">
        <w:t xml:space="preserve">which is the ratio of income before extraordinary items to total assets. </w:t>
      </w:r>
      <w:r w:rsidR="00C413DC" w:rsidRPr="009232AD">
        <w:lastRenderedPageBreak/>
        <w:t xml:space="preserve">According to </w:t>
      </w:r>
      <w:proofErr w:type="spellStart"/>
      <w:r w:rsidR="00C413DC" w:rsidRPr="009232AD">
        <w:t>Stamolampros</w:t>
      </w:r>
      <w:proofErr w:type="spellEnd"/>
      <w:r w:rsidR="00C413DC" w:rsidRPr="009232AD">
        <w:t xml:space="preserve"> et al. (2019), a statistically significant positive association exists between employee ratings on Glassdoor and </w:t>
      </w:r>
      <w:r w:rsidR="00A763BD">
        <w:t>an</w:t>
      </w:r>
      <w:r w:rsidR="00C413DC" w:rsidRPr="009232AD">
        <w:t xml:space="preserve"> </w:t>
      </w:r>
      <w:r w:rsidR="004848DD">
        <w:t>organisation</w:t>
      </w:r>
      <w:r w:rsidR="00A763BD">
        <w:t xml:space="preserve">’s </w:t>
      </w:r>
      <w:r w:rsidR="00C413DC" w:rsidRPr="009232AD">
        <w:t>return on assets (</w:t>
      </w:r>
      <w:r w:rsidR="00C413DC" w:rsidRPr="00434342">
        <w:t>ROA)</w:t>
      </w:r>
      <w:r w:rsidR="00C413DC" w:rsidRPr="009232AD">
        <w:t xml:space="preserve"> within the US tourism and hospitality industry. </w:t>
      </w:r>
      <w:r w:rsidR="00C413DC" w:rsidRPr="00FA5E92">
        <w:t>Size</w:t>
      </w:r>
      <w:r w:rsidR="00C413DC" w:rsidRPr="009232AD">
        <w:t xml:space="preserve"> is measured as the log of total assets used by </w:t>
      </w:r>
      <w:proofErr w:type="spellStart"/>
      <w:r w:rsidR="00C413DC" w:rsidRPr="009232AD">
        <w:t>Kyiu</w:t>
      </w:r>
      <w:proofErr w:type="spellEnd"/>
      <w:r w:rsidR="00C413DC" w:rsidRPr="009232AD">
        <w:t xml:space="preserve">, Tawiah and Boamah (2023). </w:t>
      </w:r>
      <w:r w:rsidR="00C413DC">
        <w:t>Finally</w:t>
      </w:r>
      <w:r w:rsidR="0044362B">
        <w:t>,</w:t>
      </w:r>
      <w:r w:rsidR="00C413DC">
        <w:t xml:space="preserve"> we also included </w:t>
      </w:r>
      <w:proofErr w:type="spellStart"/>
      <w:r w:rsidR="00C413DC" w:rsidRPr="00434342">
        <w:t>Tobin_Q</w:t>
      </w:r>
      <w:proofErr w:type="spellEnd"/>
      <w:r w:rsidR="00C413DC" w:rsidRPr="009232AD">
        <w:t xml:space="preserve"> </w:t>
      </w:r>
      <w:r w:rsidR="0071501A">
        <w:t>which is calculated</w:t>
      </w:r>
      <w:r w:rsidR="00C413DC" w:rsidRPr="009232AD">
        <w:t xml:space="preserve"> as market value plus total liabilities divided by total assets. It has been evidenced that ESG disclosure ultimately enhances </w:t>
      </w:r>
      <w:r w:rsidR="00556371">
        <w:t>an</w:t>
      </w:r>
      <w:r w:rsidR="00C413DC" w:rsidRPr="009232AD">
        <w:t xml:space="preserve"> </w:t>
      </w:r>
      <w:r w:rsidR="00556371" w:rsidRPr="00556371">
        <w:t>organisation</w:t>
      </w:r>
      <w:r w:rsidR="00556371">
        <w:t>’</w:t>
      </w:r>
      <w:r w:rsidR="00C413DC" w:rsidRPr="009232AD">
        <w:t>s financial performance, as measured by Tobin’s Q (Chen and Xie, 2022)</w:t>
      </w:r>
      <w:r w:rsidR="00914DFB">
        <w:t xml:space="preserve"> </w:t>
      </w:r>
      <w:r w:rsidR="00914DFB" w:rsidRPr="00FF15AA">
        <w:t>(see Table 1 in the online appendix for more information</w:t>
      </w:r>
      <w:r w:rsidR="00163F08" w:rsidRPr="00FF15AA">
        <w:t xml:space="preserve"> on the sample selection</w:t>
      </w:r>
      <w:r w:rsidR="00914DFB" w:rsidRPr="00FF15AA">
        <w:t>).</w:t>
      </w:r>
    </w:p>
    <w:p w14:paraId="4328B0FA" w14:textId="77777777" w:rsidR="00C413DC" w:rsidRDefault="00C413DC" w:rsidP="00525FB4">
      <w:pPr>
        <w:rPr>
          <w:rFonts w:asciiTheme="majorBidi" w:hAnsiTheme="majorBidi" w:cstheme="majorBidi"/>
        </w:rPr>
      </w:pPr>
    </w:p>
    <w:p w14:paraId="5E080008" w14:textId="3D9EA1C6" w:rsidR="00843A5E" w:rsidRPr="009232AD" w:rsidRDefault="00843A5E" w:rsidP="00FA5E92">
      <w:pPr>
        <w:pStyle w:val="Heading2"/>
      </w:pPr>
      <w:r w:rsidRPr="009232AD">
        <w:t>Data Analysis</w:t>
      </w:r>
    </w:p>
    <w:p w14:paraId="3A56F530" w14:textId="6A97D1E9" w:rsidR="00EC5AA4" w:rsidRPr="009232AD" w:rsidRDefault="003F4378" w:rsidP="009C4586">
      <w:pPr>
        <w:jc w:val="both"/>
      </w:pPr>
      <w:r w:rsidRPr="009232AD">
        <w:t xml:space="preserve">Drawing on </w:t>
      </w:r>
      <w:r w:rsidR="00BC25AD" w:rsidRPr="009232AD">
        <w:t>legitimacy theory,</w:t>
      </w:r>
      <w:r w:rsidR="00EC5AA4" w:rsidRPr="009232AD">
        <w:t xml:space="preserve"> we examine</w:t>
      </w:r>
      <w:r w:rsidR="00083D54" w:rsidRPr="009232AD">
        <w:t>d</w:t>
      </w:r>
      <w:r w:rsidR="00EC5AA4" w:rsidRPr="009232AD">
        <w:t xml:space="preserve"> whether an association exists between </w:t>
      </w:r>
      <w:r w:rsidR="004848DD">
        <w:rPr>
          <w:lang w:eastAsia="en-GB"/>
        </w:rPr>
        <w:t>organisation</w:t>
      </w:r>
      <w:r w:rsidR="00E962CB" w:rsidRPr="009232AD">
        <w:t>s</w:t>
      </w:r>
      <w:r w:rsidR="00E962CB">
        <w:t>’</w:t>
      </w:r>
      <w:r w:rsidR="00EC5AA4" w:rsidRPr="009232AD">
        <w:t xml:space="preserve"> disclosures on employee wellbeing in ESG reports and employee disclosures on Glassdoor. Based on the structure of our data, we use</w:t>
      </w:r>
      <w:r w:rsidR="001A4624" w:rsidRPr="009232AD">
        <w:t>d</w:t>
      </w:r>
      <w:r w:rsidR="00EC5AA4" w:rsidRPr="009232AD">
        <w:t xml:space="preserve"> a multilevel model. Multilevel modelling is a statistical technique that extends ordinary least squares (OLS) regression, as the OLS method is limited in its ability to accurately estimate models that involve nested data </w:t>
      </w:r>
      <w:r w:rsidR="00EC5AA4" w:rsidRPr="009232AD">
        <w:rPr>
          <w:b/>
          <w:bCs/>
        </w:rPr>
        <w:t>(</w:t>
      </w:r>
      <w:r w:rsidR="00EC5AA4" w:rsidRPr="009232AD">
        <w:t xml:space="preserve">Robson and </w:t>
      </w:r>
      <w:proofErr w:type="spellStart"/>
      <w:r w:rsidR="00EC5AA4" w:rsidRPr="009232AD">
        <w:t>Pevalin</w:t>
      </w:r>
      <w:proofErr w:type="spellEnd"/>
      <w:r w:rsidR="00EC5AA4" w:rsidRPr="009232AD">
        <w:t xml:space="preserve">, 2015). In our case, we have one ESG report each year, and we want to study the association of the wellbeing disclosures in that specific report with thousands of employee reviews done for that specific </w:t>
      </w:r>
      <w:r w:rsidR="004848DD">
        <w:t>organisation</w:t>
      </w:r>
      <w:r w:rsidR="00EC5AA4" w:rsidRPr="009232AD">
        <w:t xml:space="preserve"> and year. Thus, we have two levels of data: a higher level (</w:t>
      </w:r>
      <w:r w:rsidR="004848DD">
        <w:rPr>
          <w:lang w:eastAsia="en-GB"/>
        </w:rPr>
        <w:t>organisation</w:t>
      </w:r>
      <w:r w:rsidR="00ED386D" w:rsidRPr="009232AD">
        <w:t>s</w:t>
      </w:r>
      <w:r w:rsidR="00EC5AA4" w:rsidRPr="009232AD">
        <w:t>) and a lower level (employees).</w:t>
      </w:r>
    </w:p>
    <w:p w14:paraId="46159F53" w14:textId="00D79E7E" w:rsidR="00EC5AA4" w:rsidRPr="009232AD" w:rsidRDefault="00EC5AA4" w:rsidP="009C4586">
      <w:pPr>
        <w:jc w:val="both"/>
      </w:pPr>
      <w:r w:rsidRPr="009232AD">
        <w:t xml:space="preserve">Consequently, employee reviews need to be nested with </w:t>
      </w:r>
      <w:r w:rsidR="004848DD">
        <w:rPr>
          <w:lang w:eastAsia="en-GB"/>
        </w:rPr>
        <w:t>organisation</w:t>
      </w:r>
      <w:r w:rsidR="000A1C67" w:rsidRPr="009232AD">
        <w:t>s</w:t>
      </w:r>
      <w:r w:rsidRPr="009232AD">
        <w:t xml:space="preserve"> to accurately examine the association between the two. This is because while the analysis of data obtained from employees allows us to explore the effects of certain characteristics on outcomes of interest at the micro-level, it is probable that these micro-level effects exhibit substantial variation when observed across larger units at the macro-level, which is </w:t>
      </w:r>
      <w:r w:rsidR="004848DD">
        <w:rPr>
          <w:lang w:eastAsia="en-GB"/>
        </w:rPr>
        <w:t>organisation</w:t>
      </w:r>
      <w:r w:rsidR="000A1C67" w:rsidRPr="009232AD">
        <w:t xml:space="preserve">s </w:t>
      </w:r>
      <w:r w:rsidRPr="009232AD">
        <w:t xml:space="preserve">(Robson and </w:t>
      </w:r>
      <w:proofErr w:type="spellStart"/>
      <w:r w:rsidRPr="009232AD">
        <w:t>Pevalin</w:t>
      </w:r>
      <w:proofErr w:type="spellEnd"/>
      <w:r w:rsidRPr="009232AD">
        <w:t>, 2015). </w:t>
      </w:r>
    </w:p>
    <w:p w14:paraId="79BAF472" w14:textId="1F7EADE9" w:rsidR="00377414" w:rsidRPr="009232AD" w:rsidRDefault="002B51D7" w:rsidP="009C4586">
      <w:pPr>
        <w:jc w:val="both"/>
      </w:pPr>
      <w:r w:rsidRPr="009232AD">
        <w:lastRenderedPageBreak/>
        <w:t>Given that w</w:t>
      </w:r>
      <w:r w:rsidR="00377414" w:rsidRPr="009232AD">
        <w:t xml:space="preserve">e </w:t>
      </w:r>
      <w:r w:rsidR="00921180">
        <w:t>were</w:t>
      </w:r>
      <w:r w:rsidR="00921180" w:rsidRPr="009232AD">
        <w:t xml:space="preserve"> </w:t>
      </w:r>
      <w:r w:rsidR="00377414" w:rsidRPr="009232AD">
        <w:t xml:space="preserve">interested in assessing employee wellbeing, our dependent variables focus on employee ratings for </w:t>
      </w:r>
      <w:r w:rsidR="004848DD">
        <w:rPr>
          <w:lang w:eastAsia="en-GB"/>
        </w:rPr>
        <w:t>organisation</w:t>
      </w:r>
      <w:r w:rsidR="00372D28" w:rsidRPr="009232AD">
        <w:t>s</w:t>
      </w:r>
      <w:r w:rsidR="00377414" w:rsidRPr="009232AD">
        <w:t xml:space="preserve"> using Glassdoor data. </w:t>
      </w:r>
      <w:r w:rsidR="003F5D45" w:rsidRPr="00FA5E92">
        <w:rPr>
          <w:i/>
          <w:iCs/>
        </w:rPr>
        <w:t xml:space="preserve">Employees </w:t>
      </w:r>
      <w:r w:rsidR="00377414" w:rsidRPr="00AC2CB9">
        <w:rPr>
          <w:i/>
          <w:iCs/>
        </w:rPr>
        <w:t>Overall</w:t>
      </w:r>
      <w:r w:rsidR="003F5D45" w:rsidRPr="00AC2CB9">
        <w:rPr>
          <w:i/>
          <w:iCs/>
        </w:rPr>
        <w:t xml:space="preserve"> </w:t>
      </w:r>
      <w:r w:rsidR="00377414" w:rsidRPr="00AC2CB9">
        <w:rPr>
          <w:i/>
          <w:iCs/>
        </w:rPr>
        <w:t>Rating</w:t>
      </w:r>
      <w:r w:rsidR="00377414" w:rsidRPr="00FA5E92">
        <w:rPr>
          <w:i/>
          <w:iCs/>
          <w:vertAlign w:val="subscript"/>
        </w:rPr>
        <w:t xml:space="preserve"> </w:t>
      </w:r>
      <w:r w:rsidR="00921180">
        <w:t>was</w:t>
      </w:r>
      <w:r w:rsidR="00921180" w:rsidRPr="009232AD">
        <w:t xml:space="preserve"> </w:t>
      </w:r>
      <w:r w:rsidR="00377414" w:rsidRPr="009232AD">
        <w:t xml:space="preserve">the main dependent variable of interest, </w:t>
      </w:r>
      <w:r w:rsidRPr="009232AD">
        <w:t>as</w:t>
      </w:r>
      <w:r w:rsidR="00377414" w:rsidRPr="009232AD">
        <w:t xml:space="preserve"> it measures the overall rating of </w:t>
      </w:r>
      <w:r w:rsidR="00AF4FD8">
        <w:t xml:space="preserve">an </w:t>
      </w:r>
      <w:r w:rsidR="004848DD">
        <w:rPr>
          <w:lang w:eastAsia="en-GB"/>
        </w:rPr>
        <w:t>organisation</w:t>
      </w:r>
      <w:r w:rsidR="00AF4FD8">
        <w:rPr>
          <w:lang w:eastAsia="en-GB"/>
        </w:rPr>
        <w:t>.</w:t>
      </w:r>
      <w:r w:rsidR="00377414" w:rsidRPr="009232AD">
        <w:t xml:space="preserve"> Next, we consider</w:t>
      </w:r>
      <w:r w:rsidR="00921180">
        <w:t>ed</w:t>
      </w:r>
      <w:r w:rsidR="00377414" w:rsidRPr="009232AD">
        <w:t xml:space="preserve"> five </w:t>
      </w:r>
      <w:r w:rsidR="003F5D45">
        <w:t xml:space="preserve">employees’ ratings related to the following specific </w:t>
      </w:r>
      <w:r w:rsidR="00377414" w:rsidRPr="009232AD">
        <w:t>aspects</w:t>
      </w:r>
      <w:r w:rsidR="003F5D45">
        <w:t>:</w:t>
      </w:r>
      <w:r w:rsidR="00377414" w:rsidRPr="009232AD">
        <w:t xml:space="preserve"> (</w:t>
      </w:r>
      <w:proofErr w:type="spellStart"/>
      <w:r w:rsidR="00377414" w:rsidRPr="009232AD">
        <w:t>i</w:t>
      </w:r>
      <w:proofErr w:type="spellEnd"/>
      <w:r w:rsidR="00377414" w:rsidRPr="009232AD">
        <w:t xml:space="preserve">) </w:t>
      </w:r>
      <w:r w:rsidR="00377414" w:rsidRPr="009232AD">
        <w:rPr>
          <w:i/>
          <w:iCs/>
        </w:rPr>
        <w:t>Culture</w:t>
      </w:r>
      <w:r w:rsidR="003F5D45">
        <w:rPr>
          <w:i/>
          <w:iCs/>
        </w:rPr>
        <w:t xml:space="preserve"> and </w:t>
      </w:r>
      <w:r w:rsidR="00377414" w:rsidRPr="009232AD">
        <w:rPr>
          <w:i/>
          <w:iCs/>
        </w:rPr>
        <w:t>Values</w:t>
      </w:r>
      <w:r w:rsidR="00377414" w:rsidRPr="009232AD">
        <w:t xml:space="preserve">, (ii) </w:t>
      </w:r>
      <w:r w:rsidR="00377414" w:rsidRPr="009232AD">
        <w:rPr>
          <w:i/>
          <w:iCs/>
        </w:rPr>
        <w:t>Work</w:t>
      </w:r>
      <w:r w:rsidR="003F5D45">
        <w:rPr>
          <w:i/>
          <w:iCs/>
        </w:rPr>
        <w:t xml:space="preserve"> </w:t>
      </w:r>
      <w:r w:rsidR="00377414" w:rsidRPr="009232AD">
        <w:rPr>
          <w:i/>
          <w:iCs/>
        </w:rPr>
        <w:t>Life</w:t>
      </w:r>
      <w:r w:rsidR="003F5D45">
        <w:rPr>
          <w:i/>
          <w:iCs/>
        </w:rPr>
        <w:t xml:space="preserve"> </w:t>
      </w:r>
      <w:r w:rsidR="00377414" w:rsidRPr="009232AD">
        <w:rPr>
          <w:i/>
          <w:iCs/>
        </w:rPr>
        <w:t>Balance</w:t>
      </w:r>
      <w:r w:rsidR="00377414" w:rsidRPr="009232AD">
        <w:t>, (iii)</w:t>
      </w:r>
      <w:r w:rsidR="00FB1330" w:rsidRPr="009232AD">
        <w:t xml:space="preserve"> </w:t>
      </w:r>
      <w:r w:rsidR="00377414" w:rsidRPr="009232AD">
        <w:rPr>
          <w:i/>
          <w:iCs/>
        </w:rPr>
        <w:t>Senior</w:t>
      </w:r>
      <w:r w:rsidR="003F5D45">
        <w:rPr>
          <w:i/>
          <w:iCs/>
        </w:rPr>
        <w:t xml:space="preserve"> </w:t>
      </w:r>
      <w:r w:rsidR="00377414" w:rsidRPr="009232AD">
        <w:rPr>
          <w:i/>
          <w:iCs/>
        </w:rPr>
        <w:t>Management</w:t>
      </w:r>
      <w:r w:rsidR="00377414" w:rsidRPr="009232AD">
        <w:t>,</w:t>
      </w:r>
      <w:r w:rsidR="00FB1330" w:rsidRPr="009232AD">
        <w:t xml:space="preserve"> </w:t>
      </w:r>
      <w:r w:rsidR="00377414" w:rsidRPr="009232AD">
        <w:t xml:space="preserve">(iv) </w:t>
      </w:r>
      <w:proofErr w:type="spellStart"/>
      <w:r w:rsidR="00377414" w:rsidRPr="009232AD">
        <w:rPr>
          <w:i/>
          <w:iCs/>
        </w:rPr>
        <w:t>Compen</w:t>
      </w:r>
      <w:r w:rsidR="003F5D45">
        <w:rPr>
          <w:i/>
          <w:iCs/>
        </w:rPr>
        <w:t>ation</w:t>
      </w:r>
      <w:proofErr w:type="spellEnd"/>
      <w:r w:rsidR="003F5D45">
        <w:rPr>
          <w:i/>
          <w:iCs/>
        </w:rPr>
        <w:t xml:space="preserve"> and </w:t>
      </w:r>
      <w:r w:rsidR="00377414" w:rsidRPr="009232AD">
        <w:rPr>
          <w:i/>
          <w:iCs/>
        </w:rPr>
        <w:t>Benefits</w:t>
      </w:r>
      <w:r w:rsidR="00377414" w:rsidRPr="009232AD">
        <w:t>, and (v)</w:t>
      </w:r>
      <w:r w:rsidR="00FB1330" w:rsidRPr="009232AD">
        <w:t xml:space="preserve"> </w:t>
      </w:r>
      <w:r w:rsidR="00377414" w:rsidRPr="009232AD">
        <w:rPr>
          <w:i/>
          <w:iCs/>
        </w:rPr>
        <w:t>Career</w:t>
      </w:r>
      <w:r w:rsidR="003F5D45">
        <w:rPr>
          <w:i/>
          <w:iCs/>
        </w:rPr>
        <w:t xml:space="preserve"> </w:t>
      </w:r>
      <w:r w:rsidR="00377414" w:rsidRPr="009232AD">
        <w:rPr>
          <w:i/>
          <w:iCs/>
        </w:rPr>
        <w:t>Opportunities</w:t>
      </w:r>
      <w:r w:rsidR="00377414" w:rsidRPr="009232AD">
        <w:t xml:space="preserve">. </w:t>
      </w:r>
    </w:p>
    <w:p w14:paraId="1440C48F" w14:textId="600C316A" w:rsidR="00377414" w:rsidRPr="009232AD" w:rsidRDefault="00921180" w:rsidP="009C4586">
      <w:pPr>
        <w:jc w:val="both"/>
      </w:pPr>
      <w:r>
        <w:t>In relation to the</w:t>
      </w:r>
      <w:r w:rsidR="00377414" w:rsidRPr="009232AD">
        <w:t xml:space="preserve"> independent variables</w:t>
      </w:r>
      <w:r>
        <w:t xml:space="preserve"> we focused </w:t>
      </w:r>
      <w:r w:rsidR="00377414" w:rsidRPr="009232AD">
        <w:t xml:space="preserve">on wellbeing disclosures included in </w:t>
      </w:r>
      <w:r w:rsidR="004848DD">
        <w:rPr>
          <w:lang w:eastAsia="en-GB"/>
        </w:rPr>
        <w:t>organisation</w:t>
      </w:r>
      <w:r w:rsidR="001F25CB" w:rsidRPr="009232AD">
        <w:t>s</w:t>
      </w:r>
      <w:r w:rsidR="00377414" w:rsidRPr="009232AD">
        <w:t>’ ESG reports</w:t>
      </w:r>
      <w:r>
        <w:t xml:space="preserve"> in line with the five categories described above</w:t>
      </w:r>
      <w:r w:rsidR="00377414" w:rsidRPr="009232AD">
        <w:t xml:space="preserve">. The examination of ESG reports using textual analysis has proven beneficial for extracting significant information about </w:t>
      </w:r>
      <w:r w:rsidR="00D34C3C">
        <w:t>organisations</w:t>
      </w:r>
      <w:r w:rsidR="00377414" w:rsidRPr="009232AD">
        <w:t xml:space="preserve">, as evidenced by many </w:t>
      </w:r>
      <w:r w:rsidR="002B51D7" w:rsidRPr="009232AD">
        <w:t xml:space="preserve">prior </w:t>
      </w:r>
      <w:r w:rsidR="00377414" w:rsidRPr="009232AD">
        <w:t>studies (Baier</w:t>
      </w:r>
      <w:r w:rsidR="0043192D" w:rsidRPr="009232AD">
        <w:t xml:space="preserve">, </w:t>
      </w:r>
      <w:r w:rsidR="005710AA" w:rsidRPr="009232AD">
        <w:rPr>
          <w:shd w:val="clear" w:color="auto" w:fill="FFFFFF"/>
        </w:rPr>
        <w:t>Berninger</w:t>
      </w:r>
      <w:r w:rsidR="0043192D" w:rsidRPr="009232AD">
        <w:rPr>
          <w:shd w:val="clear" w:color="auto" w:fill="FFFFFF"/>
        </w:rPr>
        <w:t xml:space="preserve"> </w:t>
      </w:r>
      <w:r w:rsidR="005710AA" w:rsidRPr="009232AD">
        <w:rPr>
          <w:shd w:val="clear" w:color="auto" w:fill="FFFFFF"/>
        </w:rPr>
        <w:t>and Kiesel</w:t>
      </w:r>
      <w:r w:rsidR="0043192D" w:rsidRPr="009232AD">
        <w:rPr>
          <w:shd w:val="clear" w:color="auto" w:fill="FFFFFF"/>
        </w:rPr>
        <w:t>,</w:t>
      </w:r>
      <w:r w:rsidR="005710AA" w:rsidRPr="009232AD">
        <w:t xml:space="preserve"> </w:t>
      </w:r>
      <w:r w:rsidR="00377414" w:rsidRPr="009232AD">
        <w:t xml:space="preserve">2020; Ignatov, 2023). </w:t>
      </w:r>
    </w:p>
    <w:p w14:paraId="0670A087" w14:textId="407300DC" w:rsidR="00C04FEC" w:rsidRPr="009232AD" w:rsidRDefault="00C04FEC" w:rsidP="009C4586">
      <w:pPr>
        <w:jc w:val="both"/>
      </w:pPr>
      <w:r>
        <w:rPr>
          <w:shd w:val="clear" w:color="auto" w:fill="FFFFFF"/>
        </w:rPr>
        <w:t xml:space="preserve">After having established the possible misalignment between </w:t>
      </w:r>
      <w:r w:rsidR="004848DD">
        <w:rPr>
          <w:lang w:eastAsia="en-GB"/>
        </w:rPr>
        <w:t>organisation</w:t>
      </w:r>
      <w:r w:rsidR="00372D28" w:rsidRPr="009232AD">
        <w:t>s</w:t>
      </w:r>
      <w:r>
        <w:rPr>
          <w:shd w:val="clear" w:color="auto" w:fill="FFFFFF"/>
        </w:rPr>
        <w:t>’ disclosure as per ESG reports and employees’ Glassdoor rating, w</w:t>
      </w:r>
      <w:r w:rsidRPr="009232AD">
        <w:rPr>
          <w:shd w:val="clear" w:color="auto" w:fill="FFFFFF"/>
        </w:rPr>
        <w:t xml:space="preserve">e </w:t>
      </w:r>
      <w:r w:rsidR="001F3AA0">
        <w:rPr>
          <w:shd w:val="clear" w:color="auto" w:fill="FFFFFF"/>
        </w:rPr>
        <w:t>analysed</w:t>
      </w:r>
      <w:r w:rsidRPr="009232AD">
        <w:rPr>
          <w:shd w:val="clear" w:color="auto" w:fill="FFFFFF"/>
        </w:rPr>
        <w:t xml:space="preserve"> market reactions to </w:t>
      </w:r>
      <w:r>
        <w:rPr>
          <w:shd w:val="clear" w:color="auto" w:fill="FFFFFF"/>
        </w:rPr>
        <w:t xml:space="preserve">this in terms of Tobin’s Q. We first </w:t>
      </w:r>
      <w:r w:rsidR="001F3AA0">
        <w:rPr>
          <w:shd w:val="clear" w:color="auto" w:fill="FFFFFF"/>
        </w:rPr>
        <w:t>categorized</w:t>
      </w:r>
      <w:r>
        <w:rPr>
          <w:shd w:val="clear" w:color="auto" w:fill="FFFFFF"/>
        </w:rPr>
        <w:t xml:space="preserve"> each </w:t>
      </w:r>
      <w:r w:rsidR="004848DD">
        <w:rPr>
          <w:lang w:eastAsia="en-GB"/>
        </w:rPr>
        <w:t>organisation</w:t>
      </w:r>
      <w:r>
        <w:rPr>
          <w:shd w:val="clear" w:color="auto" w:fill="FFFFFF"/>
        </w:rPr>
        <w:t xml:space="preserve"> based on the misalignment (using the medians) and hence </w:t>
      </w:r>
      <w:r w:rsidRPr="009232AD">
        <w:rPr>
          <w:shd w:val="clear" w:color="auto" w:fill="FFFFFF"/>
        </w:rPr>
        <w:t>divide</w:t>
      </w:r>
      <w:r w:rsidR="00892703">
        <w:rPr>
          <w:shd w:val="clear" w:color="auto" w:fill="FFFFFF"/>
        </w:rPr>
        <w:t>d</w:t>
      </w:r>
      <w:r>
        <w:rPr>
          <w:shd w:val="clear" w:color="auto" w:fill="FFFFFF"/>
        </w:rPr>
        <w:t xml:space="preserve"> the sample</w:t>
      </w:r>
      <w:r w:rsidRPr="009232AD">
        <w:rPr>
          <w:shd w:val="clear" w:color="auto" w:fill="FFFFFF"/>
        </w:rPr>
        <w:t xml:space="preserve"> into four groups: </w:t>
      </w:r>
      <w:r>
        <w:rPr>
          <w:shd w:val="clear" w:color="auto" w:fill="FFFFFF"/>
        </w:rPr>
        <w:t>Group HH includ</w:t>
      </w:r>
      <w:r w:rsidR="007A7FE5">
        <w:rPr>
          <w:shd w:val="clear" w:color="auto" w:fill="FFFFFF"/>
        </w:rPr>
        <w:t>es</w:t>
      </w:r>
      <w:r>
        <w:rPr>
          <w:shd w:val="clear" w:color="auto" w:fill="FFFFFF"/>
        </w:rPr>
        <w:t xml:space="preserve"> </w:t>
      </w:r>
      <w:r w:rsidR="004848DD">
        <w:rPr>
          <w:lang w:eastAsia="en-GB"/>
        </w:rPr>
        <w:t>organisation</w:t>
      </w:r>
      <w:r w:rsidR="001D2805" w:rsidRPr="009232AD">
        <w:t>s</w:t>
      </w:r>
      <w:r>
        <w:rPr>
          <w:shd w:val="clear" w:color="auto" w:fill="FFFFFF"/>
        </w:rPr>
        <w:t xml:space="preserve"> with </w:t>
      </w:r>
      <w:r w:rsidRPr="009232AD">
        <w:rPr>
          <w:shd w:val="clear" w:color="auto" w:fill="FFFFFF"/>
        </w:rPr>
        <w:t>high wellbeing disclosure and high employee rating (both above the medians of the respective year)</w:t>
      </w:r>
      <w:r>
        <w:rPr>
          <w:shd w:val="clear" w:color="auto" w:fill="FFFFFF"/>
        </w:rPr>
        <w:t xml:space="preserve">; Group HL </w:t>
      </w:r>
      <w:r w:rsidR="007A7FE5">
        <w:rPr>
          <w:shd w:val="clear" w:color="auto" w:fill="FFFFFF"/>
        </w:rPr>
        <w:t>includes</w:t>
      </w:r>
      <w:r>
        <w:rPr>
          <w:shd w:val="clear" w:color="auto" w:fill="FFFFFF"/>
        </w:rPr>
        <w:t xml:space="preserve"> </w:t>
      </w:r>
      <w:r w:rsidR="004848DD">
        <w:t>organisation</w:t>
      </w:r>
      <w:r w:rsidR="0019217D">
        <w:t>s</w:t>
      </w:r>
      <w:r>
        <w:rPr>
          <w:shd w:val="clear" w:color="auto" w:fill="FFFFFF"/>
        </w:rPr>
        <w:t xml:space="preserve"> with</w:t>
      </w:r>
      <w:r w:rsidRPr="009232AD">
        <w:rPr>
          <w:shd w:val="clear" w:color="auto" w:fill="FFFFFF"/>
        </w:rPr>
        <w:t xml:space="preserve"> high wellbeing disclosure and low employee rating (disclosure above median, rating below median)</w:t>
      </w:r>
      <w:r>
        <w:rPr>
          <w:shd w:val="clear" w:color="auto" w:fill="FFFFFF"/>
        </w:rPr>
        <w:t xml:space="preserve">; Group LH </w:t>
      </w:r>
      <w:r w:rsidR="007A7FE5">
        <w:rPr>
          <w:shd w:val="clear" w:color="auto" w:fill="FFFFFF"/>
        </w:rPr>
        <w:t xml:space="preserve">includes </w:t>
      </w:r>
      <w:r w:rsidR="004848DD">
        <w:t>organisation</w:t>
      </w:r>
      <w:r w:rsidR="0019217D">
        <w:t>s</w:t>
      </w:r>
      <w:r>
        <w:rPr>
          <w:shd w:val="clear" w:color="auto" w:fill="FFFFFF"/>
        </w:rPr>
        <w:t xml:space="preserve"> with </w:t>
      </w:r>
      <w:r w:rsidRPr="009232AD">
        <w:rPr>
          <w:shd w:val="clear" w:color="auto" w:fill="FFFFFF"/>
        </w:rPr>
        <w:t>low wellbeing disclosure and high employee rating (disclosure below median, rating above median)</w:t>
      </w:r>
      <w:r>
        <w:rPr>
          <w:shd w:val="clear" w:color="auto" w:fill="FFFFFF"/>
        </w:rPr>
        <w:t xml:space="preserve">; Group LL </w:t>
      </w:r>
      <w:r w:rsidR="007A7FE5">
        <w:rPr>
          <w:shd w:val="clear" w:color="auto" w:fill="FFFFFF"/>
        </w:rPr>
        <w:t xml:space="preserve">includes </w:t>
      </w:r>
      <w:r w:rsidR="004848DD">
        <w:t>organisation</w:t>
      </w:r>
      <w:r w:rsidR="0019217D">
        <w:t>s</w:t>
      </w:r>
      <w:r>
        <w:rPr>
          <w:shd w:val="clear" w:color="auto" w:fill="FFFFFF"/>
        </w:rPr>
        <w:t xml:space="preserve"> with</w:t>
      </w:r>
      <w:r w:rsidRPr="009232AD">
        <w:rPr>
          <w:shd w:val="clear" w:color="auto" w:fill="FFFFFF"/>
        </w:rPr>
        <w:t xml:space="preserve"> low wellbeing disclosure and low employee rating (both below the median). </w:t>
      </w:r>
      <w:r>
        <w:rPr>
          <w:shd w:val="clear" w:color="auto" w:fill="FFFFFF"/>
        </w:rPr>
        <w:t xml:space="preserve">Then we estimated </w:t>
      </w:r>
      <w:r w:rsidRPr="009232AD">
        <w:rPr>
          <w:rFonts w:asciiTheme="majorBidi" w:hAnsiTheme="majorBidi" w:cstheme="majorBidi"/>
          <w:szCs w:val="24"/>
          <w:shd w:val="clear" w:color="auto" w:fill="FFFFFF"/>
        </w:rPr>
        <w:t xml:space="preserve">two </w:t>
      </w:r>
      <w:r>
        <w:rPr>
          <w:rFonts w:asciiTheme="majorBidi" w:hAnsiTheme="majorBidi" w:cstheme="majorBidi"/>
          <w:szCs w:val="24"/>
          <w:shd w:val="clear" w:color="auto" w:fill="FFFFFF"/>
        </w:rPr>
        <w:t xml:space="preserve">regression </w:t>
      </w:r>
      <w:r w:rsidRPr="009232AD">
        <w:rPr>
          <w:rFonts w:asciiTheme="majorBidi" w:hAnsiTheme="majorBidi" w:cstheme="majorBidi"/>
          <w:szCs w:val="24"/>
          <w:shd w:val="clear" w:color="auto" w:fill="FFFFFF"/>
        </w:rPr>
        <w:t>models</w:t>
      </w:r>
      <w:r>
        <w:rPr>
          <w:rFonts w:asciiTheme="majorBidi" w:hAnsiTheme="majorBidi" w:cstheme="majorBidi"/>
          <w:szCs w:val="24"/>
          <w:shd w:val="clear" w:color="auto" w:fill="FFFFFF"/>
        </w:rPr>
        <w:t xml:space="preserve"> including Tobin’s Q as </w:t>
      </w:r>
      <w:r w:rsidR="005220F2">
        <w:rPr>
          <w:rFonts w:asciiTheme="majorBidi" w:hAnsiTheme="majorBidi" w:cstheme="majorBidi"/>
          <w:szCs w:val="24"/>
          <w:shd w:val="clear" w:color="auto" w:fill="FFFFFF"/>
        </w:rPr>
        <w:t xml:space="preserve">the </w:t>
      </w:r>
      <w:r>
        <w:rPr>
          <w:rFonts w:asciiTheme="majorBidi" w:hAnsiTheme="majorBidi" w:cstheme="majorBidi"/>
          <w:szCs w:val="24"/>
          <w:shd w:val="clear" w:color="auto" w:fill="FFFFFF"/>
        </w:rPr>
        <w:t>dependent variable</w:t>
      </w:r>
      <w:r w:rsidR="00364567">
        <w:rPr>
          <w:rFonts w:asciiTheme="majorBidi" w:hAnsiTheme="majorBidi" w:cstheme="majorBidi"/>
          <w:szCs w:val="24"/>
          <w:shd w:val="clear" w:color="auto" w:fill="FFFFFF"/>
        </w:rPr>
        <w:t xml:space="preserve"> for our data from 2018 to 2022</w:t>
      </w:r>
      <w:r w:rsidRPr="009232AD">
        <w:rPr>
          <w:rFonts w:asciiTheme="majorBidi" w:hAnsiTheme="majorBidi" w:cstheme="majorBidi"/>
          <w:szCs w:val="24"/>
          <w:shd w:val="clear" w:color="auto" w:fill="FFFFFF"/>
        </w:rPr>
        <w:t xml:space="preserve">. </w:t>
      </w:r>
      <w:r w:rsidRPr="009232AD">
        <w:rPr>
          <w:rFonts w:asciiTheme="majorBidi" w:eastAsia="Times New Roman" w:hAnsiTheme="majorBidi" w:cstheme="majorBidi"/>
          <w:kern w:val="0"/>
          <w:szCs w:val="24"/>
          <w:lang w:eastAsia="en-GB"/>
          <w14:ligatures w14:val="none"/>
        </w:rPr>
        <w:t xml:space="preserve">In the first </w:t>
      </w:r>
      <w:r w:rsidR="004F443E">
        <w:rPr>
          <w:rFonts w:asciiTheme="majorBidi" w:eastAsia="Times New Roman" w:hAnsiTheme="majorBidi" w:cstheme="majorBidi"/>
          <w:kern w:val="0"/>
          <w:szCs w:val="24"/>
          <w:lang w:eastAsia="en-GB"/>
          <w14:ligatures w14:val="none"/>
        </w:rPr>
        <w:t>model</w:t>
      </w:r>
      <w:r w:rsidRPr="009232AD">
        <w:rPr>
          <w:rFonts w:asciiTheme="majorBidi" w:eastAsia="Times New Roman" w:hAnsiTheme="majorBidi" w:cstheme="majorBidi"/>
          <w:kern w:val="0"/>
          <w:szCs w:val="24"/>
          <w:lang w:eastAsia="en-GB"/>
          <w14:ligatures w14:val="none"/>
        </w:rPr>
        <w:t>,</w:t>
      </w:r>
      <w:r w:rsidR="0011561E" w:rsidRPr="0011561E">
        <w:rPr>
          <w:rFonts w:asciiTheme="majorBidi" w:eastAsia="Times New Roman" w:hAnsiTheme="majorBidi" w:cstheme="majorBidi"/>
          <w:kern w:val="0"/>
          <w:szCs w:val="24"/>
          <w:lang w:eastAsia="en-GB"/>
          <w14:ligatures w14:val="none"/>
        </w:rPr>
        <w:t xml:space="preserve"> </w:t>
      </w:r>
      <w:r w:rsidR="0011561E">
        <w:rPr>
          <w:rFonts w:asciiTheme="majorBidi" w:eastAsia="Times New Roman" w:hAnsiTheme="majorBidi" w:cstheme="majorBidi"/>
          <w:kern w:val="0"/>
          <w:szCs w:val="24"/>
          <w:lang w:eastAsia="en-GB"/>
          <w14:ligatures w14:val="none"/>
        </w:rPr>
        <w:t>we used as</w:t>
      </w:r>
      <w:r w:rsidR="0011561E" w:rsidRPr="009232AD">
        <w:rPr>
          <w:rFonts w:asciiTheme="majorBidi" w:eastAsia="Times New Roman" w:hAnsiTheme="majorBidi" w:cstheme="majorBidi"/>
          <w:kern w:val="0"/>
          <w:szCs w:val="24"/>
          <w:lang w:eastAsia="en-GB"/>
          <w14:ligatures w14:val="none"/>
        </w:rPr>
        <w:t xml:space="preserve"> reference group </w:t>
      </w:r>
      <w:r w:rsidR="004848DD">
        <w:rPr>
          <w:lang w:eastAsia="en-GB"/>
        </w:rPr>
        <w:t>organisation</w:t>
      </w:r>
      <w:r w:rsidR="00757CD3" w:rsidRPr="009232AD">
        <w:t>s</w:t>
      </w:r>
      <w:r w:rsidR="00757CD3" w:rsidRPr="009232AD">
        <w:rPr>
          <w:rFonts w:asciiTheme="majorBidi" w:eastAsia="Times New Roman" w:hAnsiTheme="majorBidi" w:cstheme="majorBidi"/>
          <w:kern w:val="0"/>
          <w:szCs w:val="24"/>
          <w:lang w:eastAsia="en-GB"/>
          <w14:ligatures w14:val="none"/>
        </w:rPr>
        <w:t xml:space="preserve"> </w:t>
      </w:r>
      <w:r w:rsidR="0011561E" w:rsidRPr="009232AD">
        <w:rPr>
          <w:rFonts w:asciiTheme="majorBidi" w:eastAsia="Times New Roman" w:hAnsiTheme="majorBidi" w:cstheme="majorBidi"/>
          <w:kern w:val="0"/>
          <w:szCs w:val="24"/>
          <w:lang w:eastAsia="en-GB"/>
          <w14:ligatures w14:val="none"/>
        </w:rPr>
        <w:t>with low wellbeing disclosure and low ratings (LL).</w:t>
      </w:r>
      <w:r w:rsidR="0011561E">
        <w:rPr>
          <w:rFonts w:asciiTheme="majorBidi" w:eastAsia="Times New Roman" w:hAnsiTheme="majorBidi" w:cstheme="majorBidi"/>
          <w:kern w:val="0"/>
          <w:szCs w:val="24"/>
          <w:lang w:eastAsia="en-GB"/>
          <w14:ligatures w14:val="none"/>
        </w:rPr>
        <w:t xml:space="preserve"> </w:t>
      </w:r>
      <w:r w:rsidRPr="009232AD">
        <w:rPr>
          <w:rFonts w:asciiTheme="majorBidi" w:eastAsia="Times New Roman" w:hAnsiTheme="majorBidi" w:cstheme="majorBidi"/>
          <w:kern w:val="0"/>
          <w:szCs w:val="24"/>
          <w:lang w:eastAsia="en-GB"/>
          <w14:ligatures w14:val="none"/>
        </w:rPr>
        <w:t xml:space="preserve"> </w:t>
      </w:r>
      <w:r>
        <w:rPr>
          <w:rFonts w:asciiTheme="majorBidi" w:eastAsia="Times New Roman" w:hAnsiTheme="majorBidi" w:cstheme="majorBidi"/>
          <w:kern w:val="0"/>
          <w:szCs w:val="24"/>
          <w:lang w:eastAsia="en-GB"/>
          <w14:ligatures w14:val="none"/>
        </w:rPr>
        <w:t>In the second model,</w:t>
      </w:r>
      <w:r w:rsidR="00372D28" w:rsidRPr="00372D28">
        <w:rPr>
          <w:rFonts w:asciiTheme="majorBidi" w:eastAsia="Times New Roman" w:hAnsiTheme="majorBidi" w:cstheme="majorBidi"/>
          <w:kern w:val="0"/>
          <w:szCs w:val="24"/>
          <w:lang w:eastAsia="en-GB"/>
          <w14:ligatures w14:val="none"/>
        </w:rPr>
        <w:t xml:space="preserve"> </w:t>
      </w:r>
      <w:r w:rsidR="00372D28">
        <w:rPr>
          <w:rFonts w:asciiTheme="majorBidi" w:eastAsia="Times New Roman" w:hAnsiTheme="majorBidi" w:cstheme="majorBidi"/>
          <w:kern w:val="0"/>
          <w:szCs w:val="24"/>
          <w:lang w:eastAsia="en-GB"/>
          <w14:ligatures w14:val="none"/>
        </w:rPr>
        <w:t>we used as</w:t>
      </w:r>
      <w:r w:rsidR="00372D28" w:rsidRPr="009232AD">
        <w:rPr>
          <w:rFonts w:asciiTheme="majorBidi" w:eastAsia="Times New Roman" w:hAnsiTheme="majorBidi" w:cstheme="majorBidi"/>
          <w:kern w:val="0"/>
          <w:szCs w:val="24"/>
          <w:lang w:eastAsia="en-GB"/>
          <w14:ligatures w14:val="none"/>
        </w:rPr>
        <w:t xml:space="preserve"> reference group </w:t>
      </w:r>
      <w:r w:rsidR="004848DD">
        <w:rPr>
          <w:lang w:eastAsia="en-GB"/>
        </w:rPr>
        <w:t>organisation</w:t>
      </w:r>
      <w:r w:rsidR="00757CD3" w:rsidRPr="009232AD">
        <w:t>s</w:t>
      </w:r>
      <w:r w:rsidR="0011561E" w:rsidRPr="009232AD">
        <w:rPr>
          <w:rFonts w:asciiTheme="majorBidi" w:eastAsia="Times New Roman" w:hAnsiTheme="majorBidi" w:cstheme="majorBidi"/>
          <w:kern w:val="0"/>
          <w:szCs w:val="24"/>
          <w:lang w:eastAsia="en-GB"/>
          <w14:ligatures w14:val="none"/>
        </w:rPr>
        <w:t xml:space="preserve"> with high wellbeing </w:t>
      </w:r>
      <w:r w:rsidR="0011561E" w:rsidRPr="009232AD">
        <w:rPr>
          <w:rFonts w:asciiTheme="majorBidi" w:eastAsia="Times New Roman" w:hAnsiTheme="majorBidi" w:cstheme="majorBidi"/>
          <w:kern w:val="0"/>
          <w:szCs w:val="24"/>
          <w:lang w:eastAsia="en-GB"/>
          <w14:ligatures w14:val="none"/>
        </w:rPr>
        <w:lastRenderedPageBreak/>
        <w:t>disclosure and high ratings (HH).</w:t>
      </w:r>
      <w:r w:rsidR="0011561E">
        <w:rPr>
          <w:rFonts w:asciiTheme="majorBidi" w:eastAsia="Times New Roman" w:hAnsiTheme="majorBidi" w:cstheme="majorBidi"/>
          <w:kern w:val="0"/>
          <w:szCs w:val="24"/>
          <w:lang w:eastAsia="en-GB"/>
          <w14:ligatures w14:val="none"/>
        </w:rPr>
        <w:t xml:space="preserve"> </w:t>
      </w:r>
      <w:r>
        <w:rPr>
          <w:rFonts w:asciiTheme="majorBidi" w:eastAsia="Times New Roman" w:hAnsiTheme="majorBidi" w:cstheme="majorBidi"/>
          <w:kern w:val="0"/>
          <w:szCs w:val="24"/>
          <w:lang w:eastAsia="en-GB"/>
          <w14:ligatures w14:val="none"/>
        </w:rPr>
        <w:t xml:space="preserve"> These models allowed</w:t>
      </w:r>
      <w:r w:rsidR="005220F2">
        <w:rPr>
          <w:rFonts w:asciiTheme="majorBidi" w:eastAsia="Times New Roman" w:hAnsiTheme="majorBidi" w:cstheme="majorBidi"/>
          <w:kern w:val="0"/>
          <w:szCs w:val="24"/>
          <w:lang w:eastAsia="en-GB"/>
          <w14:ligatures w14:val="none"/>
        </w:rPr>
        <w:t xml:space="preserve"> us</w:t>
      </w:r>
      <w:r>
        <w:rPr>
          <w:rFonts w:asciiTheme="majorBidi" w:eastAsia="Times New Roman" w:hAnsiTheme="majorBidi" w:cstheme="majorBidi"/>
          <w:kern w:val="0"/>
          <w:szCs w:val="24"/>
          <w:lang w:eastAsia="en-GB"/>
          <w14:ligatures w14:val="none"/>
        </w:rPr>
        <w:t xml:space="preserve"> to investigate the possible association of wellbeing washing </w:t>
      </w:r>
      <w:r w:rsidR="00945BDB">
        <w:rPr>
          <w:rFonts w:asciiTheme="majorBidi" w:eastAsia="Times New Roman" w:hAnsiTheme="majorBidi" w:cstheme="majorBidi"/>
          <w:kern w:val="0"/>
          <w:szCs w:val="24"/>
          <w:lang w:eastAsia="en-GB"/>
          <w14:ligatures w14:val="none"/>
        </w:rPr>
        <w:t>with market value.</w:t>
      </w:r>
    </w:p>
    <w:p w14:paraId="47CCCD62" w14:textId="641D7504" w:rsidR="003B1365" w:rsidRPr="009232AD" w:rsidRDefault="003B1365" w:rsidP="00FA5E92">
      <w:pPr>
        <w:pStyle w:val="Heading1"/>
      </w:pPr>
      <w:r w:rsidRPr="009232AD">
        <w:t>Results</w:t>
      </w:r>
    </w:p>
    <w:p w14:paraId="65155989" w14:textId="3EDAC5F5" w:rsidR="00BA5574" w:rsidRPr="009232AD" w:rsidRDefault="0032495D" w:rsidP="00FA5E92">
      <w:pPr>
        <w:pStyle w:val="Heading2"/>
      </w:pPr>
      <w:r w:rsidRPr="009232AD">
        <w:t>Preliminary and descriptive analysis</w:t>
      </w:r>
    </w:p>
    <w:p w14:paraId="455DFC60" w14:textId="286AB64A" w:rsidR="00051CFF" w:rsidRPr="009232AD" w:rsidRDefault="00C03937" w:rsidP="00E45D93">
      <w:pPr>
        <w:jc w:val="both"/>
      </w:pPr>
      <w:r w:rsidRPr="009232AD">
        <w:t xml:space="preserve">Table </w:t>
      </w:r>
      <w:r w:rsidR="002B51D7" w:rsidRPr="009232AD">
        <w:t xml:space="preserve">1 </w:t>
      </w:r>
      <w:r w:rsidRPr="009232AD">
        <w:t>reports the</w:t>
      </w:r>
      <w:r w:rsidRPr="009232AD">
        <w:rPr>
          <w:rStyle w:val="Heading1Char"/>
          <w:rFonts w:asciiTheme="majorBidi" w:hAnsiTheme="majorBidi"/>
          <w:szCs w:val="24"/>
        </w:rPr>
        <w:t xml:space="preserve"> </w:t>
      </w:r>
      <w:r w:rsidRPr="009232AD">
        <w:rPr>
          <w:rStyle w:val="fontstyle01"/>
          <w:rFonts w:asciiTheme="majorBidi" w:hAnsiTheme="majorBidi" w:cstheme="majorBidi"/>
          <w:sz w:val="24"/>
          <w:szCs w:val="24"/>
        </w:rPr>
        <w:t>descriptive statistics and correlations</w:t>
      </w:r>
      <w:r w:rsidR="0084598B" w:rsidRPr="009232AD">
        <w:rPr>
          <w:color w:val="000000"/>
        </w:rPr>
        <w:t xml:space="preserve"> </w:t>
      </w:r>
      <w:r w:rsidRPr="009232AD">
        <w:rPr>
          <w:rStyle w:val="fontstyle01"/>
          <w:rFonts w:asciiTheme="majorBidi" w:hAnsiTheme="majorBidi" w:cstheme="majorBidi"/>
          <w:sz w:val="24"/>
          <w:szCs w:val="24"/>
        </w:rPr>
        <w:t>of the variables in this study</w:t>
      </w:r>
      <w:r w:rsidRPr="009232AD">
        <w:t xml:space="preserve">. </w:t>
      </w:r>
      <w:r w:rsidR="00051CFF" w:rsidRPr="009232AD">
        <w:t xml:space="preserve">The statistical data presented in this analysis is derived exclusively from reviews provided by current employees. The obtained mean value for the variable </w:t>
      </w:r>
      <w:r w:rsidR="0051322D" w:rsidRPr="00A40502">
        <w:t>o</w:t>
      </w:r>
      <w:r w:rsidR="00051CFF" w:rsidRPr="00A40502">
        <w:t>verall</w:t>
      </w:r>
      <w:r w:rsidR="0051322D" w:rsidRPr="00A40502">
        <w:t xml:space="preserve"> r</w:t>
      </w:r>
      <w:r w:rsidR="00051CFF" w:rsidRPr="00A40502">
        <w:t>ating</w:t>
      </w:r>
      <w:r w:rsidR="00051CFF" w:rsidRPr="009232AD">
        <w:t xml:space="preserve"> </w:t>
      </w:r>
      <w:r w:rsidR="0051322D">
        <w:t xml:space="preserve">was </w:t>
      </w:r>
      <w:r w:rsidR="00051CFF" w:rsidRPr="009232AD">
        <w:t xml:space="preserve">3.902. This value is close to the one found by </w:t>
      </w:r>
      <w:proofErr w:type="spellStart"/>
      <w:r w:rsidR="00051CFF" w:rsidRPr="009232AD">
        <w:t>Kyiu</w:t>
      </w:r>
      <w:proofErr w:type="spellEnd"/>
      <w:r w:rsidR="00051CFF" w:rsidRPr="009232AD">
        <w:t xml:space="preserve"> et al. (2023), who reported an average overall rating of 3.340 for employee reviews within the S&amp;P 500. Approximately 2</w:t>
      </w:r>
      <w:r w:rsidR="00921180">
        <w:t xml:space="preserve">% </w:t>
      </w:r>
      <w:r w:rsidR="00051CFF" w:rsidRPr="009232AD">
        <w:t>of the words in ESG reports match</w:t>
      </w:r>
      <w:r w:rsidR="00921180">
        <w:t>ed</w:t>
      </w:r>
      <w:r w:rsidR="00051CFF" w:rsidRPr="009232AD">
        <w:t xml:space="preserve"> with our wellbeing dictionary. </w:t>
      </w:r>
      <w:r w:rsidR="00921180">
        <w:t>This</w:t>
      </w:r>
      <w:r w:rsidR="00921180" w:rsidRPr="009232AD">
        <w:t xml:space="preserve"> </w:t>
      </w:r>
      <w:r w:rsidR="00051CFF" w:rsidRPr="009232AD">
        <w:t>is close to Baier et al. (2020), who conduct</w:t>
      </w:r>
      <w:r w:rsidR="00DD2B4F">
        <w:t>ed</w:t>
      </w:r>
      <w:r w:rsidR="00051CFF" w:rsidRPr="009232AD">
        <w:t xml:space="preserve"> a textual analysis on 10-K reports from 25 </w:t>
      </w:r>
      <w:r w:rsidR="004848DD">
        <w:t>organisation</w:t>
      </w:r>
      <w:r w:rsidR="0019217D">
        <w:t>s</w:t>
      </w:r>
      <w:r w:rsidR="00051CFF" w:rsidRPr="009232AD">
        <w:t>.</w:t>
      </w:r>
    </w:p>
    <w:p w14:paraId="1B65A1C4" w14:textId="5659B7CD" w:rsidR="00C03937" w:rsidRPr="009232AD" w:rsidRDefault="00921180" w:rsidP="00E45D93">
      <w:pPr>
        <w:jc w:val="both"/>
      </w:pPr>
      <w:r>
        <w:t>As shown,</w:t>
      </w:r>
      <w:r w:rsidR="00C03937" w:rsidRPr="009232AD">
        <w:t xml:space="preserve"> </w:t>
      </w:r>
      <w:r>
        <w:t xml:space="preserve">we found a </w:t>
      </w:r>
      <w:r w:rsidR="00C03937" w:rsidRPr="009232AD">
        <w:t xml:space="preserve">significant positive correlation among </w:t>
      </w:r>
      <w:r>
        <w:t xml:space="preserve">the </w:t>
      </w:r>
      <w:r w:rsidR="00C03937" w:rsidRPr="009232AD">
        <w:t>different employee ratings</w:t>
      </w:r>
      <w:r w:rsidR="0051322D">
        <w:t>,</w:t>
      </w:r>
      <w:r w:rsidR="00C03937" w:rsidRPr="009232AD">
        <w:t xml:space="preserve"> </w:t>
      </w:r>
      <w:r w:rsidR="00C03937" w:rsidRPr="009232AD">
        <w:rPr>
          <w:rStyle w:val="Emphasis"/>
          <w:rFonts w:asciiTheme="majorBidi" w:hAnsiTheme="majorBidi" w:cstheme="majorBidi"/>
          <w:i w:val="0"/>
          <w:iCs w:val="0"/>
          <w:szCs w:val="24"/>
        </w:rPr>
        <w:t>indicating a consistent pattern in how employees view their work environment.</w:t>
      </w:r>
      <w:r w:rsidR="00FB1330" w:rsidRPr="009232AD">
        <w:rPr>
          <w:rStyle w:val="Emphasis"/>
          <w:rFonts w:asciiTheme="majorBidi" w:hAnsiTheme="majorBidi" w:cstheme="majorBidi"/>
          <w:i w:val="0"/>
          <w:iCs w:val="0"/>
          <w:szCs w:val="24"/>
        </w:rPr>
        <w:t xml:space="preserve"> </w:t>
      </w:r>
      <w:r w:rsidR="0051322D">
        <w:rPr>
          <w:rStyle w:val="Emphasis"/>
          <w:rFonts w:asciiTheme="majorBidi" w:hAnsiTheme="majorBidi" w:cstheme="majorBidi"/>
          <w:i w:val="0"/>
          <w:iCs w:val="0"/>
          <w:szCs w:val="24"/>
        </w:rPr>
        <w:t xml:space="preserve">We also found that the </w:t>
      </w:r>
      <w:r w:rsidR="0051322D">
        <w:t xml:space="preserve">employees’ Glassdoor </w:t>
      </w:r>
      <w:r w:rsidR="0051322D" w:rsidRPr="00FA5E92">
        <w:t>o</w:t>
      </w:r>
      <w:r w:rsidR="00051CFF" w:rsidRPr="00FA5E92">
        <w:t>verall</w:t>
      </w:r>
      <w:r w:rsidR="0051322D" w:rsidRPr="00FA5E92">
        <w:t xml:space="preserve"> r</w:t>
      </w:r>
      <w:r w:rsidR="00051CFF" w:rsidRPr="00FA5E92">
        <w:t>ating</w:t>
      </w:r>
      <w:r w:rsidR="0051322D">
        <w:t xml:space="preserve"> was negatively associated with </w:t>
      </w:r>
      <w:r w:rsidR="006803B9">
        <w:t xml:space="preserve">a </w:t>
      </w:r>
      <w:r w:rsidR="0051322D">
        <w:t>number of wellbeing found in the ESG reports</w:t>
      </w:r>
      <w:r w:rsidR="00C03937" w:rsidRPr="009232AD">
        <w:t xml:space="preserve">. This indicates that higher disclosure of employees’ wellbeing in ESG reports is not aligned with better employee perceptions, per Glassdoor ratings, and suggests that </w:t>
      </w:r>
      <w:r w:rsidR="004848DD">
        <w:t>organisation</w:t>
      </w:r>
      <w:r w:rsidR="0019217D">
        <w:t>s</w:t>
      </w:r>
      <w:r w:rsidR="00C03937" w:rsidRPr="009232AD">
        <w:t xml:space="preserve"> behave in a way consistent with wellbeing washing. This is our first insight into the association predicted in the hypothesis, for which we present multivariate tests in the next section</w:t>
      </w:r>
      <w:r w:rsidR="00B40288">
        <w:t xml:space="preserve"> (</w:t>
      </w:r>
      <w:r w:rsidR="002D42A3">
        <w:t>s</w:t>
      </w:r>
      <w:r w:rsidR="00B40288">
        <w:t>ee Table 2 of the online appendix for more information about the descriptive).</w:t>
      </w:r>
    </w:p>
    <w:p w14:paraId="066E2FB7" w14:textId="76F57DEA" w:rsidR="00324ABF" w:rsidRDefault="0084598B" w:rsidP="00FA5E92">
      <w:pPr>
        <w:pStyle w:val="Heading2"/>
      </w:pPr>
      <w:r w:rsidRPr="009232AD">
        <w:t>Multivariate tests</w:t>
      </w:r>
    </w:p>
    <w:p w14:paraId="46EA3DD1" w14:textId="50A415D4" w:rsidR="00CE53A6" w:rsidRDefault="00CE53A6" w:rsidP="00A75CF8">
      <w:pPr>
        <w:jc w:val="both"/>
      </w:pPr>
      <w:r>
        <w:t xml:space="preserve">In the analysis shown in </w:t>
      </w:r>
      <w:r w:rsidR="001570C4">
        <w:t>T</w:t>
      </w:r>
      <w:r>
        <w:t xml:space="preserve">able 2, we found a consistent negative association between </w:t>
      </w:r>
      <w:r w:rsidR="004848DD">
        <w:t>organisation</w:t>
      </w:r>
      <w:r>
        <w:t xml:space="preserve">s’ ESG wellbeing disclosures and employees' ratings on Glassdoor. Specifically, </w:t>
      </w:r>
      <w:r w:rsidRPr="00160FAB">
        <w:t>columns 2, 3, 4, and 6</w:t>
      </w:r>
      <w:r>
        <w:t xml:space="preserve"> show significant negative coefficients across the board. This suggests that higher levels of wellbeing disclosure are often met with less favourable employee </w:t>
      </w:r>
      <w:r>
        <w:lastRenderedPageBreak/>
        <w:t xml:space="preserve">perceptions. </w:t>
      </w:r>
      <w:r w:rsidRPr="00160FAB">
        <w:t xml:space="preserve">This misalignment suggests a violation of legitimacy theory, where the inconsistency between the </w:t>
      </w:r>
      <w:r w:rsidR="004848DD">
        <w:t>organisation</w:t>
      </w:r>
      <w:r w:rsidRPr="00160FAB">
        <w:t>'s claims and the employees' perceptions indicate</w:t>
      </w:r>
      <w:r w:rsidR="00E930AA">
        <w:t>s</w:t>
      </w:r>
      <w:r w:rsidRPr="00160FAB">
        <w:t xml:space="preserve"> that </w:t>
      </w:r>
      <w:r w:rsidR="009B53B3">
        <w:t xml:space="preserve">the </w:t>
      </w:r>
      <w:r w:rsidR="004848DD">
        <w:t>organisation</w:t>
      </w:r>
      <w:r w:rsidRPr="00160FAB">
        <w:t xml:space="preserve"> is failing to meet societal norms and values. The legitimacy of the organisation is undermined by this disparity since employees started to doubt the sincerity and reliability of the organisation's stated commitments to their wellbeing. </w:t>
      </w:r>
      <w:r>
        <w:t xml:space="preserve">Interestingly, </w:t>
      </w:r>
      <w:r w:rsidR="004848DD">
        <w:t>organisation</w:t>
      </w:r>
      <w:r>
        <w:t xml:space="preserve">s’ disclosure related to </w:t>
      </w:r>
      <w:proofErr w:type="spellStart"/>
      <w:r>
        <w:t>MentalHealth_ESG</w:t>
      </w:r>
      <w:proofErr w:type="spellEnd"/>
      <w:r>
        <w:t xml:space="preserve"> stands out as the only dimension not significantly associated with Glassdoor ratings. </w:t>
      </w:r>
    </w:p>
    <w:p w14:paraId="23524961" w14:textId="3A3D99F2" w:rsidR="00CE53A6" w:rsidRDefault="00CE53A6" w:rsidP="001570C4">
      <w:pPr>
        <w:jc w:val="both"/>
      </w:pPr>
      <w:r w:rsidRPr="00160FAB">
        <w:t xml:space="preserve">In all columns control variables mostly show a negative association with the dependent variables except for Cash, which shows a positive and significant association in </w:t>
      </w:r>
      <w:r>
        <w:t>columns</w:t>
      </w:r>
      <w:r w:rsidRPr="00160FAB">
        <w:t xml:space="preserve"> 1,5 and 6. That means </w:t>
      </w:r>
      <w:r w:rsidR="004848DD">
        <w:t>organisation</w:t>
      </w:r>
      <w:r w:rsidR="0019217D">
        <w:t>s</w:t>
      </w:r>
      <w:r w:rsidRPr="00160FAB">
        <w:t xml:space="preserve"> with high liquidity get more </w:t>
      </w:r>
      <w:r>
        <w:t>favo</w:t>
      </w:r>
      <w:r w:rsidR="00EF712A">
        <w:t>u</w:t>
      </w:r>
      <w:r>
        <w:t>rable</w:t>
      </w:r>
      <w:r w:rsidRPr="00160FAB">
        <w:t xml:space="preserve"> ratings</w:t>
      </w:r>
      <w:r w:rsidR="00EF712A">
        <w:t>.</w:t>
      </w:r>
    </w:p>
    <w:p w14:paraId="1F159A6E" w14:textId="20625624" w:rsidR="000872B9" w:rsidRPr="009232AD" w:rsidRDefault="007427B8" w:rsidP="0067079E">
      <w:pPr>
        <w:jc w:val="both"/>
      </w:pPr>
      <w:r w:rsidRPr="009232AD">
        <w:t xml:space="preserve">In the first two models, the ICC is more than 0.10, which means the proportion of the total variance between </w:t>
      </w:r>
      <w:r w:rsidR="004848DD">
        <w:t>organisation</w:t>
      </w:r>
      <w:r w:rsidR="0019217D">
        <w:t>s</w:t>
      </w:r>
      <w:r w:rsidR="0019217D" w:rsidRPr="009232AD">
        <w:t xml:space="preserve"> </w:t>
      </w:r>
      <w:r w:rsidRPr="009232AD">
        <w:t>or employees’ reviews variance.</w:t>
      </w:r>
      <w:r w:rsidR="00051CFF" w:rsidRPr="009232AD">
        <w:t xml:space="preserve"> The ICC ranges typically from 0 to 1; however, according to Robson and </w:t>
      </w:r>
      <w:proofErr w:type="spellStart"/>
      <w:r w:rsidR="00051CFF" w:rsidRPr="009232AD">
        <w:t>Pevalin</w:t>
      </w:r>
      <w:proofErr w:type="spellEnd"/>
      <w:r w:rsidR="00051CFF" w:rsidRPr="009232AD">
        <w:t xml:space="preserve"> (2015), multilevel models with ICCs lower than 0.10 have been published. </w:t>
      </w:r>
      <w:proofErr w:type="spellStart"/>
      <w:r w:rsidR="00051CFF" w:rsidRPr="009232AD">
        <w:t>Nezlek</w:t>
      </w:r>
      <w:proofErr w:type="spellEnd"/>
      <w:r w:rsidR="00051CFF" w:rsidRPr="009232AD">
        <w:t xml:space="preserve"> (2008) cautions against relying solely on a low ICC value as a justification for not employing multilevel modelling. Instead, </w:t>
      </w:r>
      <w:proofErr w:type="spellStart"/>
      <w:r w:rsidR="00051CFF" w:rsidRPr="009232AD">
        <w:t>Nezlek</w:t>
      </w:r>
      <w:proofErr w:type="spellEnd"/>
      <w:r w:rsidR="00051CFF" w:rsidRPr="009232AD">
        <w:t xml:space="preserve"> recommends researchers focus on the underlying data structure when determining the appropriateness of multilevel modelling rather than relying solely on the ICC value. </w:t>
      </w:r>
    </w:p>
    <w:p w14:paraId="264B84AA" w14:textId="43FDE384" w:rsidR="00051CFF" w:rsidRPr="009232AD" w:rsidRDefault="004F2C04" w:rsidP="001570C4">
      <w:pPr>
        <w:jc w:val="both"/>
      </w:pPr>
      <w:r w:rsidRPr="004F2C04">
        <w:t>We calculated the t-tests to assess the differences in means</w:t>
      </w:r>
      <w:r w:rsidR="003F4166">
        <w:t xml:space="preserve"> of the variables by year and </w:t>
      </w:r>
      <w:r w:rsidR="002833FD">
        <w:t xml:space="preserve">t-test </w:t>
      </w:r>
      <w:r w:rsidRPr="004F2C04">
        <w:t xml:space="preserve">between current and former </w:t>
      </w:r>
      <w:r w:rsidR="006224E0">
        <w:t>employees</w:t>
      </w:r>
      <w:r>
        <w:t xml:space="preserve"> (</w:t>
      </w:r>
      <w:r w:rsidR="006224E0">
        <w:t>see Table 3</w:t>
      </w:r>
      <w:r w:rsidR="00B710AF">
        <w:t>-Panel A and B-</w:t>
      </w:r>
      <w:r w:rsidR="006224E0">
        <w:t xml:space="preserve"> in the online appendix). Therefore,</w:t>
      </w:r>
      <w:r>
        <w:t xml:space="preserve"> </w:t>
      </w:r>
      <w:r w:rsidR="006224E0">
        <w:t>a</w:t>
      </w:r>
      <w:r w:rsidR="00051CFF" w:rsidRPr="009232AD">
        <w:t xml:space="preserve">s </w:t>
      </w:r>
      <w:r w:rsidR="006224E0">
        <w:t xml:space="preserve">an </w:t>
      </w:r>
      <w:r w:rsidR="00051CFF" w:rsidRPr="009232AD">
        <w:t>additional analysis</w:t>
      </w:r>
      <w:r w:rsidR="000872B9">
        <w:t>,</w:t>
      </w:r>
      <w:r w:rsidR="00051CFF" w:rsidRPr="009232AD">
        <w:t xml:space="preserve"> we examined the association between </w:t>
      </w:r>
      <w:r w:rsidR="004848DD">
        <w:rPr>
          <w:lang w:eastAsia="en-GB"/>
        </w:rPr>
        <w:t>organisation</w:t>
      </w:r>
      <w:r w:rsidR="00600461" w:rsidRPr="009232AD">
        <w:t>s</w:t>
      </w:r>
      <w:r w:rsidR="00600461">
        <w:t>’</w:t>
      </w:r>
      <w:r w:rsidR="00051CFF" w:rsidRPr="009232AD">
        <w:t xml:space="preserve"> </w:t>
      </w:r>
      <w:r w:rsidR="00F02FAC">
        <w:t>w</w:t>
      </w:r>
      <w:r w:rsidR="00051CFF" w:rsidRPr="009232AD">
        <w:t xml:space="preserve">ellbeing disclosures and the ratings of </w:t>
      </w:r>
      <w:r w:rsidR="004848DD">
        <w:rPr>
          <w:lang w:eastAsia="en-GB"/>
        </w:rPr>
        <w:t>organisation</w:t>
      </w:r>
      <w:r w:rsidR="00600461" w:rsidRPr="009232AD">
        <w:t>s</w:t>
      </w:r>
      <w:r w:rsidR="00051CFF" w:rsidRPr="009232AD">
        <w:t xml:space="preserve"> by former employees on Glassdoor. In </w:t>
      </w:r>
      <w:r w:rsidR="00220977">
        <w:t>T</w:t>
      </w:r>
      <w:r w:rsidR="00051CFF" w:rsidRPr="009232AD">
        <w:t>able 4 of the online appendix, we re</w:t>
      </w:r>
      <w:r w:rsidR="00220977">
        <w:t>-</w:t>
      </w:r>
      <w:r w:rsidR="00051CFF" w:rsidRPr="009232AD">
        <w:t xml:space="preserve">estimated our hypothesis </w:t>
      </w:r>
      <w:r w:rsidR="00A45140">
        <w:t>and the</w:t>
      </w:r>
      <w:r w:rsidR="00051CFF" w:rsidRPr="009232AD">
        <w:t xml:space="preserve"> results suggested that while there are some associations between </w:t>
      </w:r>
      <w:r w:rsidR="004848DD">
        <w:rPr>
          <w:lang w:eastAsia="en-GB"/>
        </w:rPr>
        <w:t>organisation</w:t>
      </w:r>
      <w:r w:rsidR="00F02FAC" w:rsidRPr="009232AD">
        <w:t>s</w:t>
      </w:r>
      <w:r w:rsidR="00F02FAC">
        <w:t>'</w:t>
      </w:r>
      <w:r w:rsidR="00051CFF" w:rsidRPr="009232AD">
        <w:t xml:space="preserve"> wellbeing disclosures and former employees’ ratings on Glassdoor, these associations are generally weak. This might indicate that </w:t>
      </w:r>
      <w:r w:rsidR="001F4CA2">
        <w:t>wellbeing</w:t>
      </w:r>
      <w:r w:rsidR="00051CFF" w:rsidRPr="009232AD">
        <w:t xml:space="preserve"> factors captured in </w:t>
      </w:r>
      <w:r w:rsidR="004848DD">
        <w:rPr>
          <w:lang w:eastAsia="en-GB"/>
        </w:rPr>
        <w:t>organisation</w:t>
      </w:r>
      <w:r w:rsidR="00051CFF" w:rsidRPr="009232AD">
        <w:t xml:space="preserve"> disclosures are not directly associated </w:t>
      </w:r>
      <w:r w:rsidR="00051CFF" w:rsidRPr="009232AD">
        <w:lastRenderedPageBreak/>
        <w:t xml:space="preserve">with how former employees perceive the </w:t>
      </w:r>
      <w:r w:rsidR="004848DD">
        <w:rPr>
          <w:lang w:eastAsia="en-GB"/>
        </w:rPr>
        <w:t>organisation</w:t>
      </w:r>
      <w:r w:rsidR="004761A4" w:rsidRPr="009232AD">
        <w:t>s</w:t>
      </w:r>
      <w:r w:rsidR="00051CFF" w:rsidRPr="009232AD">
        <w:t xml:space="preserve"> in various dimensions. It could also suggest that former employees’ perceptions are influenced by broader factors beyond what is typically reported in ESG</w:t>
      </w:r>
      <w:r w:rsidR="00606DA1">
        <w:t xml:space="preserve"> reports</w:t>
      </w:r>
      <w:r w:rsidR="00051CFF" w:rsidRPr="009232AD">
        <w:t xml:space="preserve">. The perception of employees’ ratings by former employees could be less directly related to current wellbeing disclosures by </w:t>
      </w:r>
      <w:r w:rsidR="004848DD">
        <w:rPr>
          <w:lang w:eastAsia="en-GB"/>
        </w:rPr>
        <w:t>organisation</w:t>
      </w:r>
      <w:r w:rsidR="00606DA1" w:rsidRPr="009232AD">
        <w:t>s</w:t>
      </w:r>
      <w:r w:rsidR="00051CFF" w:rsidRPr="009232AD">
        <w:t xml:space="preserve"> in their ESG reports and more reflective of past experiences.</w:t>
      </w:r>
      <w:r w:rsidR="00FB1330" w:rsidRPr="009232AD">
        <w:t xml:space="preserve"> </w:t>
      </w:r>
    </w:p>
    <w:p w14:paraId="7354CA74" w14:textId="58EC240D" w:rsidR="00051CFF" w:rsidRPr="009232AD" w:rsidRDefault="00051CFF" w:rsidP="00FA5E92">
      <w:pPr>
        <w:pStyle w:val="Heading2"/>
      </w:pPr>
      <w:r w:rsidRPr="009232AD">
        <w:t>Market reaction to w</w:t>
      </w:r>
      <w:r w:rsidR="009807F6" w:rsidRPr="009232AD">
        <w:t>e</w:t>
      </w:r>
      <w:r w:rsidRPr="009232AD">
        <w:t>llbeing washing</w:t>
      </w:r>
    </w:p>
    <w:p w14:paraId="64F83D94" w14:textId="3A9895EB" w:rsidR="00A74AC9" w:rsidRPr="009232AD" w:rsidRDefault="008A1DFF" w:rsidP="009872C1">
      <w:pPr>
        <w:jc w:val="both"/>
        <w:rPr>
          <w:lang w:eastAsia="en-GB"/>
        </w:rPr>
      </w:pPr>
      <w:r w:rsidRPr="007221C5">
        <w:t xml:space="preserve">Table 3 shows the analysis </w:t>
      </w:r>
      <w:r>
        <w:t>of</w:t>
      </w:r>
      <w:r w:rsidR="00E31567">
        <w:t xml:space="preserve"> </w:t>
      </w:r>
      <w:r w:rsidRPr="007221C5">
        <w:t xml:space="preserve">market reactions to </w:t>
      </w:r>
      <w:r w:rsidR="004848DD">
        <w:rPr>
          <w:lang w:eastAsia="en-GB"/>
        </w:rPr>
        <w:t>organisation</w:t>
      </w:r>
      <w:r w:rsidR="00F17BF5" w:rsidRPr="009232AD">
        <w:t>s</w:t>
      </w:r>
      <w:r w:rsidRPr="007221C5">
        <w:t xml:space="preserve">' wellbeing disclosures and employee ratings on Glassdoor. </w:t>
      </w:r>
      <w:r w:rsidR="00CF3D63" w:rsidRPr="00CF3D63">
        <w:t xml:space="preserve">Additional statistical data supporting these findings can be found in </w:t>
      </w:r>
      <w:r w:rsidR="00A275C1">
        <w:t>Table</w:t>
      </w:r>
      <w:r w:rsidR="00CF3D63" w:rsidRPr="00CF3D63">
        <w:t xml:space="preserve"> 3 Panel C included in the online </w:t>
      </w:r>
      <w:r w:rsidR="00A275C1">
        <w:t>A</w:t>
      </w:r>
      <w:r w:rsidR="00CF3D63" w:rsidRPr="00CF3D63">
        <w:t>ppendix.</w:t>
      </w:r>
      <w:r w:rsidR="00CF3D63" w:rsidRPr="007221C5">
        <w:t xml:space="preserve"> The</w:t>
      </w:r>
      <w:r w:rsidRPr="007221C5">
        <w:t xml:space="preserve"> sample of 100 </w:t>
      </w:r>
      <w:r w:rsidR="004848DD">
        <w:t>organisation</w:t>
      </w:r>
      <w:r w:rsidRPr="007221C5">
        <w:t>s for the years 2018 to 2022 was divided into four groups</w:t>
      </w:r>
      <w:r w:rsidR="00D642F0">
        <w:t xml:space="preserve"> (LL,</w:t>
      </w:r>
      <w:r w:rsidR="00A7180E">
        <w:t xml:space="preserve"> </w:t>
      </w:r>
      <w:r w:rsidR="00D642F0">
        <w:t xml:space="preserve">HH, </w:t>
      </w:r>
      <w:r w:rsidR="00A7180E">
        <w:t>HL, and LH)</w:t>
      </w:r>
      <w:r>
        <w:t xml:space="preserve">. </w:t>
      </w:r>
      <w:r w:rsidRPr="007221C5">
        <w:t xml:space="preserve"> </w:t>
      </w:r>
      <w:r>
        <w:rPr>
          <w:lang w:eastAsia="en-GB"/>
        </w:rPr>
        <w:t>R</w:t>
      </w:r>
      <w:r w:rsidRPr="009232AD">
        <w:rPr>
          <w:lang w:eastAsia="en-GB"/>
        </w:rPr>
        <w:t xml:space="preserve">esults </w:t>
      </w:r>
      <w:r>
        <w:rPr>
          <w:lang w:eastAsia="en-GB"/>
        </w:rPr>
        <w:t xml:space="preserve">of the regressions on </w:t>
      </w:r>
      <w:r w:rsidR="00A17D0C">
        <w:rPr>
          <w:lang w:eastAsia="en-GB"/>
        </w:rPr>
        <w:t xml:space="preserve">Tobin’s </w:t>
      </w:r>
      <w:r>
        <w:rPr>
          <w:lang w:eastAsia="en-GB"/>
        </w:rPr>
        <w:t xml:space="preserve">Q </w:t>
      </w:r>
      <w:r w:rsidR="00A17D0C">
        <w:rPr>
          <w:lang w:eastAsia="en-GB"/>
        </w:rPr>
        <w:t>in column 1</w:t>
      </w:r>
      <w:r w:rsidR="00A17D0C" w:rsidRPr="00A17D0C">
        <w:rPr>
          <w:lang w:eastAsia="en-GB"/>
        </w:rPr>
        <w:t xml:space="preserve"> </w:t>
      </w:r>
      <w:r>
        <w:rPr>
          <w:lang w:eastAsia="en-GB"/>
        </w:rPr>
        <w:t>using Group LL as the referent group (</w:t>
      </w:r>
      <w:r w:rsidR="004848DD">
        <w:t>organisation</w:t>
      </w:r>
      <w:r w:rsidR="0019217D">
        <w:t>s</w:t>
      </w:r>
      <w:r>
        <w:rPr>
          <w:lang w:eastAsia="en-GB"/>
        </w:rPr>
        <w:t xml:space="preserve"> with low wellbeing disclosure and low Glassdoor rating) support our hypotheses. Both </w:t>
      </w:r>
      <w:r w:rsidR="004848DD">
        <w:rPr>
          <w:lang w:eastAsia="en-GB"/>
        </w:rPr>
        <w:t>organisation</w:t>
      </w:r>
      <w:r w:rsidR="004D7296" w:rsidRPr="009232AD">
        <w:t>s</w:t>
      </w:r>
      <w:r w:rsidRPr="009232AD">
        <w:rPr>
          <w:lang w:eastAsia="en-GB"/>
        </w:rPr>
        <w:t xml:space="preserve"> with high disclosure and </w:t>
      </w:r>
      <w:r>
        <w:rPr>
          <w:lang w:eastAsia="en-GB"/>
        </w:rPr>
        <w:t xml:space="preserve">high </w:t>
      </w:r>
      <w:r w:rsidRPr="009232AD">
        <w:rPr>
          <w:lang w:eastAsia="en-GB"/>
        </w:rPr>
        <w:t>ratings (H</w:t>
      </w:r>
      <w:r>
        <w:rPr>
          <w:lang w:eastAsia="en-GB"/>
        </w:rPr>
        <w:t>H</w:t>
      </w:r>
      <w:r w:rsidRPr="009232AD">
        <w:rPr>
          <w:lang w:eastAsia="en-GB"/>
        </w:rPr>
        <w:t xml:space="preserve">) </w:t>
      </w:r>
      <w:r>
        <w:rPr>
          <w:lang w:eastAsia="en-GB"/>
        </w:rPr>
        <w:t xml:space="preserve">and </w:t>
      </w:r>
      <w:r w:rsidR="004848DD">
        <w:rPr>
          <w:lang w:eastAsia="en-GB"/>
        </w:rPr>
        <w:t>organisation</w:t>
      </w:r>
      <w:r w:rsidR="004D7296" w:rsidRPr="009232AD">
        <w:t>s</w:t>
      </w:r>
      <w:r>
        <w:rPr>
          <w:lang w:eastAsia="en-GB"/>
        </w:rPr>
        <w:t xml:space="preserve"> with </w:t>
      </w:r>
      <w:r w:rsidRPr="009232AD">
        <w:rPr>
          <w:lang w:eastAsia="en-GB"/>
        </w:rPr>
        <w:t xml:space="preserve">high disclosure and low ratings (HL) showed a significant positive coefficient </w:t>
      </w:r>
      <w:r>
        <w:rPr>
          <w:lang w:eastAsia="en-GB"/>
        </w:rPr>
        <w:t>on Tobin’s Q above and beyond the effect of the control variables</w:t>
      </w:r>
      <w:r w:rsidR="001606B7">
        <w:rPr>
          <w:lang w:eastAsia="en-GB"/>
        </w:rPr>
        <w:t xml:space="preserve">. </w:t>
      </w:r>
      <w:r>
        <w:rPr>
          <w:lang w:eastAsia="en-GB"/>
        </w:rPr>
        <w:t xml:space="preserve">Results also showed that </w:t>
      </w:r>
      <w:r w:rsidR="004848DD">
        <w:rPr>
          <w:lang w:eastAsia="en-GB"/>
        </w:rPr>
        <w:t>organisation</w:t>
      </w:r>
      <w:r w:rsidR="00A806E1" w:rsidRPr="009232AD">
        <w:t>s</w:t>
      </w:r>
      <w:r w:rsidR="00A806E1">
        <w:rPr>
          <w:lang w:eastAsia="en-GB"/>
        </w:rPr>
        <w:t xml:space="preserve"> </w:t>
      </w:r>
      <w:r>
        <w:rPr>
          <w:lang w:eastAsia="en-GB"/>
        </w:rPr>
        <w:t>with low wellbeing disclosure and high employee ratings ha</w:t>
      </w:r>
      <w:r w:rsidR="00A806E1">
        <w:rPr>
          <w:lang w:eastAsia="en-GB"/>
        </w:rPr>
        <w:t>ve</w:t>
      </w:r>
      <w:r>
        <w:rPr>
          <w:lang w:eastAsia="en-GB"/>
        </w:rPr>
        <w:t xml:space="preserve"> a negative effect on Tobin’s Q.</w:t>
      </w:r>
      <w:r w:rsidRPr="009232AD">
        <w:rPr>
          <w:lang w:eastAsia="en-GB"/>
        </w:rPr>
        <w:t xml:space="preserve"> </w:t>
      </w:r>
      <w:r w:rsidR="00E3690B">
        <w:rPr>
          <w:lang w:eastAsia="en-GB"/>
        </w:rPr>
        <w:t xml:space="preserve"> </w:t>
      </w:r>
      <w:r w:rsidR="00A74AC9" w:rsidRPr="00A74AC9">
        <w:rPr>
          <w:lang w:eastAsia="en-GB"/>
        </w:rPr>
        <w:t xml:space="preserve">Column 2 of </w:t>
      </w:r>
      <w:r w:rsidR="00A33CE3">
        <w:rPr>
          <w:lang w:eastAsia="en-GB"/>
        </w:rPr>
        <w:t xml:space="preserve"> </w:t>
      </w:r>
      <w:r w:rsidR="00A74AC9" w:rsidRPr="00A74AC9">
        <w:rPr>
          <w:lang w:eastAsia="en-GB"/>
        </w:rPr>
        <w:t xml:space="preserve">Table 3 presents the results of regressions on Tobin’s Q using </w:t>
      </w:r>
      <w:r w:rsidR="004848DD">
        <w:rPr>
          <w:lang w:eastAsia="en-GB"/>
        </w:rPr>
        <w:t>organisation</w:t>
      </w:r>
      <w:r w:rsidR="00DC1C7F" w:rsidRPr="009232AD">
        <w:t>s</w:t>
      </w:r>
      <w:r w:rsidR="00DC1C7F" w:rsidRPr="00A74AC9">
        <w:rPr>
          <w:lang w:eastAsia="en-GB"/>
        </w:rPr>
        <w:t xml:space="preserve"> </w:t>
      </w:r>
      <w:r w:rsidR="00A74AC9" w:rsidRPr="00A74AC9">
        <w:rPr>
          <w:lang w:eastAsia="en-GB"/>
        </w:rPr>
        <w:t>with high wellbeing disclosure and high Glassdoor ratings (HH) as the refe</w:t>
      </w:r>
      <w:r w:rsidR="003B7879">
        <w:rPr>
          <w:lang w:eastAsia="en-GB"/>
        </w:rPr>
        <w:t xml:space="preserve">rent </w:t>
      </w:r>
      <w:r w:rsidR="00A74AC9" w:rsidRPr="00A74AC9">
        <w:rPr>
          <w:lang w:eastAsia="en-GB"/>
        </w:rPr>
        <w:t>group.</w:t>
      </w:r>
      <w:r w:rsidR="00E3690B">
        <w:rPr>
          <w:lang w:eastAsia="en-GB"/>
        </w:rPr>
        <w:t xml:space="preserve"> </w:t>
      </w:r>
      <w:r w:rsidR="004848DD">
        <w:t>Organisation</w:t>
      </w:r>
      <w:r w:rsidR="0019217D">
        <w:t>s</w:t>
      </w:r>
      <w:r w:rsidR="00DB0880" w:rsidRPr="009232AD">
        <w:rPr>
          <w:lang w:eastAsia="en-GB"/>
        </w:rPr>
        <w:t xml:space="preserve"> with high disclosure and </w:t>
      </w:r>
      <w:r w:rsidR="00DB0880">
        <w:rPr>
          <w:lang w:eastAsia="en-GB"/>
        </w:rPr>
        <w:t xml:space="preserve">low </w:t>
      </w:r>
      <w:r w:rsidR="00DB0880" w:rsidRPr="009232AD">
        <w:rPr>
          <w:lang w:eastAsia="en-GB"/>
        </w:rPr>
        <w:t>ratings (H</w:t>
      </w:r>
      <w:r w:rsidR="00DB0880">
        <w:rPr>
          <w:lang w:eastAsia="en-GB"/>
        </w:rPr>
        <w:t>L</w:t>
      </w:r>
      <w:r w:rsidR="00DB0880" w:rsidRPr="009232AD">
        <w:rPr>
          <w:lang w:eastAsia="en-GB"/>
        </w:rPr>
        <w:t xml:space="preserve">) showed </w:t>
      </w:r>
      <w:r w:rsidR="00E3690B">
        <w:rPr>
          <w:lang w:eastAsia="en-GB"/>
        </w:rPr>
        <w:t xml:space="preserve">a </w:t>
      </w:r>
      <w:r w:rsidR="00F64DA4">
        <w:rPr>
          <w:lang w:eastAsia="en-GB"/>
        </w:rPr>
        <w:t>non-</w:t>
      </w:r>
      <w:r w:rsidR="00DB0880" w:rsidRPr="009232AD">
        <w:rPr>
          <w:lang w:eastAsia="en-GB"/>
        </w:rPr>
        <w:t xml:space="preserve">significant coefficient </w:t>
      </w:r>
      <w:r w:rsidR="00423ED4">
        <w:rPr>
          <w:lang w:eastAsia="en-GB"/>
        </w:rPr>
        <w:t xml:space="preserve">with </w:t>
      </w:r>
      <w:r w:rsidR="00DB0880">
        <w:rPr>
          <w:lang w:eastAsia="en-GB"/>
        </w:rPr>
        <w:t>Tobin’s Q</w:t>
      </w:r>
      <w:r w:rsidR="00A74AC9" w:rsidRPr="00A74AC9">
        <w:rPr>
          <w:lang w:eastAsia="en-GB"/>
        </w:rPr>
        <w:t xml:space="preserve">, indicating no statistically significant association with market valuation compared to the </w:t>
      </w:r>
      <w:r w:rsidR="00E3690B" w:rsidRPr="00A74AC9">
        <w:rPr>
          <w:lang w:eastAsia="en-GB"/>
        </w:rPr>
        <w:t>refe</w:t>
      </w:r>
      <w:r w:rsidR="00E3690B">
        <w:rPr>
          <w:lang w:eastAsia="en-GB"/>
        </w:rPr>
        <w:t xml:space="preserve">rent </w:t>
      </w:r>
      <w:r w:rsidR="00E3690B" w:rsidRPr="00A74AC9">
        <w:rPr>
          <w:lang w:eastAsia="en-GB"/>
        </w:rPr>
        <w:t>group</w:t>
      </w:r>
      <w:r w:rsidR="00E3690B">
        <w:rPr>
          <w:lang w:eastAsia="en-GB"/>
        </w:rPr>
        <w:t>.</w:t>
      </w:r>
    </w:p>
    <w:p w14:paraId="412C409E" w14:textId="77777777" w:rsidR="00051CFF" w:rsidRPr="009232AD" w:rsidRDefault="00051CFF" w:rsidP="00FA5E92">
      <w:pPr>
        <w:pStyle w:val="Heading1"/>
      </w:pPr>
      <w:r w:rsidRPr="009232AD">
        <w:t xml:space="preserve">Discussion </w:t>
      </w:r>
    </w:p>
    <w:p w14:paraId="59B7C5F6" w14:textId="5A6B0848" w:rsidR="00051CFF" w:rsidRDefault="00051CFF" w:rsidP="00040A49">
      <w:pPr>
        <w:jc w:val="both"/>
        <w:rPr>
          <w:rStyle w:val="fontstyle01"/>
          <w:rFonts w:asciiTheme="majorBidi" w:hAnsiTheme="majorBidi" w:cstheme="majorBidi"/>
          <w:sz w:val="24"/>
          <w:szCs w:val="24"/>
        </w:rPr>
      </w:pPr>
      <w:r w:rsidRPr="009232AD">
        <w:t xml:space="preserve">Based on more than 500,000 voices of employees (current and former), who work(ed) in the S&amp;P </w:t>
      </w:r>
      <w:r w:rsidR="002F0438">
        <w:t>1</w:t>
      </w:r>
      <w:r w:rsidRPr="009232AD">
        <w:t xml:space="preserve">00 from 2018 to 2022, we conducted an analysis that </w:t>
      </w:r>
      <w:r w:rsidR="0010753E">
        <w:t>highlights</w:t>
      </w:r>
      <w:r w:rsidR="0010753E" w:rsidRPr="009232AD">
        <w:t xml:space="preserve"> </w:t>
      </w:r>
      <w:r w:rsidRPr="009232AD">
        <w:t xml:space="preserve">the complex </w:t>
      </w:r>
      <w:r w:rsidR="0010753E" w:rsidRPr="009232AD">
        <w:t>association</w:t>
      </w:r>
      <w:r w:rsidR="0010753E">
        <w:t xml:space="preserve"> </w:t>
      </w:r>
      <w:r w:rsidRPr="009232AD">
        <w:t xml:space="preserve">between disclosures on </w:t>
      </w:r>
      <w:r w:rsidR="0010753E" w:rsidRPr="009232AD">
        <w:t>employees</w:t>
      </w:r>
      <w:r w:rsidR="0010753E">
        <w:t>’</w:t>
      </w:r>
      <w:r w:rsidR="0010753E" w:rsidRPr="009232AD">
        <w:t xml:space="preserve"> </w:t>
      </w:r>
      <w:r w:rsidRPr="009232AD">
        <w:t xml:space="preserve">wellbeing in ESG </w:t>
      </w:r>
      <w:r w:rsidR="0010753E" w:rsidRPr="009232AD">
        <w:t>reports</w:t>
      </w:r>
      <w:r w:rsidR="0010753E">
        <w:t xml:space="preserve"> </w:t>
      </w:r>
      <w:r w:rsidRPr="009232AD">
        <w:t xml:space="preserve">and </w:t>
      </w:r>
      <w:r w:rsidR="0010753E" w:rsidRPr="009232AD">
        <w:t>employees</w:t>
      </w:r>
      <w:r w:rsidR="0010753E">
        <w:t>’</w:t>
      </w:r>
      <w:r w:rsidR="0010753E" w:rsidRPr="009232AD">
        <w:t xml:space="preserve"> </w:t>
      </w:r>
      <w:r w:rsidRPr="009232AD">
        <w:t xml:space="preserve">perceptions on Glassdoor. The results suggested a mismatch between </w:t>
      </w:r>
      <w:r w:rsidR="004848DD">
        <w:rPr>
          <w:lang w:eastAsia="en-GB"/>
        </w:rPr>
        <w:t>organisation</w:t>
      </w:r>
      <w:r w:rsidR="002479D8" w:rsidRPr="009232AD">
        <w:t>s</w:t>
      </w:r>
      <w:r w:rsidRPr="009232AD">
        <w:t xml:space="preserve">’ wellbeing </w:t>
      </w:r>
      <w:r w:rsidRPr="009232AD">
        <w:lastRenderedPageBreak/>
        <w:t xml:space="preserve">disclosure and current employees’ satisfaction. </w:t>
      </w:r>
      <w:r w:rsidR="003615E7" w:rsidRPr="009232AD">
        <w:rPr>
          <w:rStyle w:val="fontstyle01"/>
          <w:rFonts w:asciiTheme="majorBidi" w:hAnsiTheme="majorBidi" w:cstheme="majorBidi"/>
          <w:color w:val="auto"/>
          <w:sz w:val="24"/>
          <w:szCs w:val="24"/>
        </w:rPr>
        <w:t xml:space="preserve">The paper analysed employee wellbeing disclosures in the ESG reports of </w:t>
      </w:r>
      <w:r w:rsidR="004848DD">
        <w:t>organisation</w:t>
      </w:r>
      <w:r w:rsidR="0019217D">
        <w:t>s</w:t>
      </w:r>
      <w:r w:rsidR="003615E7" w:rsidRPr="009232AD">
        <w:rPr>
          <w:rStyle w:val="fontstyle01"/>
          <w:rFonts w:asciiTheme="majorBidi" w:hAnsiTheme="majorBidi" w:cstheme="majorBidi"/>
          <w:color w:val="auto"/>
          <w:sz w:val="24"/>
          <w:szCs w:val="24"/>
        </w:rPr>
        <w:t xml:space="preserve">, particularly those in the S&amp;P 100 index. Due to their leading roles and high public visibility, these </w:t>
      </w:r>
      <w:r w:rsidR="004848DD">
        <w:rPr>
          <w:lang w:eastAsia="en-GB"/>
        </w:rPr>
        <w:t>organisation</w:t>
      </w:r>
      <w:r w:rsidR="0037650A" w:rsidRPr="009232AD">
        <w:t>s</w:t>
      </w:r>
      <w:r w:rsidR="0037650A" w:rsidRPr="009232AD">
        <w:rPr>
          <w:rStyle w:val="fontstyle01"/>
          <w:rFonts w:asciiTheme="majorBidi" w:hAnsiTheme="majorBidi" w:cstheme="majorBidi"/>
          <w:color w:val="auto"/>
          <w:sz w:val="24"/>
          <w:szCs w:val="24"/>
        </w:rPr>
        <w:t xml:space="preserve"> </w:t>
      </w:r>
      <w:r w:rsidR="003615E7" w:rsidRPr="009232AD">
        <w:rPr>
          <w:rStyle w:val="fontstyle01"/>
          <w:rFonts w:asciiTheme="majorBidi" w:hAnsiTheme="majorBidi" w:cstheme="majorBidi"/>
          <w:color w:val="auto"/>
          <w:sz w:val="24"/>
          <w:szCs w:val="24"/>
        </w:rPr>
        <w:t xml:space="preserve">are ideal candidates for such an examination. We compared these disclosures with employee ratings on Glassdoor to determine if </w:t>
      </w:r>
      <w:r w:rsidR="004848DD">
        <w:rPr>
          <w:lang w:eastAsia="en-GB"/>
        </w:rPr>
        <w:t>organisation</w:t>
      </w:r>
      <w:r w:rsidR="00074494" w:rsidRPr="009232AD">
        <w:t>s</w:t>
      </w:r>
      <w:r w:rsidR="003615E7" w:rsidRPr="009232AD">
        <w:rPr>
          <w:rStyle w:val="fontstyle01"/>
          <w:rFonts w:asciiTheme="majorBidi" w:hAnsiTheme="majorBidi" w:cstheme="majorBidi"/>
          <w:color w:val="auto"/>
          <w:sz w:val="24"/>
          <w:szCs w:val="24"/>
        </w:rPr>
        <w:t xml:space="preserve"> that report extensively on employee wellbeing topics have more satisfied employees. </w:t>
      </w:r>
    </w:p>
    <w:p w14:paraId="672072A7" w14:textId="430D55DD" w:rsidR="00040A49" w:rsidRDefault="000D65AB" w:rsidP="005C7C05">
      <w:pPr>
        <w:jc w:val="both"/>
      </w:pPr>
      <w:r>
        <w:t>The</w:t>
      </w:r>
      <w:r w:rsidR="005C7C05" w:rsidRPr="009232AD">
        <w:t xml:space="preserve"> findings reveal</w:t>
      </w:r>
      <w:r w:rsidR="008F05C5">
        <w:t>ed</w:t>
      </w:r>
      <w:r w:rsidR="005C7C05" w:rsidRPr="009232AD">
        <w:t xml:space="preserve"> that </w:t>
      </w:r>
      <w:r w:rsidR="008F0E9D">
        <w:t>Glassdoor ratings</w:t>
      </w:r>
      <w:r w:rsidR="00D223FC">
        <w:t xml:space="preserve"> mainly have negative associations with </w:t>
      </w:r>
      <w:r w:rsidR="004848DD">
        <w:rPr>
          <w:lang w:eastAsia="en-GB"/>
        </w:rPr>
        <w:t>organisation</w:t>
      </w:r>
      <w:r w:rsidR="00D223FC" w:rsidRPr="009232AD">
        <w:t>s</w:t>
      </w:r>
      <w:r w:rsidR="008F05C5">
        <w:t>'</w:t>
      </w:r>
      <w:r w:rsidR="00D223FC">
        <w:t xml:space="preserve"> wellbeing disclosures</w:t>
      </w:r>
      <w:r w:rsidR="005C7C05" w:rsidRPr="009232AD">
        <w:t>. This could arise for various reasons. Employees might feel disappointed when</w:t>
      </w:r>
      <w:r w:rsidR="00556371" w:rsidRPr="00556371">
        <w:t xml:space="preserve"> </w:t>
      </w:r>
      <w:r w:rsidR="00556371">
        <w:t xml:space="preserve">organisations </w:t>
      </w:r>
      <w:r w:rsidR="005C7C05" w:rsidRPr="009232AD">
        <w:t xml:space="preserve">focusing on wellbeing disclosures in ESG reports fail to meet their high expectations. There’s also a risk of scepticism, especially if these wellbeing disclosures in ESG reports’ efforts are perceived as simply wellbeing washing. Additionally, difficulties in effectively implementing ESG plans can contribute to employee dissatisfaction. </w:t>
      </w:r>
    </w:p>
    <w:p w14:paraId="312E5AC9" w14:textId="267FA1BB" w:rsidR="000D65AB" w:rsidRPr="005C7C05" w:rsidRDefault="000D65AB" w:rsidP="005C7C05">
      <w:pPr>
        <w:jc w:val="both"/>
      </w:pPr>
      <w:r w:rsidRPr="009232AD">
        <w:t xml:space="preserve">Additionally, because current employees (i.e., employees who are still working at the </w:t>
      </w:r>
      <w:r w:rsidR="004848DD" w:rsidRPr="004848DD">
        <w:t>organisation</w:t>
      </w:r>
      <w:r w:rsidRPr="009232AD">
        <w:t xml:space="preserve"> when they provide their Glassdoor ratings) may have different beliefs and motivations than former employees (i.e., employees who provide Glassdoor ratings after they no longer work for the </w:t>
      </w:r>
      <w:r w:rsidR="004848DD" w:rsidRPr="004848DD">
        <w:t>organisation</w:t>
      </w:r>
      <w:r w:rsidRPr="009232AD">
        <w:t xml:space="preserve">), </w:t>
      </w:r>
      <w:r w:rsidR="001E1887">
        <w:t>we estimated our model using former employees data</w:t>
      </w:r>
      <w:r w:rsidR="00B523B8">
        <w:t>. T</w:t>
      </w:r>
      <w:r w:rsidR="001E1887">
        <w:t>he</w:t>
      </w:r>
      <w:r w:rsidRPr="009232AD">
        <w:t xml:space="preserve"> </w:t>
      </w:r>
      <w:r w:rsidR="004B19D2">
        <w:t xml:space="preserve">analysis </w:t>
      </w:r>
      <w:r w:rsidRPr="009232AD">
        <w:t xml:space="preserve">revealed that, overall, the association between </w:t>
      </w:r>
      <w:r w:rsidR="004848DD">
        <w:rPr>
          <w:lang w:eastAsia="en-GB"/>
        </w:rPr>
        <w:t>organisation</w:t>
      </w:r>
      <w:r w:rsidR="00B523B8" w:rsidRPr="009232AD">
        <w:t>s</w:t>
      </w:r>
      <w:r w:rsidRPr="009232AD">
        <w:t xml:space="preserve">’ wellbeing disclosures and former employees’ ratings is not statistically significant. This suggests that there might be a weak or non-existent theoretical link between former employees’ perceptions and </w:t>
      </w:r>
      <w:r w:rsidR="004848DD">
        <w:rPr>
          <w:lang w:eastAsia="en-GB"/>
        </w:rPr>
        <w:t>organisation</w:t>
      </w:r>
      <w:r w:rsidR="00B764B2" w:rsidRPr="009232AD">
        <w:t>s</w:t>
      </w:r>
      <w:r w:rsidR="00CF2E8D">
        <w:t>'</w:t>
      </w:r>
      <w:r w:rsidR="00B764B2">
        <w:t xml:space="preserve"> wellbeing</w:t>
      </w:r>
      <w:r w:rsidRPr="009232AD">
        <w:t xml:space="preserve"> disclosures. For instance, former employees’ ratings may reflect experiences or perspectives not directly related to the aspects of </w:t>
      </w:r>
      <w:r w:rsidR="00B523B8">
        <w:t xml:space="preserve">the current </w:t>
      </w:r>
      <w:r w:rsidRPr="009232AD">
        <w:t xml:space="preserve">wellbeing disclosures by </w:t>
      </w:r>
      <w:r w:rsidR="004848DD">
        <w:rPr>
          <w:lang w:eastAsia="en-GB"/>
        </w:rPr>
        <w:t>organisation</w:t>
      </w:r>
      <w:r w:rsidR="00B523B8" w:rsidRPr="009232AD">
        <w:t>s</w:t>
      </w:r>
      <w:r w:rsidR="00B523B8">
        <w:t>.</w:t>
      </w:r>
    </w:p>
    <w:p w14:paraId="67AA25CF" w14:textId="33F1EA84" w:rsidR="0001215D" w:rsidRDefault="00F26006" w:rsidP="00F26006">
      <w:pPr>
        <w:jc w:val="both"/>
      </w:pPr>
      <w:r w:rsidRPr="009232AD">
        <w:t xml:space="preserve">In addition, the study found that the market gives more weight to </w:t>
      </w:r>
      <w:r w:rsidR="004848DD">
        <w:rPr>
          <w:lang w:eastAsia="en-GB"/>
        </w:rPr>
        <w:t>organisation</w:t>
      </w:r>
      <w:r w:rsidR="0001215D" w:rsidRPr="009232AD">
        <w:t>s</w:t>
      </w:r>
      <w:r w:rsidRPr="009232AD">
        <w:t xml:space="preserve">’ disclosures potentially overlooking employee ratings. These findings contribute to legitimacy theory by illustrating how </w:t>
      </w:r>
      <w:r w:rsidR="004848DD">
        <w:t>organisation</w:t>
      </w:r>
      <w:r w:rsidR="003D3806">
        <w:t>s</w:t>
      </w:r>
      <w:r w:rsidRPr="009232AD">
        <w:t xml:space="preserve"> use high wellbeing disclosures to align with societal </w:t>
      </w:r>
      <w:r w:rsidRPr="009232AD">
        <w:lastRenderedPageBreak/>
        <w:t xml:space="preserve">norms and enhance their legitimacy, despite actual employee dissatisfaction (Dowling and Pfeffer, 1975; Suchman, 1995). This strategic manipulation of perceptions allows </w:t>
      </w:r>
      <w:r w:rsidR="004848DD">
        <w:rPr>
          <w:lang w:eastAsia="en-GB"/>
        </w:rPr>
        <w:t>organisation</w:t>
      </w:r>
      <w:r w:rsidR="00B80AAE" w:rsidRPr="009232AD">
        <w:t xml:space="preserve">s </w:t>
      </w:r>
      <w:r w:rsidRPr="009232AD">
        <w:t xml:space="preserve">to boost their market valuation by projecting a positive image, even if it does not reflect the true state of employee wellbeing. Further, the findings of the study align with Delmas and Burbano's (2011) exploration of the drivers of greenwashing, underscoring the critical need for authenticity in environmental efforts. Our findings, supported by the rich body of literature (Dube and Zhu, 2021), emphasize the critical role of transparency and authenticity in </w:t>
      </w:r>
      <w:r w:rsidR="004848DD">
        <w:rPr>
          <w:lang w:eastAsia="en-GB"/>
        </w:rPr>
        <w:t>organisation</w:t>
      </w:r>
      <w:r w:rsidR="00370D1F">
        <w:t xml:space="preserve"> </w:t>
      </w:r>
      <w:r w:rsidRPr="009232AD">
        <w:t>communications regarding workplace initiatives.</w:t>
      </w:r>
    </w:p>
    <w:p w14:paraId="4C96E127" w14:textId="42B32F15" w:rsidR="00F26006" w:rsidRPr="009232AD" w:rsidRDefault="0001215D" w:rsidP="00F26006">
      <w:pPr>
        <w:jc w:val="both"/>
      </w:pPr>
      <w:r w:rsidRPr="0001215D">
        <w:rPr>
          <w:shd w:val="clear" w:color="auto" w:fill="FFFFFF"/>
        </w:rPr>
        <w:t xml:space="preserve"> </w:t>
      </w:r>
      <w:r w:rsidRPr="009232AD">
        <w:rPr>
          <w:shd w:val="clear" w:color="auto" w:fill="FFFFFF"/>
        </w:rPr>
        <w:t xml:space="preserve">The results suggested that the market can be misled by high wellbeing disclosures, even when employee ratings are low (HL), supporting the idea that </w:t>
      </w:r>
      <w:r w:rsidR="004848DD">
        <w:rPr>
          <w:lang w:eastAsia="en-GB"/>
        </w:rPr>
        <w:t>organisation</w:t>
      </w:r>
      <w:r w:rsidRPr="009232AD">
        <w:t>s</w:t>
      </w:r>
      <w:r w:rsidRPr="009232AD">
        <w:rPr>
          <w:rStyle w:val="fontstyle01"/>
          <w:rFonts w:asciiTheme="majorBidi" w:hAnsiTheme="majorBidi" w:cstheme="majorBidi"/>
          <w:color w:val="auto"/>
          <w:sz w:val="24"/>
          <w:szCs w:val="24"/>
        </w:rPr>
        <w:t xml:space="preserve"> </w:t>
      </w:r>
      <w:r w:rsidRPr="009232AD">
        <w:rPr>
          <w:shd w:val="clear" w:color="auto" w:fill="FFFFFF"/>
        </w:rPr>
        <w:t xml:space="preserve">reap benefits from wellbeing washing. </w:t>
      </w:r>
      <w:proofErr w:type="spellStart"/>
      <w:r w:rsidR="00392B10">
        <w:rPr>
          <w:shd w:val="clear" w:color="auto" w:fill="FFFFFF"/>
        </w:rPr>
        <w:t>Behavioral</w:t>
      </w:r>
      <w:proofErr w:type="spellEnd"/>
      <w:r w:rsidRPr="009232AD">
        <w:rPr>
          <w:shd w:val="clear" w:color="auto" w:fill="FFFFFF"/>
        </w:rPr>
        <w:t xml:space="preserve"> finance suggests that investors are influenced by external cues and do not always act rationally (</w:t>
      </w:r>
      <w:proofErr w:type="spellStart"/>
      <w:r w:rsidRPr="009232AD">
        <w:rPr>
          <w:shd w:val="clear" w:color="auto" w:fill="FFFFFF"/>
        </w:rPr>
        <w:t>Akyildirim</w:t>
      </w:r>
      <w:proofErr w:type="spellEnd"/>
      <w:r w:rsidRPr="009232AD">
        <w:rPr>
          <w:shd w:val="clear" w:color="auto" w:fill="FFFFFF"/>
        </w:rPr>
        <w:t xml:space="preserve"> et al., 2023). The market prioritizes these disclosures, indicating that </w:t>
      </w:r>
      <w:r w:rsidR="004848DD">
        <w:rPr>
          <w:lang w:eastAsia="en-GB"/>
        </w:rPr>
        <w:t>organisation</w:t>
      </w:r>
      <w:r w:rsidRPr="009232AD">
        <w:t>s</w:t>
      </w:r>
      <w:r w:rsidRPr="009232AD">
        <w:rPr>
          <w:rStyle w:val="fontstyle01"/>
          <w:rFonts w:asciiTheme="majorBidi" w:hAnsiTheme="majorBidi" w:cstheme="majorBidi"/>
          <w:color w:val="auto"/>
          <w:sz w:val="24"/>
          <w:szCs w:val="24"/>
        </w:rPr>
        <w:t xml:space="preserve"> </w:t>
      </w:r>
      <w:r w:rsidRPr="009232AD">
        <w:rPr>
          <w:shd w:val="clear" w:color="auto" w:fill="FFFFFF"/>
        </w:rPr>
        <w:t>may disclose extensive information about employee wellbeing primarily to increase market value, despite actual employee dissatisfaction.</w:t>
      </w:r>
    </w:p>
    <w:p w14:paraId="432094D1" w14:textId="77777777" w:rsidR="000D65AB" w:rsidRDefault="000D65AB" w:rsidP="00FA5E92">
      <w:pPr>
        <w:pStyle w:val="Heading2"/>
      </w:pPr>
    </w:p>
    <w:p w14:paraId="05A17459" w14:textId="009A8658" w:rsidR="00051CFF" w:rsidRPr="009232AD" w:rsidRDefault="00051CFF" w:rsidP="00FA5E92">
      <w:pPr>
        <w:pStyle w:val="Heading2"/>
      </w:pPr>
      <w:r w:rsidRPr="009232AD">
        <w:t>Practical Implications</w:t>
      </w:r>
    </w:p>
    <w:p w14:paraId="1DF9354E" w14:textId="07E3A603" w:rsidR="00051CFF" w:rsidRPr="009232AD" w:rsidRDefault="00051CFF" w:rsidP="00AC31B0">
      <w:pPr>
        <w:jc w:val="both"/>
      </w:pPr>
      <w:r w:rsidRPr="009232AD">
        <w:t>For managers, these results underscore the importance of genuine wellb</w:t>
      </w:r>
      <w:r w:rsidR="00B3736C" w:rsidRPr="009232AD">
        <w:t>e</w:t>
      </w:r>
      <w:r w:rsidRPr="009232AD">
        <w:t xml:space="preserve">ing practices over mere disclosures. While high disclosures can temporarily enhance market perceptions, they may lead to employee dissatisfaction if not backed by real improvements, ultimately threatening long-term legitimacy and employee </w:t>
      </w:r>
      <w:r w:rsidRPr="009232AD">
        <w:rPr>
          <w:color w:val="000000" w:themeColor="text1"/>
        </w:rPr>
        <w:t>turnover (</w:t>
      </w:r>
      <w:r w:rsidRPr="009232AD">
        <w:rPr>
          <w:color w:val="000000" w:themeColor="text1"/>
          <w:shd w:val="clear" w:color="auto" w:fill="FFFFFF"/>
        </w:rPr>
        <w:t>Griffeth,</w:t>
      </w:r>
      <w:r w:rsidRPr="009232AD">
        <w:rPr>
          <w:color w:val="222222"/>
          <w:shd w:val="clear" w:color="auto" w:fill="FFFFFF"/>
        </w:rPr>
        <w:t xml:space="preserve"> Hom, and Gaertner,</w:t>
      </w:r>
      <w:r w:rsidRPr="009232AD">
        <w:rPr>
          <w:color w:val="000000" w:themeColor="text1"/>
          <w:shd w:val="clear" w:color="auto" w:fill="FFFFFF"/>
        </w:rPr>
        <w:t xml:space="preserve"> 2000</w:t>
      </w:r>
      <w:r w:rsidRPr="009232AD">
        <w:rPr>
          <w:color w:val="000000" w:themeColor="text1"/>
        </w:rPr>
        <w:t xml:space="preserve">). </w:t>
      </w:r>
      <w:r w:rsidR="00AC31B0">
        <w:t>Managers</w:t>
      </w:r>
      <w:r w:rsidRPr="009232AD">
        <w:t xml:space="preserve"> should </w:t>
      </w:r>
      <w:r w:rsidR="004F0680">
        <w:t>prioritize</w:t>
      </w:r>
      <w:r w:rsidR="0010753E" w:rsidRPr="009232AD">
        <w:t xml:space="preserve"> </w:t>
      </w:r>
      <w:r w:rsidRPr="009232AD">
        <w:t>enhancing employee wellbeing over merely focusing on wellbeing disclosures.</w:t>
      </w:r>
      <w:r w:rsidR="00FD1C15" w:rsidRPr="009232AD">
        <w:t xml:space="preserve"> </w:t>
      </w:r>
      <w:r w:rsidRPr="009232AD">
        <w:t xml:space="preserve">This observation echoes Asare's (2020) advocacy for sustained investment in diversity and inclusion initiatives, suggesting that cutting budgets in these areas can undermine employee perceptions and </w:t>
      </w:r>
      <w:r w:rsidR="004848DD">
        <w:t>organisation</w:t>
      </w:r>
      <w:r w:rsidRPr="009232AD">
        <w:t>al trust.</w:t>
      </w:r>
    </w:p>
    <w:p w14:paraId="7C7EA2EF" w14:textId="0A9B7A1A" w:rsidR="00051CFF" w:rsidRPr="009232AD" w:rsidRDefault="00051CFF" w:rsidP="00051CFF">
      <w:pPr>
        <w:jc w:val="both"/>
        <w:rPr>
          <w:rFonts w:asciiTheme="majorBidi" w:hAnsiTheme="majorBidi" w:cstheme="majorBidi"/>
          <w:szCs w:val="24"/>
        </w:rPr>
      </w:pPr>
      <w:r w:rsidRPr="009232AD">
        <w:rPr>
          <w:rFonts w:asciiTheme="majorBidi" w:hAnsiTheme="majorBidi" w:cstheme="majorBidi"/>
          <w:szCs w:val="24"/>
        </w:rPr>
        <w:lastRenderedPageBreak/>
        <w:t xml:space="preserve">Investors should critically assess ESG disclosures and seek additional sources of information to verify the authenticity of </w:t>
      </w:r>
      <w:r w:rsidR="003D3806">
        <w:rPr>
          <w:rFonts w:asciiTheme="majorBidi" w:hAnsiTheme="majorBidi" w:cstheme="majorBidi"/>
          <w:szCs w:val="24"/>
        </w:rPr>
        <w:t>an</w:t>
      </w:r>
      <w:r w:rsidRPr="009232AD">
        <w:rPr>
          <w:rFonts w:asciiTheme="majorBidi" w:hAnsiTheme="majorBidi" w:cstheme="majorBidi"/>
          <w:szCs w:val="24"/>
        </w:rPr>
        <w:t xml:space="preserve"> </w:t>
      </w:r>
      <w:r w:rsidR="004848DD">
        <w:t>organisation</w:t>
      </w:r>
      <w:r w:rsidR="003D3806">
        <w:t>’s</w:t>
      </w:r>
      <w:r w:rsidR="0010753E" w:rsidRPr="009232AD">
        <w:rPr>
          <w:rFonts w:asciiTheme="majorBidi" w:hAnsiTheme="majorBidi" w:cstheme="majorBidi"/>
          <w:szCs w:val="24"/>
        </w:rPr>
        <w:t xml:space="preserve"> </w:t>
      </w:r>
      <w:r w:rsidRPr="009232AD">
        <w:rPr>
          <w:rFonts w:asciiTheme="majorBidi" w:hAnsiTheme="majorBidi" w:cstheme="majorBidi"/>
          <w:szCs w:val="24"/>
        </w:rPr>
        <w:t xml:space="preserve">commitment to employee wellbeing. Relying solely on high disclosures can be misleading, as </w:t>
      </w:r>
      <w:r w:rsidR="004848DD">
        <w:t>organisation</w:t>
      </w:r>
      <w:r w:rsidR="003D3806">
        <w:t>s</w:t>
      </w:r>
      <w:r w:rsidRPr="009232AD">
        <w:rPr>
          <w:rFonts w:asciiTheme="majorBidi" w:hAnsiTheme="majorBidi" w:cstheme="majorBidi"/>
          <w:szCs w:val="24"/>
        </w:rPr>
        <w:t xml:space="preserve"> might use these disclosures to boost market value without addressing underlying employee dissatisfaction which can eventually hurt </w:t>
      </w:r>
      <w:r w:rsidR="003D3806">
        <w:rPr>
          <w:rFonts w:asciiTheme="majorBidi" w:hAnsiTheme="majorBidi" w:cstheme="majorBidi"/>
          <w:szCs w:val="24"/>
        </w:rPr>
        <w:t xml:space="preserve">the </w:t>
      </w:r>
      <w:r w:rsidR="004848DD">
        <w:t>organisation</w:t>
      </w:r>
      <w:r w:rsidR="003D3806">
        <w:t>'s</w:t>
      </w:r>
      <w:r w:rsidR="003D3806" w:rsidRPr="009232AD">
        <w:rPr>
          <w:rFonts w:asciiTheme="majorBidi" w:hAnsiTheme="majorBidi" w:cstheme="majorBidi"/>
          <w:szCs w:val="24"/>
        </w:rPr>
        <w:t xml:space="preserve"> </w:t>
      </w:r>
      <w:r w:rsidRPr="009232AD">
        <w:rPr>
          <w:rFonts w:asciiTheme="majorBidi" w:hAnsiTheme="majorBidi" w:cstheme="majorBidi"/>
          <w:szCs w:val="24"/>
        </w:rPr>
        <w:t xml:space="preserve">performance (Krekel, </w:t>
      </w:r>
      <w:r w:rsidRPr="009232AD">
        <w:rPr>
          <w:rFonts w:asciiTheme="majorBidi" w:hAnsiTheme="majorBidi" w:cstheme="majorBidi"/>
          <w:szCs w:val="24"/>
          <w:shd w:val="clear" w:color="auto" w:fill="FFFFFF"/>
        </w:rPr>
        <w:t>Ward and De Neve,</w:t>
      </w:r>
      <w:r w:rsidRPr="009232AD">
        <w:rPr>
          <w:rFonts w:asciiTheme="majorBidi" w:hAnsiTheme="majorBidi" w:cstheme="majorBidi"/>
          <w:szCs w:val="24"/>
        </w:rPr>
        <w:t xml:space="preserve"> 2019). Incorporating employee feedback and satisfaction data from platforms like Glassdoor into ESG assessment frameworks can provide a more accurate picture of </w:t>
      </w:r>
      <w:r w:rsidR="003D3806">
        <w:rPr>
          <w:rFonts w:asciiTheme="majorBidi" w:hAnsiTheme="majorBidi" w:cstheme="majorBidi"/>
          <w:szCs w:val="24"/>
        </w:rPr>
        <w:t>an</w:t>
      </w:r>
      <w:r w:rsidRPr="009232AD">
        <w:rPr>
          <w:rFonts w:asciiTheme="majorBidi" w:hAnsiTheme="majorBidi" w:cstheme="majorBidi"/>
          <w:szCs w:val="24"/>
        </w:rPr>
        <w:t xml:space="preserve"> </w:t>
      </w:r>
      <w:r w:rsidR="004848DD">
        <w:t>organisation</w:t>
      </w:r>
      <w:r w:rsidR="003D3806">
        <w:t>'s</w:t>
      </w:r>
      <w:r w:rsidRPr="009232AD">
        <w:rPr>
          <w:rFonts w:asciiTheme="majorBidi" w:hAnsiTheme="majorBidi" w:cstheme="majorBidi"/>
          <w:szCs w:val="24"/>
        </w:rPr>
        <w:t xml:space="preserve"> commitment to wellbeing.</w:t>
      </w:r>
    </w:p>
    <w:p w14:paraId="213DB478" w14:textId="5E92F661" w:rsidR="00051CFF" w:rsidRPr="009232AD" w:rsidRDefault="00051CFF" w:rsidP="00FA5E92">
      <w:pPr>
        <w:pStyle w:val="Heading2"/>
      </w:pPr>
      <w:r w:rsidRPr="009232AD">
        <w:rPr>
          <w:rStyle w:val="fontstyle01"/>
          <w:rFonts w:asciiTheme="majorBidi" w:hAnsiTheme="majorBidi"/>
          <w:i/>
          <w:iCs/>
          <w:sz w:val="24"/>
          <w:szCs w:val="24"/>
        </w:rPr>
        <w:t>Strengths, limitations</w:t>
      </w:r>
      <w:r w:rsidR="00BE375E">
        <w:rPr>
          <w:rStyle w:val="fontstyle01"/>
          <w:rFonts w:asciiTheme="majorBidi" w:hAnsiTheme="majorBidi"/>
          <w:i/>
          <w:iCs/>
          <w:sz w:val="24"/>
          <w:szCs w:val="24"/>
        </w:rPr>
        <w:t>,</w:t>
      </w:r>
      <w:r w:rsidRPr="009232AD">
        <w:rPr>
          <w:rStyle w:val="fontstyle01"/>
          <w:rFonts w:asciiTheme="majorBidi" w:hAnsiTheme="majorBidi"/>
          <w:i/>
          <w:iCs/>
          <w:sz w:val="24"/>
          <w:szCs w:val="24"/>
        </w:rPr>
        <w:t xml:space="preserve"> and future research directions</w:t>
      </w:r>
      <w:r w:rsidRPr="009232AD">
        <w:t xml:space="preserve"> </w:t>
      </w:r>
    </w:p>
    <w:p w14:paraId="16FEDF80" w14:textId="2169D69E" w:rsidR="007F7218" w:rsidRPr="009232AD" w:rsidRDefault="00051CFF" w:rsidP="00BE375E">
      <w:pPr>
        <w:jc w:val="both"/>
        <w:rPr>
          <w:lang w:eastAsia="en-GB"/>
        </w:rPr>
      </w:pPr>
      <w:r w:rsidRPr="009232AD">
        <w:rPr>
          <w:lang w:eastAsia="en-GB"/>
        </w:rPr>
        <w:t xml:space="preserve">The use of two independent data sources, which offers an overall view by capturing insights from both </w:t>
      </w:r>
      <w:r w:rsidR="004848DD">
        <w:rPr>
          <w:lang w:eastAsia="en-GB"/>
        </w:rPr>
        <w:t>organisation</w:t>
      </w:r>
      <w:r w:rsidR="00C627A1">
        <w:rPr>
          <w:lang w:eastAsia="en-GB"/>
        </w:rPr>
        <w:t>s'</w:t>
      </w:r>
      <w:r w:rsidRPr="009232AD">
        <w:rPr>
          <w:lang w:eastAsia="en-GB"/>
        </w:rPr>
        <w:t xml:space="preserve"> disclosures and employee feedback, is one of the study's main strengths. By hearing from both sides, this dual approach offers a more nuanced and balanced understanding of the relationship between </w:t>
      </w:r>
      <w:r w:rsidR="004848DD">
        <w:rPr>
          <w:lang w:eastAsia="en-GB"/>
        </w:rPr>
        <w:t>organisation</w:t>
      </w:r>
      <w:r w:rsidR="00C627A1">
        <w:rPr>
          <w:lang w:eastAsia="en-GB"/>
        </w:rPr>
        <w:t>al</w:t>
      </w:r>
      <w:r w:rsidRPr="009232AD">
        <w:rPr>
          <w:lang w:eastAsia="en-GB"/>
        </w:rPr>
        <w:t xml:space="preserve"> outcomes and wellbeing efforts. </w:t>
      </w:r>
    </w:p>
    <w:p w14:paraId="7A67FE76" w14:textId="2E0DEC2C" w:rsidR="00051CFF" w:rsidRPr="009232AD" w:rsidRDefault="00051CFF" w:rsidP="00BE375E">
      <w:pPr>
        <w:jc w:val="both"/>
        <w:rPr>
          <w:lang w:eastAsia="en-GB"/>
        </w:rPr>
      </w:pPr>
      <w:r w:rsidRPr="009232AD">
        <w:rPr>
          <w:lang w:eastAsia="en-GB"/>
        </w:rPr>
        <w:t xml:space="preserve">The study also </w:t>
      </w:r>
      <w:r w:rsidR="0010753E" w:rsidRPr="009232AD">
        <w:rPr>
          <w:lang w:eastAsia="en-GB"/>
        </w:rPr>
        <w:t>employed</w:t>
      </w:r>
      <w:r w:rsidR="0010753E">
        <w:rPr>
          <w:lang w:eastAsia="en-GB"/>
        </w:rPr>
        <w:t xml:space="preserve"> </w:t>
      </w:r>
      <w:r w:rsidRPr="009232AD">
        <w:rPr>
          <w:lang w:eastAsia="en-GB"/>
        </w:rPr>
        <w:t>a sophisticated multi-level model that enable</w:t>
      </w:r>
      <w:r w:rsidR="000510C3" w:rsidRPr="009232AD">
        <w:rPr>
          <w:lang w:eastAsia="en-GB"/>
        </w:rPr>
        <w:t xml:space="preserve">d </w:t>
      </w:r>
      <w:r w:rsidRPr="009232AD">
        <w:rPr>
          <w:lang w:eastAsia="en-GB"/>
        </w:rPr>
        <w:t xml:space="preserve">in-depth examination of data at several levels (e.g., individual employees and the </w:t>
      </w:r>
      <w:r w:rsidR="004848DD">
        <w:rPr>
          <w:lang w:eastAsia="en-GB"/>
        </w:rPr>
        <w:t>organisation</w:t>
      </w:r>
      <w:r w:rsidR="0096250D">
        <w:rPr>
          <w:lang w:eastAsia="en-GB"/>
        </w:rPr>
        <w:t>al</w:t>
      </w:r>
      <w:r w:rsidRPr="009232AD">
        <w:rPr>
          <w:lang w:eastAsia="en-GB"/>
        </w:rPr>
        <w:t xml:space="preserve"> level). More than 500,000 employee reviews (both current and former</w:t>
      </w:r>
      <w:r w:rsidR="0010753E" w:rsidRPr="009232AD">
        <w:rPr>
          <w:lang w:eastAsia="en-GB"/>
        </w:rPr>
        <w:t>)</w:t>
      </w:r>
      <w:r w:rsidR="0010753E">
        <w:rPr>
          <w:lang w:eastAsia="en-GB"/>
        </w:rPr>
        <w:t xml:space="preserve"> </w:t>
      </w:r>
      <w:r w:rsidRPr="009232AD">
        <w:rPr>
          <w:lang w:eastAsia="en-GB"/>
        </w:rPr>
        <w:t xml:space="preserve">from 100 </w:t>
      </w:r>
      <w:r w:rsidR="004848DD">
        <w:t>organisation</w:t>
      </w:r>
      <w:r w:rsidR="00A763BD">
        <w:t>s</w:t>
      </w:r>
      <w:r w:rsidRPr="009232AD">
        <w:rPr>
          <w:lang w:eastAsia="en-GB"/>
        </w:rPr>
        <w:t xml:space="preserve"> were </w:t>
      </w:r>
      <w:proofErr w:type="spellStart"/>
      <w:r w:rsidR="0096250D">
        <w:rPr>
          <w:lang w:eastAsia="en-GB"/>
        </w:rPr>
        <w:t>analyzed</w:t>
      </w:r>
      <w:proofErr w:type="spellEnd"/>
      <w:r w:rsidRPr="009232AD">
        <w:rPr>
          <w:lang w:eastAsia="en-GB"/>
        </w:rPr>
        <w:t xml:space="preserve">, which increased the </w:t>
      </w:r>
      <w:r w:rsidR="0010753E" w:rsidRPr="009232AD">
        <w:rPr>
          <w:lang w:eastAsia="en-GB"/>
        </w:rPr>
        <w:t>findings</w:t>
      </w:r>
      <w:r w:rsidR="0010753E">
        <w:rPr>
          <w:lang w:eastAsia="en-GB"/>
        </w:rPr>
        <w:t>’</w:t>
      </w:r>
      <w:r w:rsidR="0010753E" w:rsidRPr="009232AD">
        <w:rPr>
          <w:lang w:eastAsia="en-GB"/>
        </w:rPr>
        <w:t xml:space="preserve"> </w:t>
      </w:r>
      <w:r w:rsidRPr="009232AD">
        <w:rPr>
          <w:lang w:eastAsia="en-GB"/>
        </w:rPr>
        <w:t>generalizability and robustness. In addition, the research incorporates perspectives from current as well as former employees, providing a comprehensive understanding of worker experiences and satisfaction.</w:t>
      </w:r>
    </w:p>
    <w:p w14:paraId="0299EE2E" w14:textId="2FF2B951" w:rsidR="00051CFF" w:rsidRPr="009232AD" w:rsidRDefault="00051CFF" w:rsidP="00BE375E">
      <w:pPr>
        <w:jc w:val="both"/>
      </w:pPr>
      <w:r w:rsidRPr="009232AD">
        <w:t>Although these strengths</w:t>
      </w:r>
      <w:r w:rsidR="0010753E" w:rsidRPr="009232AD">
        <w:t>,</w:t>
      </w:r>
      <w:r w:rsidR="0010753E">
        <w:t xml:space="preserve"> </w:t>
      </w:r>
      <w:r w:rsidRPr="009232AD">
        <w:t xml:space="preserve">the study contains a number of limitations. Firstly, the detailed and varied nature of business wellbeing </w:t>
      </w:r>
      <w:r w:rsidR="00087D8B">
        <w:t>programs</w:t>
      </w:r>
      <w:r w:rsidRPr="009232AD">
        <w:t xml:space="preserve"> might not be well captured by a textual analysis of wellbeing disclosures. Although valuable, textual analysis is not always free of mistakes and may not accurately convey the underlying meaning or significance of the content that was revealed (Loughran and McDonald, 2016). Secondly, the sample may not be representative of the total employee population because it is skewed </w:t>
      </w:r>
      <w:r w:rsidR="00D00CB5">
        <w:t>toward</w:t>
      </w:r>
      <w:r w:rsidRPr="009232AD">
        <w:t xml:space="preserve"> employees who </w:t>
      </w:r>
      <w:r w:rsidRPr="009232AD">
        <w:lastRenderedPageBreak/>
        <w:t xml:space="preserve">posted their </w:t>
      </w:r>
      <w:r w:rsidR="0010753E" w:rsidRPr="009232AD">
        <w:t>reviews</w:t>
      </w:r>
      <w:r w:rsidR="0010753E">
        <w:t xml:space="preserve"> </w:t>
      </w:r>
      <w:r w:rsidRPr="009232AD">
        <w:t xml:space="preserve">on Glassdoor, which could lead </w:t>
      </w:r>
      <w:r w:rsidR="0010753E" w:rsidRPr="009232AD">
        <w:t>to</w:t>
      </w:r>
      <w:r w:rsidR="0010753E">
        <w:t xml:space="preserve"> </w:t>
      </w:r>
      <w:r w:rsidRPr="009232AD">
        <w:t xml:space="preserve">self-selection bias </w:t>
      </w:r>
      <w:r w:rsidR="0010753E" w:rsidRPr="009232AD">
        <w:t>that</w:t>
      </w:r>
      <w:r w:rsidR="0010753E">
        <w:t xml:space="preserve"> </w:t>
      </w:r>
      <w:r w:rsidRPr="009232AD">
        <w:t>may affect the results (Chen, Li, &amp; Talluri, 2021). These limitations indicate the necessity of using more varied data sources and approaches in future stud</w:t>
      </w:r>
      <w:r w:rsidR="00664E71" w:rsidRPr="009232AD">
        <w:t>ies</w:t>
      </w:r>
      <w:r w:rsidRPr="009232AD">
        <w:t xml:space="preserve"> to validate and extend the findings of the study.</w:t>
      </w:r>
    </w:p>
    <w:p w14:paraId="588453DC" w14:textId="41DE5F72" w:rsidR="00042888" w:rsidRPr="009232AD" w:rsidRDefault="00051CFF" w:rsidP="00BE375E">
      <w:pPr>
        <w:jc w:val="both"/>
      </w:pPr>
      <w:r w:rsidRPr="009232AD">
        <w:t>Future research could build on our findings by incorporating longitudinal data to examine changes in wellbeing disclosures and employee ratings over time. This approach would allow for a more robust analysis of causality and the long-term effects of wellbeing washing (</w:t>
      </w:r>
      <w:proofErr w:type="spellStart"/>
      <w:r w:rsidR="0010753E" w:rsidRPr="009232AD">
        <w:t>Fida</w:t>
      </w:r>
      <w:proofErr w:type="spellEnd"/>
      <w:r w:rsidR="0010753E" w:rsidRPr="009232AD">
        <w:t xml:space="preserve"> et al.,</w:t>
      </w:r>
      <w:r w:rsidR="0010753E">
        <w:t xml:space="preserve"> </w:t>
      </w:r>
      <w:r w:rsidR="0010753E" w:rsidRPr="009232AD">
        <w:t>2022</w:t>
      </w:r>
      <w:r w:rsidR="0010753E">
        <w:t xml:space="preserve">; </w:t>
      </w:r>
      <w:proofErr w:type="spellStart"/>
      <w:r w:rsidRPr="009232AD">
        <w:t>Ployhart</w:t>
      </w:r>
      <w:proofErr w:type="spellEnd"/>
      <w:r w:rsidRPr="009232AD">
        <w:t xml:space="preserve"> and Vandenberg, 2010). Additionally, expanding the sample beyond S&amp;P 100 </w:t>
      </w:r>
      <w:r w:rsidR="004848DD">
        <w:rPr>
          <w:lang w:eastAsia="en-GB"/>
        </w:rPr>
        <w:t>organizations</w:t>
      </w:r>
      <w:r w:rsidRPr="009232AD">
        <w:t xml:space="preserve"> to include smaller </w:t>
      </w:r>
      <w:r w:rsidR="004848DD" w:rsidRPr="004848DD">
        <w:t>organisation</w:t>
      </w:r>
      <w:r w:rsidR="004848DD">
        <w:t>s</w:t>
      </w:r>
      <w:r w:rsidRPr="009232AD">
        <w:t xml:space="preserve"> and those in different geographic regions could provide a more comprehensive understanding of the phenomenon. </w:t>
      </w:r>
    </w:p>
    <w:p w14:paraId="6653112F" w14:textId="38E71654" w:rsidR="00051CFF" w:rsidRPr="009232AD" w:rsidRDefault="00051CFF" w:rsidP="00BE375E">
      <w:pPr>
        <w:jc w:val="both"/>
      </w:pPr>
      <w:r w:rsidRPr="009232AD">
        <w:t xml:space="preserve">Incorporating primary data, such as conducting direct interviews with managers about their wellbeing initiatives, allows for a nuanced exploration of how these initiatives are perceived and implemented within </w:t>
      </w:r>
      <w:r w:rsidR="004848DD">
        <w:t>organisation</w:t>
      </w:r>
      <w:r w:rsidRPr="009232AD">
        <w:t xml:space="preserve">s (e.g., Clementino and </w:t>
      </w:r>
      <w:r w:rsidRPr="009232AD">
        <w:rPr>
          <w:color w:val="222222"/>
          <w:shd w:val="clear" w:color="auto" w:fill="FFFFFF"/>
        </w:rPr>
        <w:t>Perkins,</w:t>
      </w:r>
      <w:r w:rsidRPr="009232AD">
        <w:t xml:space="preserve"> 2021). This approach not only enriches the data quality but also offers a deeper understanding of the managerial perspectives on employee wellbeing practices. Future research could also investigate the long-term impacts of wellbeing washing on market valuation and </w:t>
      </w:r>
      <w:r w:rsidR="004848DD">
        <w:t>organisation</w:t>
      </w:r>
      <w:r w:rsidR="00A763BD">
        <w:t>s</w:t>
      </w:r>
      <w:r w:rsidR="00A763BD">
        <w:rPr>
          <w:rFonts w:eastAsia="Times New Roman" w:cs="Times New Roman"/>
          <w:sz w:val="20"/>
          <w:szCs w:val="20"/>
        </w:rPr>
        <w:t xml:space="preserve">’ </w:t>
      </w:r>
      <w:r w:rsidRPr="009232AD">
        <w:t>performance.</w:t>
      </w:r>
    </w:p>
    <w:p w14:paraId="1BC713F1" w14:textId="77777777" w:rsidR="00051CFF" w:rsidRPr="009232AD" w:rsidRDefault="00051CFF" w:rsidP="00FA5E92">
      <w:pPr>
        <w:pStyle w:val="Heading1"/>
      </w:pPr>
      <w:r w:rsidRPr="009232AD">
        <w:t>Conclusions</w:t>
      </w:r>
    </w:p>
    <w:p w14:paraId="3F54C331" w14:textId="05B4E720" w:rsidR="00051CFF" w:rsidRPr="009232AD" w:rsidRDefault="00051CFF" w:rsidP="002A472B">
      <w:pPr>
        <w:jc w:val="both"/>
        <w:rPr>
          <w:rStyle w:val="fontstyle01"/>
          <w:rFonts w:asciiTheme="majorBidi" w:hAnsiTheme="majorBidi" w:cstheme="majorBidi"/>
          <w:color w:val="auto"/>
          <w:sz w:val="24"/>
          <w:szCs w:val="24"/>
        </w:rPr>
      </w:pPr>
      <w:r w:rsidRPr="009232AD">
        <w:rPr>
          <w:rStyle w:val="fontstyle01"/>
          <w:rFonts w:asciiTheme="majorBidi" w:hAnsiTheme="majorBidi" w:cstheme="majorBidi"/>
          <w:color w:val="auto"/>
          <w:sz w:val="24"/>
          <w:szCs w:val="24"/>
        </w:rPr>
        <w:t>There is considerable concern that corporate social washing strategies, which aim to present a socially excellent public image, are reflected in the increased pressure for ESG information (</w:t>
      </w:r>
      <w:r w:rsidRPr="009232AD">
        <w:t>Asare 2020</w:t>
      </w:r>
      <w:r w:rsidRPr="009232AD">
        <w:rPr>
          <w:rStyle w:val="fontstyle01"/>
          <w:rFonts w:asciiTheme="majorBidi" w:hAnsiTheme="majorBidi" w:cstheme="majorBidi"/>
          <w:color w:val="auto"/>
          <w:sz w:val="24"/>
          <w:szCs w:val="24"/>
        </w:rPr>
        <w:t xml:space="preserve">; </w:t>
      </w:r>
      <w:r w:rsidRPr="009232AD">
        <w:t>Dowell and Jackson 2020</w:t>
      </w:r>
      <w:r w:rsidRPr="009232AD">
        <w:rPr>
          <w:rStyle w:val="fontstyle01"/>
          <w:rFonts w:asciiTheme="majorBidi" w:hAnsiTheme="majorBidi" w:cstheme="majorBidi"/>
          <w:color w:val="auto"/>
          <w:sz w:val="24"/>
          <w:szCs w:val="24"/>
        </w:rPr>
        <w:t xml:space="preserve">). Institutional investors seem </w:t>
      </w:r>
      <w:r w:rsidR="0010753E" w:rsidRPr="009232AD">
        <w:rPr>
          <w:rStyle w:val="fontstyle01"/>
          <w:rFonts w:asciiTheme="majorBidi" w:hAnsiTheme="majorBidi" w:cstheme="majorBidi"/>
          <w:color w:val="auto"/>
          <w:sz w:val="24"/>
          <w:szCs w:val="24"/>
        </w:rPr>
        <w:t>to</w:t>
      </w:r>
      <w:r w:rsidR="0010753E">
        <w:rPr>
          <w:rStyle w:val="fontstyle01"/>
          <w:rFonts w:asciiTheme="majorBidi" w:hAnsiTheme="majorBidi" w:cstheme="majorBidi"/>
          <w:color w:val="auto"/>
          <w:sz w:val="24"/>
          <w:szCs w:val="24"/>
        </w:rPr>
        <w:t xml:space="preserve"> </w:t>
      </w:r>
      <w:r w:rsidRPr="009232AD">
        <w:rPr>
          <w:rStyle w:val="fontstyle01"/>
          <w:rFonts w:asciiTheme="majorBidi" w:hAnsiTheme="majorBidi" w:cstheme="majorBidi"/>
          <w:color w:val="auto"/>
          <w:sz w:val="24"/>
          <w:szCs w:val="24"/>
        </w:rPr>
        <w:t xml:space="preserve">regard </w:t>
      </w:r>
      <w:r w:rsidR="004848DD">
        <w:rPr>
          <w:lang w:eastAsia="en-GB"/>
        </w:rPr>
        <w:t>organisation</w:t>
      </w:r>
      <w:r w:rsidR="00504348" w:rsidRPr="009232AD">
        <w:t>s</w:t>
      </w:r>
      <w:r w:rsidRPr="009232AD">
        <w:rPr>
          <w:rStyle w:val="fontstyle01"/>
          <w:rFonts w:asciiTheme="majorBidi" w:hAnsiTheme="majorBidi" w:cstheme="majorBidi"/>
          <w:color w:val="auto"/>
          <w:sz w:val="24"/>
          <w:szCs w:val="24"/>
        </w:rPr>
        <w:t>’ environmental and social impacts highly and pressure them to enhance such impacts (</w:t>
      </w:r>
      <w:r w:rsidRPr="009232AD">
        <w:t>Dyck et al., 2019</w:t>
      </w:r>
      <w:r w:rsidRPr="009232AD">
        <w:rPr>
          <w:rStyle w:val="fontstyle01"/>
          <w:rFonts w:asciiTheme="majorBidi" w:hAnsiTheme="majorBidi" w:cstheme="majorBidi"/>
          <w:color w:val="auto"/>
          <w:sz w:val="24"/>
          <w:szCs w:val="24"/>
        </w:rPr>
        <w:t xml:space="preserve">). Managers’ ESG preferences are associated with ESG policies and outcomes; however, greenwashing is suggested because investors’ ESG preferences are associated with policies but not outcomes, which means investors’ ESG preferences are not implemented by </w:t>
      </w:r>
      <w:r w:rsidR="004848DD">
        <w:rPr>
          <w:lang w:eastAsia="en-GB"/>
        </w:rPr>
        <w:t>organisation</w:t>
      </w:r>
      <w:r w:rsidR="00DE71EF" w:rsidRPr="009232AD">
        <w:t>s</w:t>
      </w:r>
      <w:r w:rsidRPr="009232AD">
        <w:rPr>
          <w:rStyle w:val="fontstyle01"/>
          <w:rFonts w:asciiTheme="majorBidi" w:hAnsiTheme="majorBidi" w:cstheme="majorBidi"/>
          <w:color w:val="auto"/>
          <w:sz w:val="24"/>
          <w:szCs w:val="24"/>
        </w:rPr>
        <w:t xml:space="preserve"> (</w:t>
      </w:r>
      <w:r w:rsidRPr="009232AD">
        <w:t>Barrymore, 2023</w:t>
      </w:r>
      <w:r w:rsidRPr="009232AD">
        <w:rPr>
          <w:rStyle w:val="fontstyle01"/>
          <w:rFonts w:asciiTheme="majorBidi" w:hAnsiTheme="majorBidi" w:cstheme="majorBidi"/>
          <w:color w:val="auto"/>
          <w:sz w:val="24"/>
          <w:szCs w:val="24"/>
        </w:rPr>
        <w:t xml:space="preserve">). </w:t>
      </w:r>
    </w:p>
    <w:p w14:paraId="31D102F2" w14:textId="6ECE207C" w:rsidR="00051CFF" w:rsidRPr="009232AD" w:rsidRDefault="0010753E" w:rsidP="002A472B">
      <w:pPr>
        <w:jc w:val="both"/>
        <w:rPr>
          <w:rStyle w:val="fontstyle01"/>
          <w:rFonts w:asciiTheme="majorBidi" w:hAnsiTheme="majorBidi" w:cstheme="majorBidi"/>
          <w:sz w:val="24"/>
          <w:szCs w:val="24"/>
        </w:rPr>
      </w:pPr>
      <w:r>
        <w:rPr>
          <w:rStyle w:val="fontstyle01"/>
          <w:rFonts w:asciiTheme="majorBidi" w:hAnsiTheme="majorBidi" w:cstheme="majorBidi"/>
          <w:color w:val="auto"/>
          <w:sz w:val="24"/>
          <w:szCs w:val="24"/>
        </w:rPr>
        <w:lastRenderedPageBreak/>
        <w:t xml:space="preserve">Our </w:t>
      </w:r>
      <w:r w:rsidR="00051CFF" w:rsidRPr="009232AD">
        <w:rPr>
          <w:rStyle w:val="fontstyle01"/>
          <w:rFonts w:asciiTheme="majorBidi" w:hAnsiTheme="majorBidi" w:cstheme="majorBidi"/>
          <w:color w:val="auto"/>
          <w:sz w:val="24"/>
          <w:szCs w:val="24"/>
        </w:rPr>
        <w:t xml:space="preserve">study </w:t>
      </w:r>
      <w:r>
        <w:rPr>
          <w:rStyle w:val="fontstyle01"/>
          <w:rFonts w:asciiTheme="majorBidi" w:hAnsiTheme="majorBidi" w:cstheme="majorBidi"/>
          <w:color w:val="auto"/>
          <w:sz w:val="24"/>
          <w:szCs w:val="24"/>
        </w:rPr>
        <w:t>showed</w:t>
      </w:r>
      <w:r w:rsidRPr="009232AD">
        <w:rPr>
          <w:rStyle w:val="fontstyle01"/>
          <w:rFonts w:asciiTheme="majorBidi" w:hAnsiTheme="majorBidi" w:cstheme="majorBidi"/>
          <w:color w:val="auto"/>
          <w:sz w:val="24"/>
          <w:szCs w:val="24"/>
        </w:rPr>
        <w:t xml:space="preserve"> </w:t>
      </w:r>
      <w:r>
        <w:rPr>
          <w:rStyle w:val="fontstyle01"/>
          <w:rFonts w:asciiTheme="majorBidi" w:hAnsiTheme="majorBidi" w:cstheme="majorBidi"/>
          <w:color w:val="auto"/>
          <w:sz w:val="24"/>
          <w:szCs w:val="24"/>
        </w:rPr>
        <w:t xml:space="preserve">the possibility of </w:t>
      </w:r>
      <w:r w:rsidR="004848DD">
        <w:rPr>
          <w:lang w:eastAsia="en-GB"/>
        </w:rPr>
        <w:t>organisation</w:t>
      </w:r>
      <w:r w:rsidR="00FF609C" w:rsidRPr="009232AD">
        <w:t>s</w:t>
      </w:r>
      <w:r>
        <w:rPr>
          <w:rStyle w:val="fontstyle01"/>
          <w:rFonts w:asciiTheme="majorBidi" w:hAnsiTheme="majorBidi" w:cstheme="majorBidi"/>
          <w:color w:val="auto"/>
          <w:sz w:val="24"/>
          <w:szCs w:val="24"/>
        </w:rPr>
        <w:t xml:space="preserve">’ </w:t>
      </w:r>
      <w:r w:rsidR="00051CFF" w:rsidRPr="009232AD">
        <w:rPr>
          <w:rStyle w:val="fontstyle01"/>
          <w:rFonts w:asciiTheme="majorBidi" w:hAnsiTheme="majorBidi" w:cstheme="majorBidi"/>
          <w:color w:val="auto"/>
          <w:sz w:val="24"/>
          <w:szCs w:val="24"/>
        </w:rPr>
        <w:t xml:space="preserve">‘wellbeing washing,’ where </w:t>
      </w:r>
      <w:r w:rsidR="004848DD">
        <w:rPr>
          <w:lang w:eastAsia="en-GB"/>
        </w:rPr>
        <w:t>organisation</w:t>
      </w:r>
      <w:r w:rsidR="00E67144" w:rsidRPr="009232AD">
        <w:t>s</w:t>
      </w:r>
      <w:r w:rsidR="00051CFF" w:rsidRPr="009232AD">
        <w:rPr>
          <w:rStyle w:val="fontstyle01"/>
          <w:rFonts w:asciiTheme="majorBidi" w:hAnsiTheme="majorBidi" w:cstheme="majorBidi"/>
          <w:color w:val="auto"/>
          <w:sz w:val="24"/>
          <w:szCs w:val="24"/>
        </w:rPr>
        <w:t xml:space="preserve"> </w:t>
      </w:r>
      <w:r>
        <w:rPr>
          <w:rStyle w:val="fontstyle01"/>
          <w:rFonts w:asciiTheme="majorBidi" w:hAnsiTheme="majorBidi" w:cstheme="majorBidi"/>
          <w:color w:val="auto"/>
          <w:sz w:val="24"/>
          <w:szCs w:val="24"/>
        </w:rPr>
        <w:t xml:space="preserve">report their commitment to wellbeing </w:t>
      </w:r>
      <w:r w:rsidR="00051CFF" w:rsidRPr="009232AD">
        <w:rPr>
          <w:rStyle w:val="fontstyle01"/>
          <w:rFonts w:asciiTheme="majorBidi" w:hAnsiTheme="majorBidi" w:cstheme="majorBidi"/>
          <w:color w:val="auto"/>
          <w:sz w:val="24"/>
          <w:szCs w:val="24"/>
        </w:rPr>
        <w:t xml:space="preserve">but fail to implement wellbeing initiatives effectively. </w:t>
      </w:r>
      <w:r>
        <w:rPr>
          <w:rStyle w:val="fontstyle01"/>
          <w:rFonts w:asciiTheme="majorBidi" w:hAnsiTheme="majorBidi" w:cstheme="majorBidi"/>
          <w:color w:val="auto"/>
          <w:sz w:val="24"/>
          <w:szCs w:val="24"/>
        </w:rPr>
        <w:t>We also found that the marke</w:t>
      </w:r>
      <w:r w:rsidR="00C16E11">
        <w:rPr>
          <w:rStyle w:val="fontstyle01"/>
          <w:rFonts w:asciiTheme="majorBidi" w:hAnsiTheme="majorBidi" w:cstheme="majorBidi"/>
          <w:color w:val="auto"/>
          <w:sz w:val="24"/>
          <w:szCs w:val="24"/>
        </w:rPr>
        <w:t>t</w:t>
      </w:r>
      <w:r>
        <w:rPr>
          <w:rStyle w:val="fontstyle01"/>
          <w:rFonts w:asciiTheme="majorBidi" w:hAnsiTheme="majorBidi" w:cstheme="majorBidi"/>
          <w:color w:val="auto"/>
          <w:sz w:val="24"/>
          <w:szCs w:val="24"/>
        </w:rPr>
        <w:t xml:space="preserve"> </w:t>
      </w:r>
      <w:r w:rsidR="00C16E11">
        <w:rPr>
          <w:rStyle w:val="fontstyle01"/>
          <w:rFonts w:asciiTheme="majorBidi" w:hAnsiTheme="majorBidi" w:cstheme="majorBidi"/>
          <w:color w:val="auto"/>
          <w:sz w:val="24"/>
          <w:szCs w:val="24"/>
        </w:rPr>
        <w:t xml:space="preserve">seems to </w:t>
      </w:r>
      <w:r>
        <w:rPr>
          <w:rStyle w:val="fontstyle01"/>
          <w:rFonts w:asciiTheme="majorBidi" w:hAnsiTheme="majorBidi" w:cstheme="majorBidi"/>
          <w:color w:val="auto"/>
          <w:sz w:val="24"/>
          <w:szCs w:val="24"/>
        </w:rPr>
        <w:t>be misled by wellbeing disclosure</w:t>
      </w:r>
      <w:r w:rsidR="00C16E11">
        <w:rPr>
          <w:rStyle w:val="fontstyle01"/>
          <w:rFonts w:asciiTheme="majorBidi" w:hAnsiTheme="majorBidi" w:cstheme="majorBidi"/>
          <w:color w:val="auto"/>
          <w:sz w:val="24"/>
          <w:szCs w:val="24"/>
        </w:rPr>
        <w:t>.</w:t>
      </w:r>
      <w:r>
        <w:rPr>
          <w:rStyle w:val="fontstyle01"/>
          <w:rFonts w:asciiTheme="majorBidi" w:hAnsiTheme="majorBidi" w:cstheme="majorBidi"/>
          <w:color w:val="auto"/>
          <w:sz w:val="24"/>
          <w:szCs w:val="24"/>
        </w:rPr>
        <w:t xml:space="preserve"> </w:t>
      </w:r>
      <w:r w:rsidR="00C16E11">
        <w:rPr>
          <w:rStyle w:val="fontstyle01"/>
          <w:rFonts w:asciiTheme="majorBidi" w:hAnsiTheme="majorBidi" w:cstheme="majorBidi"/>
          <w:color w:val="auto"/>
          <w:sz w:val="24"/>
          <w:szCs w:val="24"/>
        </w:rPr>
        <w:t>I</w:t>
      </w:r>
      <w:r>
        <w:rPr>
          <w:rStyle w:val="fontstyle01"/>
          <w:rFonts w:asciiTheme="majorBidi" w:hAnsiTheme="majorBidi" w:cstheme="majorBidi"/>
          <w:color w:val="auto"/>
          <w:sz w:val="24"/>
          <w:szCs w:val="24"/>
        </w:rPr>
        <w:t xml:space="preserve">rrespective of employees’ wellbeing </w:t>
      </w:r>
      <w:r w:rsidR="00C16E11">
        <w:rPr>
          <w:rStyle w:val="fontstyle01"/>
          <w:rFonts w:asciiTheme="majorBidi" w:hAnsiTheme="majorBidi" w:cstheme="majorBidi"/>
          <w:color w:val="auto"/>
          <w:sz w:val="24"/>
          <w:szCs w:val="24"/>
        </w:rPr>
        <w:t>the disclosure of wellbeing commitment has a positive effect o</w:t>
      </w:r>
      <w:r w:rsidR="00631D29">
        <w:rPr>
          <w:rStyle w:val="fontstyle01"/>
          <w:rFonts w:asciiTheme="majorBidi" w:hAnsiTheme="majorBidi" w:cstheme="majorBidi"/>
          <w:color w:val="auto"/>
          <w:sz w:val="24"/>
          <w:szCs w:val="24"/>
        </w:rPr>
        <w:t>n</w:t>
      </w:r>
      <w:r w:rsidR="00C16E11">
        <w:rPr>
          <w:rStyle w:val="fontstyle01"/>
          <w:rFonts w:asciiTheme="majorBidi" w:hAnsiTheme="majorBidi" w:cstheme="majorBidi"/>
          <w:color w:val="auto"/>
          <w:sz w:val="24"/>
          <w:szCs w:val="24"/>
        </w:rPr>
        <w:t xml:space="preserve"> Tobin’s Q. </w:t>
      </w:r>
    </w:p>
    <w:p w14:paraId="3A6AD714" w14:textId="7F68F8E9" w:rsidR="00051CFF" w:rsidRPr="009232AD" w:rsidRDefault="00051CFF" w:rsidP="002A472B">
      <w:pPr>
        <w:jc w:val="both"/>
        <w:rPr>
          <w:rStyle w:val="fontstyle01"/>
          <w:rFonts w:asciiTheme="majorBidi" w:hAnsiTheme="majorBidi" w:cstheme="majorBidi"/>
          <w:color w:val="auto"/>
          <w:sz w:val="24"/>
          <w:szCs w:val="24"/>
        </w:rPr>
      </w:pPr>
      <w:r w:rsidRPr="009232AD">
        <w:rPr>
          <w:rStyle w:val="fontstyle01"/>
          <w:rFonts w:asciiTheme="majorBidi" w:hAnsiTheme="majorBidi" w:cstheme="majorBidi"/>
          <w:color w:val="auto"/>
          <w:sz w:val="24"/>
          <w:szCs w:val="24"/>
        </w:rPr>
        <w:t xml:space="preserve">Our study makes several key contributions to the literature: it introduces the concept of wellbeing washing among major S&amp;P </w:t>
      </w:r>
      <w:r w:rsidR="004848DD">
        <w:rPr>
          <w:lang w:eastAsia="en-GB"/>
        </w:rPr>
        <w:t>organisation</w:t>
      </w:r>
      <w:r w:rsidR="00EB56AC" w:rsidRPr="009232AD">
        <w:t>s</w:t>
      </w:r>
      <w:r w:rsidRPr="009232AD">
        <w:rPr>
          <w:rStyle w:val="fontstyle01"/>
          <w:rFonts w:asciiTheme="majorBidi" w:hAnsiTheme="majorBidi" w:cstheme="majorBidi"/>
          <w:color w:val="auto"/>
          <w:sz w:val="24"/>
          <w:szCs w:val="24"/>
        </w:rPr>
        <w:t xml:space="preserve">, extends the IOSH survey findings on wellbeing washing by analysing different employee satisfaction dimensions, </w:t>
      </w:r>
      <w:r w:rsidR="000A0B98">
        <w:rPr>
          <w:rStyle w:val="fontstyle01"/>
          <w:rFonts w:asciiTheme="majorBidi" w:hAnsiTheme="majorBidi" w:cstheme="majorBidi"/>
          <w:color w:val="auto"/>
          <w:sz w:val="24"/>
          <w:szCs w:val="24"/>
        </w:rPr>
        <w:t xml:space="preserve">and </w:t>
      </w:r>
      <w:r w:rsidRPr="009232AD">
        <w:rPr>
          <w:rStyle w:val="fontstyle01"/>
          <w:rFonts w:asciiTheme="majorBidi" w:hAnsiTheme="majorBidi" w:cstheme="majorBidi"/>
          <w:color w:val="auto"/>
          <w:sz w:val="24"/>
          <w:szCs w:val="24"/>
        </w:rPr>
        <w:t>analyses market reactions to high wellbeing disclosures versus employee ratings</w:t>
      </w:r>
      <w:r w:rsidR="00417DFA">
        <w:rPr>
          <w:rStyle w:val="fontstyle01"/>
          <w:rFonts w:asciiTheme="majorBidi" w:hAnsiTheme="majorBidi" w:cstheme="majorBidi"/>
          <w:color w:val="auto"/>
          <w:sz w:val="24"/>
          <w:szCs w:val="24"/>
        </w:rPr>
        <w:t>.</w:t>
      </w:r>
    </w:p>
    <w:p w14:paraId="6042607F" w14:textId="77777777" w:rsidR="00485217" w:rsidRDefault="00485217">
      <w:pPr>
        <w:spacing w:after="160" w:line="259" w:lineRule="auto"/>
        <w:ind w:firstLine="0"/>
        <w:rPr>
          <w:rFonts w:eastAsiaTheme="majorEastAsia" w:cstheme="majorBidi"/>
          <w:b/>
          <w:color w:val="000000" w:themeColor="text1"/>
          <w:szCs w:val="40"/>
        </w:rPr>
      </w:pPr>
      <w:bookmarkStart w:id="1" w:name="Akyildirim"/>
      <w:r>
        <w:br w:type="page"/>
      </w:r>
    </w:p>
    <w:p w14:paraId="2FC9F9F3" w14:textId="21233F5C" w:rsidR="00051CFF" w:rsidRPr="009232AD" w:rsidRDefault="00051CFF" w:rsidP="00485217">
      <w:pPr>
        <w:pStyle w:val="Heading1"/>
        <w:rPr>
          <w:shd w:val="clear" w:color="auto" w:fill="FFFFFF"/>
        </w:rPr>
      </w:pPr>
      <w:r w:rsidRPr="00FA5E92">
        <w:lastRenderedPageBreak/>
        <w:t>Ref</w:t>
      </w:r>
      <w:r w:rsidR="00B3736C" w:rsidRPr="00FA5E92">
        <w:t>e</w:t>
      </w:r>
      <w:r w:rsidRPr="00FA5E92">
        <w:t>rences</w:t>
      </w:r>
      <w:r w:rsidRPr="009232AD">
        <w:rPr>
          <w:shd w:val="clear" w:color="auto" w:fill="FFFFFF"/>
        </w:rPr>
        <w:t xml:space="preserve"> </w:t>
      </w:r>
    </w:p>
    <w:p w14:paraId="7286B764" w14:textId="77777777" w:rsidR="00051CFF" w:rsidRPr="009232AD" w:rsidRDefault="00051CFF" w:rsidP="00FA5E92">
      <w:pPr>
        <w:ind w:left="720" w:hanging="720"/>
        <w:rPr>
          <w:rFonts w:asciiTheme="majorBidi" w:hAnsiTheme="majorBidi" w:cstheme="majorBidi"/>
          <w:color w:val="000000" w:themeColor="text1"/>
          <w:szCs w:val="24"/>
          <w:shd w:val="clear" w:color="auto" w:fill="FFFFFF"/>
        </w:rPr>
      </w:pPr>
      <w:proofErr w:type="spellStart"/>
      <w:r w:rsidRPr="009232AD">
        <w:rPr>
          <w:rFonts w:asciiTheme="majorBidi" w:hAnsiTheme="majorBidi" w:cstheme="majorBidi"/>
          <w:color w:val="000000" w:themeColor="text1"/>
          <w:szCs w:val="24"/>
          <w:shd w:val="clear" w:color="auto" w:fill="FFFFFF"/>
        </w:rPr>
        <w:t>Akyildirim</w:t>
      </w:r>
      <w:bookmarkEnd w:id="1"/>
      <w:proofErr w:type="spellEnd"/>
      <w:r w:rsidRPr="009232AD">
        <w:rPr>
          <w:rFonts w:asciiTheme="majorBidi" w:hAnsiTheme="majorBidi" w:cstheme="majorBidi"/>
          <w:color w:val="000000" w:themeColor="text1"/>
          <w:szCs w:val="24"/>
          <w:shd w:val="clear" w:color="auto" w:fill="FFFFFF"/>
        </w:rPr>
        <w:t xml:space="preserve">, E., Corbet, S., </w:t>
      </w:r>
      <w:proofErr w:type="spellStart"/>
      <w:r w:rsidRPr="009232AD">
        <w:rPr>
          <w:rFonts w:asciiTheme="majorBidi" w:hAnsiTheme="majorBidi" w:cstheme="majorBidi"/>
          <w:color w:val="000000" w:themeColor="text1"/>
          <w:szCs w:val="24"/>
          <w:shd w:val="clear" w:color="auto" w:fill="FFFFFF"/>
        </w:rPr>
        <w:t>Ongena</w:t>
      </w:r>
      <w:proofErr w:type="spellEnd"/>
      <w:r w:rsidRPr="009232AD">
        <w:rPr>
          <w:rFonts w:asciiTheme="majorBidi" w:hAnsiTheme="majorBidi" w:cstheme="majorBidi"/>
          <w:color w:val="000000" w:themeColor="text1"/>
          <w:szCs w:val="24"/>
          <w:shd w:val="clear" w:color="auto" w:fill="FFFFFF"/>
        </w:rPr>
        <w:t>, S. and Oxley, L. (2023). Greenwashing: Do Investors, Markets and Boards Really Care?. </w:t>
      </w:r>
      <w:r w:rsidRPr="009232AD">
        <w:rPr>
          <w:rFonts w:asciiTheme="majorBidi" w:hAnsiTheme="majorBidi" w:cstheme="majorBidi"/>
          <w:i/>
          <w:iCs/>
          <w:color w:val="000000" w:themeColor="text1"/>
          <w:szCs w:val="24"/>
          <w:shd w:val="clear" w:color="auto" w:fill="FFFFFF"/>
        </w:rPr>
        <w:t>Swiss Finance Institute Research Paper</w:t>
      </w:r>
      <w:r w:rsidRPr="009232AD">
        <w:rPr>
          <w:rFonts w:asciiTheme="majorBidi" w:hAnsiTheme="majorBidi" w:cstheme="majorBidi"/>
          <w:color w:val="000000" w:themeColor="text1"/>
          <w:szCs w:val="24"/>
          <w:shd w:val="clear" w:color="auto" w:fill="FFFFFF"/>
        </w:rPr>
        <w:t>, (23-90).</w:t>
      </w:r>
    </w:p>
    <w:p w14:paraId="3536688C" w14:textId="6F7DB7D6" w:rsidR="00051CFF" w:rsidRPr="009232AD" w:rsidRDefault="00051CFF" w:rsidP="00FA5E92">
      <w:pPr>
        <w:ind w:left="720" w:hanging="720"/>
        <w:rPr>
          <w:rFonts w:asciiTheme="majorBidi" w:hAnsiTheme="majorBidi" w:cstheme="majorBidi"/>
          <w:color w:val="000000" w:themeColor="text1"/>
          <w:szCs w:val="24"/>
          <w:shd w:val="clear" w:color="auto" w:fill="FFFFFF"/>
        </w:rPr>
      </w:pPr>
      <w:bookmarkStart w:id="2" w:name="Argenti"/>
      <w:r w:rsidRPr="009232AD">
        <w:rPr>
          <w:rFonts w:asciiTheme="majorBidi" w:hAnsiTheme="majorBidi" w:cstheme="majorBidi"/>
          <w:color w:val="000000" w:themeColor="text1"/>
          <w:szCs w:val="24"/>
          <w:shd w:val="clear" w:color="auto" w:fill="FFFFFF"/>
        </w:rPr>
        <w:t>Argenti, P. (2020). When should your company speak up about a social issue. </w:t>
      </w:r>
      <w:r w:rsidRPr="009232AD">
        <w:rPr>
          <w:rFonts w:asciiTheme="majorBidi" w:hAnsiTheme="majorBidi" w:cstheme="majorBidi"/>
          <w:i/>
          <w:iCs/>
          <w:color w:val="000000" w:themeColor="text1"/>
          <w:szCs w:val="24"/>
          <w:shd w:val="clear" w:color="auto" w:fill="FFFFFF"/>
        </w:rPr>
        <w:t>Harvard Business Review</w:t>
      </w:r>
      <w:r w:rsidR="004A5A47">
        <w:rPr>
          <w:rFonts w:asciiTheme="majorBidi" w:hAnsiTheme="majorBidi" w:cstheme="majorBidi"/>
          <w:i/>
          <w:iCs/>
          <w:color w:val="000000" w:themeColor="text1"/>
          <w:szCs w:val="24"/>
          <w:shd w:val="clear" w:color="auto" w:fill="FFFFFF"/>
        </w:rPr>
        <w:t xml:space="preserve">, </w:t>
      </w:r>
      <w:r w:rsidR="004A5A47" w:rsidRPr="00FA5E92">
        <w:rPr>
          <w:rFonts w:asciiTheme="majorBidi" w:hAnsiTheme="majorBidi" w:cstheme="majorBidi"/>
          <w:color w:val="000000" w:themeColor="text1"/>
          <w:szCs w:val="24"/>
          <w:shd w:val="clear" w:color="auto" w:fill="FFFFFF"/>
        </w:rPr>
        <w:t>2-8</w:t>
      </w:r>
      <w:r w:rsidRPr="009232AD">
        <w:rPr>
          <w:rFonts w:asciiTheme="majorBidi" w:hAnsiTheme="majorBidi" w:cstheme="majorBidi"/>
          <w:color w:val="000000" w:themeColor="text1"/>
          <w:szCs w:val="24"/>
          <w:shd w:val="clear" w:color="auto" w:fill="FFFFFF"/>
        </w:rPr>
        <w:t>.</w:t>
      </w:r>
      <w:r w:rsidR="004A5A47">
        <w:rPr>
          <w:rFonts w:asciiTheme="majorBidi" w:hAnsiTheme="majorBidi" w:cstheme="majorBidi"/>
          <w:color w:val="000000" w:themeColor="text1"/>
          <w:szCs w:val="24"/>
          <w:shd w:val="clear" w:color="auto" w:fill="FFFFFF"/>
        </w:rPr>
        <w:t xml:space="preserve"> </w:t>
      </w:r>
      <w:r w:rsidR="004A5A47" w:rsidRPr="009232AD">
        <w:rPr>
          <w:rStyle w:val="fontstyle01"/>
          <w:rFonts w:asciiTheme="majorBidi" w:hAnsiTheme="majorBidi" w:cstheme="majorBidi"/>
          <w:color w:val="000000" w:themeColor="text1"/>
          <w:sz w:val="24"/>
          <w:szCs w:val="24"/>
        </w:rPr>
        <w:t xml:space="preserve">Available at </w:t>
      </w:r>
      <w:r w:rsidR="004A5A47" w:rsidRPr="004A5A47">
        <w:rPr>
          <w:rFonts w:asciiTheme="majorBidi" w:hAnsiTheme="majorBidi" w:cstheme="majorBidi"/>
          <w:color w:val="000000" w:themeColor="text1"/>
          <w:szCs w:val="24"/>
          <w:shd w:val="clear" w:color="auto" w:fill="FFFFFF"/>
        </w:rPr>
        <w:t>https://hbr.org/2020/10/when-should-your-company-speak-up-about-a-social-issue</w:t>
      </w:r>
    </w:p>
    <w:p w14:paraId="03558806" w14:textId="77777777" w:rsidR="00051CFF" w:rsidRPr="009232AD" w:rsidRDefault="00051CFF" w:rsidP="00FA5E92">
      <w:pPr>
        <w:ind w:left="720" w:hanging="720"/>
        <w:rPr>
          <w:rStyle w:val="fontstyle01"/>
          <w:rFonts w:asciiTheme="majorBidi" w:hAnsiTheme="majorBidi" w:cstheme="majorBidi"/>
          <w:b/>
          <w:bCs/>
          <w:color w:val="000000" w:themeColor="text1"/>
          <w:sz w:val="24"/>
          <w:szCs w:val="24"/>
        </w:rPr>
      </w:pPr>
      <w:bookmarkStart w:id="3" w:name="Asare"/>
      <w:bookmarkEnd w:id="2"/>
      <w:r w:rsidRPr="009232AD">
        <w:rPr>
          <w:rStyle w:val="fontstyle01"/>
          <w:rFonts w:asciiTheme="majorBidi" w:hAnsiTheme="majorBidi" w:cstheme="majorBidi"/>
          <w:color w:val="000000" w:themeColor="text1"/>
          <w:sz w:val="24"/>
          <w:szCs w:val="24"/>
        </w:rPr>
        <w:t>Asare</w:t>
      </w:r>
      <w:bookmarkEnd w:id="3"/>
      <w:r w:rsidRPr="009232AD">
        <w:rPr>
          <w:rStyle w:val="fontstyle01"/>
          <w:rFonts w:asciiTheme="majorBidi" w:hAnsiTheme="majorBidi" w:cstheme="majorBidi"/>
          <w:color w:val="000000" w:themeColor="text1"/>
          <w:sz w:val="24"/>
          <w:szCs w:val="24"/>
        </w:rPr>
        <w:t xml:space="preserve">, J. (2020). If you really care about equity and inclusion, stop cutting your diversity budget. </w:t>
      </w:r>
      <w:r w:rsidRPr="009232AD">
        <w:rPr>
          <w:rStyle w:val="fontstyle01"/>
          <w:rFonts w:asciiTheme="majorBidi" w:hAnsiTheme="majorBidi" w:cstheme="majorBidi"/>
          <w:i/>
          <w:iCs/>
          <w:color w:val="000000" w:themeColor="text1"/>
          <w:sz w:val="24"/>
          <w:szCs w:val="24"/>
        </w:rPr>
        <w:t>Forbes</w:t>
      </w:r>
      <w:r w:rsidRPr="009232AD">
        <w:rPr>
          <w:rStyle w:val="fontstyle01"/>
          <w:rFonts w:asciiTheme="majorBidi" w:hAnsiTheme="majorBidi" w:cstheme="majorBidi"/>
          <w:color w:val="000000" w:themeColor="text1"/>
          <w:sz w:val="24"/>
          <w:szCs w:val="24"/>
        </w:rPr>
        <w:t>. Available at https://www.forbes.com/sites/janicegassam/2020/08/30/if-you-really-care-about-equity-and-inclusion-stop-cutting-your-diversity-budget/?sh=750e9c154549</w:t>
      </w:r>
    </w:p>
    <w:p w14:paraId="034FF466" w14:textId="26BCD4E0" w:rsidR="00051CFF" w:rsidRPr="009232AD" w:rsidRDefault="00051CFF" w:rsidP="00FA5E92">
      <w:pPr>
        <w:pStyle w:val="ListParagraph"/>
        <w:ind w:hanging="720"/>
        <w:rPr>
          <w:rFonts w:asciiTheme="majorBidi" w:hAnsiTheme="majorBidi" w:cstheme="majorBidi"/>
          <w:color w:val="000000" w:themeColor="text1"/>
          <w:szCs w:val="24"/>
        </w:rPr>
      </w:pPr>
      <w:bookmarkStart w:id="4" w:name="Ashkanasy"/>
      <w:proofErr w:type="spellStart"/>
      <w:r w:rsidRPr="009232AD">
        <w:rPr>
          <w:rFonts w:asciiTheme="majorBidi" w:hAnsiTheme="majorBidi" w:cstheme="majorBidi"/>
          <w:color w:val="000000" w:themeColor="text1"/>
          <w:szCs w:val="24"/>
        </w:rPr>
        <w:t>Ashkanasy</w:t>
      </w:r>
      <w:bookmarkEnd w:id="4"/>
      <w:proofErr w:type="spellEnd"/>
      <w:r w:rsidRPr="009232AD">
        <w:rPr>
          <w:rFonts w:asciiTheme="majorBidi" w:hAnsiTheme="majorBidi" w:cstheme="majorBidi"/>
          <w:color w:val="000000" w:themeColor="text1"/>
          <w:szCs w:val="24"/>
        </w:rPr>
        <w:t>, N. and Daus, C. (2002). Emotion in the workplace: The new challenge for managers. </w:t>
      </w:r>
      <w:r w:rsidRPr="009232AD">
        <w:rPr>
          <w:rFonts w:asciiTheme="majorBidi" w:hAnsiTheme="majorBidi" w:cstheme="majorBidi"/>
          <w:i/>
          <w:iCs/>
          <w:color w:val="000000" w:themeColor="text1"/>
          <w:szCs w:val="24"/>
        </w:rPr>
        <w:t>Academy of Management Perspectives</w:t>
      </w:r>
      <w:r w:rsidRPr="009232AD">
        <w:rPr>
          <w:rFonts w:asciiTheme="majorBidi" w:hAnsiTheme="majorBidi" w:cstheme="majorBidi"/>
          <w:color w:val="000000" w:themeColor="text1"/>
          <w:szCs w:val="24"/>
        </w:rPr>
        <w:t>, 16(1),</w:t>
      </w:r>
      <w:r w:rsidR="004A5A47">
        <w:rPr>
          <w:rFonts w:asciiTheme="majorBidi" w:hAnsiTheme="majorBidi" w:cstheme="majorBidi"/>
          <w:color w:val="000000" w:themeColor="text1"/>
          <w:szCs w:val="24"/>
        </w:rPr>
        <w:t xml:space="preserve"> </w:t>
      </w:r>
      <w:r w:rsidRPr="009232AD">
        <w:rPr>
          <w:rFonts w:asciiTheme="majorBidi" w:hAnsiTheme="majorBidi" w:cstheme="majorBidi"/>
          <w:color w:val="000000" w:themeColor="text1"/>
          <w:szCs w:val="24"/>
        </w:rPr>
        <w:t>76-86.</w:t>
      </w:r>
    </w:p>
    <w:p w14:paraId="2D5F9298" w14:textId="5829D8CE" w:rsidR="00051CFF" w:rsidRPr="009232AD" w:rsidRDefault="00051CFF" w:rsidP="00FA5E92">
      <w:pPr>
        <w:ind w:left="720" w:hanging="720"/>
        <w:rPr>
          <w:rFonts w:asciiTheme="majorBidi" w:hAnsiTheme="majorBidi" w:cstheme="majorBidi"/>
          <w:color w:val="000000" w:themeColor="text1"/>
          <w:szCs w:val="24"/>
          <w:shd w:val="clear" w:color="auto" w:fill="FFFFFF"/>
        </w:rPr>
      </w:pPr>
      <w:bookmarkStart w:id="5" w:name="Baier"/>
      <w:r w:rsidRPr="009232AD">
        <w:rPr>
          <w:rFonts w:asciiTheme="majorBidi" w:hAnsiTheme="majorBidi" w:cstheme="majorBidi"/>
          <w:color w:val="000000" w:themeColor="text1"/>
          <w:szCs w:val="24"/>
          <w:shd w:val="clear" w:color="auto" w:fill="FFFFFF"/>
        </w:rPr>
        <w:t>Baier</w:t>
      </w:r>
      <w:bookmarkEnd w:id="5"/>
      <w:r w:rsidRPr="009232AD">
        <w:rPr>
          <w:rFonts w:asciiTheme="majorBidi" w:hAnsiTheme="majorBidi" w:cstheme="majorBidi"/>
          <w:color w:val="000000" w:themeColor="text1"/>
          <w:szCs w:val="24"/>
          <w:shd w:val="clear" w:color="auto" w:fill="FFFFFF"/>
        </w:rPr>
        <w:t>, P., Berninger, M. and Kiesel, F. (2020). Environmental, social and governance reporting in annual reports: A textual analysis. </w:t>
      </w:r>
      <w:r w:rsidRPr="009232AD">
        <w:rPr>
          <w:rFonts w:asciiTheme="majorBidi" w:hAnsiTheme="majorBidi" w:cstheme="majorBidi"/>
          <w:i/>
          <w:iCs/>
          <w:color w:val="000000" w:themeColor="text1"/>
          <w:szCs w:val="24"/>
          <w:shd w:val="clear" w:color="auto" w:fill="FFFFFF"/>
        </w:rPr>
        <w:t>Financial Markets, Institutions &amp; Instruments</w:t>
      </w:r>
      <w:r w:rsidRPr="009232AD">
        <w:rPr>
          <w:rFonts w:asciiTheme="majorBidi" w:hAnsiTheme="majorBidi" w:cstheme="majorBidi"/>
          <w:color w:val="000000" w:themeColor="text1"/>
          <w:szCs w:val="24"/>
          <w:shd w:val="clear" w:color="auto" w:fill="FFFFFF"/>
        </w:rPr>
        <w:t>, </w:t>
      </w:r>
      <w:r w:rsidRPr="009232AD">
        <w:rPr>
          <w:rFonts w:asciiTheme="majorBidi" w:hAnsiTheme="majorBidi" w:cstheme="majorBidi"/>
          <w:i/>
          <w:iCs/>
          <w:color w:val="000000" w:themeColor="text1"/>
          <w:szCs w:val="24"/>
          <w:shd w:val="clear" w:color="auto" w:fill="FFFFFF"/>
        </w:rPr>
        <w:t>29</w:t>
      </w:r>
      <w:r w:rsidRPr="009232AD">
        <w:rPr>
          <w:rFonts w:asciiTheme="majorBidi" w:hAnsiTheme="majorBidi" w:cstheme="majorBidi"/>
          <w:color w:val="000000" w:themeColor="text1"/>
          <w:szCs w:val="24"/>
          <w:shd w:val="clear" w:color="auto" w:fill="FFFFFF"/>
        </w:rPr>
        <w:t>(3), 93-118.</w:t>
      </w:r>
    </w:p>
    <w:p w14:paraId="4687AB23" w14:textId="460C3C00" w:rsidR="00051CFF" w:rsidRPr="009232AD" w:rsidRDefault="00051CFF" w:rsidP="00FA5E92">
      <w:pPr>
        <w:ind w:left="720" w:hanging="720"/>
        <w:rPr>
          <w:rFonts w:asciiTheme="majorBidi" w:hAnsiTheme="majorBidi" w:cstheme="majorBidi"/>
          <w:color w:val="000000" w:themeColor="text1"/>
          <w:szCs w:val="24"/>
          <w:shd w:val="clear" w:color="auto" w:fill="FFFFFF"/>
        </w:rPr>
      </w:pPr>
      <w:r w:rsidRPr="009232AD">
        <w:rPr>
          <w:rFonts w:asciiTheme="majorBidi" w:hAnsiTheme="majorBidi" w:cstheme="majorBidi"/>
          <w:color w:val="000000" w:themeColor="text1"/>
          <w:szCs w:val="24"/>
          <w:shd w:val="clear" w:color="auto" w:fill="FFFFFF"/>
        </w:rPr>
        <w:t>Barrymore, N. (2023). Green or Greenwashing? How Manager and Investor Preferences Shape Firm Strategy. </w:t>
      </w:r>
      <w:r w:rsidRPr="009232AD">
        <w:rPr>
          <w:rFonts w:asciiTheme="majorBidi" w:hAnsiTheme="majorBidi" w:cstheme="majorBidi"/>
          <w:i/>
          <w:iCs/>
          <w:color w:val="000000" w:themeColor="text1"/>
          <w:szCs w:val="24"/>
          <w:shd w:val="clear" w:color="auto" w:fill="FFFFFF"/>
        </w:rPr>
        <w:t>How Manager and Investor Preferences Shape Firm Strategy.</w:t>
      </w:r>
      <w:r w:rsidR="004A5A47">
        <w:rPr>
          <w:rFonts w:asciiTheme="majorBidi" w:hAnsiTheme="majorBidi" w:cstheme="majorBidi"/>
          <w:i/>
          <w:iCs/>
          <w:color w:val="000000" w:themeColor="text1"/>
          <w:szCs w:val="24"/>
          <w:shd w:val="clear" w:color="auto" w:fill="FFFFFF"/>
        </w:rPr>
        <w:t xml:space="preserve"> </w:t>
      </w:r>
      <w:r w:rsidRPr="009232AD">
        <w:rPr>
          <w:rFonts w:asciiTheme="majorBidi" w:hAnsiTheme="majorBidi" w:cstheme="majorBidi"/>
          <w:i/>
          <w:iCs/>
          <w:color w:val="000000" w:themeColor="text1"/>
          <w:szCs w:val="24"/>
          <w:shd w:val="clear" w:color="auto" w:fill="FFFFFF"/>
        </w:rPr>
        <w:t>(August 29, 2023)</w:t>
      </w:r>
      <w:r w:rsidRPr="009232AD">
        <w:rPr>
          <w:rFonts w:asciiTheme="majorBidi" w:hAnsiTheme="majorBidi" w:cstheme="majorBidi"/>
          <w:color w:val="000000" w:themeColor="text1"/>
          <w:szCs w:val="24"/>
          <w:shd w:val="clear" w:color="auto" w:fill="FFFFFF"/>
        </w:rPr>
        <w:t>.</w:t>
      </w:r>
      <w:r w:rsidR="004A5A47">
        <w:rPr>
          <w:rFonts w:asciiTheme="majorBidi" w:hAnsiTheme="majorBidi" w:cstheme="majorBidi"/>
          <w:color w:val="000000" w:themeColor="text1"/>
          <w:szCs w:val="24"/>
          <w:shd w:val="clear" w:color="auto" w:fill="FFFFFF"/>
        </w:rPr>
        <w:t xml:space="preserve"> </w:t>
      </w:r>
      <w:r w:rsidR="004A5A47" w:rsidRPr="004A5A47">
        <w:rPr>
          <w:rFonts w:asciiTheme="majorBidi" w:hAnsiTheme="majorBidi" w:cstheme="majorBidi"/>
          <w:color w:val="000000" w:themeColor="text1"/>
          <w:szCs w:val="24"/>
          <w:shd w:val="clear" w:color="auto" w:fill="FFFFFF"/>
        </w:rPr>
        <w:t>Available at SSRN: https://ssrn.com/abstract=4555581 or http://dx.doi.org/10.2139/ssrn.4555581</w:t>
      </w:r>
    </w:p>
    <w:p w14:paraId="5DBD26FE" w14:textId="77777777" w:rsidR="00051CFF" w:rsidRPr="009232AD" w:rsidRDefault="00051CFF" w:rsidP="00FA5E92">
      <w:pPr>
        <w:pStyle w:val="NormalWeb"/>
        <w:spacing w:before="0" w:beforeAutospacing="0" w:after="0" w:afterAutospacing="0" w:line="480" w:lineRule="auto"/>
        <w:ind w:left="720" w:hanging="720"/>
        <w:rPr>
          <w:rFonts w:asciiTheme="majorBidi" w:hAnsiTheme="majorBidi" w:cstheme="majorBidi"/>
          <w:color w:val="000000" w:themeColor="text1"/>
        </w:rPr>
      </w:pPr>
      <w:bookmarkStart w:id="6" w:name="CAQ"/>
      <w:r w:rsidRPr="009232AD">
        <w:rPr>
          <w:rFonts w:asciiTheme="majorBidi" w:hAnsiTheme="majorBidi" w:cstheme="majorBidi"/>
          <w:color w:val="000000" w:themeColor="text1"/>
        </w:rPr>
        <w:t>CAQ</w:t>
      </w:r>
      <w:bookmarkEnd w:id="6"/>
      <w:r w:rsidRPr="009232AD">
        <w:rPr>
          <w:rFonts w:asciiTheme="majorBidi" w:hAnsiTheme="majorBidi" w:cstheme="majorBidi"/>
          <w:color w:val="000000" w:themeColor="text1"/>
        </w:rPr>
        <w:t xml:space="preserve">. (2021). S&amp;P 100 and ESG reporting. </w:t>
      </w:r>
      <w:r w:rsidRPr="009232AD">
        <w:rPr>
          <w:rFonts w:asciiTheme="majorBidi" w:hAnsiTheme="majorBidi" w:cstheme="majorBidi"/>
          <w:i/>
          <w:iCs/>
          <w:color w:val="000000" w:themeColor="text1"/>
        </w:rPr>
        <w:t xml:space="preserve">theCAQ.org. </w:t>
      </w:r>
      <w:r w:rsidRPr="009232AD">
        <w:rPr>
          <w:rFonts w:asciiTheme="majorBidi" w:hAnsiTheme="majorBidi" w:cstheme="majorBidi"/>
          <w:color w:val="000000" w:themeColor="text1"/>
        </w:rPr>
        <w:t xml:space="preserve">Available at: </w:t>
      </w:r>
      <w:hyperlink r:id="rId10" w:history="1">
        <w:r w:rsidRPr="009232AD">
          <w:rPr>
            <w:rStyle w:val="Hyperlink"/>
            <w:rFonts w:asciiTheme="majorBidi" w:eastAsiaTheme="majorEastAsia" w:hAnsiTheme="majorBidi" w:cstheme="majorBidi"/>
            <w:color w:val="000000" w:themeColor="text1"/>
          </w:rPr>
          <w:t>https://www.thecaq.org/sp-100-and-esg-reporting#</w:t>
        </w:r>
      </w:hyperlink>
    </w:p>
    <w:p w14:paraId="3C8DD0D7" w14:textId="0965A4F4" w:rsidR="00051CFF" w:rsidRPr="009232AD" w:rsidRDefault="00051CFF" w:rsidP="00FA5E92">
      <w:pPr>
        <w:ind w:left="720" w:hanging="720"/>
        <w:rPr>
          <w:rFonts w:asciiTheme="majorBidi" w:hAnsiTheme="majorBidi" w:cstheme="majorBidi"/>
          <w:color w:val="000000" w:themeColor="text1"/>
          <w:szCs w:val="24"/>
        </w:rPr>
      </w:pPr>
      <w:r w:rsidRPr="0049704A">
        <w:rPr>
          <w:rFonts w:asciiTheme="majorBidi" w:hAnsiTheme="majorBidi" w:cstheme="majorBidi"/>
          <w:color w:val="000000" w:themeColor="text1"/>
          <w:szCs w:val="24"/>
          <w:lang w:val="it-IT"/>
        </w:rPr>
        <w:t xml:space="preserve">Chatterji AK, Durand R, Levine DI, Touboul S. (2016). </w:t>
      </w:r>
      <w:r w:rsidRPr="009232AD">
        <w:rPr>
          <w:rFonts w:asciiTheme="majorBidi" w:hAnsiTheme="majorBidi" w:cstheme="majorBidi"/>
          <w:color w:val="000000" w:themeColor="text1"/>
          <w:szCs w:val="24"/>
        </w:rPr>
        <w:t>Do ratings of firms converge? Implications for</w:t>
      </w:r>
      <w:r w:rsidR="00485217">
        <w:rPr>
          <w:rFonts w:asciiTheme="majorBidi" w:hAnsiTheme="majorBidi" w:cstheme="majorBidi"/>
          <w:color w:val="000000" w:themeColor="text1"/>
          <w:szCs w:val="24"/>
        </w:rPr>
        <w:t xml:space="preserve"> </w:t>
      </w:r>
      <w:r w:rsidRPr="009232AD">
        <w:rPr>
          <w:rFonts w:asciiTheme="majorBidi" w:hAnsiTheme="majorBidi" w:cstheme="majorBidi"/>
          <w:color w:val="000000" w:themeColor="text1"/>
          <w:szCs w:val="24"/>
        </w:rPr>
        <w:t xml:space="preserve">managers, investors and strategy researchers. </w:t>
      </w:r>
      <w:r w:rsidRPr="009232AD">
        <w:rPr>
          <w:rFonts w:asciiTheme="majorBidi" w:hAnsiTheme="majorBidi" w:cstheme="majorBidi"/>
          <w:i/>
          <w:iCs/>
          <w:color w:val="000000" w:themeColor="text1"/>
          <w:szCs w:val="24"/>
        </w:rPr>
        <w:t xml:space="preserve">Strategic Management Journal </w:t>
      </w:r>
      <w:r w:rsidRPr="00FA5E92">
        <w:rPr>
          <w:rFonts w:asciiTheme="majorBidi" w:hAnsiTheme="majorBidi" w:cstheme="majorBidi"/>
          <w:color w:val="000000" w:themeColor="text1"/>
          <w:szCs w:val="24"/>
        </w:rPr>
        <w:t>37</w:t>
      </w:r>
      <w:r w:rsidRPr="009232AD">
        <w:rPr>
          <w:rFonts w:asciiTheme="majorBidi" w:hAnsiTheme="majorBidi" w:cstheme="majorBidi"/>
          <w:color w:val="000000" w:themeColor="text1"/>
          <w:szCs w:val="24"/>
        </w:rPr>
        <w:t>(8): 1597–1614</w:t>
      </w:r>
    </w:p>
    <w:p w14:paraId="27919788" w14:textId="77777777" w:rsidR="00051CFF" w:rsidRPr="009232AD" w:rsidRDefault="00051CFF" w:rsidP="00485217">
      <w:pPr>
        <w:ind w:left="720" w:hanging="720"/>
        <w:rPr>
          <w:rFonts w:asciiTheme="majorBidi" w:hAnsiTheme="majorBidi" w:cstheme="majorBidi"/>
          <w:color w:val="000000" w:themeColor="text1"/>
          <w:szCs w:val="24"/>
        </w:rPr>
      </w:pPr>
      <w:r w:rsidRPr="009232AD">
        <w:rPr>
          <w:rFonts w:asciiTheme="majorBidi" w:hAnsiTheme="majorBidi" w:cstheme="majorBidi"/>
          <w:color w:val="000000" w:themeColor="text1"/>
          <w:szCs w:val="24"/>
        </w:rPr>
        <w:lastRenderedPageBreak/>
        <w:t>Chen, N., Li, A., and Talluri, K. (2021). Reviews and self-selection bias with operational implications. Management Science, 67(12), 7472-7492.</w:t>
      </w:r>
    </w:p>
    <w:p w14:paraId="176F0491" w14:textId="108F63FE" w:rsidR="00051CFF" w:rsidRPr="009232AD" w:rsidRDefault="00051CFF" w:rsidP="00FA5E92">
      <w:pPr>
        <w:ind w:left="720" w:hanging="720"/>
        <w:rPr>
          <w:rFonts w:asciiTheme="majorBidi" w:hAnsiTheme="majorBidi" w:cstheme="majorBidi"/>
          <w:color w:val="000000" w:themeColor="text1"/>
          <w:szCs w:val="24"/>
        </w:rPr>
      </w:pPr>
      <w:bookmarkStart w:id="7" w:name="Chen"/>
      <w:r w:rsidRPr="009232AD">
        <w:rPr>
          <w:rFonts w:asciiTheme="majorBidi" w:hAnsiTheme="majorBidi" w:cstheme="majorBidi"/>
          <w:color w:val="000000" w:themeColor="text1"/>
          <w:szCs w:val="24"/>
          <w:shd w:val="clear" w:color="auto" w:fill="FFFFFF"/>
        </w:rPr>
        <w:t>Chen</w:t>
      </w:r>
      <w:bookmarkEnd w:id="7"/>
      <w:r w:rsidRPr="009232AD">
        <w:rPr>
          <w:rFonts w:asciiTheme="majorBidi" w:hAnsiTheme="majorBidi" w:cstheme="majorBidi"/>
          <w:color w:val="000000" w:themeColor="text1"/>
          <w:szCs w:val="24"/>
          <w:shd w:val="clear" w:color="auto" w:fill="FFFFFF"/>
        </w:rPr>
        <w:t>, Z. and Xie, G. (2022). ESG disclosure and financial performance: Moderating role of ESG investors. </w:t>
      </w:r>
      <w:r w:rsidRPr="009232AD">
        <w:rPr>
          <w:rFonts w:asciiTheme="majorBidi" w:hAnsiTheme="majorBidi" w:cstheme="majorBidi"/>
          <w:i/>
          <w:iCs/>
          <w:color w:val="000000" w:themeColor="text1"/>
          <w:szCs w:val="24"/>
          <w:shd w:val="clear" w:color="auto" w:fill="FFFFFF"/>
        </w:rPr>
        <w:t>International Review of Financial Analysis</w:t>
      </w:r>
      <w:r w:rsidR="004A5A47" w:rsidRPr="009232AD">
        <w:rPr>
          <w:rFonts w:asciiTheme="majorBidi" w:hAnsiTheme="majorBidi" w:cstheme="majorBidi"/>
          <w:color w:val="000000" w:themeColor="text1"/>
          <w:szCs w:val="24"/>
          <w:shd w:val="clear" w:color="auto" w:fill="FFFFFF"/>
        </w:rPr>
        <w:t>,</w:t>
      </w:r>
      <w:r w:rsidR="004A5A47">
        <w:rPr>
          <w:rFonts w:asciiTheme="majorBidi" w:hAnsiTheme="majorBidi" w:cstheme="majorBidi"/>
          <w:color w:val="000000" w:themeColor="text1"/>
          <w:szCs w:val="24"/>
          <w:shd w:val="clear" w:color="auto" w:fill="FFFFFF"/>
        </w:rPr>
        <w:t xml:space="preserve"> </w:t>
      </w:r>
      <w:r w:rsidRPr="009232AD">
        <w:rPr>
          <w:rFonts w:asciiTheme="majorBidi" w:hAnsiTheme="majorBidi" w:cstheme="majorBidi"/>
          <w:i/>
          <w:iCs/>
          <w:color w:val="000000" w:themeColor="text1"/>
          <w:szCs w:val="24"/>
          <w:shd w:val="clear" w:color="auto" w:fill="FFFFFF"/>
        </w:rPr>
        <w:t>83</w:t>
      </w:r>
      <w:r w:rsidRPr="009232AD">
        <w:rPr>
          <w:rFonts w:asciiTheme="majorBidi" w:hAnsiTheme="majorBidi" w:cstheme="majorBidi"/>
          <w:color w:val="000000" w:themeColor="text1"/>
          <w:szCs w:val="24"/>
          <w:shd w:val="clear" w:color="auto" w:fill="FFFFFF"/>
        </w:rPr>
        <w:t>, 102291.</w:t>
      </w:r>
    </w:p>
    <w:p w14:paraId="190EDF15" w14:textId="67FBB19B" w:rsidR="00051CFF" w:rsidRPr="009232AD" w:rsidRDefault="00051CFF" w:rsidP="00485217">
      <w:pPr>
        <w:ind w:left="720" w:hanging="720"/>
        <w:rPr>
          <w:rFonts w:asciiTheme="majorBidi" w:hAnsiTheme="majorBidi" w:cstheme="majorBidi"/>
          <w:color w:val="000000" w:themeColor="text1"/>
          <w:szCs w:val="24"/>
          <w:shd w:val="clear" w:color="auto" w:fill="FFFFFF"/>
        </w:rPr>
      </w:pPr>
      <w:r w:rsidRPr="009232AD">
        <w:rPr>
          <w:rFonts w:asciiTheme="majorBidi" w:hAnsiTheme="majorBidi" w:cstheme="majorBidi"/>
          <w:color w:val="000000" w:themeColor="text1"/>
          <w:szCs w:val="24"/>
          <w:shd w:val="clear" w:color="auto" w:fill="FFFFFF"/>
        </w:rPr>
        <w:t>Clegg, S., Kornberger, M. and Rhodes, C. (2007). Business ethics as practice. </w:t>
      </w:r>
      <w:r w:rsidRPr="009232AD">
        <w:rPr>
          <w:rFonts w:asciiTheme="majorBidi" w:hAnsiTheme="majorBidi" w:cstheme="majorBidi"/>
          <w:i/>
          <w:iCs/>
          <w:color w:val="000000" w:themeColor="text1"/>
          <w:szCs w:val="24"/>
          <w:shd w:val="clear" w:color="auto" w:fill="FFFFFF"/>
        </w:rPr>
        <w:t>British Journal of Management</w:t>
      </w:r>
      <w:r w:rsidRPr="009232AD">
        <w:rPr>
          <w:rFonts w:asciiTheme="majorBidi" w:hAnsiTheme="majorBidi" w:cstheme="majorBidi"/>
          <w:color w:val="000000" w:themeColor="text1"/>
          <w:szCs w:val="24"/>
          <w:shd w:val="clear" w:color="auto" w:fill="FFFFFF"/>
        </w:rPr>
        <w:t>, </w:t>
      </w:r>
      <w:r w:rsidRPr="009232AD">
        <w:rPr>
          <w:rFonts w:asciiTheme="majorBidi" w:hAnsiTheme="majorBidi" w:cstheme="majorBidi"/>
          <w:i/>
          <w:iCs/>
          <w:color w:val="000000" w:themeColor="text1"/>
          <w:szCs w:val="24"/>
          <w:shd w:val="clear" w:color="auto" w:fill="FFFFFF"/>
        </w:rPr>
        <w:t>18</w:t>
      </w:r>
      <w:r w:rsidRPr="009232AD">
        <w:rPr>
          <w:rFonts w:asciiTheme="majorBidi" w:hAnsiTheme="majorBidi" w:cstheme="majorBidi"/>
          <w:color w:val="000000" w:themeColor="text1"/>
          <w:szCs w:val="24"/>
          <w:shd w:val="clear" w:color="auto" w:fill="FFFFFF"/>
        </w:rPr>
        <w:t xml:space="preserve">(2), </w:t>
      </w:r>
      <w:r w:rsidR="004A5A47">
        <w:rPr>
          <w:rFonts w:asciiTheme="majorBidi" w:hAnsiTheme="majorBidi" w:cstheme="majorBidi"/>
          <w:color w:val="000000" w:themeColor="text1"/>
          <w:szCs w:val="24"/>
          <w:shd w:val="clear" w:color="auto" w:fill="FFFFFF"/>
        </w:rPr>
        <w:t xml:space="preserve"> </w:t>
      </w:r>
      <w:r w:rsidRPr="009232AD">
        <w:rPr>
          <w:rFonts w:asciiTheme="majorBidi" w:hAnsiTheme="majorBidi" w:cstheme="majorBidi"/>
          <w:color w:val="000000" w:themeColor="text1"/>
          <w:szCs w:val="24"/>
          <w:shd w:val="clear" w:color="auto" w:fill="FFFFFF"/>
        </w:rPr>
        <w:t>107-122.</w:t>
      </w:r>
    </w:p>
    <w:p w14:paraId="6A90E924" w14:textId="3DD97933" w:rsidR="00051CFF" w:rsidRPr="009232AD" w:rsidRDefault="00051CFF" w:rsidP="00485217">
      <w:pPr>
        <w:ind w:left="720" w:hanging="720"/>
        <w:rPr>
          <w:rFonts w:asciiTheme="majorBidi" w:hAnsiTheme="majorBidi" w:cstheme="majorBidi"/>
          <w:color w:val="000000" w:themeColor="text1"/>
          <w:szCs w:val="24"/>
          <w:shd w:val="clear" w:color="auto" w:fill="FFFFFF"/>
        </w:rPr>
      </w:pPr>
      <w:r w:rsidRPr="009232AD">
        <w:rPr>
          <w:rFonts w:asciiTheme="majorBidi" w:hAnsiTheme="majorBidi" w:cstheme="majorBidi"/>
          <w:color w:val="000000" w:themeColor="text1"/>
          <w:szCs w:val="24"/>
          <w:shd w:val="clear" w:color="auto" w:fill="FFFFFF"/>
        </w:rPr>
        <w:t>Clementino, E. and Perkins, R. (2021). How do companies respond to environmental, social and governance (ESG) ratings? Evidence from Italy. </w:t>
      </w:r>
      <w:r w:rsidRPr="009232AD">
        <w:rPr>
          <w:rFonts w:asciiTheme="majorBidi" w:hAnsiTheme="majorBidi" w:cstheme="majorBidi"/>
          <w:i/>
          <w:iCs/>
          <w:color w:val="000000" w:themeColor="text1"/>
          <w:szCs w:val="24"/>
          <w:shd w:val="clear" w:color="auto" w:fill="FFFFFF"/>
        </w:rPr>
        <w:t>Journal of Business Ethics</w:t>
      </w:r>
      <w:r w:rsidRPr="009232AD">
        <w:rPr>
          <w:rFonts w:asciiTheme="majorBidi" w:hAnsiTheme="majorBidi" w:cstheme="majorBidi"/>
          <w:color w:val="000000" w:themeColor="text1"/>
          <w:szCs w:val="24"/>
          <w:shd w:val="clear" w:color="auto" w:fill="FFFFFF"/>
        </w:rPr>
        <w:t>, </w:t>
      </w:r>
      <w:r w:rsidRPr="009232AD">
        <w:rPr>
          <w:rFonts w:asciiTheme="majorBidi" w:hAnsiTheme="majorBidi" w:cstheme="majorBidi"/>
          <w:i/>
          <w:iCs/>
          <w:color w:val="000000" w:themeColor="text1"/>
          <w:szCs w:val="24"/>
          <w:shd w:val="clear" w:color="auto" w:fill="FFFFFF"/>
        </w:rPr>
        <w:t>171</w:t>
      </w:r>
      <w:r w:rsidRPr="009232AD">
        <w:rPr>
          <w:rFonts w:asciiTheme="majorBidi" w:hAnsiTheme="majorBidi" w:cstheme="majorBidi"/>
          <w:color w:val="000000" w:themeColor="text1"/>
          <w:szCs w:val="24"/>
          <w:shd w:val="clear" w:color="auto" w:fill="FFFFFF"/>
        </w:rPr>
        <w:t>(2),</w:t>
      </w:r>
      <w:r w:rsidR="004A5A47">
        <w:rPr>
          <w:rFonts w:asciiTheme="majorBidi" w:hAnsiTheme="majorBidi" w:cstheme="majorBidi"/>
          <w:color w:val="000000" w:themeColor="text1"/>
          <w:szCs w:val="24"/>
          <w:shd w:val="clear" w:color="auto" w:fill="FFFFFF"/>
        </w:rPr>
        <w:t xml:space="preserve"> </w:t>
      </w:r>
      <w:r w:rsidRPr="009232AD">
        <w:rPr>
          <w:rFonts w:asciiTheme="majorBidi" w:hAnsiTheme="majorBidi" w:cstheme="majorBidi"/>
          <w:color w:val="000000" w:themeColor="text1"/>
          <w:szCs w:val="24"/>
          <w:shd w:val="clear" w:color="auto" w:fill="FFFFFF"/>
        </w:rPr>
        <w:t>379-397.</w:t>
      </w:r>
    </w:p>
    <w:p w14:paraId="544CF2FA" w14:textId="5B0B76F6" w:rsidR="00051CFF" w:rsidRPr="009232AD" w:rsidRDefault="00051CFF" w:rsidP="00FA5E92">
      <w:pPr>
        <w:pStyle w:val="ListParagraph"/>
        <w:ind w:hanging="720"/>
        <w:rPr>
          <w:rFonts w:asciiTheme="majorBidi" w:hAnsiTheme="majorBidi" w:cstheme="majorBidi"/>
          <w:color w:val="000000" w:themeColor="text1"/>
          <w:szCs w:val="24"/>
        </w:rPr>
      </w:pPr>
      <w:bookmarkStart w:id="8" w:name="Daniels17"/>
      <w:r w:rsidRPr="009232AD">
        <w:rPr>
          <w:rFonts w:asciiTheme="majorBidi" w:hAnsiTheme="majorBidi" w:cstheme="majorBidi"/>
          <w:color w:val="000000" w:themeColor="text1"/>
          <w:szCs w:val="24"/>
        </w:rPr>
        <w:t>Daniels</w:t>
      </w:r>
      <w:bookmarkEnd w:id="8"/>
      <w:r w:rsidRPr="009232AD">
        <w:rPr>
          <w:rFonts w:asciiTheme="majorBidi" w:hAnsiTheme="majorBidi" w:cstheme="majorBidi"/>
          <w:color w:val="000000" w:themeColor="text1"/>
          <w:szCs w:val="24"/>
        </w:rPr>
        <w:t xml:space="preserve">, K., Watson, D. and </w:t>
      </w:r>
      <w:proofErr w:type="spellStart"/>
      <w:r w:rsidRPr="009232AD">
        <w:rPr>
          <w:rFonts w:asciiTheme="majorBidi" w:hAnsiTheme="majorBidi" w:cstheme="majorBidi"/>
          <w:color w:val="000000" w:themeColor="text1"/>
          <w:szCs w:val="24"/>
        </w:rPr>
        <w:t>Gedikli</w:t>
      </w:r>
      <w:proofErr w:type="spellEnd"/>
      <w:r w:rsidRPr="009232AD">
        <w:rPr>
          <w:rFonts w:asciiTheme="majorBidi" w:hAnsiTheme="majorBidi" w:cstheme="majorBidi"/>
          <w:color w:val="000000" w:themeColor="text1"/>
          <w:szCs w:val="24"/>
        </w:rPr>
        <w:t>, C.(2017). Wellbeing and the social environment of work: A systematic review of intervention studies. </w:t>
      </w:r>
      <w:r w:rsidRPr="009232AD">
        <w:rPr>
          <w:rFonts w:asciiTheme="majorBidi" w:hAnsiTheme="majorBidi" w:cstheme="majorBidi"/>
          <w:i/>
          <w:iCs/>
          <w:color w:val="000000" w:themeColor="text1"/>
          <w:szCs w:val="24"/>
        </w:rPr>
        <w:t>International journal of environmental research and public health</w:t>
      </w:r>
      <w:r w:rsidRPr="009232AD">
        <w:rPr>
          <w:rFonts w:asciiTheme="majorBidi" w:hAnsiTheme="majorBidi" w:cstheme="majorBidi"/>
          <w:color w:val="000000" w:themeColor="text1"/>
          <w:szCs w:val="24"/>
        </w:rPr>
        <w:t>, 14(8), 918.</w:t>
      </w:r>
    </w:p>
    <w:p w14:paraId="2712460D" w14:textId="61DFA89C" w:rsidR="00051CFF" w:rsidRPr="009232AD" w:rsidRDefault="00051CFF" w:rsidP="00485217">
      <w:pPr>
        <w:ind w:left="720" w:hanging="720"/>
        <w:rPr>
          <w:rFonts w:asciiTheme="majorBidi" w:hAnsiTheme="majorBidi" w:cstheme="majorBidi"/>
          <w:color w:val="000000" w:themeColor="text1"/>
          <w:szCs w:val="24"/>
          <w:shd w:val="clear" w:color="auto" w:fill="FFFFFF"/>
        </w:rPr>
      </w:pPr>
      <w:r w:rsidRPr="009232AD">
        <w:rPr>
          <w:rFonts w:asciiTheme="majorBidi" w:hAnsiTheme="majorBidi" w:cstheme="majorBidi"/>
          <w:color w:val="000000" w:themeColor="text1"/>
          <w:szCs w:val="24"/>
          <w:shd w:val="clear" w:color="auto" w:fill="FFFFFF"/>
        </w:rPr>
        <w:t>Deegan, C. (2002). Introduction: The legitimising effect of social and environmental disclosures–a theoretical foundation. </w:t>
      </w:r>
      <w:r w:rsidRPr="009232AD">
        <w:rPr>
          <w:rFonts w:asciiTheme="majorBidi" w:hAnsiTheme="majorBidi" w:cstheme="majorBidi"/>
          <w:i/>
          <w:iCs/>
          <w:color w:val="000000" w:themeColor="text1"/>
          <w:szCs w:val="24"/>
          <w:shd w:val="clear" w:color="auto" w:fill="FFFFFF"/>
        </w:rPr>
        <w:t>Accounting, auditing &amp; accountability journal</w:t>
      </w:r>
      <w:r w:rsidRPr="009232AD">
        <w:rPr>
          <w:rFonts w:asciiTheme="majorBidi" w:hAnsiTheme="majorBidi" w:cstheme="majorBidi"/>
          <w:color w:val="000000" w:themeColor="text1"/>
          <w:szCs w:val="24"/>
          <w:shd w:val="clear" w:color="auto" w:fill="FFFFFF"/>
        </w:rPr>
        <w:t>, </w:t>
      </w:r>
      <w:r w:rsidRPr="009232AD">
        <w:rPr>
          <w:rFonts w:asciiTheme="majorBidi" w:hAnsiTheme="majorBidi" w:cstheme="majorBidi"/>
          <w:i/>
          <w:iCs/>
          <w:color w:val="000000" w:themeColor="text1"/>
          <w:szCs w:val="24"/>
          <w:shd w:val="clear" w:color="auto" w:fill="FFFFFF"/>
        </w:rPr>
        <w:t>15</w:t>
      </w:r>
      <w:r w:rsidRPr="009232AD">
        <w:rPr>
          <w:rFonts w:asciiTheme="majorBidi" w:hAnsiTheme="majorBidi" w:cstheme="majorBidi"/>
          <w:color w:val="000000" w:themeColor="text1"/>
          <w:szCs w:val="24"/>
          <w:shd w:val="clear" w:color="auto" w:fill="FFFFFF"/>
        </w:rPr>
        <w:t>(3),</w:t>
      </w:r>
      <w:r w:rsidR="004A5A47">
        <w:rPr>
          <w:rFonts w:asciiTheme="majorBidi" w:hAnsiTheme="majorBidi" w:cstheme="majorBidi"/>
          <w:color w:val="000000" w:themeColor="text1"/>
          <w:szCs w:val="24"/>
          <w:shd w:val="clear" w:color="auto" w:fill="FFFFFF"/>
        </w:rPr>
        <w:t xml:space="preserve"> </w:t>
      </w:r>
      <w:r w:rsidRPr="009232AD">
        <w:rPr>
          <w:rFonts w:asciiTheme="majorBidi" w:hAnsiTheme="majorBidi" w:cstheme="majorBidi"/>
          <w:color w:val="000000" w:themeColor="text1"/>
          <w:szCs w:val="24"/>
          <w:shd w:val="clear" w:color="auto" w:fill="FFFFFF"/>
        </w:rPr>
        <w:t>282-311.</w:t>
      </w:r>
    </w:p>
    <w:p w14:paraId="0316236A" w14:textId="5C54626E" w:rsidR="00051CFF" w:rsidRPr="009232AD" w:rsidRDefault="00051CFF" w:rsidP="00485217">
      <w:pPr>
        <w:ind w:left="720" w:hanging="720"/>
        <w:rPr>
          <w:rFonts w:asciiTheme="majorBidi" w:hAnsiTheme="majorBidi" w:cstheme="majorBidi"/>
          <w:color w:val="000000" w:themeColor="text1"/>
          <w:szCs w:val="24"/>
        </w:rPr>
      </w:pPr>
      <w:r w:rsidRPr="009232AD">
        <w:rPr>
          <w:rFonts w:asciiTheme="majorBidi" w:hAnsiTheme="majorBidi" w:cstheme="majorBidi"/>
          <w:color w:val="000000" w:themeColor="text1"/>
          <w:szCs w:val="24"/>
          <w:shd w:val="clear" w:color="auto" w:fill="FFFFFF"/>
        </w:rPr>
        <w:t>Deegan, C.M.(2019). Legitimacy theory: Despite its enduring popularity and contribution, time is right for a necessary makeover. </w:t>
      </w:r>
      <w:r w:rsidRPr="009232AD">
        <w:rPr>
          <w:rFonts w:asciiTheme="majorBidi" w:hAnsiTheme="majorBidi" w:cstheme="majorBidi"/>
          <w:i/>
          <w:iCs/>
          <w:color w:val="000000" w:themeColor="text1"/>
          <w:szCs w:val="24"/>
          <w:shd w:val="clear" w:color="auto" w:fill="FFFFFF"/>
        </w:rPr>
        <w:t>Accounting, Auditing &amp; Accountability Journal</w:t>
      </w:r>
      <w:r w:rsidRPr="009232AD">
        <w:rPr>
          <w:rFonts w:asciiTheme="majorBidi" w:hAnsiTheme="majorBidi" w:cstheme="majorBidi"/>
          <w:color w:val="000000" w:themeColor="text1"/>
          <w:szCs w:val="24"/>
          <w:shd w:val="clear" w:color="auto" w:fill="FFFFFF"/>
        </w:rPr>
        <w:t>, </w:t>
      </w:r>
      <w:r w:rsidRPr="009232AD">
        <w:rPr>
          <w:rFonts w:asciiTheme="majorBidi" w:hAnsiTheme="majorBidi" w:cstheme="majorBidi"/>
          <w:i/>
          <w:iCs/>
          <w:color w:val="000000" w:themeColor="text1"/>
          <w:szCs w:val="24"/>
          <w:shd w:val="clear" w:color="auto" w:fill="FFFFFF"/>
        </w:rPr>
        <w:t>32</w:t>
      </w:r>
      <w:r w:rsidRPr="009232AD">
        <w:rPr>
          <w:rFonts w:asciiTheme="majorBidi" w:hAnsiTheme="majorBidi" w:cstheme="majorBidi"/>
          <w:color w:val="000000" w:themeColor="text1"/>
          <w:szCs w:val="24"/>
          <w:shd w:val="clear" w:color="auto" w:fill="FFFFFF"/>
        </w:rPr>
        <w:t>(8),</w:t>
      </w:r>
      <w:r w:rsidR="004A5A47">
        <w:rPr>
          <w:rFonts w:asciiTheme="majorBidi" w:hAnsiTheme="majorBidi" w:cstheme="majorBidi"/>
          <w:color w:val="000000" w:themeColor="text1"/>
          <w:szCs w:val="24"/>
          <w:shd w:val="clear" w:color="auto" w:fill="FFFFFF"/>
        </w:rPr>
        <w:t xml:space="preserve"> </w:t>
      </w:r>
      <w:r w:rsidRPr="009232AD">
        <w:rPr>
          <w:rFonts w:asciiTheme="majorBidi" w:hAnsiTheme="majorBidi" w:cstheme="majorBidi"/>
          <w:color w:val="000000" w:themeColor="text1"/>
          <w:szCs w:val="24"/>
          <w:shd w:val="clear" w:color="auto" w:fill="FFFFFF"/>
        </w:rPr>
        <w:t>2307-2329.</w:t>
      </w:r>
    </w:p>
    <w:p w14:paraId="03593FF3" w14:textId="2C50F62C" w:rsidR="00051CFF" w:rsidRPr="009232AD" w:rsidRDefault="00051CFF" w:rsidP="00FA5E92">
      <w:pPr>
        <w:ind w:left="720" w:hanging="720"/>
        <w:rPr>
          <w:rFonts w:asciiTheme="majorBidi" w:hAnsiTheme="majorBidi" w:cstheme="majorBidi"/>
          <w:color w:val="000000" w:themeColor="text1"/>
          <w:szCs w:val="24"/>
          <w:shd w:val="clear" w:color="auto" w:fill="FFFFFF"/>
        </w:rPr>
      </w:pPr>
      <w:bookmarkStart w:id="9" w:name="Delmas"/>
      <w:r w:rsidRPr="009232AD">
        <w:rPr>
          <w:rFonts w:asciiTheme="majorBidi" w:hAnsiTheme="majorBidi" w:cstheme="majorBidi"/>
          <w:color w:val="000000" w:themeColor="text1"/>
          <w:szCs w:val="24"/>
          <w:shd w:val="clear" w:color="auto" w:fill="FFFFFF"/>
        </w:rPr>
        <w:t xml:space="preserve">Delmas, </w:t>
      </w:r>
      <w:bookmarkEnd w:id="9"/>
      <w:r w:rsidRPr="009232AD">
        <w:rPr>
          <w:rFonts w:asciiTheme="majorBidi" w:hAnsiTheme="majorBidi" w:cstheme="majorBidi"/>
          <w:color w:val="000000" w:themeColor="text1"/>
          <w:szCs w:val="24"/>
          <w:shd w:val="clear" w:color="auto" w:fill="FFFFFF"/>
        </w:rPr>
        <w:t>M. and Burbano, V. (2011). The drivers of greenwashing. </w:t>
      </w:r>
      <w:r w:rsidRPr="009232AD">
        <w:rPr>
          <w:rFonts w:asciiTheme="majorBidi" w:hAnsiTheme="majorBidi" w:cstheme="majorBidi"/>
          <w:i/>
          <w:iCs/>
          <w:color w:val="000000" w:themeColor="text1"/>
          <w:szCs w:val="24"/>
          <w:shd w:val="clear" w:color="auto" w:fill="FFFFFF"/>
        </w:rPr>
        <w:t>California management review</w:t>
      </w:r>
      <w:r w:rsidRPr="009232AD">
        <w:rPr>
          <w:rFonts w:asciiTheme="majorBidi" w:hAnsiTheme="majorBidi" w:cstheme="majorBidi"/>
          <w:color w:val="000000" w:themeColor="text1"/>
          <w:szCs w:val="24"/>
          <w:shd w:val="clear" w:color="auto" w:fill="FFFFFF"/>
        </w:rPr>
        <w:t>, </w:t>
      </w:r>
      <w:r w:rsidRPr="009232AD">
        <w:rPr>
          <w:rFonts w:asciiTheme="majorBidi" w:hAnsiTheme="majorBidi" w:cstheme="majorBidi"/>
          <w:i/>
          <w:iCs/>
          <w:color w:val="000000" w:themeColor="text1"/>
          <w:szCs w:val="24"/>
          <w:shd w:val="clear" w:color="auto" w:fill="FFFFFF"/>
        </w:rPr>
        <w:t>54</w:t>
      </w:r>
      <w:r w:rsidRPr="009232AD">
        <w:rPr>
          <w:rFonts w:asciiTheme="majorBidi" w:hAnsiTheme="majorBidi" w:cstheme="majorBidi"/>
          <w:color w:val="000000" w:themeColor="text1"/>
          <w:szCs w:val="24"/>
          <w:shd w:val="clear" w:color="auto" w:fill="FFFFFF"/>
        </w:rPr>
        <w:t>(1),</w:t>
      </w:r>
      <w:r w:rsidR="004A5A47">
        <w:rPr>
          <w:rFonts w:asciiTheme="majorBidi" w:hAnsiTheme="majorBidi" w:cstheme="majorBidi"/>
          <w:color w:val="000000" w:themeColor="text1"/>
          <w:szCs w:val="24"/>
          <w:shd w:val="clear" w:color="auto" w:fill="FFFFFF"/>
        </w:rPr>
        <w:t xml:space="preserve"> </w:t>
      </w:r>
      <w:r w:rsidRPr="009232AD">
        <w:rPr>
          <w:rFonts w:asciiTheme="majorBidi" w:hAnsiTheme="majorBidi" w:cstheme="majorBidi"/>
          <w:color w:val="000000" w:themeColor="text1"/>
          <w:szCs w:val="24"/>
          <w:shd w:val="clear" w:color="auto" w:fill="FFFFFF"/>
        </w:rPr>
        <w:t>64-87.</w:t>
      </w:r>
    </w:p>
    <w:p w14:paraId="11F707BA" w14:textId="77777777" w:rsidR="00051CFF" w:rsidRPr="009232AD" w:rsidRDefault="00051CFF" w:rsidP="00FA5E92">
      <w:pPr>
        <w:ind w:left="720" w:hanging="720"/>
        <w:rPr>
          <w:rFonts w:asciiTheme="majorBidi" w:hAnsiTheme="majorBidi" w:cstheme="majorBidi"/>
          <w:color w:val="000000" w:themeColor="text1"/>
          <w:szCs w:val="24"/>
        </w:rPr>
      </w:pPr>
      <w:r w:rsidRPr="009232AD">
        <w:rPr>
          <w:rFonts w:asciiTheme="majorBidi" w:hAnsiTheme="majorBidi" w:cstheme="majorBidi"/>
          <w:color w:val="000000" w:themeColor="text1"/>
          <w:szCs w:val="24"/>
        </w:rPr>
        <w:t xml:space="preserve">Deloitte. (2021). #1 what is ESG?, Deloitte. Available at: </w:t>
      </w:r>
      <w:hyperlink r:id="rId11" w:history="1">
        <w:r w:rsidRPr="009232AD">
          <w:rPr>
            <w:rStyle w:val="Hyperlink"/>
            <w:rFonts w:asciiTheme="majorBidi" w:hAnsiTheme="majorBidi" w:cstheme="majorBidi"/>
            <w:color w:val="000000" w:themeColor="text1"/>
            <w:szCs w:val="24"/>
          </w:rPr>
          <w:t>https://www2.deloitte.com/ce/en/pages/global-business-services/articles/esg-explained-1-what-is-esg.html</w:t>
        </w:r>
      </w:hyperlink>
    </w:p>
    <w:p w14:paraId="4CF028C0" w14:textId="6AB8D7AF" w:rsidR="00051CFF" w:rsidRPr="009232AD" w:rsidRDefault="00051CFF" w:rsidP="00FA5E92">
      <w:pPr>
        <w:pStyle w:val="ListParagraph"/>
        <w:ind w:hanging="720"/>
        <w:rPr>
          <w:rFonts w:asciiTheme="majorBidi" w:hAnsiTheme="majorBidi" w:cstheme="majorBidi"/>
          <w:color w:val="000000" w:themeColor="text1"/>
          <w:szCs w:val="24"/>
        </w:rPr>
      </w:pPr>
      <w:bookmarkStart w:id="10" w:name="Demerouti"/>
      <w:r w:rsidRPr="009232AD">
        <w:rPr>
          <w:rFonts w:asciiTheme="majorBidi" w:hAnsiTheme="majorBidi" w:cstheme="majorBidi"/>
          <w:color w:val="000000" w:themeColor="text1"/>
          <w:szCs w:val="24"/>
        </w:rPr>
        <w:t>Demerouti</w:t>
      </w:r>
      <w:bookmarkEnd w:id="10"/>
      <w:r w:rsidRPr="009232AD">
        <w:rPr>
          <w:rFonts w:asciiTheme="majorBidi" w:hAnsiTheme="majorBidi" w:cstheme="majorBidi"/>
          <w:color w:val="000000" w:themeColor="text1"/>
          <w:szCs w:val="24"/>
        </w:rPr>
        <w:t>, E., Bakker, A.B., Nachreiner, F. and Schaufeli, W.B.(2001). The job demands-resources model of burnout. </w:t>
      </w:r>
      <w:r w:rsidRPr="009232AD">
        <w:rPr>
          <w:rFonts w:asciiTheme="majorBidi" w:hAnsiTheme="majorBidi" w:cstheme="majorBidi"/>
          <w:i/>
          <w:iCs/>
          <w:color w:val="000000" w:themeColor="text1"/>
          <w:szCs w:val="24"/>
        </w:rPr>
        <w:t>Journal of Applied psychology</w:t>
      </w:r>
      <w:r w:rsidRPr="009232AD">
        <w:rPr>
          <w:rFonts w:asciiTheme="majorBidi" w:hAnsiTheme="majorBidi" w:cstheme="majorBidi"/>
          <w:color w:val="000000" w:themeColor="text1"/>
          <w:szCs w:val="24"/>
        </w:rPr>
        <w:t>, 86(3), 499</w:t>
      </w:r>
      <w:r w:rsidR="004A5A47">
        <w:rPr>
          <w:rFonts w:asciiTheme="majorBidi" w:hAnsiTheme="majorBidi" w:cstheme="majorBidi"/>
          <w:color w:val="000000" w:themeColor="text1"/>
          <w:szCs w:val="24"/>
        </w:rPr>
        <w:t>-512</w:t>
      </w:r>
      <w:r w:rsidRPr="009232AD">
        <w:rPr>
          <w:rFonts w:asciiTheme="majorBidi" w:hAnsiTheme="majorBidi" w:cstheme="majorBidi"/>
          <w:color w:val="000000" w:themeColor="text1"/>
          <w:szCs w:val="24"/>
        </w:rPr>
        <w:t>.</w:t>
      </w:r>
    </w:p>
    <w:p w14:paraId="34583590" w14:textId="503743D8" w:rsidR="00051CFF" w:rsidRPr="009232AD" w:rsidRDefault="00051CFF" w:rsidP="00FA5E92">
      <w:pPr>
        <w:ind w:left="720" w:hanging="720"/>
        <w:rPr>
          <w:rFonts w:asciiTheme="majorBidi" w:hAnsiTheme="majorBidi" w:cstheme="majorBidi"/>
          <w:color w:val="000000" w:themeColor="text1"/>
          <w:szCs w:val="24"/>
          <w:shd w:val="clear" w:color="auto" w:fill="FFFFFF"/>
        </w:rPr>
      </w:pPr>
      <w:bookmarkStart w:id="11" w:name="Dowell"/>
      <w:bookmarkStart w:id="12" w:name="_Hlk151975941"/>
      <w:r w:rsidRPr="009232AD">
        <w:rPr>
          <w:rFonts w:asciiTheme="majorBidi" w:hAnsiTheme="majorBidi" w:cstheme="majorBidi"/>
          <w:color w:val="000000" w:themeColor="text1"/>
          <w:szCs w:val="24"/>
          <w:shd w:val="clear" w:color="auto" w:fill="FFFFFF"/>
        </w:rPr>
        <w:lastRenderedPageBreak/>
        <w:t>Dowell</w:t>
      </w:r>
      <w:bookmarkEnd w:id="11"/>
      <w:r w:rsidRPr="009232AD">
        <w:rPr>
          <w:rFonts w:asciiTheme="majorBidi" w:hAnsiTheme="majorBidi" w:cstheme="majorBidi"/>
          <w:color w:val="000000" w:themeColor="text1"/>
          <w:szCs w:val="24"/>
          <w:shd w:val="clear" w:color="auto" w:fill="FFFFFF"/>
        </w:rPr>
        <w:t>, E. and Jackson, M. (2020). Woke-washing” your company won’t cut it. </w:t>
      </w:r>
      <w:r w:rsidRPr="009232AD">
        <w:rPr>
          <w:rFonts w:asciiTheme="majorBidi" w:hAnsiTheme="majorBidi" w:cstheme="majorBidi"/>
          <w:i/>
          <w:iCs/>
          <w:color w:val="000000" w:themeColor="text1"/>
          <w:szCs w:val="24"/>
          <w:shd w:val="clear" w:color="auto" w:fill="FFFFFF"/>
        </w:rPr>
        <w:t>Harvard Business Review</w:t>
      </w:r>
      <w:r w:rsidRPr="009232AD">
        <w:rPr>
          <w:rFonts w:asciiTheme="majorBidi" w:hAnsiTheme="majorBidi" w:cstheme="majorBidi"/>
          <w:color w:val="000000" w:themeColor="text1"/>
          <w:szCs w:val="24"/>
          <w:shd w:val="clear" w:color="auto" w:fill="FFFFFF"/>
        </w:rPr>
        <w:t>, 27,</w:t>
      </w:r>
      <w:r w:rsidR="004A5A47">
        <w:rPr>
          <w:rFonts w:asciiTheme="majorBidi" w:hAnsiTheme="majorBidi" w:cstheme="majorBidi"/>
          <w:color w:val="000000" w:themeColor="text1"/>
          <w:szCs w:val="24"/>
          <w:shd w:val="clear" w:color="auto" w:fill="FFFFFF"/>
        </w:rPr>
        <w:t xml:space="preserve"> </w:t>
      </w:r>
      <w:r w:rsidRPr="009232AD">
        <w:rPr>
          <w:rFonts w:asciiTheme="majorBidi" w:hAnsiTheme="majorBidi" w:cstheme="majorBidi"/>
          <w:color w:val="000000" w:themeColor="text1"/>
          <w:szCs w:val="24"/>
          <w:shd w:val="clear" w:color="auto" w:fill="FFFFFF"/>
        </w:rPr>
        <w:t>1-7.</w:t>
      </w:r>
    </w:p>
    <w:p w14:paraId="370BB55F" w14:textId="1F95DB59" w:rsidR="00051CFF" w:rsidRPr="009232AD" w:rsidRDefault="00051CFF" w:rsidP="00485217">
      <w:pPr>
        <w:ind w:left="720" w:hanging="720"/>
        <w:rPr>
          <w:rFonts w:asciiTheme="majorBidi" w:hAnsiTheme="majorBidi" w:cstheme="majorBidi"/>
          <w:color w:val="000000" w:themeColor="text1"/>
          <w:szCs w:val="24"/>
        </w:rPr>
      </w:pPr>
      <w:bookmarkStart w:id="13" w:name="Fisher2010"/>
      <w:bookmarkEnd w:id="12"/>
      <w:r w:rsidRPr="009232AD">
        <w:rPr>
          <w:rFonts w:asciiTheme="majorBidi" w:hAnsiTheme="majorBidi" w:cstheme="majorBidi"/>
          <w:color w:val="000000" w:themeColor="text1"/>
          <w:szCs w:val="24"/>
        </w:rPr>
        <w:t xml:space="preserve">Dowling, J., and Pfeffer, J. (1975). </w:t>
      </w:r>
      <w:r w:rsidR="004848DD">
        <w:rPr>
          <w:rFonts w:asciiTheme="majorBidi" w:hAnsiTheme="majorBidi" w:cstheme="majorBidi"/>
          <w:color w:val="000000" w:themeColor="text1"/>
          <w:szCs w:val="24"/>
        </w:rPr>
        <w:t>Organisation</w:t>
      </w:r>
      <w:r w:rsidRPr="009232AD">
        <w:rPr>
          <w:rFonts w:asciiTheme="majorBidi" w:hAnsiTheme="majorBidi" w:cstheme="majorBidi"/>
          <w:color w:val="000000" w:themeColor="text1"/>
          <w:szCs w:val="24"/>
        </w:rPr>
        <w:t xml:space="preserve">al legitimacy: Social values and </w:t>
      </w:r>
      <w:r w:rsidR="004848DD">
        <w:rPr>
          <w:rFonts w:asciiTheme="majorBidi" w:hAnsiTheme="majorBidi" w:cstheme="majorBidi"/>
          <w:color w:val="000000" w:themeColor="text1"/>
          <w:szCs w:val="24"/>
        </w:rPr>
        <w:t>organisation</w:t>
      </w:r>
      <w:r w:rsidRPr="009232AD">
        <w:rPr>
          <w:rFonts w:asciiTheme="majorBidi" w:hAnsiTheme="majorBidi" w:cstheme="majorBidi"/>
          <w:color w:val="000000" w:themeColor="text1"/>
          <w:szCs w:val="24"/>
        </w:rPr>
        <w:t xml:space="preserve">al </w:t>
      </w:r>
      <w:proofErr w:type="spellStart"/>
      <w:r w:rsidRPr="009232AD">
        <w:rPr>
          <w:rFonts w:asciiTheme="majorBidi" w:hAnsiTheme="majorBidi" w:cstheme="majorBidi"/>
          <w:color w:val="000000" w:themeColor="text1"/>
          <w:szCs w:val="24"/>
        </w:rPr>
        <w:t>behavior</w:t>
      </w:r>
      <w:proofErr w:type="spellEnd"/>
      <w:r w:rsidRPr="009232AD">
        <w:rPr>
          <w:rFonts w:asciiTheme="majorBidi" w:hAnsiTheme="majorBidi" w:cstheme="majorBidi"/>
          <w:color w:val="000000" w:themeColor="text1"/>
          <w:szCs w:val="24"/>
        </w:rPr>
        <w:t xml:space="preserve">. </w:t>
      </w:r>
      <w:r w:rsidRPr="009232AD">
        <w:rPr>
          <w:rFonts w:asciiTheme="majorBidi" w:hAnsiTheme="majorBidi" w:cstheme="majorBidi"/>
          <w:i/>
          <w:iCs/>
          <w:color w:val="000000" w:themeColor="text1"/>
          <w:szCs w:val="24"/>
        </w:rPr>
        <w:t>Pacific Sociological Review,</w:t>
      </w:r>
      <w:r w:rsidRPr="009232AD">
        <w:rPr>
          <w:rFonts w:asciiTheme="majorBidi" w:hAnsiTheme="majorBidi" w:cstheme="majorBidi"/>
          <w:color w:val="000000" w:themeColor="text1"/>
          <w:szCs w:val="24"/>
        </w:rPr>
        <w:t xml:space="preserve"> 18(1), 122-136.</w:t>
      </w:r>
    </w:p>
    <w:p w14:paraId="5739D21B" w14:textId="73328531" w:rsidR="00051CFF" w:rsidRPr="009232AD" w:rsidRDefault="00051CFF" w:rsidP="00FA5E92">
      <w:pPr>
        <w:ind w:left="720" w:hanging="720"/>
        <w:rPr>
          <w:rFonts w:asciiTheme="majorBidi" w:hAnsiTheme="majorBidi" w:cstheme="majorBidi"/>
          <w:color w:val="000000" w:themeColor="text1"/>
          <w:szCs w:val="24"/>
        </w:rPr>
      </w:pPr>
      <w:bookmarkStart w:id="14" w:name="Dube"/>
      <w:r w:rsidRPr="009232AD">
        <w:rPr>
          <w:rFonts w:asciiTheme="majorBidi" w:hAnsiTheme="majorBidi" w:cstheme="majorBidi"/>
          <w:color w:val="000000" w:themeColor="text1"/>
          <w:szCs w:val="24"/>
        </w:rPr>
        <w:t>Dube</w:t>
      </w:r>
      <w:bookmarkEnd w:id="14"/>
      <w:r w:rsidRPr="009232AD">
        <w:rPr>
          <w:rFonts w:asciiTheme="majorBidi" w:hAnsiTheme="majorBidi" w:cstheme="majorBidi"/>
          <w:color w:val="000000" w:themeColor="text1"/>
          <w:szCs w:val="24"/>
        </w:rPr>
        <w:t xml:space="preserve">, S. and Zhu, C. (2021). The disciplinary effect of social media: Evidence from firms’ responses to Glassdoor reviews. </w:t>
      </w:r>
      <w:r w:rsidRPr="009232AD">
        <w:rPr>
          <w:rFonts w:asciiTheme="majorBidi" w:hAnsiTheme="majorBidi" w:cstheme="majorBidi"/>
          <w:i/>
          <w:iCs/>
          <w:color w:val="000000" w:themeColor="text1"/>
          <w:szCs w:val="24"/>
        </w:rPr>
        <w:t>Journal of Accounting Research</w:t>
      </w:r>
      <w:r w:rsidRPr="009232AD">
        <w:rPr>
          <w:rFonts w:asciiTheme="majorBidi" w:hAnsiTheme="majorBidi" w:cstheme="majorBidi"/>
          <w:color w:val="000000" w:themeColor="text1"/>
          <w:szCs w:val="24"/>
        </w:rPr>
        <w:t>, 59(5),</w:t>
      </w:r>
      <w:r w:rsidR="004A5A47">
        <w:rPr>
          <w:rFonts w:asciiTheme="majorBidi" w:hAnsiTheme="majorBidi" w:cstheme="majorBidi"/>
          <w:color w:val="000000" w:themeColor="text1"/>
          <w:szCs w:val="24"/>
        </w:rPr>
        <w:t xml:space="preserve"> </w:t>
      </w:r>
      <w:r w:rsidRPr="009232AD">
        <w:rPr>
          <w:rFonts w:asciiTheme="majorBidi" w:hAnsiTheme="majorBidi" w:cstheme="majorBidi"/>
          <w:color w:val="000000" w:themeColor="text1"/>
          <w:szCs w:val="24"/>
        </w:rPr>
        <w:t>1783-1825.</w:t>
      </w:r>
    </w:p>
    <w:p w14:paraId="603E326B" w14:textId="742C8CD4" w:rsidR="00051CFF" w:rsidRPr="009232AD" w:rsidRDefault="00051CFF" w:rsidP="00FA5E92">
      <w:pPr>
        <w:ind w:left="720" w:hanging="720"/>
        <w:rPr>
          <w:rFonts w:asciiTheme="majorBidi" w:hAnsiTheme="majorBidi" w:cstheme="majorBidi"/>
          <w:color w:val="000000" w:themeColor="text1"/>
          <w:szCs w:val="24"/>
        </w:rPr>
      </w:pPr>
      <w:bookmarkStart w:id="15" w:name="Durand"/>
      <w:r w:rsidRPr="009232AD">
        <w:rPr>
          <w:rFonts w:asciiTheme="majorBidi" w:hAnsiTheme="majorBidi" w:cstheme="majorBidi"/>
          <w:color w:val="000000" w:themeColor="text1"/>
          <w:szCs w:val="24"/>
          <w:shd w:val="clear" w:color="auto" w:fill="FFFFFF"/>
        </w:rPr>
        <w:t>Durand</w:t>
      </w:r>
      <w:bookmarkEnd w:id="15"/>
      <w:r w:rsidRPr="009232AD">
        <w:rPr>
          <w:rFonts w:asciiTheme="majorBidi" w:hAnsiTheme="majorBidi" w:cstheme="majorBidi"/>
          <w:color w:val="000000" w:themeColor="text1"/>
          <w:szCs w:val="24"/>
          <w:shd w:val="clear" w:color="auto" w:fill="FFFFFF"/>
        </w:rPr>
        <w:t>, R., Hawn, O. and Ioannou, I.( 2019). Willing and able: A general model of organisational responses to normative pressures. </w:t>
      </w:r>
      <w:r w:rsidRPr="009232AD">
        <w:rPr>
          <w:rFonts w:asciiTheme="majorBidi" w:hAnsiTheme="majorBidi" w:cstheme="majorBidi"/>
          <w:i/>
          <w:iCs/>
          <w:color w:val="000000" w:themeColor="text1"/>
          <w:szCs w:val="24"/>
          <w:shd w:val="clear" w:color="auto" w:fill="FFFFFF"/>
        </w:rPr>
        <w:t>Academy of Management Review</w:t>
      </w:r>
      <w:r w:rsidRPr="009232AD">
        <w:rPr>
          <w:rFonts w:asciiTheme="majorBidi" w:hAnsiTheme="majorBidi" w:cstheme="majorBidi"/>
          <w:color w:val="000000" w:themeColor="text1"/>
          <w:szCs w:val="24"/>
          <w:shd w:val="clear" w:color="auto" w:fill="FFFFFF"/>
        </w:rPr>
        <w:t>, </w:t>
      </w:r>
      <w:r w:rsidRPr="009232AD">
        <w:rPr>
          <w:rFonts w:asciiTheme="majorBidi" w:hAnsiTheme="majorBidi" w:cstheme="majorBidi"/>
          <w:i/>
          <w:iCs/>
          <w:color w:val="000000" w:themeColor="text1"/>
          <w:szCs w:val="24"/>
          <w:shd w:val="clear" w:color="auto" w:fill="FFFFFF"/>
        </w:rPr>
        <w:t>44</w:t>
      </w:r>
      <w:r w:rsidRPr="009232AD">
        <w:rPr>
          <w:rFonts w:asciiTheme="majorBidi" w:hAnsiTheme="majorBidi" w:cstheme="majorBidi"/>
          <w:color w:val="000000" w:themeColor="text1"/>
          <w:szCs w:val="24"/>
          <w:shd w:val="clear" w:color="auto" w:fill="FFFFFF"/>
        </w:rPr>
        <w:t>(2),</w:t>
      </w:r>
      <w:r w:rsidR="004A5A47">
        <w:rPr>
          <w:rFonts w:asciiTheme="majorBidi" w:hAnsiTheme="majorBidi" w:cstheme="majorBidi"/>
          <w:color w:val="000000" w:themeColor="text1"/>
          <w:szCs w:val="24"/>
          <w:shd w:val="clear" w:color="auto" w:fill="FFFFFF"/>
        </w:rPr>
        <w:t xml:space="preserve"> </w:t>
      </w:r>
      <w:r w:rsidRPr="009232AD">
        <w:rPr>
          <w:rFonts w:asciiTheme="majorBidi" w:hAnsiTheme="majorBidi" w:cstheme="majorBidi"/>
          <w:color w:val="000000" w:themeColor="text1"/>
          <w:szCs w:val="24"/>
          <w:shd w:val="clear" w:color="auto" w:fill="FFFFFF"/>
        </w:rPr>
        <w:t>299-320.</w:t>
      </w:r>
    </w:p>
    <w:p w14:paraId="4D212031" w14:textId="6C238DBC" w:rsidR="00051CFF" w:rsidRPr="009232AD" w:rsidRDefault="00051CFF" w:rsidP="00FA5E92">
      <w:pPr>
        <w:ind w:left="720" w:hanging="720"/>
        <w:rPr>
          <w:rFonts w:asciiTheme="majorBidi" w:hAnsiTheme="majorBidi" w:cstheme="majorBidi"/>
          <w:color w:val="000000" w:themeColor="text1"/>
          <w:szCs w:val="24"/>
        </w:rPr>
      </w:pPr>
      <w:bookmarkStart w:id="16" w:name="Dyck"/>
      <w:r w:rsidRPr="009232AD">
        <w:rPr>
          <w:rFonts w:asciiTheme="majorBidi" w:hAnsiTheme="majorBidi" w:cstheme="majorBidi"/>
          <w:color w:val="000000" w:themeColor="text1"/>
          <w:szCs w:val="24"/>
        </w:rPr>
        <w:t>Dyck</w:t>
      </w:r>
      <w:bookmarkEnd w:id="16"/>
      <w:r w:rsidRPr="009232AD">
        <w:rPr>
          <w:rFonts w:asciiTheme="majorBidi" w:hAnsiTheme="majorBidi" w:cstheme="majorBidi"/>
          <w:color w:val="000000" w:themeColor="text1"/>
          <w:szCs w:val="24"/>
        </w:rPr>
        <w:t xml:space="preserve">, A., Lins, K., Roth, L., Wagner, H. (2019). Do institutional investors drive corporate social responsibility? International evidence. </w:t>
      </w:r>
      <w:r w:rsidRPr="009232AD">
        <w:rPr>
          <w:rFonts w:asciiTheme="majorBidi" w:hAnsiTheme="majorBidi" w:cstheme="majorBidi"/>
          <w:i/>
          <w:iCs/>
          <w:color w:val="000000" w:themeColor="text1"/>
          <w:szCs w:val="24"/>
        </w:rPr>
        <w:t xml:space="preserve">Journal of Financial Economics, </w:t>
      </w:r>
      <w:r w:rsidRPr="009232AD">
        <w:rPr>
          <w:rFonts w:asciiTheme="majorBidi" w:hAnsiTheme="majorBidi" w:cstheme="majorBidi"/>
          <w:color w:val="000000" w:themeColor="text1"/>
          <w:szCs w:val="24"/>
        </w:rPr>
        <w:t>131(3), 693–714</w:t>
      </w:r>
    </w:p>
    <w:p w14:paraId="0ADCD22B" w14:textId="2B0154B8" w:rsidR="00051CFF" w:rsidRPr="009232AD" w:rsidRDefault="00051CFF" w:rsidP="00FA5E92">
      <w:pPr>
        <w:pStyle w:val="ListParagraph"/>
        <w:ind w:hanging="720"/>
        <w:rPr>
          <w:rFonts w:asciiTheme="majorBidi" w:hAnsiTheme="majorBidi" w:cstheme="majorBidi"/>
          <w:color w:val="000000" w:themeColor="text1"/>
          <w:szCs w:val="24"/>
        </w:rPr>
      </w:pPr>
      <w:bookmarkStart w:id="17" w:name="Eby"/>
      <w:r w:rsidRPr="009232AD">
        <w:rPr>
          <w:rFonts w:asciiTheme="majorBidi" w:hAnsiTheme="majorBidi" w:cstheme="majorBidi"/>
          <w:color w:val="000000" w:themeColor="text1"/>
          <w:szCs w:val="24"/>
        </w:rPr>
        <w:t>Eby</w:t>
      </w:r>
      <w:bookmarkEnd w:id="17"/>
      <w:r w:rsidRPr="009232AD">
        <w:rPr>
          <w:rFonts w:asciiTheme="majorBidi" w:hAnsiTheme="majorBidi" w:cstheme="majorBidi"/>
          <w:color w:val="000000" w:themeColor="text1"/>
          <w:szCs w:val="24"/>
        </w:rPr>
        <w:t>, L.T., Allen, T.D., Conley, K.M., Williamson, R.L., Henderson, T.G. and Mancini, V.S. (2019). Mindfulness-based training interventions for employees: A qualitative review of the literature. </w:t>
      </w:r>
      <w:r w:rsidRPr="009232AD">
        <w:rPr>
          <w:rFonts w:asciiTheme="majorBidi" w:hAnsiTheme="majorBidi" w:cstheme="majorBidi"/>
          <w:i/>
          <w:iCs/>
          <w:color w:val="000000" w:themeColor="text1"/>
          <w:szCs w:val="24"/>
        </w:rPr>
        <w:t>Human Resource Management Review</w:t>
      </w:r>
      <w:r w:rsidRPr="009232AD">
        <w:rPr>
          <w:rFonts w:asciiTheme="majorBidi" w:hAnsiTheme="majorBidi" w:cstheme="majorBidi"/>
          <w:color w:val="000000" w:themeColor="text1"/>
          <w:szCs w:val="24"/>
        </w:rPr>
        <w:t>, 29(2), 156-178.</w:t>
      </w:r>
    </w:p>
    <w:p w14:paraId="54777158" w14:textId="6D1BCE37" w:rsidR="00051CFF" w:rsidRPr="009232AD" w:rsidRDefault="00051CFF" w:rsidP="00FA5E92">
      <w:pPr>
        <w:ind w:left="720" w:hanging="720"/>
        <w:rPr>
          <w:rFonts w:asciiTheme="majorBidi" w:hAnsiTheme="majorBidi" w:cstheme="majorBidi"/>
          <w:color w:val="000000" w:themeColor="text1"/>
          <w:szCs w:val="24"/>
          <w:shd w:val="clear" w:color="auto" w:fill="FFFFFF"/>
        </w:rPr>
      </w:pPr>
      <w:bookmarkStart w:id="18" w:name="Fauver"/>
      <w:r w:rsidRPr="009232AD">
        <w:rPr>
          <w:rFonts w:asciiTheme="majorBidi" w:hAnsiTheme="majorBidi" w:cstheme="majorBidi"/>
          <w:color w:val="000000" w:themeColor="text1"/>
          <w:szCs w:val="24"/>
          <w:shd w:val="clear" w:color="auto" w:fill="FFFFFF"/>
        </w:rPr>
        <w:t xml:space="preserve">Fauver, </w:t>
      </w:r>
      <w:bookmarkEnd w:id="18"/>
      <w:r w:rsidRPr="009232AD">
        <w:rPr>
          <w:rFonts w:asciiTheme="majorBidi" w:hAnsiTheme="majorBidi" w:cstheme="majorBidi"/>
          <w:color w:val="000000" w:themeColor="text1"/>
          <w:szCs w:val="24"/>
          <w:shd w:val="clear" w:color="auto" w:fill="FFFFFF"/>
        </w:rPr>
        <w:t>L., McDonald, M. and Taboada, A. (2018). Does it pay to treat employees well? International evidence on the value of employee-friendly culture. </w:t>
      </w:r>
      <w:r w:rsidRPr="009232AD">
        <w:rPr>
          <w:rFonts w:asciiTheme="majorBidi" w:hAnsiTheme="majorBidi" w:cstheme="majorBidi"/>
          <w:i/>
          <w:iCs/>
          <w:color w:val="000000" w:themeColor="text1"/>
          <w:szCs w:val="24"/>
          <w:shd w:val="clear" w:color="auto" w:fill="FFFFFF"/>
        </w:rPr>
        <w:t>Journal of Corporate Finance</w:t>
      </w:r>
      <w:r w:rsidRPr="009232AD">
        <w:rPr>
          <w:rFonts w:asciiTheme="majorBidi" w:hAnsiTheme="majorBidi" w:cstheme="majorBidi"/>
          <w:color w:val="000000" w:themeColor="text1"/>
          <w:szCs w:val="24"/>
          <w:shd w:val="clear" w:color="auto" w:fill="FFFFFF"/>
        </w:rPr>
        <w:t>, </w:t>
      </w:r>
      <w:r w:rsidRPr="009232AD">
        <w:rPr>
          <w:rFonts w:asciiTheme="majorBidi" w:hAnsiTheme="majorBidi" w:cstheme="majorBidi"/>
          <w:i/>
          <w:iCs/>
          <w:color w:val="000000" w:themeColor="text1"/>
          <w:szCs w:val="24"/>
          <w:shd w:val="clear" w:color="auto" w:fill="FFFFFF"/>
        </w:rPr>
        <w:t>50</w:t>
      </w:r>
      <w:r w:rsidRPr="009232AD">
        <w:rPr>
          <w:rFonts w:asciiTheme="majorBidi" w:hAnsiTheme="majorBidi" w:cstheme="majorBidi"/>
          <w:color w:val="000000" w:themeColor="text1"/>
          <w:szCs w:val="24"/>
          <w:shd w:val="clear" w:color="auto" w:fill="FFFFFF"/>
        </w:rPr>
        <w:t>, 84-108.</w:t>
      </w:r>
    </w:p>
    <w:p w14:paraId="05441FE1" w14:textId="5EC2F6BC" w:rsidR="00051CFF" w:rsidRPr="009232AD" w:rsidRDefault="00051CFF" w:rsidP="00485217">
      <w:pPr>
        <w:ind w:left="720" w:hanging="720"/>
        <w:rPr>
          <w:rFonts w:asciiTheme="majorBidi" w:hAnsiTheme="majorBidi" w:cstheme="majorBidi"/>
          <w:color w:val="000000" w:themeColor="text1"/>
          <w:szCs w:val="24"/>
          <w:shd w:val="clear" w:color="auto" w:fill="FFFFFF"/>
        </w:rPr>
      </w:pPr>
      <w:proofErr w:type="spellStart"/>
      <w:r w:rsidRPr="009232AD">
        <w:rPr>
          <w:rFonts w:asciiTheme="majorBidi" w:hAnsiTheme="majorBidi" w:cstheme="majorBidi"/>
          <w:color w:val="000000" w:themeColor="text1"/>
          <w:szCs w:val="24"/>
          <w:shd w:val="clear" w:color="auto" w:fill="FFFFFF"/>
        </w:rPr>
        <w:t>Fida</w:t>
      </w:r>
      <w:proofErr w:type="spellEnd"/>
      <w:r w:rsidRPr="009232AD">
        <w:rPr>
          <w:rFonts w:asciiTheme="majorBidi" w:hAnsiTheme="majorBidi" w:cstheme="majorBidi"/>
          <w:color w:val="000000" w:themeColor="text1"/>
          <w:szCs w:val="24"/>
          <w:shd w:val="clear" w:color="auto" w:fill="FFFFFF"/>
        </w:rPr>
        <w:t xml:space="preserve">, R., Game, A., Stepanek, M. and </w:t>
      </w:r>
      <w:proofErr w:type="spellStart"/>
      <w:r w:rsidRPr="009232AD">
        <w:rPr>
          <w:rFonts w:asciiTheme="majorBidi" w:hAnsiTheme="majorBidi" w:cstheme="majorBidi"/>
          <w:color w:val="000000" w:themeColor="text1"/>
          <w:szCs w:val="24"/>
          <w:shd w:val="clear" w:color="auto" w:fill="FFFFFF"/>
        </w:rPr>
        <w:t>Gendronneau</w:t>
      </w:r>
      <w:proofErr w:type="spellEnd"/>
      <w:r w:rsidRPr="009232AD">
        <w:rPr>
          <w:rFonts w:asciiTheme="majorBidi" w:hAnsiTheme="majorBidi" w:cstheme="majorBidi"/>
          <w:color w:val="000000" w:themeColor="text1"/>
          <w:szCs w:val="24"/>
          <w:shd w:val="clear" w:color="auto" w:fill="FFFFFF"/>
        </w:rPr>
        <w:t>, C. (2022). Longitudinal effects of engagement with workplace health programmes on employee outcomes: A relational perspective. </w:t>
      </w:r>
      <w:r w:rsidRPr="009232AD">
        <w:rPr>
          <w:rFonts w:asciiTheme="majorBidi" w:hAnsiTheme="majorBidi" w:cstheme="majorBidi"/>
          <w:i/>
          <w:iCs/>
          <w:color w:val="000000" w:themeColor="text1"/>
          <w:szCs w:val="24"/>
          <w:shd w:val="clear" w:color="auto" w:fill="FFFFFF"/>
        </w:rPr>
        <w:t>British Journal of Management</w:t>
      </w:r>
      <w:r w:rsidRPr="009232AD">
        <w:rPr>
          <w:rFonts w:asciiTheme="majorBidi" w:hAnsiTheme="majorBidi" w:cstheme="majorBidi"/>
          <w:color w:val="000000" w:themeColor="text1"/>
          <w:szCs w:val="24"/>
          <w:shd w:val="clear" w:color="auto" w:fill="FFFFFF"/>
        </w:rPr>
        <w:t>, </w:t>
      </w:r>
      <w:r w:rsidRPr="009232AD">
        <w:rPr>
          <w:rFonts w:asciiTheme="majorBidi" w:hAnsiTheme="majorBidi" w:cstheme="majorBidi"/>
          <w:i/>
          <w:iCs/>
          <w:color w:val="000000" w:themeColor="text1"/>
          <w:szCs w:val="24"/>
          <w:shd w:val="clear" w:color="auto" w:fill="FFFFFF"/>
        </w:rPr>
        <w:t>33</w:t>
      </w:r>
      <w:r w:rsidRPr="009232AD">
        <w:rPr>
          <w:rFonts w:asciiTheme="majorBidi" w:hAnsiTheme="majorBidi" w:cstheme="majorBidi"/>
          <w:color w:val="000000" w:themeColor="text1"/>
          <w:szCs w:val="24"/>
          <w:shd w:val="clear" w:color="auto" w:fill="FFFFFF"/>
        </w:rPr>
        <w:t>(4), 1905-1923.</w:t>
      </w:r>
    </w:p>
    <w:p w14:paraId="2187A53A" w14:textId="788073B8" w:rsidR="00051CFF" w:rsidRPr="009232AD" w:rsidRDefault="00051CFF" w:rsidP="00485217">
      <w:pPr>
        <w:ind w:left="720" w:hanging="720"/>
        <w:rPr>
          <w:rFonts w:asciiTheme="majorBidi" w:hAnsiTheme="majorBidi" w:cstheme="majorBidi"/>
          <w:color w:val="000000" w:themeColor="text1"/>
          <w:szCs w:val="24"/>
        </w:rPr>
      </w:pPr>
      <w:r w:rsidRPr="009232AD">
        <w:rPr>
          <w:rFonts w:asciiTheme="majorBidi" w:hAnsiTheme="majorBidi" w:cstheme="majorBidi"/>
          <w:color w:val="000000" w:themeColor="text1"/>
          <w:szCs w:val="24"/>
        </w:rPr>
        <w:t xml:space="preserve">Fisher, C.D.(2010). Happiness at work. </w:t>
      </w:r>
      <w:r w:rsidRPr="009232AD">
        <w:rPr>
          <w:rFonts w:asciiTheme="majorBidi" w:hAnsiTheme="majorBidi" w:cstheme="majorBidi"/>
          <w:i/>
          <w:iCs/>
          <w:color w:val="000000" w:themeColor="text1"/>
          <w:szCs w:val="24"/>
        </w:rPr>
        <w:t>International journal of management reviews</w:t>
      </w:r>
      <w:r w:rsidRPr="009232AD">
        <w:rPr>
          <w:rFonts w:asciiTheme="majorBidi" w:hAnsiTheme="majorBidi" w:cstheme="majorBidi"/>
          <w:color w:val="000000" w:themeColor="text1"/>
          <w:szCs w:val="24"/>
        </w:rPr>
        <w:t>, 12(4), 384-41</w:t>
      </w:r>
    </w:p>
    <w:p w14:paraId="6BDA552B" w14:textId="77777777" w:rsidR="00051CFF" w:rsidRPr="009232AD" w:rsidRDefault="00051CFF" w:rsidP="00FA5E92">
      <w:pPr>
        <w:ind w:left="720" w:hanging="720"/>
        <w:rPr>
          <w:rFonts w:asciiTheme="majorBidi" w:hAnsiTheme="majorBidi" w:cstheme="majorBidi"/>
          <w:i/>
          <w:iCs/>
          <w:color w:val="000000" w:themeColor="text1"/>
          <w:szCs w:val="24"/>
          <w:shd w:val="clear" w:color="auto" w:fill="FFFFFF"/>
        </w:rPr>
      </w:pPr>
      <w:bookmarkStart w:id="19" w:name="Goldman"/>
      <w:r w:rsidRPr="009232AD">
        <w:rPr>
          <w:rFonts w:asciiTheme="majorBidi" w:hAnsiTheme="majorBidi" w:cstheme="majorBidi"/>
          <w:color w:val="000000" w:themeColor="text1"/>
          <w:szCs w:val="24"/>
          <w:shd w:val="clear" w:color="auto" w:fill="FFFFFF"/>
        </w:rPr>
        <w:lastRenderedPageBreak/>
        <w:t>Goldman</w:t>
      </w:r>
      <w:bookmarkEnd w:id="19"/>
      <w:r w:rsidRPr="009232AD">
        <w:rPr>
          <w:rFonts w:asciiTheme="majorBidi" w:hAnsiTheme="majorBidi" w:cstheme="majorBidi"/>
          <w:color w:val="000000" w:themeColor="text1"/>
          <w:szCs w:val="24"/>
          <w:shd w:val="clear" w:color="auto" w:fill="FFFFFF"/>
        </w:rPr>
        <w:t xml:space="preserve">, N.C. and Zhang, Y. (2022). Social Washing or Credible Communication? An Analysis of Corporate Disclosures of Diversity, Equity, and Inclusion in 10-K Filings. </w:t>
      </w:r>
      <w:r w:rsidRPr="009232AD">
        <w:rPr>
          <w:rFonts w:asciiTheme="majorBidi" w:hAnsiTheme="majorBidi" w:cstheme="majorBidi"/>
          <w:i/>
          <w:iCs/>
          <w:color w:val="000000" w:themeColor="text1"/>
          <w:szCs w:val="24"/>
          <w:shd w:val="clear" w:color="auto" w:fill="FFFFFF"/>
        </w:rPr>
        <w:t>Available at SSRN: 4244954.</w:t>
      </w:r>
    </w:p>
    <w:p w14:paraId="32024E2E" w14:textId="72E4497C" w:rsidR="00051CFF" w:rsidRPr="009232AD" w:rsidRDefault="00051CFF" w:rsidP="00485217">
      <w:pPr>
        <w:ind w:left="720" w:hanging="720"/>
        <w:rPr>
          <w:rFonts w:asciiTheme="majorBidi" w:hAnsiTheme="majorBidi" w:cstheme="majorBidi"/>
          <w:color w:val="000000" w:themeColor="text1"/>
          <w:szCs w:val="24"/>
          <w:shd w:val="clear" w:color="auto" w:fill="FFFFFF"/>
        </w:rPr>
      </w:pPr>
      <w:r w:rsidRPr="009232AD">
        <w:rPr>
          <w:rFonts w:asciiTheme="majorBidi" w:hAnsiTheme="majorBidi" w:cstheme="majorBidi"/>
          <w:color w:val="000000" w:themeColor="text1"/>
          <w:szCs w:val="24"/>
          <w:shd w:val="clear" w:color="auto" w:fill="FFFFFF"/>
        </w:rPr>
        <w:t>Griffeth, R.W., Hom, P.W. and Gaertner, S. (2000). A meta-analysis of antecedents and correlates of employee turnover: Update, moderator tests, and research implications for the next millennium. </w:t>
      </w:r>
      <w:r w:rsidRPr="009232AD">
        <w:rPr>
          <w:rFonts w:asciiTheme="majorBidi" w:hAnsiTheme="majorBidi" w:cstheme="majorBidi"/>
          <w:i/>
          <w:iCs/>
          <w:color w:val="000000" w:themeColor="text1"/>
          <w:szCs w:val="24"/>
          <w:shd w:val="clear" w:color="auto" w:fill="FFFFFF"/>
        </w:rPr>
        <w:t>Journal of management</w:t>
      </w:r>
      <w:r w:rsidRPr="009232AD">
        <w:rPr>
          <w:rFonts w:asciiTheme="majorBidi" w:hAnsiTheme="majorBidi" w:cstheme="majorBidi"/>
          <w:color w:val="000000" w:themeColor="text1"/>
          <w:szCs w:val="24"/>
          <w:shd w:val="clear" w:color="auto" w:fill="FFFFFF"/>
        </w:rPr>
        <w:t>, </w:t>
      </w:r>
      <w:r w:rsidRPr="009232AD">
        <w:rPr>
          <w:rFonts w:asciiTheme="majorBidi" w:hAnsiTheme="majorBidi" w:cstheme="majorBidi"/>
          <w:i/>
          <w:iCs/>
          <w:color w:val="000000" w:themeColor="text1"/>
          <w:szCs w:val="24"/>
          <w:shd w:val="clear" w:color="auto" w:fill="FFFFFF"/>
        </w:rPr>
        <w:t>26</w:t>
      </w:r>
      <w:r w:rsidRPr="009232AD">
        <w:rPr>
          <w:rFonts w:asciiTheme="majorBidi" w:hAnsiTheme="majorBidi" w:cstheme="majorBidi"/>
          <w:color w:val="000000" w:themeColor="text1"/>
          <w:szCs w:val="24"/>
          <w:shd w:val="clear" w:color="auto" w:fill="FFFFFF"/>
        </w:rPr>
        <w:t>(3), 463-488.</w:t>
      </w:r>
    </w:p>
    <w:p w14:paraId="1D7E026B" w14:textId="3AE40CC3" w:rsidR="00051CFF" w:rsidRPr="009232AD" w:rsidRDefault="00051CFF" w:rsidP="00FA5E92">
      <w:pPr>
        <w:ind w:left="720" w:hanging="720"/>
        <w:rPr>
          <w:rFonts w:asciiTheme="majorBidi" w:hAnsiTheme="majorBidi" w:cstheme="majorBidi"/>
          <w:color w:val="000000" w:themeColor="text1"/>
          <w:szCs w:val="24"/>
          <w:shd w:val="clear" w:color="auto" w:fill="FFFFFF"/>
        </w:rPr>
      </w:pPr>
      <w:bookmarkStart w:id="20" w:name="Guest"/>
      <w:r w:rsidRPr="009232AD">
        <w:rPr>
          <w:rFonts w:asciiTheme="majorBidi" w:hAnsiTheme="majorBidi" w:cstheme="majorBidi"/>
          <w:color w:val="000000" w:themeColor="text1"/>
          <w:szCs w:val="24"/>
          <w:shd w:val="clear" w:color="auto" w:fill="FFFFFF"/>
        </w:rPr>
        <w:t>Guest</w:t>
      </w:r>
      <w:bookmarkEnd w:id="20"/>
      <w:r w:rsidRPr="009232AD">
        <w:rPr>
          <w:rFonts w:asciiTheme="majorBidi" w:hAnsiTheme="majorBidi" w:cstheme="majorBidi"/>
          <w:color w:val="000000" w:themeColor="text1"/>
          <w:szCs w:val="24"/>
          <w:shd w:val="clear" w:color="auto" w:fill="FFFFFF"/>
        </w:rPr>
        <w:t>, D. (2017). Human resource management and employee wellbeing: Towards a new analytic framework. </w:t>
      </w:r>
      <w:r w:rsidRPr="009232AD">
        <w:rPr>
          <w:rFonts w:asciiTheme="majorBidi" w:hAnsiTheme="majorBidi" w:cstheme="majorBidi"/>
          <w:i/>
          <w:iCs/>
          <w:color w:val="000000" w:themeColor="text1"/>
          <w:szCs w:val="24"/>
          <w:shd w:val="clear" w:color="auto" w:fill="FFFFFF"/>
        </w:rPr>
        <w:t>Human resource management journal</w:t>
      </w:r>
      <w:r w:rsidRPr="009232AD">
        <w:rPr>
          <w:rFonts w:asciiTheme="majorBidi" w:hAnsiTheme="majorBidi" w:cstheme="majorBidi"/>
          <w:color w:val="000000" w:themeColor="text1"/>
          <w:szCs w:val="24"/>
          <w:shd w:val="clear" w:color="auto" w:fill="FFFFFF"/>
        </w:rPr>
        <w:t>, 27(1), 22-38.</w:t>
      </w:r>
    </w:p>
    <w:p w14:paraId="062F9632" w14:textId="59CA7246" w:rsidR="00051CFF" w:rsidRPr="009232AD" w:rsidRDefault="00051CFF" w:rsidP="00FA5E92">
      <w:pPr>
        <w:ind w:left="720" w:hanging="720"/>
        <w:rPr>
          <w:rFonts w:asciiTheme="majorBidi" w:hAnsiTheme="majorBidi" w:cstheme="majorBidi"/>
          <w:color w:val="000000" w:themeColor="text1"/>
          <w:szCs w:val="24"/>
          <w:shd w:val="clear" w:color="auto" w:fill="FFFFFF"/>
        </w:rPr>
      </w:pPr>
      <w:bookmarkStart w:id="21" w:name="Hales"/>
      <w:r w:rsidRPr="009232AD">
        <w:rPr>
          <w:rFonts w:asciiTheme="majorBidi" w:hAnsiTheme="majorBidi" w:cstheme="majorBidi"/>
          <w:color w:val="000000" w:themeColor="text1"/>
          <w:szCs w:val="24"/>
          <w:shd w:val="clear" w:color="auto" w:fill="FFFFFF"/>
        </w:rPr>
        <w:t>Hales</w:t>
      </w:r>
      <w:bookmarkEnd w:id="21"/>
      <w:r w:rsidRPr="009232AD">
        <w:rPr>
          <w:rFonts w:asciiTheme="majorBidi" w:hAnsiTheme="majorBidi" w:cstheme="majorBidi"/>
          <w:color w:val="000000" w:themeColor="text1"/>
          <w:szCs w:val="24"/>
          <w:shd w:val="clear" w:color="auto" w:fill="FFFFFF"/>
        </w:rPr>
        <w:t>, J., Moon Jr, J. and Swenson, L. (2018). A new era of voluntary disclosure? Empirical evidence on how employee postings on social media relate to future corporate disclosures. </w:t>
      </w:r>
      <w:r w:rsidRPr="009232AD">
        <w:rPr>
          <w:rFonts w:asciiTheme="majorBidi" w:hAnsiTheme="majorBidi" w:cstheme="majorBidi"/>
          <w:i/>
          <w:iCs/>
          <w:color w:val="000000" w:themeColor="text1"/>
          <w:szCs w:val="24"/>
          <w:shd w:val="clear" w:color="auto" w:fill="FFFFFF"/>
        </w:rPr>
        <w:t>Accounting, Organisations and Society</w:t>
      </w:r>
      <w:r w:rsidRPr="009232AD">
        <w:rPr>
          <w:rFonts w:asciiTheme="majorBidi" w:hAnsiTheme="majorBidi" w:cstheme="majorBidi"/>
          <w:color w:val="000000" w:themeColor="text1"/>
          <w:szCs w:val="24"/>
          <w:shd w:val="clear" w:color="auto" w:fill="FFFFFF"/>
        </w:rPr>
        <w:t>, </w:t>
      </w:r>
      <w:r w:rsidRPr="009232AD">
        <w:rPr>
          <w:rFonts w:asciiTheme="majorBidi" w:hAnsiTheme="majorBidi" w:cstheme="majorBidi"/>
          <w:i/>
          <w:iCs/>
          <w:color w:val="000000" w:themeColor="text1"/>
          <w:szCs w:val="24"/>
          <w:shd w:val="clear" w:color="auto" w:fill="FFFFFF"/>
        </w:rPr>
        <w:t>68</w:t>
      </w:r>
      <w:r w:rsidRPr="009232AD">
        <w:rPr>
          <w:rFonts w:asciiTheme="majorBidi" w:hAnsiTheme="majorBidi" w:cstheme="majorBidi"/>
          <w:color w:val="000000" w:themeColor="text1"/>
          <w:szCs w:val="24"/>
          <w:shd w:val="clear" w:color="auto" w:fill="FFFFFF"/>
        </w:rPr>
        <w:t>, 88-108.</w:t>
      </w:r>
    </w:p>
    <w:p w14:paraId="6AA1AF0A" w14:textId="468ED4AD" w:rsidR="00051CFF" w:rsidRPr="009232AD" w:rsidRDefault="00051CFF" w:rsidP="00FA5E92">
      <w:pPr>
        <w:ind w:left="720" w:hanging="720"/>
        <w:rPr>
          <w:rFonts w:asciiTheme="majorBidi" w:hAnsiTheme="majorBidi" w:cstheme="majorBidi"/>
          <w:color w:val="000000" w:themeColor="text1"/>
          <w:szCs w:val="24"/>
          <w:shd w:val="clear" w:color="auto" w:fill="FFFFFF"/>
        </w:rPr>
      </w:pPr>
      <w:bookmarkStart w:id="22" w:name="Hersel"/>
      <w:r w:rsidRPr="009232AD">
        <w:rPr>
          <w:rFonts w:asciiTheme="majorBidi" w:hAnsiTheme="majorBidi" w:cstheme="majorBidi"/>
          <w:color w:val="000000" w:themeColor="text1"/>
          <w:szCs w:val="24"/>
          <w:shd w:val="clear" w:color="auto" w:fill="FFFFFF"/>
        </w:rPr>
        <w:t>Hersel</w:t>
      </w:r>
      <w:bookmarkEnd w:id="22"/>
      <w:r w:rsidRPr="009232AD">
        <w:rPr>
          <w:rFonts w:asciiTheme="majorBidi" w:hAnsiTheme="majorBidi" w:cstheme="majorBidi"/>
          <w:color w:val="000000" w:themeColor="text1"/>
          <w:szCs w:val="24"/>
          <w:shd w:val="clear" w:color="auto" w:fill="FFFFFF"/>
        </w:rPr>
        <w:t>, M., Helmuth, C.,</w:t>
      </w:r>
      <w:r w:rsidR="00FB1330" w:rsidRPr="009232AD">
        <w:rPr>
          <w:rFonts w:asciiTheme="majorBidi" w:hAnsiTheme="majorBidi" w:cstheme="majorBidi"/>
          <w:color w:val="000000" w:themeColor="text1"/>
          <w:szCs w:val="24"/>
          <w:shd w:val="clear" w:color="auto" w:fill="FFFFFF"/>
        </w:rPr>
        <w:t xml:space="preserve"> </w:t>
      </w:r>
      <w:r w:rsidRPr="009232AD">
        <w:rPr>
          <w:rFonts w:asciiTheme="majorBidi" w:hAnsiTheme="majorBidi" w:cstheme="majorBidi"/>
          <w:color w:val="000000" w:themeColor="text1"/>
          <w:szCs w:val="24"/>
          <w:shd w:val="clear" w:color="auto" w:fill="FFFFFF"/>
        </w:rPr>
        <w:t>Zorn, M.,</w:t>
      </w:r>
      <w:r w:rsidR="00FB1330" w:rsidRPr="009232AD">
        <w:rPr>
          <w:rFonts w:asciiTheme="majorBidi" w:hAnsiTheme="majorBidi" w:cstheme="majorBidi"/>
          <w:color w:val="000000" w:themeColor="text1"/>
          <w:szCs w:val="24"/>
          <w:shd w:val="clear" w:color="auto" w:fill="FFFFFF"/>
        </w:rPr>
        <w:t xml:space="preserve"> </w:t>
      </w:r>
      <w:r w:rsidRPr="009232AD">
        <w:rPr>
          <w:rFonts w:asciiTheme="majorBidi" w:hAnsiTheme="majorBidi" w:cstheme="majorBidi"/>
          <w:color w:val="000000" w:themeColor="text1"/>
          <w:szCs w:val="24"/>
          <w:shd w:val="clear" w:color="auto" w:fill="FFFFFF"/>
        </w:rPr>
        <w:t>Shropshire, C. and Ridge, J. (2019). The corrective actions organisations pursue following misconduct: A review and research agenda. </w:t>
      </w:r>
      <w:r w:rsidRPr="009232AD">
        <w:rPr>
          <w:rFonts w:asciiTheme="majorBidi" w:hAnsiTheme="majorBidi" w:cstheme="majorBidi"/>
          <w:i/>
          <w:iCs/>
          <w:color w:val="000000" w:themeColor="text1"/>
          <w:szCs w:val="24"/>
          <w:shd w:val="clear" w:color="auto" w:fill="FFFFFF"/>
        </w:rPr>
        <w:t>Academy of Management Annals</w:t>
      </w:r>
      <w:r w:rsidRPr="009232AD">
        <w:rPr>
          <w:rFonts w:asciiTheme="majorBidi" w:hAnsiTheme="majorBidi" w:cstheme="majorBidi"/>
          <w:color w:val="000000" w:themeColor="text1"/>
          <w:szCs w:val="24"/>
          <w:shd w:val="clear" w:color="auto" w:fill="FFFFFF"/>
        </w:rPr>
        <w:t>, </w:t>
      </w:r>
      <w:r w:rsidRPr="009232AD">
        <w:rPr>
          <w:rFonts w:asciiTheme="majorBidi" w:hAnsiTheme="majorBidi" w:cstheme="majorBidi"/>
          <w:i/>
          <w:iCs/>
          <w:color w:val="000000" w:themeColor="text1"/>
          <w:szCs w:val="24"/>
          <w:shd w:val="clear" w:color="auto" w:fill="FFFFFF"/>
        </w:rPr>
        <w:t>13</w:t>
      </w:r>
      <w:r w:rsidRPr="009232AD">
        <w:rPr>
          <w:rFonts w:asciiTheme="majorBidi" w:hAnsiTheme="majorBidi" w:cstheme="majorBidi"/>
          <w:color w:val="000000" w:themeColor="text1"/>
          <w:szCs w:val="24"/>
          <w:shd w:val="clear" w:color="auto" w:fill="FFFFFF"/>
        </w:rPr>
        <w:t xml:space="preserve">(2), 547-585. </w:t>
      </w:r>
    </w:p>
    <w:p w14:paraId="57C4F949" w14:textId="77777777" w:rsidR="00051CFF" w:rsidRPr="009232AD" w:rsidRDefault="00051CFF" w:rsidP="00FA5E92">
      <w:pPr>
        <w:ind w:left="720" w:hanging="720"/>
        <w:rPr>
          <w:rFonts w:asciiTheme="majorBidi" w:hAnsiTheme="majorBidi" w:cstheme="majorBidi"/>
          <w:color w:val="000000" w:themeColor="text1"/>
          <w:szCs w:val="24"/>
        </w:rPr>
      </w:pPr>
      <w:bookmarkStart w:id="23" w:name="Ignatov"/>
      <w:bookmarkEnd w:id="13"/>
      <w:r w:rsidRPr="009232AD">
        <w:rPr>
          <w:rFonts w:asciiTheme="majorBidi" w:hAnsiTheme="majorBidi" w:cstheme="majorBidi"/>
          <w:color w:val="000000" w:themeColor="text1"/>
          <w:szCs w:val="24"/>
          <w:shd w:val="clear" w:color="auto" w:fill="FFFFFF"/>
        </w:rPr>
        <w:t>Ignatov</w:t>
      </w:r>
      <w:bookmarkEnd w:id="23"/>
      <w:r w:rsidRPr="009232AD">
        <w:rPr>
          <w:rFonts w:asciiTheme="majorBidi" w:hAnsiTheme="majorBidi" w:cstheme="majorBidi"/>
          <w:color w:val="000000" w:themeColor="text1"/>
          <w:szCs w:val="24"/>
          <w:shd w:val="clear" w:color="auto" w:fill="FFFFFF"/>
        </w:rPr>
        <w:t>, K. (2023). When ESG talks: ESG tone of 10-K reports and its significance to stock markets. </w:t>
      </w:r>
      <w:r w:rsidRPr="009232AD">
        <w:rPr>
          <w:rFonts w:asciiTheme="majorBidi" w:hAnsiTheme="majorBidi" w:cstheme="majorBidi"/>
          <w:i/>
          <w:iCs/>
          <w:color w:val="000000" w:themeColor="text1"/>
          <w:szCs w:val="24"/>
          <w:shd w:val="clear" w:color="auto" w:fill="FFFFFF"/>
        </w:rPr>
        <w:t>International Review of Financial Analysis</w:t>
      </w:r>
      <w:r w:rsidRPr="009232AD">
        <w:rPr>
          <w:rFonts w:asciiTheme="majorBidi" w:hAnsiTheme="majorBidi" w:cstheme="majorBidi"/>
          <w:color w:val="000000" w:themeColor="text1"/>
          <w:szCs w:val="24"/>
          <w:shd w:val="clear" w:color="auto" w:fill="FFFFFF"/>
        </w:rPr>
        <w:t>, </w:t>
      </w:r>
      <w:r w:rsidRPr="009232AD">
        <w:rPr>
          <w:rFonts w:asciiTheme="majorBidi" w:hAnsiTheme="majorBidi" w:cstheme="majorBidi"/>
          <w:i/>
          <w:iCs/>
          <w:color w:val="000000" w:themeColor="text1"/>
          <w:szCs w:val="24"/>
          <w:shd w:val="clear" w:color="auto" w:fill="FFFFFF"/>
        </w:rPr>
        <w:t>89</w:t>
      </w:r>
      <w:r w:rsidRPr="009232AD">
        <w:rPr>
          <w:rFonts w:asciiTheme="majorBidi" w:hAnsiTheme="majorBidi" w:cstheme="majorBidi"/>
          <w:color w:val="000000" w:themeColor="text1"/>
          <w:szCs w:val="24"/>
          <w:shd w:val="clear" w:color="auto" w:fill="FFFFFF"/>
        </w:rPr>
        <w:t>, p.102745.</w:t>
      </w:r>
    </w:p>
    <w:p w14:paraId="3A9C3984" w14:textId="2AA61292" w:rsidR="00051CFF" w:rsidRPr="009232AD" w:rsidRDefault="00051CFF" w:rsidP="00FA5E92">
      <w:pPr>
        <w:ind w:left="720" w:hanging="720"/>
        <w:rPr>
          <w:rFonts w:asciiTheme="majorBidi" w:hAnsiTheme="majorBidi" w:cstheme="majorBidi"/>
          <w:color w:val="000000" w:themeColor="text1"/>
          <w:szCs w:val="24"/>
          <w:shd w:val="clear" w:color="auto" w:fill="FFFFFF"/>
        </w:rPr>
      </w:pPr>
      <w:bookmarkStart w:id="24" w:name="Ioannou"/>
      <w:r w:rsidRPr="009232AD">
        <w:rPr>
          <w:rFonts w:asciiTheme="majorBidi" w:hAnsiTheme="majorBidi" w:cstheme="majorBidi"/>
          <w:color w:val="000000" w:themeColor="text1"/>
          <w:szCs w:val="24"/>
          <w:shd w:val="clear" w:color="auto" w:fill="FFFFFF"/>
        </w:rPr>
        <w:t>Ioannou</w:t>
      </w:r>
      <w:bookmarkEnd w:id="24"/>
      <w:r w:rsidRPr="009232AD">
        <w:rPr>
          <w:rFonts w:asciiTheme="majorBidi" w:hAnsiTheme="majorBidi" w:cstheme="majorBidi"/>
          <w:color w:val="000000" w:themeColor="text1"/>
          <w:szCs w:val="24"/>
          <w:shd w:val="clear" w:color="auto" w:fill="FFFFFF"/>
        </w:rPr>
        <w:t xml:space="preserve">, I., </w:t>
      </w:r>
      <w:proofErr w:type="spellStart"/>
      <w:r w:rsidRPr="009232AD">
        <w:rPr>
          <w:rFonts w:asciiTheme="majorBidi" w:hAnsiTheme="majorBidi" w:cstheme="majorBidi"/>
          <w:color w:val="000000" w:themeColor="text1"/>
          <w:szCs w:val="24"/>
          <w:shd w:val="clear" w:color="auto" w:fill="FFFFFF"/>
        </w:rPr>
        <w:t>Kassinis</w:t>
      </w:r>
      <w:proofErr w:type="spellEnd"/>
      <w:r w:rsidRPr="009232AD">
        <w:rPr>
          <w:rFonts w:asciiTheme="majorBidi" w:hAnsiTheme="majorBidi" w:cstheme="majorBidi"/>
          <w:color w:val="000000" w:themeColor="text1"/>
          <w:szCs w:val="24"/>
          <w:shd w:val="clear" w:color="auto" w:fill="FFFFFF"/>
        </w:rPr>
        <w:t xml:space="preserve">, G. and </w:t>
      </w:r>
      <w:proofErr w:type="spellStart"/>
      <w:r w:rsidRPr="009232AD">
        <w:rPr>
          <w:rFonts w:asciiTheme="majorBidi" w:hAnsiTheme="majorBidi" w:cstheme="majorBidi"/>
          <w:color w:val="000000" w:themeColor="text1"/>
          <w:szCs w:val="24"/>
          <w:shd w:val="clear" w:color="auto" w:fill="FFFFFF"/>
        </w:rPr>
        <w:t>Papagiannakis</w:t>
      </w:r>
      <w:proofErr w:type="spellEnd"/>
      <w:r w:rsidRPr="009232AD">
        <w:rPr>
          <w:rFonts w:asciiTheme="majorBidi" w:hAnsiTheme="majorBidi" w:cstheme="majorBidi"/>
          <w:color w:val="000000" w:themeColor="text1"/>
          <w:szCs w:val="24"/>
          <w:shd w:val="clear" w:color="auto" w:fill="FFFFFF"/>
        </w:rPr>
        <w:t>, G. (2023). The impact of perceived greenwashing on customer satisfaction and the contingent role of capability reputation. </w:t>
      </w:r>
      <w:r w:rsidRPr="009232AD">
        <w:rPr>
          <w:rFonts w:asciiTheme="majorBidi" w:hAnsiTheme="majorBidi" w:cstheme="majorBidi"/>
          <w:i/>
          <w:iCs/>
          <w:color w:val="000000" w:themeColor="text1"/>
          <w:szCs w:val="24"/>
          <w:shd w:val="clear" w:color="auto" w:fill="FFFFFF"/>
        </w:rPr>
        <w:t>Journal of Business Ethics</w:t>
      </w:r>
      <w:r w:rsidRPr="009232AD">
        <w:rPr>
          <w:rFonts w:asciiTheme="majorBidi" w:hAnsiTheme="majorBidi" w:cstheme="majorBidi"/>
          <w:color w:val="000000" w:themeColor="text1"/>
          <w:szCs w:val="24"/>
          <w:shd w:val="clear" w:color="auto" w:fill="FFFFFF"/>
        </w:rPr>
        <w:t>, </w:t>
      </w:r>
      <w:r w:rsidRPr="009232AD">
        <w:rPr>
          <w:rFonts w:asciiTheme="majorBidi" w:hAnsiTheme="majorBidi" w:cstheme="majorBidi"/>
          <w:i/>
          <w:iCs/>
          <w:color w:val="000000" w:themeColor="text1"/>
          <w:szCs w:val="24"/>
          <w:shd w:val="clear" w:color="auto" w:fill="FFFFFF"/>
        </w:rPr>
        <w:t>185</w:t>
      </w:r>
      <w:r w:rsidRPr="009232AD">
        <w:rPr>
          <w:rFonts w:asciiTheme="majorBidi" w:hAnsiTheme="majorBidi" w:cstheme="majorBidi"/>
          <w:color w:val="000000" w:themeColor="text1"/>
          <w:szCs w:val="24"/>
          <w:shd w:val="clear" w:color="auto" w:fill="FFFFFF"/>
        </w:rPr>
        <w:t>(2), 333-347.</w:t>
      </w:r>
    </w:p>
    <w:p w14:paraId="1657482F" w14:textId="77777777" w:rsidR="00051CFF" w:rsidRPr="009232AD" w:rsidRDefault="00051CFF" w:rsidP="00FA5E92">
      <w:pPr>
        <w:pStyle w:val="NormalWeb"/>
        <w:spacing w:before="0" w:beforeAutospacing="0" w:after="0" w:afterAutospacing="0" w:line="480" w:lineRule="auto"/>
        <w:ind w:left="720" w:hanging="720"/>
        <w:rPr>
          <w:rFonts w:asciiTheme="majorBidi" w:hAnsiTheme="majorBidi" w:cstheme="majorBidi"/>
          <w:color w:val="000000" w:themeColor="text1"/>
        </w:rPr>
      </w:pPr>
      <w:bookmarkStart w:id="25" w:name="iosh"/>
      <w:r w:rsidRPr="009232AD">
        <w:rPr>
          <w:rFonts w:asciiTheme="majorBidi" w:hAnsiTheme="majorBidi" w:cstheme="majorBidi"/>
          <w:color w:val="000000" w:themeColor="text1"/>
        </w:rPr>
        <w:t xml:space="preserve">IOSH. (2023). </w:t>
      </w:r>
      <w:r w:rsidRPr="009232AD">
        <w:rPr>
          <w:rFonts w:asciiTheme="majorBidi" w:hAnsiTheme="majorBidi" w:cstheme="majorBidi"/>
          <w:i/>
          <w:iCs/>
          <w:color w:val="000000" w:themeColor="text1"/>
        </w:rPr>
        <w:t>Latest News and views</w:t>
      </w:r>
      <w:r w:rsidRPr="009232AD">
        <w:rPr>
          <w:rFonts w:asciiTheme="majorBidi" w:hAnsiTheme="majorBidi" w:cstheme="majorBidi"/>
          <w:color w:val="000000" w:themeColor="text1"/>
        </w:rPr>
        <w:t xml:space="preserve">, </w:t>
      </w:r>
      <w:r w:rsidRPr="009232AD">
        <w:rPr>
          <w:rFonts w:asciiTheme="majorBidi" w:hAnsiTheme="majorBidi" w:cstheme="majorBidi"/>
          <w:i/>
          <w:iCs/>
          <w:color w:val="000000" w:themeColor="text1"/>
        </w:rPr>
        <w:t>IOSH</w:t>
      </w:r>
      <w:r w:rsidRPr="009232AD">
        <w:rPr>
          <w:rFonts w:asciiTheme="majorBidi" w:hAnsiTheme="majorBidi" w:cstheme="majorBidi"/>
          <w:color w:val="000000" w:themeColor="text1"/>
        </w:rPr>
        <w:t xml:space="preserve">. Available at: https://iosh.com/news/snap-poll-shows-more-than-half-employers-guilty-of-wellbeing-washing/ </w:t>
      </w:r>
      <w:bookmarkEnd w:id="25"/>
    </w:p>
    <w:p w14:paraId="2D78F4A3" w14:textId="77777777" w:rsidR="00051CFF" w:rsidRPr="009232AD" w:rsidRDefault="00051CFF" w:rsidP="00FA5E92">
      <w:pPr>
        <w:ind w:left="720" w:hanging="720"/>
        <w:rPr>
          <w:rFonts w:asciiTheme="majorBidi" w:hAnsiTheme="majorBidi" w:cstheme="majorBidi"/>
          <w:color w:val="000000" w:themeColor="text1"/>
          <w:szCs w:val="24"/>
          <w:shd w:val="clear" w:color="auto" w:fill="FFFFFF"/>
        </w:rPr>
      </w:pPr>
      <w:bookmarkStart w:id="26" w:name="Jing"/>
      <w:r w:rsidRPr="009232AD">
        <w:rPr>
          <w:rFonts w:asciiTheme="majorBidi" w:hAnsiTheme="majorBidi" w:cstheme="majorBidi"/>
          <w:color w:val="000000" w:themeColor="text1"/>
          <w:szCs w:val="24"/>
          <w:shd w:val="clear" w:color="auto" w:fill="FFFFFF"/>
        </w:rPr>
        <w:t>Jing</w:t>
      </w:r>
      <w:bookmarkEnd w:id="26"/>
      <w:r w:rsidRPr="009232AD">
        <w:rPr>
          <w:rFonts w:asciiTheme="majorBidi" w:hAnsiTheme="majorBidi" w:cstheme="majorBidi"/>
          <w:color w:val="000000" w:themeColor="text1"/>
          <w:szCs w:val="24"/>
          <w:shd w:val="clear" w:color="auto" w:fill="FFFFFF"/>
        </w:rPr>
        <w:t xml:space="preserve">, C., Keasey, K., Lim, I., Xu, B. (2019). Financial constraints and employee satisfaction. </w:t>
      </w:r>
      <w:r w:rsidRPr="009232AD">
        <w:rPr>
          <w:rFonts w:asciiTheme="majorBidi" w:hAnsiTheme="majorBidi" w:cstheme="majorBidi"/>
          <w:i/>
          <w:iCs/>
          <w:color w:val="000000" w:themeColor="text1"/>
          <w:szCs w:val="24"/>
        </w:rPr>
        <w:t>Economics Letters,</w:t>
      </w:r>
      <w:r w:rsidRPr="009232AD">
        <w:rPr>
          <w:rFonts w:asciiTheme="majorBidi" w:hAnsiTheme="majorBidi" w:cstheme="majorBidi"/>
          <w:color w:val="000000" w:themeColor="text1"/>
          <w:szCs w:val="24"/>
          <w:shd w:val="clear" w:color="auto" w:fill="FFFFFF"/>
        </w:rPr>
        <w:t>183, 108599.</w:t>
      </w:r>
    </w:p>
    <w:p w14:paraId="144DE896" w14:textId="3BC7E81E" w:rsidR="00051CFF" w:rsidRPr="009232AD" w:rsidRDefault="00051CFF" w:rsidP="00FA5E92">
      <w:pPr>
        <w:pStyle w:val="ListParagraph"/>
        <w:ind w:hanging="720"/>
        <w:rPr>
          <w:rFonts w:asciiTheme="majorBidi" w:hAnsiTheme="majorBidi" w:cstheme="majorBidi"/>
          <w:color w:val="000000" w:themeColor="text1"/>
          <w:szCs w:val="24"/>
        </w:rPr>
      </w:pPr>
      <w:bookmarkStart w:id="27" w:name="Karasek"/>
      <w:r w:rsidRPr="009232AD">
        <w:rPr>
          <w:rFonts w:asciiTheme="majorBidi" w:hAnsiTheme="majorBidi" w:cstheme="majorBidi"/>
          <w:color w:val="000000" w:themeColor="text1"/>
          <w:szCs w:val="24"/>
        </w:rPr>
        <w:t>Karasek</w:t>
      </w:r>
      <w:bookmarkEnd w:id="27"/>
      <w:r w:rsidRPr="009232AD">
        <w:rPr>
          <w:rFonts w:asciiTheme="majorBidi" w:hAnsiTheme="majorBidi" w:cstheme="majorBidi"/>
          <w:color w:val="000000" w:themeColor="text1"/>
          <w:szCs w:val="24"/>
        </w:rPr>
        <w:t xml:space="preserve"> Jr, R. (1979). Job demands, job decision latitude, and mental strain: Implications for job redesign. </w:t>
      </w:r>
      <w:r w:rsidRPr="009232AD">
        <w:rPr>
          <w:rFonts w:asciiTheme="majorBidi" w:hAnsiTheme="majorBidi" w:cstheme="majorBidi"/>
          <w:i/>
          <w:iCs/>
          <w:color w:val="000000" w:themeColor="text1"/>
          <w:szCs w:val="24"/>
        </w:rPr>
        <w:t>Administrative science quarterly</w:t>
      </w:r>
      <w:r w:rsidRPr="009232AD">
        <w:rPr>
          <w:rFonts w:asciiTheme="majorBidi" w:hAnsiTheme="majorBidi" w:cstheme="majorBidi"/>
          <w:color w:val="000000" w:themeColor="text1"/>
          <w:szCs w:val="24"/>
        </w:rPr>
        <w:t xml:space="preserve">, </w:t>
      </w:r>
      <w:r w:rsidR="004A5A47">
        <w:rPr>
          <w:rFonts w:asciiTheme="majorBidi" w:hAnsiTheme="majorBidi" w:cstheme="majorBidi"/>
          <w:color w:val="000000" w:themeColor="text1"/>
          <w:szCs w:val="24"/>
        </w:rPr>
        <w:t xml:space="preserve"> </w:t>
      </w:r>
      <w:r w:rsidRPr="009232AD">
        <w:rPr>
          <w:rFonts w:asciiTheme="majorBidi" w:hAnsiTheme="majorBidi" w:cstheme="majorBidi"/>
          <w:color w:val="000000" w:themeColor="text1"/>
          <w:szCs w:val="24"/>
        </w:rPr>
        <w:t>285-308.</w:t>
      </w:r>
    </w:p>
    <w:p w14:paraId="0BE06E07" w14:textId="77777777" w:rsidR="00051CFF" w:rsidRPr="009232AD" w:rsidRDefault="00051CFF" w:rsidP="00FA5E92">
      <w:pPr>
        <w:ind w:left="720" w:hanging="720"/>
        <w:rPr>
          <w:rFonts w:asciiTheme="majorBidi" w:hAnsiTheme="majorBidi" w:cstheme="majorBidi"/>
          <w:color w:val="000000" w:themeColor="text1"/>
          <w:szCs w:val="24"/>
        </w:rPr>
      </w:pPr>
      <w:bookmarkStart w:id="28" w:name="Kim"/>
      <w:r w:rsidRPr="009232AD">
        <w:rPr>
          <w:rFonts w:asciiTheme="majorBidi" w:hAnsiTheme="majorBidi" w:cstheme="majorBidi"/>
          <w:color w:val="000000" w:themeColor="text1"/>
          <w:szCs w:val="24"/>
        </w:rPr>
        <w:lastRenderedPageBreak/>
        <w:t>Kim</w:t>
      </w:r>
      <w:bookmarkEnd w:id="28"/>
      <w:r w:rsidRPr="009232AD">
        <w:rPr>
          <w:rFonts w:asciiTheme="majorBidi" w:hAnsiTheme="majorBidi" w:cstheme="majorBidi"/>
          <w:color w:val="000000" w:themeColor="text1"/>
          <w:szCs w:val="24"/>
        </w:rPr>
        <w:t xml:space="preserve">, J.S. and Ra, K. (2022). Employee satisfaction and asymmetric cost </w:t>
      </w:r>
      <w:proofErr w:type="spellStart"/>
      <w:r w:rsidRPr="009232AD">
        <w:rPr>
          <w:rFonts w:asciiTheme="majorBidi" w:hAnsiTheme="majorBidi" w:cstheme="majorBidi"/>
          <w:color w:val="000000" w:themeColor="text1"/>
          <w:szCs w:val="24"/>
        </w:rPr>
        <w:t>behavior</w:t>
      </w:r>
      <w:proofErr w:type="spellEnd"/>
      <w:r w:rsidRPr="009232AD">
        <w:rPr>
          <w:rFonts w:asciiTheme="majorBidi" w:hAnsiTheme="majorBidi" w:cstheme="majorBidi"/>
          <w:color w:val="000000" w:themeColor="text1"/>
          <w:szCs w:val="24"/>
        </w:rPr>
        <w:t xml:space="preserve">: Evidence from Glassdoor. </w:t>
      </w:r>
      <w:r w:rsidRPr="009232AD">
        <w:rPr>
          <w:rFonts w:asciiTheme="majorBidi" w:hAnsiTheme="majorBidi" w:cstheme="majorBidi"/>
          <w:i/>
          <w:iCs/>
          <w:color w:val="000000" w:themeColor="text1"/>
          <w:szCs w:val="24"/>
        </w:rPr>
        <w:t>Economics Letters,</w:t>
      </w:r>
      <w:r w:rsidRPr="009232AD">
        <w:rPr>
          <w:rFonts w:asciiTheme="majorBidi" w:hAnsiTheme="majorBidi" w:cstheme="majorBidi"/>
          <w:color w:val="000000" w:themeColor="text1"/>
          <w:szCs w:val="24"/>
        </w:rPr>
        <w:t xml:space="preserve"> 219, p.110829.</w:t>
      </w:r>
    </w:p>
    <w:p w14:paraId="3BE9CA7A" w14:textId="5AAA2184" w:rsidR="00051CFF" w:rsidRPr="009232AD" w:rsidRDefault="00051CFF" w:rsidP="00FA5E92">
      <w:pPr>
        <w:ind w:left="720" w:hanging="720"/>
        <w:rPr>
          <w:rFonts w:asciiTheme="majorBidi" w:hAnsiTheme="majorBidi" w:cstheme="majorBidi"/>
          <w:color w:val="000000" w:themeColor="text1"/>
          <w:szCs w:val="24"/>
        </w:rPr>
      </w:pPr>
      <w:bookmarkStart w:id="29" w:name="KimVerrecchia"/>
      <w:r w:rsidRPr="009232AD">
        <w:rPr>
          <w:rFonts w:asciiTheme="majorBidi" w:hAnsiTheme="majorBidi" w:cstheme="majorBidi"/>
          <w:color w:val="000000" w:themeColor="text1"/>
          <w:szCs w:val="24"/>
        </w:rPr>
        <w:t xml:space="preserve">Kim, O. and Verrecchia, </w:t>
      </w:r>
      <w:bookmarkEnd w:id="29"/>
      <w:r w:rsidRPr="009232AD">
        <w:rPr>
          <w:rFonts w:asciiTheme="majorBidi" w:hAnsiTheme="majorBidi" w:cstheme="majorBidi"/>
          <w:color w:val="000000" w:themeColor="text1"/>
          <w:szCs w:val="24"/>
        </w:rPr>
        <w:t xml:space="preserve">R. (1994). Market liquidity and volume around earnings announcements. </w:t>
      </w:r>
      <w:r w:rsidRPr="009232AD">
        <w:rPr>
          <w:rFonts w:asciiTheme="majorBidi" w:hAnsiTheme="majorBidi" w:cstheme="majorBidi"/>
          <w:i/>
          <w:iCs/>
          <w:color w:val="000000" w:themeColor="text1"/>
          <w:szCs w:val="24"/>
        </w:rPr>
        <w:t>Journal of Accounting and Economics</w:t>
      </w:r>
      <w:r w:rsidRPr="009232AD">
        <w:rPr>
          <w:rFonts w:asciiTheme="majorBidi" w:hAnsiTheme="majorBidi" w:cstheme="majorBidi"/>
          <w:color w:val="000000" w:themeColor="text1"/>
          <w:szCs w:val="24"/>
        </w:rPr>
        <w:t xml:space="preserve">, 17(1-2), </w:t>
      </w:r>
      <w:r w:rsidR="004A5A47">
        <w:rPr>
          <w:rFonts w:asciiTheme="majorBidi" w:hAnsiTheme="majorBidi" w:cstheme="majorBidi"/>
          <w:color w:val="000000" w:themeColor="text1"/>
          <w:szCs w:val="24"/>
        </w:rPr>
        <w:t xml:space="preserve"> </w:t>
      </w:r>
      <w:r w:rsidRPr="009232AD">
        <w:rPr>
          <w:rFonts w:asciiTheme="majorBidi" w:hAnsiTheme="majorBidi" w:cstheme="majorBidi"/>
          <w:color w:val="000000" w:themeColor="text1"/>
          <w:szCs w:val="24"/>
        </w:rPr>
        <w:t>41-67.</w:t>
      </w:r>
    </w:p>
    <w:p w14:paraId="13096C2F" w14:textId="1087C899" w:rsidR="00051CFF" w:rsidRPr="009232AD" w:rsidRDefault="00051CFF" w:rsidP="00FA5E92">
      <w:pPr>
        <w:ind w:left="720" w:hanging="720"/>
        <w:rPr>
          <w:rFonts w:asciiTheme="majorBidi" w:hAnsiTheme="majorBidi" w:cstheme="majorBidi"/>
          <w:color w:val="000000" w:themeColor="text1"/>
          <w:szCs w:val="24"/>
        </w:rPr>
      </w:pPr>
      <w:bookmarkStart w:id="30" w:name="Kletter"/>
      <w:r w:rsidRPr="009232AD">
        <w:rPr>
          <w:rFonts w:asciiTheme="majorBidi" w:hAnsiTheme="majorBidi" w:cstheme="majorBidi"/>
          <w:color w:val="000000" w:themeColor="text1"/>
          <w:szCs w:val="24"/>
        </w:rPr>
        <w:t>Kletter</w:t>
      </w:r>
      <w:bookmarkEnd w:id="30"/>
      <w:r w:rsidRPr="009232AD">
        <w:rPr>
          <w:rFonts w:asciiTheme="majorBidi" w:hAnsiTheme="majorBidi" w:cstheme="majorBidi"/>
          <w:color w:val="000000" w:themeColor="text1"/>
          <w:szCs w:val="24"/>
        </w:rPr>
        <w:t>, M., Harris, B. and Brown, C. (2021). Outcomes, mechanisms and contextual factors of positive psychology interventions for health workers: a systematic review of global evidence. </w:t>
      </w:r>
      <w:r w:rsidRPr="009232AD">
        <w:rPr>
          <w:rFonts w:asciiTheme="majorBidi" w:hAnsiTheme="majorBidi" w:cstheme="majorBidi"/>
          <w:i/>
          <w:iCs/>
          <w:color w:val="000000" w:themeColor="text1"/>
          <w:szCs w:val="24"/>
        </w:rPr>
        <w:t>Human Resources for Health,</w:t>
      </w:r>
      <w:r w:rsidRPr="009232AD">
        <w:rPr>
          <w:rFonts w:asciiTheme="majorBidi" w:hAnsiTheme="majorBidi" w:cstheme="majorBidi"/>
          <w:color w:val="000000" w:themeColor="text1"/>
          <w:szCs w:val="24"/>
        </w:rPr>
        <w:t xml:space="preserve"> 19, </w:t>
      </w:r>
      <w:r w:rsidR="004A5A47">
        <w:rPr>
          <w:rFonts w:asciiTheme="majorBidi" w:hAnsiTheme="majorBidi" w:cstheme="majorBidi"/>
          <w:color w:val="000000" w:themeColor="text1"/>
          <w:szCs w:val="24"/>
        </w:rPr>
        <w:t xml:space="preserve"> </w:t>
      </w:r>
      <w:r w:rsidRPr="009232AD">
        <w:rPr>
          <w:rFonts w:asciiTheme="majorBidi" w:hAnsiTheme="majorBidi" w:cstheme="majorBidi"/>
          <w:color w:val="000000" w:themeColor="text1"/>
          <w:szCs w:val="24"/>
        </w:rPr>
        <w:t>1-14.</w:t>
      </w:r>
    </w:p>
    <w:p w14:paraId="6B8813F3" w14:textId="44275EB6" w:rsidR="00051CFF" w:rsidRPr="009232AD" w:rsidRDefault="00051CFF" w:rsidP="00485217">
      <w:pPr>
        <w:ind w:left="720" w:hanging="720"/>
        <w:rPr>
          <w:rFonts w:asciiTheme="majorBidi" w:hAnsiTheme="majorBidi" w:cstheme="majorBidi"/>
          <w:color w:val="000000" w:themeColor="text1"/>
          <w:szCs w:val="24"/>
        </w:rPr>
      </w:pPr>
      <w:r w:rsidRPr="009232AD">
        <w:rPr>
          <w:rFonts w:asciiTheme="majorBidi" w:hAnsiTheme="majorBidi" w:cstheme="majorBidi"/>
          <w:color w:val="000000" w:themeColor="text1"/>
          <w:szCs w:val="24"/>
        </w:rPr>
        <w:t xml:space="preserve">Kowalski, T.H. and Loretto, W. (2017). Well-being and HRM in the changing workplace. </w:t>
      </w:r>
      <w:r w:rsidRPr="009232AD">
        <w:rPr>
          <w:rFonts w:asciiTheme="majorBidi" w:hAnsiTheme="majorBidi" w:cstheme="majorBidi"/>
          <w:i/>
          <w:iCs/>
          <w:color w:val="000000" w:themeColor="text1"/>
          <w:szCs w:val="24"/>
        </w:rPr>
        <w:t>The International Journal of Human Resource Management</w:t>
      </w:r>
      <w:r w:rsidRPr="009232AD">
        <w:rPr>
          <w:rFonts w:asciiTheme="majorBidi" w:hAnsiTheme="majorBidi" w:cstheme="majorBidi"/>
          <w:color w:val="000000" w:themeColor="text1"/>
          <w:szCs w:val="24"/>
        </w:rPr>
        <w:t xml:space="preserve">, 28(16), </w:t>
      </w:r>
      <w:r w:rsidR="004A5A47">
        <w:rPr>
          <w:rFonts w:asciiTheme="majorBidi" w:hAnsiTheme="majorBidi" w:cstheme="majorBidi"/>
          <w:color w:val="000000" w:themeColor="text1"/>
          <w:szCs w:val="24"/>
        </w:rPr>
        <w:t xml:space="preserve"> </w:t>
      </w:r>
      <w:r w:rsidRPr="009232AD">
        <w:rPr>
          <w:rFonts w:asciiTheme="majorBidi" w:hAnsiTheme="majorBidi" w:cstheme="majorBidi"/>
          <w:color w:val="000000" w:themeColor="text1"/>
          <w:szCs w:val="24"/>
        </w:rPr>
        <w:t>2229-2255.</w:t>
      </w:r>
    </w:p>
    <w:p w14:paraId="5E72390D" w14:textId="77777777" w:rsidR="00051CFF" w:rsidRPr="009232AD" w:rsidRDefault="00051CFF" w:rsidP="00FA5E92">
      <w:pPr>
        <w:ind w:left="720" w:hanging="720"/>
        <w:rPr>
          <w:rFonts w:asciiTheme="majorBidi" w:hAnsiTheme="majorBidi" w:cstheme="majorBidi"/>
          <w:color w:val="000000" w:themeColor="text1"/>
          <w:szCs w:val="24"/>
          <w:shd w:val="clear" w:color="auto" w:fill="FFFFFF"/>
        </w:rPr>
      </w:pPr>
      <w:bookmarkStart w:id="31" w:name="Krekel"/>
      <w:r w:rsidRPr="009232AD">
        <w:rPr>
          <w:rFonts w:asciiTheme="majorBidi" w:hAnsiTheme="majorBidi" w:cstheme="majorBidi"/>
          <w:color w:val="000000" w:themeColor="text1"/>
          <w:szCs w:val="24"/>
          <w:shd w:val="clear" w:color="auto" w:fill="FFFFFF"/>
        </w:rPr>
        <w:t>Krekel</w:t>
      </w:r>
      <w:bookmarkEnd w:id="31"/>
      <w:r w:rsidRPr="009232AD">
        <w:rPr>
          <w:rFonts w:asciiTheme="majorBidi" w:hAnsiTheme="majorBidi" w:cstheme="majorBidi"/>
          <w:color w:val="000000" w:themeColor="text1"/>
          <w:szCs w:val="24"/>
          <w:shd w:val="clear" w:color="auto" w:fill="FFFFFF"/>
        </w:rPr>
        <w:t>, C., Ward, G. and De Neve, J. (2019). Employee wellbeing, productivity, and firm performance. </w:t>
      </w:r>
      <w:r w:rsidRPr="009232AD">
        <w:rPr>
          <w:rFonts w:asciiTheme="majorBidi" w:hAnsiTheme="majorBidi" w:cstheme="majorBidi"/>
          <w:i/>
          <w:iCs/>
          <w:color w:val="000000" w:themeColor="text1"/>
          <w:szCs w:val="24"/>
          <w:shd w:val="clear" w:color="auto" w:fill="FFFFFF"/>
        </w:rPr>
        <w:t>Saïd Business School WP</w:t>
      </w:r>
      <w:r w:rsidRPr="009232AD">
        <w:rPr>
          <w:rFonts w:asciiTheme="majorBidi" w:hAnsiTheme="majorBidi" w:cstheme="majorBidi"/>
          <w:color w:val="000000" w:themeColor="text1"/>
          <w:szCs w:val="24"/>
          <w:shd w:val="clear" w:color="auto" w:fill="FFFFFF"/>
        </w:rPr>
        <w:t>, </w:t>
      </w:r>
      <w:r w:rsidRPr="009232AD">
        <w:rPr>
          <w:rFonts w:asciiTheme="majorBidi" w:hAnsiTheme="majorBidi" w:cstheme="majorBidi"/>
          <w:i/>
          <w:iCs/>
          <w:color w:val="000000" w:themeColor="text1"/>
          <w:szCs w:val="24"/>
          <w:shd w:val="clear" w:color="auto" w:fill="FFFFFF"/>
        </w:rPr>
        <w:t>4</w:t>
      </w:r>
      <w:r w:rsidRPr="009232AD">
        <w:rPr>
          <w:rFonts w:asciiTheme="majorBidi" w:hAnsiTheme="majorBidi" w:cstheme="majorBidi"/>
          <w:color w:val="000000" w:themeColor="text1"/>
          <w:szCs w:val="24"/>
          <w:shd w:val="clear" w:color="auto" w:fill="FFFFFF"/>
        </w:rPr>
        <w:t xml:space="preserve">. </w:t>
      </w:r>
      <w:r w:rsidRPr="009232AD">
        <w:rPr>
          <w:rFonts w:asciiTheme="majorBidi" w:hAnsiTheme="majorBidi" w:cstheme="majorBidi"/>
          <w:i/>
          <w:iCs/>
          <w:color w:val="000000" w:themeColor="text1"/>
          <w:szCs w:val="24"/>
          <w:shd w:val="clear" w:color="auto" w:fill="FFFFFF"/>
        </w:rPr>
        <w:t>Available at SSRN: 3356581</w:t>
      </w:r>
    </w:p>
    <w:p w14:paraId="5F039797" w14:textId="77777777" w:rsidR="00051CFF" w:rsidRPr="009232AD" w:rsidRDefault="00051CFF" w:rsidP="00FA5E92">
      <w:pPr>
        <w:ind w:left="720" w:hanging="720"/>
        <w:rPr>
          <w:rFonts w:asciiTheme="majorBidi" w:hAnsiTheme="majorBidi" w:cstheme="majorBidi"/>
          <w:color w:val="000000" w:themeColor="text1"/>
          <w:szCs w:val="24"/>
        </w:rPr>
      </w:pPr>
      <w:bookmarkStart w:id="32" w:name="Kyiu"/>
      <w:proofErr w:type="spellStart"/>
      <w:r w:rsidRPr="009232AD">
        <w:rPr>
          <w:rFonts w:asciiTheme="majorBidi" w:hAnsiTheme="majorBidi" w:cstheme="majorBidi"/>
          <w:color w:val="000000" w:themeColor="text1"/>
          <w:szCs w:val="24"/>
        </w:rPr>
        <w:t>Kyiu</w:t>
      </w:r>
      <w:bookmarkEnd w:id="32"/>
      <w:proofErr w:type="spellEnd"/>
      <w:r w:rsidRPr="009232AD">
        <w:rPr>
          <w:rFonts w:asciiTheme="majorBidi" w:hAnsiTheme="majorBidi" w:cstheme="majorBidi"/>
          <w:color w:val="000000" w:themeColor="text1"/>
          <w:szCs w:val="24"/>
        </w:rPr>
        <w:t xml:space="preserve">, A., Tawiah, B. and Boamah, E. (2023). Employees’ reviews and stock price informativeness. </w:t>
      </w:r>
      <w:r w:rsidRPr="009232AD">
        <w:rPr>
          <w:rFonts w:asciiTheme="majorBidi" w:hAnsiTheme="majorBidi" w:cstheme="majorBidi"/>
          <w:i/>
          <w:iCs/>
          <w:color w:val="000000" w:themeColor="text1"/>
          <w:szCs w:val="24"/>
        </w:rPr>
        <w:t>Economics Letters,</w:t>
      </w:r>
      <w:r w:rsidRPr="009232AD">
        <w:rPr>
          <w:rFonts w:asciiTheme="majorBidi" w:hAnsiTheme="majorBidi" w:cstheme="majorBidi"/>
          <w:color w:val="000000" w:themeColor="text1"/>
          <w:szCs w:val="24"/>
        </w:rPr>
        <w:t xml:space="preserve"> p.111406.</w:t>
      </w:r>
    </w:p>
    <w:p w14:paraId="27DB5CF7" w14:textId="79574F0F" w:rsidR="00051CFF" w:rsidRPr="009232AD" w:rsidRDefault="00051CFF" w:rsidP="00FA5E92">
      <w:pPr>
        <w:ind w:left="720" w:hanging="720"/>
        <w:rPr>
          <w:rFonts w:asciiTheme="majorBidi" w:hAnsiTheme="majorBidi" w:cstheme="majorBidi"/>
          <w:color w:val="000000" w:themeColor="text1"/>
          <w:szCs w:val="24"/>
        </w:rPr>
      </w:pPr>
      <w:bookmarkStart w:id="33" w:name="Lee"/>
      <w:r w:rsidRPr="009232AD">
        <w:rPr>
          <w:rFonts w:asciiTheme="majorBidi" w:hAnsiTheme="majorBidi" w:cstheme="majorBidi"/>
          <w:color w:val="000000" w:themeColor="text1"/>
          <w:szCs w:val="24"/>
        </w:rPr>
        <w:t xml:space="preserve">Lee, </w:t>
      </w:r>
      <w:bookmarkEnd w:id="33"/>
      <w:r w:rsidRPr="009232AD">
        <w:rPr>
          <w:rFonts w:asciiTheme="majorBidi" w:hAnsiTheme="majorBidi" w:cstheme="majorBidi"/>
          <w:color w:val="000000" w:themeColor="text1"/>
          <w:szCs w:val="24"/>
        </w:rPr>
        <w:t xml:space="preserve">Y., Ng, S., Shevlin, T. and Venkat, A. (2021). The effects of tax avoidance news on employee perceptions of managers and firms: Evidence from Glassdoor. com ratings. </w:t>
      </w:r>
      <w:r w:rsidRPr="009232AD">
        <w:rPr>
          <w:rFonts w:asciiTheme="majorBidi" w:hAnsiTheme="majorBidi" w:cstheme="majorBidi"/>
          <w:i/>
          <w:iCs/>
          <w:color w:val="000000" w:themeColor="text1"/>
          <w:szCs w:val="24"/>
        </w:rPr>
        <w:t>The Accounting Review</w:t>
      </w:r>
      <w:r w:rsidRPr="009232AD">
        <w:rPr>
          <w:rFonts w:asciiTheme="majorBidi" w:hAnsiTheme="majorBidi" w:cstheme="majorBidi"/>
          <w:color w:val="000000" w:themeColor="text1"/>
          <w:szCs w:val="24"/>
        </w:rPr>
        <w:t xml:space="preserve">, 96(3), </w:t>
      </w:r>
      <w:r w:rsidR="004A5A47">
        <w:rPr>
          <w:rFonts w:asciiTheme="majorBidi" w:hAnsiTheme="majorBidi" w:cstheme="majorBidi"/>
          <w:color w:val="000000" w:themeColor="text1"/>
          <w:szCs w:val="24"/>
        </w:rPr>
        <w:t xml:space="preserve"> </w:t>
      </w:r>
      <w:r w:rsidRPr="009232AD">
        <w:rPr>
          <w:rFonts w:asciiTheme="majorBidi" w:hAnsiTheme="majorBidi" w:cstheme="majorBidi"/>
          <w:color w:val="000000" w:themeColor="text1"/>
          <w:szCs w:val="24"/>
        </w:rPr>
        <w:t>343-372.</w:t>
      </w:r>
    </w:p>
    <w:p w14:paraId="258A32CB" w14:textId="77777777" w:rsidR="00051CFF" w:rsidRPr="009232AD" w:rsidRDefault="00051CFF" w:rsidP="00485217">
      <w:pPr>
        <w:ind w:left="720" w:hanging="720"/>
        <w:rPr>
          <w:rFonts w:asciiTheme="majorBidi" w:hAnsiTheme="majorBidi" w:cstheme="majorBidi"/>
          <w:color w:val="000000" w:themeColor="text1"/>
          <w:szCs w:val="24"/>
        </w:rPr>
      </w:pPr>
      <w:r w:rsidRPr="009232AD">
        <w:rPr>
          <w:rFonts w:asciiTheme="majorBidi" w:hAnsiTheme="majorBidi" w:cstheme="majorBidi"/>
          <w:color w:val="000000" w:themeColor="text1"/>
          <w:szCs w:val="24"/>
        </w:rPr>
        <w:t>Loughran, T., and McDonald, B. (2016). Textual analysis in accounting and finance: A survey. Journal of Accounting Research, 54(4), 1187-1230.</w:t>
      </w:r>
    </w:p>
    <w:p w14:paraId="41CB5F07" w14:textId="77777777" w:rsidR="00051CFF" w:rsidRPr="009232AD" w:rsidRDefault="00051CFF" w:rsidP="00FA5E92">
      <w:pPr>
        <w:ind w:left="720" w:hanging="720"/>
        <w:rPr>
          <w:rFonts w:asciiTheme="majorBidi" w:hAnsiTheme="majorBidi" w:cstheme="majorBidi"/>
          <w:color w:val="000000" w:themeColor="text1"/>
          <w:szCs w:val="24"/>
        </w:rPr>
      </w:pPr>
      <w:bookmarkStart w:id="34" w:name="Mayew"/>
      <w:r w:rsidRPr="009232AD">
        <w:rPr>
          <w:rFonts w:asciiTheme="majorBidi" w:hAnsiTheme="majorBidi" w:cstheme="majorBidi"/>
          <w:color w:val="000000" w:themeColor="text1"/>
          <w:szCs w:val="24"/>
        </w:rPr>
        <w:t xml:space="preserve">Mayew, </w:t>
      </w:r>
      <w:bookmarkEnd w:id="34"/>
      <w:r w:rsidRPr="009232AD">
        <w:rPr>
          <w:rFonts w:asciiTheme="majorBidi" w:hAnsiTheme="majorBidi" w:cstheme="majorBidi"/>
          <w:color w:val="000000" w:themeColor="text1"/>
          <w:szCs w:val="24"/>
        </w:rPr>
        <w:t xml:space="preserve">W. and Zhang, Y. (2022). COVID-19 Human Capital Management Response, SEC Disclosure, and Firm Value. </w:t>
      </w:r>
      <w:r w:rsidRPr="009232AD">
        <w:rPr>
          <w:rFonts w:asciiTheme="majorBidi" w:hAnsiTheme="majorBidi" w:cstheme="majorBidi"/>
          <w:i/>
          <w:iCs/>
          <w:color w:val="000000" w:themeColor="text1"/>
          <w:szCs w:val="24"/>
        </w:rPr>
        <w:t>Available at SSRN 4010151</w:t>
      </w:r>
    </w:p>
    <w:p w14:paraId="32095BBF" w14:textId="38D1293D" w:rsidR="00051CFF" w:rsidRPr="009232AD" w:rsidRDefault="00051CFF" w:rsidP="00FA5E92">
      <w:pPr>
        <w:ind w:left="720" w:hanging="720"/>
        <w:rPr>
          <w:rFonts w:asciiTheme="majorBidi" w:hAnsiTheme="majorBidi" w:cstheme="majorBidi"/>
          <w:color w:val="000000" w:themeColor="text1"/>
          <w:szCs w:val="24"/>
          <w:shd w:val="clear" w:color="auto" w:fill="FFFFFF"/>
        </w:rPr>
      </w:pPr>
      <w:bookmarkStart w:id="35" w:name="Nayani"/>
      <w:r w:rsidRPr="009232AD">
        <w:rPr>
          <w:rFonts w:asciiTheme="majorBidi" w:hAnsiTheme="majorBidi" w:cstheme="majorBidi"/>
          <w:color w:val="000000" w:themeColor="text1"/>
          <w:szCs w:val="24"/>
          <w:shd w:val="clear" w:color="auto" w:fill="FFFFFF"/>
        </w:rPr>
        <w:t>Nayan</w:t>
      </w:r>
      <w:bookmarkEnd w:id="35"/>
      <w:r w:rsidRPr="009232AD">
        <w:rPr>
          <w:rFonts w:asciiTheme="majorBidi" w:hAnsiTheme="majorBidi" w:cstheme="majorBidi"/>
          <w:color w:val="000000" w:themeColor="text1"/>
          <w:szCs w:val="24"/>
          <w:shd w:val="clear" w:color="auto" w:fill="FFFFFF"/>
        </w:rPr>
        <w:t>i, R., Baric, M., Patey, J., Fitzhugh, H., Watson, D., Tregaskis, O. and Daniels, K. (2022). Authenticity in the pursuit of mutuality during crisis. </w:t>
      </w:r>
      <w:r w:rsidRPr="009232AD">
        <w:rPr>
          <w:rFonts w:asciiTheme="majorBidi" w:hAnsiTheme="majorBidi" w:cstheme="majorBidi"/>
          <w:i/>
          <w:iCs/>
          <w:color w:val="000000" w:themeColor="text1"/>
          <w:szCs w:val="24"/>
          <w:shd w:val="clear" w:color="auto" w:fill="FFFFFF"/>
        </w:rPr>
        <w:t>British Journal of Management</w:t>
      </w:r>
      <w:r w:rsidRPr="009232AD">
        <w:rPr>
          <w:rFonts w:asciiTheme="majorBidi" w:hAnsiTheme="majorBidi" w:cstheme="majorBidi"/>
          <w:color w:val="000000" w:themeColor="text1"/>
          <w:szCs w:val="24"/>
          <w:shd w:val="clear" w:color="auto" w:fill="FFFFFF"/>
        </w:rPr>
        <w:t>, </w:t>
      </w:r>
      <w:r w:rsidRPr="009232AD">
        <w:rPr>
          <w:rFonts w:asciiTheme="majorBidi" w:hAnsiTheme="majorBidi" w:cstheme="majorBidi"/>
          <w:i/>
          <w:iCs/>
          <w:color w:val="000000" w:themeColor="text1"/>
          <w:szCs w:val="24"/>
          <w:shd w:val="clear" w:color="auto" w:fill="FFFFFF"/>
        </w:rPr>
        <w:t>33</w:t>
      </w:r>
      <w:r w:rsidRPr="009232AD">
        <w:rPr>
          <w:rFonts w:asciiTheme="majorBidi" w:hAnsiTheme="majorBidi" w:cstheme="majorBidi"/>
          <w:color w:val="000000" w:themeColor="text1"/>
          <w:szCs w:val="24"/>
          <w:shd w:val="clear" w:color="auto" w:fill="FFFFFF"/>
        </w:rPr>
        <w:t xml:space="preserve">(3), </w:t>
      </w:r>
      <w:r w:rsidR="004A5A47">
        <w:rPr>
          <w:rFonts w:asciiTheme="majorBidi" w:hAnsiTheme="majorBidi" w:cstheme="majorBidi"/>
          <w:color w:val="000000" w:themeColor="text1"/>
          <w:szCs w:val="24"/>
          <w:shd w:val="clear" w:color="auto" w:fill="FFFFFF"/>
        </w:rPr>
        <w:t xml:space="preserve"> </w:t>
      </w:r>
      <w:r w:rsidRPr="009232AD">
        <w:rPr>
          <w:rFonts w:asciiTheme="majorBidi" w:hAnsiTheme="majorBidi" w:cstheme="majorBidi"/>
          <w:color w:val="000000" w:themeColor="text1"/>
          <w:szCs w:val="24"/>
          <w:shd w:val="clear" w:color="auto" w:fill="FFFFFF"/>
        </w:rPr>
        <w:t>1144-1162.</w:t>
      </w:r>
    </w:p>
    <w:p w14:paraId="2C117DD0" w14:textId="1A506EC9" w:rsidR="00051CFF" w:rsidRPr="009232AD" w:rsidRDefault="00051CFF" w:rsidP="00FA5E92">
      <w:pPr>
        <w:ind w:left="720" w:hanging="720"/>
        <w:rPr>
          <w:rFonts w:asciiTheme="majorBidi" w:hAnsiTheme="majorBidi" w:cstheme="majorBidi"/>
          <w:color w:val="000000" w:themeColor="text1"/>
          <w:szCs w:val="24"/>
        </w:rPr>
      </w:pPr>
      <w:bookmarkStart w:id="36" w:name="Nezlek"/>
      <w:proofErr w:type="spellStart"/>
      <w:r w:rsidRPr="009232AD">
        <w:rPr>
          <w:rStyle w:val="surname"/>
          <w:rFonts w:asciiTheme="majorBidi" w:hAnsiTheme="majorBidi" w:cstheme="majorBidi"/>
          <w:color w:val="000000" w:themeColor="text1"/>
          <w:szCs w:val="24"/>
          <w:shd w:val="clear" w:color="auto" w:fill="FFFFFF"/>
        </w:rPr>
        <w:t>Nezlek</w:t>
      </w:r>
      <w:bookmarkEnd w:id="36"/>
      <w:proofErr w:type="spellEnd"/>
      <w:r w:rsidRPr="009232AD">
        <w:rPr>
          <w:rStyle w:val="persname"/>
          <w:rFonts w:asciiTheme="majorBidi" w:hAnsiTheme="majorBidi" w:cstheme="majorBidi"/>
          <w:color w:val="000000" w:themeColor="text1"/>
          <w:szCs w:val="24"/>
          <w:shd w:val="clear" w:color="auto" w:fill="FFFFFF"/>
        </w:rPr>
        <w:t>, </w:t>
      </w:r>
      <w:r w:rsidRPr="009232AD">
        <w:rPr>
          <w:rStyle w:val="forename"/>
          <w:rFonts w:asciiTheme="majorBidi" w:hAnsiTheme="majorBidi" w:cstheme="majorBidi"/>
          <w:color w:val="000000" w:themeColor="text1"/>
          <w:szCs w:val="24"/>
          <w:shd w:val="clear" w:color="auto" w:fill="FFFFFF"/>
        </w:rPr>
        <w:t>J.B.</w:t>
      </w:r>
      <w:r w:rsidRPr="009232AD">
        <w:rPr>
          <w:rFonts w:asciiTheme="majorBidi" w:hAnsiTheme="majorBidi" w:cstheme="majorBidi"/>
          <w:color w:val="000000" w:themeColor="text1"/>
          <w:szCs w:val="24"/>
          <w:shd w:val="clear" w:color="auto" w:fill="FFFFFF"/>
        </w:rPr>
        <w:t> (</w:t>
      </w:r>
      <w:r w:rsidRPr="009232AD">
        <w:rPr>
          <w:rStyle w:val="biblscope"/>
          <w:rFonts w:asciiTheme="majorBidi" w:hAnsiTheme="majorBidi" w:cstheme="majorBidi"/>
          <w:color w:val="000000" w:themeColor="text1"/>
          <w:szCs w:val="24"/>
          <w:shd w:val="clear" w:color="auto" w:fill="FFFFFF"/>
        </w:rPr>
        <w:t>2008</w:t>
      </w:r>
      <w:r w:rsidRPr="009232AD">
        <w:rPr>
          <w:rFonts w:asciiTheme="majorBidi" w:hAnsiTheme="majorBidi" w:cstheme="majorBidi"/>
          <w:color w:val="000000" w:themeColor="text1"/>
          <w:szCs w:val="24"/>
          <w:shd w:val="clear" w:color="auto" w:fill="FFFFFF"/>
        </w:rPr>
        <w:t>). </w:t>
      </w:r>
      <w:r w:rsidRPr="009232AD">
        <w:rPr>
          <w:rStyle w:val="Title1"/>
          <w:rFonts w:asciiTheme="majorBidi" w:hAnsiTheme="majorBidi" w:cstheme="majorBidi"/>
          <w:color w:val="000000" w:themeColor="text1"/>
          <w:szCs w:val="24"/>
          <w:shd w:val="clear" w:color="auto" w:fill="FFFFFF"/>
        </w:rPr>
        <w:t xml:space="preserve">An introduction to multilevel </w:t>
      </w:r>
      <w:proofErr w:type="spellStart"/>
      <w:r w:rsidRPr="009232AD">
        <w:rPr>
          <w:rStyle w:val="Title1"/>
          <w:rFonts w:asciiTheme="majorBidi" w:hAnsiTheme="majorBidi" w:cstheme="majorBidi"/>
          <w:color w:val="000000" w:themeColor="text1"/>
          <w:szCs w:val="24"/>
          <w:shd w:val="clear" w:color="auto" w:fill="FFFFFF"/>
        </w:rPr>
        <w:t>modeling</w:t>
      </w:r>
      <w:proofErr w:type="spellEnd"/>
      <w:r w:rsidRPr="009232AD">
        <w:rPr>
          <w:rStyle w:val="Title1"/>
          <w:rFonts w:asciiTheme="majorBidi" w:hAnsiTheme="majorBidi" w:cstheme="majorBidi"/>
          <w:color w:val="000000" w:themeColor="text1"/>
          <w:szCs w:val="24"/>
          <w:shd w:val="clear" w:color="auto" w:fill="FFFFFF"/>
        </w:rPr>
        <w:t xml:space="preserve"> for social and personality psychology</w:t>
      </w:r>
      <w:r w:rsidRPr="009232AD">
        <w:rPr>
          <w:rFonts w:asciiTheme="majorBidi" w:hAnsiTheme="majorBidi" w:cstheme="majorBidi"/>
          <w:color w:val="000000" w:themeColor="text1"/>
          <w:szCs w:val="24"/>
          <w:shd w:val="clear" w:color="auto" w:fill="FFFFFF"/>
        </w:rPr>
        <w:t>. </w:t>
      </w:r>
      <w:r w:rsidRPr="009232AD">
        <w:rPr>
          <w:rStyle w:val="Title1"/>
          <w:rFonts w:asciiTheme="majorBidi" w:hAnsiTheme="majorBidi" w:cstheme="majorBidi"/>
          <w:i/>
          <w:iCs/>
          <w:color w:val="000000" w:themeColor="text1"/>
          <w:szCs w:val="24"/>
          <w:shd w:val="clear" w:color="auto" w:fill="FFFFFF"/>
        </w:rPr>
        <w:t>Social and Personality Psychology Compass</w:t>
      </w:r>
      <w:r w:rsidRPr="009232AD">
        <w:rPr>
          <w:rFonts w:asciiTheme="majorBidi" w:hAnsiTheme="majorBidi" w:cstheme="majorBidi"/>
          <w:color w:val="000000" w:themeColor="text1"/>
          <w:szCs w:val="24"/>
          <w:shd w:val="clear" w:color="auto" w:fill="FFFFFF"/>
        </w:rPr>
        <w:t>, </w:t>
      </w:r>
      <w:r w:rsidRPr="009232AD">
        <w:rPr>
          <w:rStyle w:val="biblscope"/>
          <w:rFonts w:asciiTheme="majorBidi" w:hAnsiTheme="majorBidi" w:cstheme="majorBidi"/>
          <w:color w:val="000000" w:themeColor="text1"/>
          <w:szCs w:val="24"/>
          <w:shd w:val="clear" w:color="auto" w:fill="FFFFFF"/>
        </w:rPr>
        <w:t>2</w:t>
      </w:r>
      <w:r w:rsidRPr="009232AD">
        <w:rPr>
          <w:rFonts w:asciiTheme="majorBidi" w:hAnsiTheme="majorBidi" w:cstheme="majorBidi"/>
          <w:color w:val="000000" w:themeColor="text1"/>
          <w:szCs w:val="24"/>
          <w:shd w:val="clear" w:color="auto" w:fill="FFFFFF"/>
        </w:rPr>
        <w:t>(</w:t>
      </w:r>
      <w:r w:rsidRPr="009232AD">
        <w:rPr>
          <w:rStyle w:val="biblscope"/>
          <w:rFonts w:asciiTheme="majorBidi" w:hAnsiTheme="majorBidi" w:cstheme="majorBidi"/>
          <w:color w:val="000000" w:themeColor="text1"/>
          <w:szCs w:val="24"/>
          <w:shd w:val="clear" w:color="auto" w:fill="FFFFFF"/>
        </w:rPr>
        <w:t>2</w:t>
      </w:r>
      <w:r w:rsidRPr="009232AD">
        <w:rPr>
          <w:rFonts w:asciiTheme="majorBidi" w:hAnsiTheme="majorBidi" w:cstheme="majorBidi"/>
          <w:color w:val="000000" w:themeColor="text1"/>
          <w:szCs w:val="24"/>
          <w:shd w:val="clear" w:color="auto" w:fill="FFFFFF"/>
        </w:rPr>
        <w:t xml:space="preserve">), </w:t>
      </w:r>
      <w:r w:rsidR="004A5A47">
        <w:rPr>
          <w:rFonts w:asciiTheme="majorBidi" w:hAnsiTheme="majorBidi" w:cstheme="majorBidi"/>
          <w:color w:val="000000" w:themeColor="text1"/>
          <w:szCs w:val="24"/>
          <w:shd w:val="clear" w:color="auto" w:fill="FFFFFF"/>
        </w:rPr>
        <w:t xml:space="preserve"> </w:t>
      </w:r>
      <w:r w:rsidRPr="009232AD">
        <w:rPr>
          <w:rStyle w:val="biblscope"/>
          <w:rFonts w:asciiTheme="majorBidi" w:hAnsiTheme="majorBidi" w:cstheme="majorBidi"/>
          <w:color w:val="000000" w:themeColor="text1"/>
          <w:szCs w:val="24"/>
          <w:shd w:val="clear" w:color="auto" w:fill="FFFFFF"/>
        </w:rPr>
        <w:t>842</w:t>
      </w:r>
      <w:r w:rsidRPr="009232AD">
        <w:rPr>
          <w:rFonts w:asciiTheme="majorBidi" w:hAnsiTheme="majorBidi" w:cstheme="majorBidi"/>
          <w:color w:val="000000" w:themeColor="text1"/>
          <w:szCs w:val="24"/>
          <w:shd w:val="clear" w:color="auto" w:fill="FFFFFF"/>
        </w:rPr>
        <w:t>–</w:t>
      </w:r>
      <w:r w:rsidRPr="009232AD">
        <w:rPr>
          <w:rStyle w:val="biblscope"/>
          <w:rFonts w:asciiTheme="majorBidi" w:hAnsiTheme="majorBidi" w:cstheme="majorBidi"/>
          <w:color w:val="000000" w:themeColor="text1"/>
          <w:szCs w:val="24"/>
          <w:shd w:val="clear" w:color="auto" w:fill="FFFFFF"/>
        </w:rPr>
        <w:t>60</w:t>
      </w:r>
      <w:r w:rsidRPr="009232AD">
        <w:rPr>
          <w:rFonts w:asciiTheme="majorBidi" w:hAnsiTheme="majorBidi" w:cstheme="majorBidi"/>
          <w:color w:val="000000" w:themeColor="text1"/>
          <w:szCs w:val="24"/>
          <w:shd w:val="clear" w:color="auto" w:fill="FFFFFF"/>
        </w:rPr>
        <w:t>.</w:t>
      </w:r>
    </w:p>
    <w:p w14:paraId="36145CB8" w14:textId="12E051B7" w:rsidR="00051CFF" w:rsidRPr="009232AD" w:rsidRDefault="00051CFF" w:rsidP="00FA5E92">
      <w:pPr>
        <w:ind w:left="720" w:hanging="720"/>
        <w:rPr>
          <w:rFonts w:asciiTheme="majorBidi" w:hAnsiTheme="majorBidi" w:cstheme="majorBidi"/>
          <w:color w:val="000000" w:themeColor="text1"/>
          <w:szCs w:val="24"/>
          <w:shd w:val="clear" w:color="auto" w:fill="FFFFFF"/>
        </w:rPr>
      </w:pPr>
      <w:bookmarkStart w:id="37" w:name="ODonohue"/>
      <w:r w:rsidRPr="009232AD">
        <w:rPr>
          <w:rFonts w:asciiTheme="majorBidi" w:hAnsiTheme="majorBidi" w:cstheme="majorBidi"/>
          <w:color w:val="000000" w:themeColor="text1"/>
          <w:szCs w:val="24"/>
          <w:shd w:val="clear" w:color="auto" w:fill="FFFFFF"/>
        </w:rPr>
        <w:lastRenderedPageBreak/>
        <w:t>O’Donohue</w:t>
      </w:r>
      <w:bookmarkEnd w:id="37"/>
      <w:r w:rsidRPr="009232AD">
        <w:rPr>
          <w:rFonts w:asciiTheme="majorBidi" w:hAnsiTheme="majorBidi" w:cstheme="majorBidi"/>
          <w:color w:val="000000" w:themeColor="text1"/>
          <w:szCs w:val="24"/>
          <w:shd w:val="clear" w:color="auto" w:fill="FFFFFF"/>
        </w:rPr>
        <w:t>, W., Hutchings, K. and Hansen, S. (2018). Psychological contracts: enhancing understanding of the expatriation experience. </w:t>
      </w:r>
      <w:r w:rsidRPr="009232AD">
        <w:rPr>
          <w:rFonts w:asciiTheme="majorBidi" w:hAnsiTheme="majorBidi" w:cstheme="majorBidi"/>
          <w:i/>
          <w:iCs/>
          <w:color w:val="000000" w:themeColor="text1"/>
          <w:szCs w:val="24"/>
          <w:shd w:val="clear" w:color="auto" w:fill="FFFFFF"/>
        </w:rPr>
        <w:t>The International Journal of Human Resource Management</w:t>
      </w:r>
      <w:r w:rsidRPr="009232AD">
        <w:rPr>
          <w:rFonts w:asciiTheme="majorBidi" w:hAnsiTheme="majorBidi" w:cstheme="majorBidi"/>
          <w:color w:val="000000" w:themeColor="text1"/>
          <w:szCs w:val="24"/>
          <w:shd w:val="clear" w:color="auto" w:fill="FFFFFF"/>
        </w:rPr>
        <w:t>, </w:t>
      </w:r>
      <w:r w:rsidRPr="009232AD">
        <w:rPr>
          <w:rFonts w:asciiTheme="majorBidi" w:hAnsiTheme="majorBidi" w:cstheme="majorBidi"/>
          <w:i/>
          <w:iCs/>
          <w:color w:val="000000" w:themeColor="text1"/>
          <w:szCs w:val="24"/>
          <w:shd w:val="clear" w:color="auto" w:fill="FFFFFF"/>
        </w:rPr>
        <w:t>29</w:t>
      </w:r>
      <w:r w:rsidRPr="009232AD">
        <w:rPr>
          <w:rFonts w:asciiTheme="majorBidi" w:hAnsiTheme="majorBidi" w:cstheme="majorBidi"/>
          <w:color w:val="000000" w:themeColor="text1"/>
          <w:szCs w:val="24"/>
          <w:shd w:val="clear" w:color="auto" w:fill="FFFFFF"/>
        </w:rPr>
        <w:t xml:space="preserve">(8), </w:t>
      </w:r>
      <w:r w:rsidR="004A5A47">
        <w:rPr>
          <w:rFonts w:asciiTheme="majorBidi" w:hAnsiTheme="majorBidi" w:cstheme="majorBidi"/>
          <w:color w:val="000000" w:themeColor="text1"/>
          <w:szCs w:val="24"/>
          <w:shd w:val="clear" w:color="auto" w:fill="FFFFFF"/>
        </w:rPr>
        <w:t xml:space="preserve"> </w:t>
      </w:r>
      <w:r w:rsidRPr="009232AD">
        <w:rPr>
          <w:rFonts w:asciiTheme="majorBidi" w:hAnsiTheme="majorBidi" w:cstheme="majorBidi"/>
          <w:color w:val="000000" w:themeColor="text1"/>
          <w:szCs w:val="24"/>
          <w:shd w:val="clear" w:color="auto" w:fill="FFFFFF"/>
        </w:rPr>
        <w:t>1379-1401.</w:t>
      </w:r>
    </w:p>
    <w:p w14:paraId="4635D59C" w14:textId="77777777" w:rsidR="00051CFF" w:rsidRPr="009232AD" w:rsidRDefault="00051CFF" w:rsidP="00FA5E92">
      <w:pPr>
        <w:pStyle w:val="ListParagraph"/>
        <w:ind w:hanging="720"/>
        <w:rPr>
          <w:rStyle w:val="Hyperlink"/>
          <w:rFonts w:asciiTheme="majorBidi" w:hAnsiTheme="majorBidi" w:cstheme="majorBidi"/>
          <w:color w:val="000000" w:themeColor="text1"/>
          <w:szCs w:val="24"/>
        </w:rPr>
      </w:pPr>
      <w:bookmarkStart w:id="38" w:name="OECD"/>
      <w:r w:rsidRPr="009232AD">
        <w:rPr>
          <w:rFonts w:asciiTheme="majorBidi" w:hAnsiTheme="majorBidi" w:cstheme="majorBidi"/>
          <w:color w:val="000000" w:themeColor="text1"/>
          <w:szCs w:val="24"/>
        </w:rPr>
        <w:t>OECD</w:t>
      </w:r>
      <w:bookmarkEnd w:id="38"/>
      <w:r w:rsidRPr="009232AD">
        <w:rPr>
          <w:rFonts w:asciiTheme="majorBidi" w:hAnsiTheme="majorBidi" w:cstheme="majorBidi"/>
          <w:color w:val="000000" w:themeColor="text1"/>
          <w:szCs w:val="24"/>
        </w:rPr>
        <w:t xml:space="preserve"> (2020), How’s Life? 2020: Measuring Wellbeing, OECD Publishing, Paris, </w:t>
      </w:r>
      <w:hyperlink r:id="rId12" w:history="1">
        <w:r w:rsidRPr="009232AD">
          <w:rPr>
            <w:rStyle w:val="Hyperlink"/>
            <w:rFonts w:asciiTheme="majorBidi" w:hAnsiTheme="majorBidi" w:cstheme="majorBidi"/>
            <w:color w:val="000000" w:themeColor="text1"/>
            <w:szCs w:val="24"/>
          </w:rPr>
          <w:t>https://doi.org/10.1787/9870c393-en</w:t>
        </w:r>
      </w:hyperlink>
    </w:p>
    <w:p w14:paraId="1A50A88D" w14:textId="4D2CAD17" w:rsidR="00051CFF" w:rsidRPr="009232AD" w:rsidRDefault="00051CFF" w:rsidP="00485217">
      <w:pPr>
        <w:ind w:left="720" w:hanging="720"/>
        <w:rPr>
          <w:rFonts w:asciiTheme="majorBidi" w:hAnsiTheme="majorBidi" w:cstheme="majorBidi"/>
          <w:color w:val="000000" w:themeColor="text1"/>
          <w:szCs w:val="24"/>
          <w:shd w:val="clear" w:color="auto" w:fill="FFFFFF"/>
        </w:rPr>
      </w:pPr>
      <w:proofErr w:type="spellStart"/>
      <w:r w:rsidRPr="009232AD">
        <w:rPr>
          <w:rFonts w:asciiTheme="majorBidi" w:hAnsiTheme="majorBidi" w:cstheme="majorBidi"/>
          <w:color w:val="000000" w:themeColor="text1"/>
          <w:szCs w:val="24"/>
          <w:shd w:val="clear" w:color="auto" w:fill="FFFFFF"/>
        </w:rPr>
        <w:t>Ployhart</w:t>
      </w:r>
      <w:proofErr w:type="spellEnd"/>
      <w:r w:rsidRPr="009232AD">
        <w:rPr>
          <w:rFonts w:asciiTheme="majorBidi" w:hAnsiTheme="majorBidi" w:cstheme="majorBidi"/>
          <w:color w:val="000000" w:themeColor="text1"/>
          <w:szCs w:val="24"/>
          <w:shd w:val="clear" w:color="auto" w:fill="FFFFFF"/>
        </w:rPr>
        <w:t>, R.E. and Vandenberg, R.J.</w:t>
      </w:r>
      <w:r w:rsidR="00FB1330" w:rsidRPr="009232AD">
        <w:rPr>
          <w:rFonts w:asciiTheme="majorBidi" w:hAnsiTheme="majorBidi" w:cstheme="majorBidi"/>
          <w:color w:val="000000" w:themeColor="text1"/>
          <w:szCs w:val="24"/>
          <w:shd w:val="clear" w:color="auto" w:fill="FFFFFF"/>
        </w:rPr>
        <w:t xml:space="preserve"> </w:t>
      </w:r>
      <w:r w:rsidRPr="009232AD">
        <w:rPr>
          <w:rFonts w:asciiTheme="majorBidi" w:hAnsiTheme="majorBidi" w:cstheme="majorBidi"/>
          <w:color w:val="000000" w:themeColor="text1"/>
          <w:szCs w:val="24"/>
          <w:shd w:val="clear" w:color="auto" w:fill="FFFFFF"/>
        </w:rPr>
        <w:t>(2010). Longitudinal research: The theory, design, and analysis of change. </w:t>
      </w:r>
      <w:r w:rsidRPr="009232AD">
        <w:rPr>
          <w:rFonts w:asciiTheme="majorBidi" w:hAnsiTheme="majorBidi" w:cstheme="majorBidi"/>
          <w:i/>
          <w:iCs/>
          <w:color w:val="000000" w:themeColor="text1"/>
          <w:szCs w:val="24"/>
          <w:shd w:val="clear" w:color="auto" w:fill="FFFFFF"/>
        </w:rPr>
        <w:t>Journal of management</w:t>
      </w:r>
      <w:r w:rsidRPr="009232AD">
        <w:rPr>
          <w:rFonts w:asciiTheme="majorBidi" w:hAnsiTheme="majorBidi" w:cstheme="majorBidi"/>
          <w:color w:val="000000" w:themeColor="text1"/>
          <w:szCs w:val="24"/>
          <w:shd w:val="clear" w:color="auto" w:fill="FFFFFF"/>
        </w:rPr>
        <w:t>, </w:t>
      </w:r>
      <w:r w:rsidRPr="009232AD">
        <w:rPr>
          <w:rFonts w:asciiTheme="majorBidi" w:hAnsiTheme="majorBidi" w:cstheme="majorBidi"/>
          <w:i/>
          <w:iCs/>
          <w:color w:val="000000" w:themeColor="text1"/>
          <w:szCs w:val="24"/>
          <w:shd w:val="clear" w:color="auto" w:fill="FFFFFF"/>
        </w:rPr>
        <w:t>36</w:t>
      </w:r>
      <w:r w:rsidRPr="009232AD">
        <w:rPr>
          <w:rFonts w:asciiTheme="majorBidi" w:hAnsiTheme="majorBidi" w:cstheme="majorBidi"/>
          <w:color w:val="000000" w:themeColor="text1"/>
          <w:szCs w:val="24"/>
          <w:shd w:val="clear" w:color="auto" w:fill="FFFFFF"/>
        </w:rPr>
        <w:t xml:space="preserve">(1), </w:t>
      </w:r>
      <w:r w:rsidR="004A5A47">
        <w:rPr>
          <w:rFonts w:asciiTheme="majorBidi" w:hAnsiTheme="majorBidi" w:cstheme="majorBidi"/>
          <w:color w:val="000000" w:themeColor="text1"/>
          <w:szCs w:val="24"/>
          <w:shd w:val="clear" w:color="auto" w:fill="FFFFFF"/>
        </w:rPr>
        <w:t xml:space="preserve"> </w:t>
      </w:r>
      <w:r w:rsidRPr="009232AD">
        <w:rPr>
          <w:rFonts w:asciiTheme="majorBidi" w:hAnsiTheme="majorBidi" w:cstheme="majorBidi"/>
          <w:color w:val="000000" w:themeColor="text1"/>
          <w:szCs w:val="24"/>
          <w:shd w:val="clear" w:color="auto" w:fill="FFFFFF"/>
        </w:rPr>
        <w:t>94-120.</w:t>
      </w:r>
    </w:p>
    <w:p w14:paraId="235EEBC3" w14:textId="45F92E1C" w:rsidR="00051CFF" w:rsidRPr="009232AD" w:rsidRDefault="00051CFF" w:rsidP="00FA5E92">
      <w:pPr>
        <w:ind w:left="720" w:hanging="720"/>
        <w:rPr>
          <w:rFonts w:asciiTheme="majorBidi" w:hAnsiTheme="majorBidi" w:cstheme="majorBidi"/>
          <w:color w:val="000000" w:themeColor="text1"/>
          <w:szCs w:val="24"/>
          <w:shd w:val="clear" w:color="auto" w:fill="FFFFFF"/>
        </w:rPr>
      </w:pPr>
      <w:bookmarkStart w:id="39" w:name="Rad"/>
      <w:r w:rsidRPr="009232AD">
        <w:rPr>
          <w:rFonts w:asciiTheme="majorBidi" w:hAnsiTheme="majorBidi" w:cstheme="majorBidi"/>
          <w:color w:val="000000" w:themeColor="text1"/>
          <w:szCs w:val="24"/>
          <w:shd w:val="clear" w:color="auto" w:fill="FFFFFF"/>
        </w:rPr>
        <w:t>Rad, A</w:t>
      </w:r>
      <w:bookmarkEnd w:id="39"/>
      <w:r w:rsidRPr="009232AD">
        <w:rPr>
          <w:rFonts w:asciiTheme="majorBidi" w:hAnsiTheme="majorBidi" w:cstheme="majorBidi"/>
          <w:color w:val="000000" w:themeColor="text1"/>
          <w:szCs w:val="24"/>
          <w:shd w:val="clear" w:color="auto" w:fill="FFFFFF"/>
        </w:rPr>
        <w:t xml:space="preserve">. and </w:t>
      </w:r>
      <w:proofErr w:type="spellStart"/>
      <w:r w:rsidRPr="009232AD">
        <w:rPr>
          <w:rFonts w:asciiTheme="majorBidi" w:hAnsiTheme="majorBidi" w:cstheme="majorBidi"/>
          <w:color w:val="000000" w:themeColor="text1"/>
          <w:szCs w:val="24"/>
          <w:shd w:val="clear" w:color="auto" w:fill="FFFFFF"/>
        </w:rPr>
        <w:t>Yarmohammadian</w:t>
      </w:r>
      <w:proofErr w:type="spellEnd"/>
      <w:r w:rsidRPr="009232AD">
        <w:rPr>
          <w:rFonts w:asciiTheme="majorBidi" w:hAnsiTheme="majorBidi" w:cstheme="majorBidi"/>
          <w:color w:val="000000" w:themeColor="text1"/>
          <w:szCs w:val="24"/>
          <w:shd w:val="clear" w:color="auto" w:fill="FFFFFF"/>
        </w:rPr>
        <w:t>, M. (2006). A study of relationship between managers’ leadership style and employees’ job satisfaction. </w:t>
      </w:r>
      <w:r w:rsidRPr="009232AD">
        <w:rPr>
          <w:rFonts w:asciiTheme="majorBidi" w:hAnsiTheme="majorBidi" w:cstheme="majorBidi"/>
          <w:i/>
          <w:iCs/>
          <w:color w:val="000000" w:themeColor="text1"/>
          <w:szCs w:val="24"/>
          <w:shd w:val="clear" w:color="auto" w:fill="FFFFFF"/>
        </w:rPr>
        <w:t>Leadership in Health services</w:t>
      </w:r>
      <w:r w:rsidRPr="009232AD">
        <w:rPr>
          <w:rFonts w:asciiTheme="majorBidi" w:hAnsiTheme="majorBidi" w:cstheme="majorBidi"/>
          <w:color w:val="000000" w:themeColor="text1"/>
          <w:szCs w:val="24"/>
          <w:shd w:val="clear" w:color="auto" w:fill="FFFFFF"/>
        </w:rPr>
        <w:t>, </w:t>
      </w:r>
      <w:r w:rsidRPr="009232AD">
        <w:rPr>
          <w:rFonts w:asciiTheme="majorBidi" w:hAnsiTheme="majorBidi" w:cstheme="majorBidi"/>
          <w:i/>
          <w:iCs/>
          <w:color w:val="000000" w:themeColor="text1"/>
          <w:szCs w:val="24"/>
          <w:shd w:val="clear" w:color="auto" w:fill="FFFFFF"/>
        </w:rPr>
        <w:t>19</w:t>
      </w:r>
      <w:r w:rsidRPr="009232AD">
        <w:rPr>
          <w:rFonts w:asciiTheme="majorBidi" w:hAnsiTheme="majorBidi" w:cstheme="majorBidi"/>
          <w:color w:val="000000" w:themeColor="text1"/>
          <w:szCs w:val="24"/>
          <w:shd w:val="clear" w:color="auto" w:fill="FFFFFF"/>
        </w:rPr>
        <w:t xml:space="preserve">(2), </w:t>
      </w:r>
      <w:r w:rsidR="004A5A47">
        <w:rPr>
          <w:rFonts w:asciiTheme="majorBidi" w:hAnsiTheme="majorBidi" w:cstheme="majorBidi"/>
          <w:color w:val="000000" w:themeColor="text1"/>
          <w:szCs w:val="24"/>
          <w:shd w:val="clear" w:color="auto" w:fill="FFFFFF"/>
        </w:rPr>
        <w:t xml:space="preserve"> </w:t>
      </w:r>
      <w:r w:rsidRPr="009232AD">
        <w:rPr>
          <w:rFonts w:asciiTheme="majorBidi" w:hAnsiTheme="majorBidi" w:cstheme="majorBidi"/>
          <w:color w:val="000000" w:themeColor="text1"/>
          <w:szCs w:val="24"/>
          <w:shd w:val="clear" w:color="auto" w:fill="FFFFFF"/>
        </w:rPr>
        <w:t>11-28.</w:t>
      </w:r>
    </w:p>
    <w:p w14:paraId="0B8756B5" w14:textId="77777777" w:rsidR="00051CFF" w:rsidRPr="009232AD" w:rsidRDefault="00051CFF" w:rsidP="00FA5E92">
      <w:pPr>
        <w:ind w:left="720" w:hanging="720"/>
        <w:rPr>
          <w:rFonts w:asciiTheme="majorBidi" w:hAnsiTheme="majorBidi" w:cstheme="majorBidi"/>
          <w:color w:val="000000" w:themeColor="text1"/>
          <w:szCs w:val="24"/>
          <w:shd w:val="clear" w:color="auto" w:fill="FFFFFF"/>
        </w:rPr>
      </w:pPr>
      <w:bookmarkStart w:id="40" w:name="Robson"/>
      <w:r w:rsidRPr="009232AD">
        <w:rPr>
          <w:rFonts w:asciiTheme="majorBidi" w:hAnsiTheme="majorBidi" w:cstheme="majorBidi"/>
          <w:color w:val="000000" w:themeColor="text1"/>
          <w:szCs w:val="24"/>
          <w:shd w:val="clear" w:color="auto" w:fill="FFFFFF"/>
        </w:rPr>
        <w:t xml:space="preserve">Robson, K. and </w:t>
      </w:r>
      <w:proofErr w:type="spellStart"/>
      <w:r w:rsidRPr="009232AD">
        <w:rPr>
          <w:rFonts w:asciiTheme="majorBidi" w:hAnsiTheme="majorBidi" w:cstheme="majorBidi"/>
          <w:color w:val="000000" w:themeColor="text1"/>
          <w:szCs w:val="24"/>
          <w:shd w:val="clear" w:color="auto" w:fill="FFFFFF"/>
        </w:rPr>
        <w:t>Pevalin</w:t>
      </w:r>
      <w:proofErr w:type="spellEnd"/>
      <w:r w:rsidRPr="009232AD">
        <w:rPr>
          <w:rFonts w:asciiTheme="majorBidi" w:hAnsiTheme="majorBidi" w:cstheme="majorBidi"/>
          <w:color w:val="000000" w:themeColor="text1"/>
          <w:szCs w:val="24"/>
          <w:shd w:val="clear" w:color="auto" w:fill="FFFFFF"/>
        </w:rPr>
        <w:t xml:space="preserve">, D. (2015). Multilevel </w:t>
      </w:r>
      <w:proofErr w:type="spellStart"/>
      <w:r w:rsidRPr="009232AD">
        <w:rPr>
          <w:rFonts w:asciiTheme="majorBidi" w:hAnsiTheme="majorBidi" w:cstheme="majorBidi"/>
          <w:color w:val="000000" w:themeColor="text1"/>
          <w:szCs w:val="24"/>
          <w:shd w:val="clear" w:color="auto" w:fill="FFFFFF"/>
        </w:rPr>
        <w:t>modeling</w:t>
      </w:r>
      <w:proofErr w:type="spellEnd"/>
      <w:r w:rsidRPr="009232AD">
        <w:rPr>
          <w:rFonts w:asciiTheme="majorBidi" w:hAnsiTheme="majorBidi" w:cstheme="majorBidi"/>
          <w:color w:val="000000" w:themeColor="text1"/>
          <w:szCs w:val="24"/>
          <w:shd w:val="clear" w:color="auto" w:fill="FFFFFF"/>
        </w:rPr>
        <w:t xml:space="preserve"> in plain language. Sage.</w:t>
      </w:r>
    </w:p>
    <w:p w14:paraId="62162070" w14:textId="2A24135B" w:rsidR="00051CFF" w:rsidRPr="009232AD" w:rsidRDefault="00051CFF" w:rsidP="00FA5E92">
      <w:pPr>
        <w:pStyle w:val="ListParagraph"/>
        <w:ind w:hanging="720"/>
        <w:rPr>
          <w:rFonts w:asciiTheme="majorBidi" w:hAnsiTheme="majorBidi" w:cstheme="majorBidi"/>
          <w:color w:val="000000" w:themeColor="text1"/>
          <w:szCs w:val="24"/>
        </w:rPr>
      </w:pPr>
      <w:bookmarkStart w:id="41" w:name="Rojatz"/>
      <w:bookmarkEnd w:id="40"/>
      <w:proofErr w:type="spellStart"/>
      <w:r w:rsidRPr="009232AD">
        <w:rPr>
          <w:rFonts w:asciiTheme="majorBidi" w:hAnsiTheme="majorBidi" w:cstheme="majorBidi"/>
          <w:color w:val="000000" w:themeColor="text1"/>
          <w:szCs w:val="24"/>
        </w:rPr>
        <w:t>Rojatz</w:t>
      </w:r>
      <w:bookmarkEnd w:id="41"/>
      <w:proofErr w:type="spellEnd"/>
      <w:r w:rsidRPr="009232AD">
        <w:rPr>
          <w:rFonts w:asciiTheme="majorBidi" w:hAnsiTheme="majorBidi" w:cstheme="majorBidi"/>
          <w:color w:val="000000" w:themeColor="text1"/>
          <w:szCs w:val="24"/>
        </w:rPr>
        <w:t>, D., Merchant, A. and Nitsch, M. (2017). Factors influencing workplace health promotion intervention: a qualitative systematic review. </w:t>
      </w:r>
      <w:r w:rsidRPr="009232AD">
        <w:rPr>
          <w:rFonts w:asciiTheme="majorBidi" w:hAnsiTheme="majorBidi" w:cstheme="majorBidi"/>
          <w:i/>
          <w:iCs/>
          <w:color w:val="000000" w:themeColor="text1"/>
          <w:szCs w:val="24"/>
        </w:rPr>
        <w:t>Health promotion international</w:t>
      </w:r>
      <w:r w:rsidRPr="009232AD">
        <w:rPr>
          <w:rFonts w:asciiTheme="majorBidi" w:hAnsiTheme="majorBidi" w:cstheme="majorBidi"/>
          <w:color w:val="000000" w:themeColor="text1"/>
          <w:szCs w:val="24"/>
        </w:rPr>
        <w:t xml:space="preserve">, 32(5), </w:t>
      </w:r>
      <w:r w:rsidR="004A5A47">
        <w:rPr>
          <w:rFonts w:asciiTheme="majorBidi" w:hAnsiTheme="majorBidi" w:cstheme="majorBidi"/>
          <w:color w:val="000000" w:themeColor="text1"/>
          <w:szCs w:val="24"/>
        </w:rPr>
        <w:t xml:space="preserve"> </w:t>
      </w:r>
      <w:r w:rsidRPr="009232AD">
        <w:rPr>
          <w:rFonts w:asciiTheme="majorBidi" w:hAnsiTheme="majorBidi" w:cstheme="majorBidi"/>
          <w:color w:val="000000" w:themeColor="text1"/>
          <w:szCs w:val="24"/>
        </w:rPr>
        <w:t>831-839.</w:t>
      </w:r>
    </w:p>
    <w:p w14:paraId="05E75BDB" w14:textId="77777777" w:rsidR="00051CFF" w:rsidRPr="009232AD" w:rsidRDefault="00051CFF" w:rsidP="00FA5E92">
      <w:pPr>
        <w:pStyle w:val="NormalWeb"/>
        <w:spacing w:before="0" w:beforeAutospacing="0" w:after="0" w:afterAutospacing="0" w:line="480" w:lineRule="auto"/>
        <w:ind w:left="720" w:hanging="720"/>
        <w:rPr>
          <w:rFonts w:asciiTheme="majorBidi" w:hAnsiTheme="majorBidi" w:cstheme="majorBidi"/>
          <w:color w:val="000000" w:themeColor="text1"/>
        </w:rPr>
      </w:pPr>
      <w:bookmarkStart w:id="42" w:name="Sandp"/>
      <w:proofErr w:type="spellStart"/>
      <w:r w:rsidRPr="009232AD">
        <w:rPr>
          <w:rFonts w:asciiTheme="majorBidi" w:hAnsiTheme="majorBidi" w:cstheme="majorBidi"/>
          <w:color w:val="000000" w:themeColor="text1"/>
        </w:rPr>
        <w:t>S&amp;p</w:t>
      </w:r>
      <w:proofErr w:type="spellEnd"/>
      <w:r w:rsidRPr="009232AD">
        <w:rPr>
          <w:rFonts w:asciiTheme="majorBidi" w:hAnsiTheme="majorBidi" w:cstheme="majorBidi"/>
          <w:color w:val="000000" w:themeColor="text1"/>
        </w:rPr>
        <w:t xml:space="preserve"> </w:t>
      </w:r>
      <w:bookmarkEnd w:id="42"/>
      <w:r w:rsidRPr="009232AD">
        <w:rPr>
          <w:rFonts w:asciiTheme="majorBidi" w:hAnsiTheme="majorBidi" w:cstheme="majorBidi"/>
          <w:color w:val="000000" w:themeColor="text1"/>
        </w:rPr>
        <w:t>Global</w:t>
      </w:r>
      <w:r w:rsidRPr="009232AD">
        <w:rPr>
          <w:rFonts w:asciiTheme="majorBidi" w:hAnsiTheme="majorBidi" w:cstheme="majorBidi"/>
          <w:i/>
          <w:iCs/>
          <w:color w:val="000000" w:themeColor="text1"/>
        </w:rPr>
        <w:t>.</w:t>
      </w:r>
      <w:r w:rsidRPr="009232AD">
        <w:rPr>
          <w:rFonts w:asciiTheme="majorBidi" w:hAnsiTheme="majorBidi" w:cstheme="majorBidi"/>
          <w:color w:val="000000" w:themeColor="text1"/>
        </w:rPr>
        <w:t xml:space="preserve"> (no date). S&amp;P100. </w:t>
      </w:r>
      <w:r w:rsidRPr="009232AD">
        <w:rPr>
          <w:rFonts w:asciiTheme="majorBidi" w:hAnsiTheme="majorBidi" w:cstheme="majorBidi"/>
          <w:i/>
          <w:iCs/>
          <w:color w:val="000000" w:themeColor="text1"/>
        </w:rPr>
        <w:t>S&amp;P Dow Jones Indices</w:t>
      </w:r>
      <w:r w:rsidRPr="009232AD">
        <w:rPr>
          <w:rFonts w:asciiTheme="majorBidi" w:hAnsiTheme="majorBidi" w:cstheme="majorBidi"/>
          <w:color w:val="000000" w:themeColor="text1"/>
        </w:rPr>
        <w:t xml:space="preserve">. Available at: </w:t>
      </w:r>
      <w:hyperlink r:id="rId13" w:anchor="overview" w:history="1">
        <w:r w:rsidRPr="009232AD">
          <w:rPr>
            <w:rStyle w:val="Hyperlink"/>
            <w:rFonts w:asciiTheme="majorBidi" w:eastAsiaTheme="majorEastAsia" w:hAnsiTheme="majorBidi" w:cstheme="majorBidi"/>
            <w:color w:val="000000" w:themeColor="text1"/>
          </w:rPr>
          <w:t>https://www.spglobal.com/spdji/en/indices/equity/sp-100/#overview</w:t>
        </w:r>
      </w:hyperlink>
      <w:r w:rsidRPr="009232AD">
        <w:rPr>
          <w:rFonts w:asciiTheme="majorBidi" w:hAnsiTheme="majorBidi" w:cstheme="majorBidi"/>
          <w:color w:val="000000" w:themeColor="text1"/>
        </w:rPr>
        <w:t xml:space="preserve"> </w:t>
      </w:r>
    </w:p>
    <w:p w14:paraId="17BB9B01" w14:textId="77777777" w:rsidR="00051CFF" w:rsidRPr="009232AD" w:rsidRDefault="00051CFF" w:rsidP="00FA5E92">
      <w:pPr>
        <w:pStyle w:val="ListParagraph"/>
        <w:ind w:hanging="720"/>
        <w:rPr>
          <w:rFonts w:asciiTheme="majorBidi" w:hAnsiTheme="majorBidi" w:cstheme="majorBidi"/>
          <w:color w:val="000000" w:themeColor="text1"/>
          <w:szCs w:val="24"/>
        </w:rPr>
      </w:pPr>
      <w:bookmarkStart w:id="43" w:name="Siegrist"/>
      <w:r w:rsidRPr="009232AD">
        <w:rPr>
          <w:rFonts w:asciiTheme="majorBidi" w:hAnsiTheme="majorBidi" w:cstheme="majorBidi"/>
          <w:color w:val="000000" w:themeColor="text1"/>
          <w:szCs w:val="24"/>
        </w:rPr>
        <w:t>Siegrist</w:t>
      </w:r>
      <w:bookmarkEnd w:id="43"/>
      <w:r w:rsidRPr="009232AD">
        <w:rPr>
          <w:rFonts w:asciiTheme="majorBidi" w:hAnsiTheme="majorBidi" w:cstheme="majorBidi"/>
          <w:color w:val="000000" w:themeColor="text1"/>
          <w:szCs w:val="24"/>
        </w:rPr>
        <w:t>, J. (1996). Adverse health effects of high-effort/low-reward conditions. </w:t>
      </w:r>
      <w:r w:rsidRPr="009232AD">
        <w:rPr>
          <w:rFonts w:asciiTheme="majorBidi" w:hAnsiTheme="majorBidi" w:cstheme="majorBidi"/>
          <w:i/>
          <w:iCs/>
          <w:color w:val="000000" w:themeColor="text1"/>
          <w:szCs w:val="24"/>
        </w:rPr>
        <w:t>Journal of occupational health psychology</w:t>
      </w:r>
      <w:r w:rsidRPr="009232AD">
        <w:rPr>
          <w:rFonts w:asciiTheme="majorBidi" w:hAnsiTheme="majorBidi" w:cstheme="majorBidi"/>
          <w:color w:val="000000" w:themeColor="text1"/>
          <w:szCs w:val="24"/>
        </w:rPr>
        <w:t>, 1(1), p.27.</w:t>
      </w:r>
    </w:p>
    <w:p w14:paraId="133642EB" w14:textId="6A69DBF7" w:rsidR="00051CFF" w:rsidRPr="009232AD" w:rsidRDefault="00051CFF" w:rsidP="00485217">
      <w:pPr>
        <w:ind w:left="720" w:hanging="720"/>
        <w:rPr>
          <w:rFonts w:asciiTheme="majorBidi" w:hAnsiTheme="majorBidi" w:cstheme="majorBidi"/>
          <w:color w:val="000000" w:themeColor="text1"/>
          <w:szCs w:val="24"/>
        </w:rPr>
      </w:pPr>
      <w:bookmarkStart w:id="44" w:name="Sin"/>
      <w:r w:rsidRPr="009232AD">
        <w:rPr>
          <w:rFonts w:asciiTheme="majorBidi" w:hAnsiTheme="majorBidi" w:cstheme="majorBidi"/>
          <w:color w:val="000000" w:themeColor="text1"/>
          <w:szCs w:val="24"/>
        </w:rPr>
        <w:t xml:space="preserve">Sin, </w:t>
      </w:r>
      <w:bookmarkEnd w:id="44"/>
      <w:r w:rsidRPr="009232AD">
        <w:rPr>
          <w:rFonts w:asciiTheme="majorBidi" w:hAnsiTheme="majorBidi" w:cstheme="majorBidi"/>
          <w:color w:val="000000" w:themeColor="text1"/>
          <w:szCs w:val="24"/>
        </w:rPr>
        <w:t xml:space="preserve">N. and Lyubomirsky, S. (2009). Enhancing wellbeing and alleviating depressive symptoms with positive psychology interventions: A practice‐friendly meta‐analysis. </w:t>
      </w:r>
      <w:r w:rsidRPr="009232AD">
        <w:rPr>
          <w:rFonts w:asciiTheme="majorBidi" w:hAnsiTheme="majorBidi" w:cstheme="majorBidi"/>
          <w:i/>
          <w:iCs/>
          <w:color w:val="000000" w:themeColor="text1"/>
          <w:szCs w:val="24"/>
        </w:rPr>
        <w:t>Journal of clinical psychology</w:t>
      </w:r>
      <w:r w:rsidRPr="009232AD">
        <w:rPr>
          <w:rFonts w:asciiTheme="majorBidi" w:hAnsiTheme="majorBidi" w:cstheme="majorBidi"/>
          <w:color w:val="000000" w:themeColor="text1"/>
          <w:szCs w:val="24"/>
        </w:rPr>
        <w:t xml:space="preserve">, 65(5), </w:t>
      </w:r>
      <w:r w:rsidR="004A5A47">
        <w:rPr>
          <w:rFonts w:asciiTheme="majorBidi" w:hAnsiTheme="majorBidi" w:cstheme="majorBidi"/>
          <w:color w:val="000000" w:themeColor="text1"/>
          <w:szCs w:val="24"/>
        </w:rPr>
        <w:t xml:space="preserve"> </w:t>
      </w:r>
      <w:r w:rsidRPr="009232AD">
        <w:rPr>
          <w:rFonts w:asciiTheme="majorBidi" w:hAnsiTheme="majorBidi" w:cstheme="majorBidi"/>
          <w:color w:val="000000" w:themeColor="text1"/>
          <w:szCs w:val="24"/>
        </w:rPr>
        <w:t>467-487.</w:t>
      </w:r>
    </w:p>
    <w:p w14:paraId="23B1E4C6" w14:textId="7A28703D" w:rsidR="00051CFF" w:rsidRPr="009232AD" w:rsidRDefault="00051CFF" w:rsidP="00FA5E92">
      <w:pPr>
        <w:ind w:left="720" w:hanging="720"/>
        <w:rPr>
          <w:rFonts w:asciiTheme="majorBidi" w:hAnsiTheme="majorBidi" w:cstheme="majorBidi"/>
          <w:color w:val="000000" w:themeColor="text1"/>
          <w:szCs w:val="24"/>
          <w:shd w:val="clear" w:color="auto" w:fill="FFFFFF"/>
        </w:rPr>
      </w:pPr>
      <w:bookmarkStart w:id="45" w:name="Stamolampros"/>
      <w:proofErr w:type="spellStart"/>
      <w:r w:rsidRPr="009232AD">
        <w:rPr>
          <w:rFonts w:asciiTheme="majorBidi" w:hAnsiTheme="majorBidi" w:cstheme="majorBidi"/>
          <w:color w:val="000000" w:themeColor="text1"/>
          <w:szCs w:val="24"/>
          <w:shd w:val="clear" w:color="auto" w:fill="FFFFFF"/>
        </w:rPr>
        <w:t>Stamolampros</w:t>
      </w:r>
      <w:proofErr w:type="spellEnd"/>
      <w:r w:rsidRPr="009232AD">
        <w:rPr>
          <w:rFonts w:asciiTheme="majorBidi" w:hAnsiTheme="majorBidi" w:cstheme="majorBidi"/>
          <w:color w:val="000000" w:themeColor="text1"/>
          <w:szCs w:val="24"/>
          <w:shd w:val="clear" w:color="auto" w:fill="FFFFFF"/>
        </w:rPr>
        <w:t xml:space="preserve">, </w:t>
      </w:r>
      <w:bookmarkEnd w:id="45"/>
      <w:r w:rsidRPr="009232AD">
        <w:rPr>
          <w:rFonts w:asciiTheme="majorBidi" w:hAnsiTheme="majorBidi" w:cstheme="majorBidi"/>
          <w:color w:val="000000" w:themeColor="text1"/>
          <w:szCs w:val="24"/>
          <w:shd w:val="clear" w:color="auto" w:fill="FFFFFF"/>
        </w:rPr>
        <w:t xml:space="preserve">P., </w:t>
      </w:r>
      <w:proofErr w:type="spellStart"/>
      <w:r w:rsidRPr="009232AD">
        <w:rPr>
          <w:rFonts w:asciiTheme="majorBidi" w:hAnsiTheme="majorBidi" w:cstheme="majorBidi"/>
          <w:color w:val="000000" w:themeColor="text1"/>
          <w:szCs w:val="24"/>
          <w:shd w:val="clear" w:color="auto" w:fill="FFFFFF"/>
        </w:rPr>
        <w:t>Korfiatis</w:t>
      </w:r>
      <w:proofErr w:type="spellEnd"/>
      <w:r w:rsidRPr="009232AD">
        <w:rPr>
          <w:rFonts w:asciiTheme="majorBidi" w:hAnsiTheme="majorBidi" w:cstheme="majorBidi"/>
          <w:color w:val="000000" w:themeColor="text1"/>
          <w:szCs w:val="24"/>
          <w:shd w:val="clear" w:color="auto" w:fill="FFFFFF"/>
        </w:rPr>
        <w:t xml:space="preserve">, N., Chalvatzis, K. and </w:t>
      </w:r>
      <w:proofErr w:type="spellStart"/>
      <w:r w:rsidRPr="009232AD">
        <w:rPr>
          <w:rFonts w:asciiTheme="majorBidi" w:hAnsiTheme="majorBidi" w:cstheme="majorBidi"/>
          <w:color w:val="000000" w:themeColor="text1"/>
          <w:szCs w:val="24"/>
          <w:shd w:val="clear" w:color="auto" w:fill="FFFFFF"/>
        </w:rPr>
        <w:t>Buhalis</w:t>
      </w:r>
      <w:proofErr w:type="spellEnd"/>
      <w:r w:rsidRPr="009232AD">
        <w:rPr>
          <w:rFonts w:asciiTheme="majorBidi" w:hAnsiTheme="majorBidi" w:cstheme="majorBidi"/>
          <w:color w:val="000000" w:themeColor="text1"/>
          <w:szCs w:val="24"/>
          <w:shd w:val="clear" w:color="auto" w:fill="FFFFFF"/>
        </w:rPr>
        <w:t>, D.(2019). Job satisfaction and employee turnover determinants in high contact services: Insights from Employees’ Online reviews. </w:t>
      </w:r>
      <w:r w:rsidRPr="009232AD">
        <w:rPr>
          <w:rFonts w:asciiTheme="majorBidi" w:hAnsiTheme="majorBidi" w:cstheme="majorBidi"/>
          <w:i/>
          <w:iCs/>
          <w:color w:val="000000" w:themeColor="text1"/>
          <w:szCs w:val="24"/>
          <w:shd w:val="clear" w:color="auto" w:fill="FFFFFF"/>
        </w:rPr>
        <w:t>Tourism Management</w:t>
      </w:r>
      <w:r w:rsidRPr="009232AD">
        <w:rPr>
          <w:rFonts w:asciiTheme="majorBidi" w:hAnsiTheme="majorBidi" w:cstheme="majorBidi"/>
          <w:color w:val="000000" w:themeColor="text1"/>
          <w:szCs w:val="24"/>
          <w:shd w:val="clear" w:color="auto" w:fill="FFFFFF"/>
        </w:rPr>
        <w:t>, </w:t>
      </w:r>
      <w:r w:rsidRPr="009232AD">
        <w:rPr>
          <w:rFonts w:asciiTheme="majorBidi" w:hAnsiTheme="majorBidi" w:cstheme="majorBidi"/>
          <w:i/>
          <w:iCs/>
          <w:color w:val="000000" w:themeColor="text1"/>
          <w:szCs w:val="24"/>
          <w:shd w:val="clear" w:color="auto" w:fill="FFFFFF"/>
        </w:rPr>
        <w:t>75</w:t>
      </w:r>
      <w:r w:rsidRPr="009232AD">
        <w:rPr>
          <w:rFonts w:asciiTheme="majorBidi" w:hAnsiTheme="majorBidi" w:cstheme="majorBidi"/>
          <w:color w:val="000000" w:themeColor="text1"/>
          <w:szCs w:val="24"/>
          <w:shd w:val="clear" w:color="auto" w:fill="FFFFFF"/>
        </w:rPr>
        <w:t xml:space="preserve">, </w:t>
      </w:r>
      <w:r w:rsidR="004A5A47">
        <w:rPr>
          <w:rFonts w:asciiTheme="majorBidi" w:hAnsiTheme="majorBidi" w:cstheme="majorBidi"/>
          <w:color w:val="000000" w:themeColor="text1"/>
          <w:szCs w:val="24"/>
          <w:shd w:val="clear" w:color="auto" w:fill="FFFFFF"/>
        </w:rPr>
        <w:t xml:space="preserve"> </w:t>
      </w:r>
      <w:r w:rsidRPr="009232AD">
        <w:rPr>
          <w:rFonts w:asciiTheme="majorBidi" w:hAnsiTheme="majorBidi" w:cstheme="majorBidi"/>
          <w:color w:val="000000" w:themeColor="text1"/>
          <w:szCs w:val="24"/>
          <w:shd w:val="clear" w:color="auto" w:fill="FFFFFF"/>
        </w:rPr>
        <w:t>130-147.</w:t>
      </w:r>
    </w:p>
    <w:p w14:paraId="7AA24AA1" w14:textId="7C66C85F" w:rsidR="00051CFF" w:rsidRPr="009232AD" w:rsidRDefault="00051CFF" w:rsidP="00485217">
      <w:pPr>
        <w:ind w:left="720" w:hanging="720"/>
        <w:rPr>
          <w:rFonts w:asciiTheme="majorBidi" w:hAnsiTheme="majorBidi" w:cstheme="majorBidi"/>
          <w:color w:val="000000" w:themeColor="text1"/>
          <w:szCs w:val="24"/>
        </w:rPr>
      </w:pPr>
      <w:r w:rsidRPr="009232AD">
        <w:rPr>
          <w:rFonts w:asciiTheme="majorBidi" w:hAnsiTheme="majorBidi" w:cstheme="majorBidi"/>
          <w:color w:val="000000" w:themeColor="text1"/>
          <w:szCs w:val="24"/>
        </w:rPr>
        <w:lastRenderedPageBreak/>
        <w:t xml:space="preserve">Suchman, M. C. (1995). Managing legitimacy: Strategic and institutional approaches. </w:t>
      </w:r>
      <w:r w:rsidRPr="009232AD">
        <w:rPr>
          <w:rFonts w:asciiTheme="majorBidi" w:hAnsiTheme="majorBidi" w:cstheme="majorBidi"/>
          <w:i/>
          <w:iCs/>
          <w:color w:val="000000" w:themeColor="text1"/>
          <w:szCs w:val="24"/>
        </w:rPr>
        <w:t>Academy of Management Review</w:t>
      </w:r>
      <w:r w:rsidRPr="009232AD">
        <w:rPr>
          <w:rFonts w:asciiTheme="majorBidi" w:hAnsiTheme="majorBidi" w:cstheme="majorBidi"/>
          <w:color w:val="000000" w:themeColor="text1"/>
          <w:szCs w:val="24"/>
        </w:rPr>
        <w:t>, 20(3), 571-610.</w:t>
      </w:r>
    </w:p>
    <w:p w14:paraId="3F16065D" w14:textId="0E21DA3A" w:rsidR="00051CFF" w:rsidRPr="009232AD" w:rsidRDefault="00051CFF" w:rsidP="00FA5E92">
      <w:pPr>
        <w:ind w:left="720" w:hanging="720"/>
        <w:rPr>
          <w:rFonts w:asciiTheme="majorBidi" w:hAnsiTheme="majorBidi" w:cstheme="majorBidi"/>
          <w:color w:val="000000" w:themeColor="text1"/>
          <w:szCs w:val="24"/>
        </w:rPr>
      </w:pPr>
      <w:bookmarkStart w:id="46" w:name="Tashman"/>
      <w:r w:rsidRPr="009232AD">
        <w:rPr>
          <w:rFonts w:asciiTheme="majorBidi" w:hAnsiTheme="majorBidi" w:cstheme="majorBidi"/>
          <w:color w:val="000000" w:themeColor="text1"/>
          <w:szCs w:val="24"/>
          <w:shd w:val="clear" w:color="auto" w:fill="FFFFFF"/>
        </w:rPr>
        <w:t>Tashman</w:t>
      </w:r>
      <w:bookmarkEnd w:id="46"/>
      <w:r w:rsidRPr="009232AD">
        <w:rPr>
          <w:rFonts w:asciiTheme="majorBidi" w:hAnsiTheme="majorBidi" w:cstheme="majorBidi"/>
          <w:color w:val="000000" w:themeColor="text1"/>
          <w:szCs w:val="24"/>
          <w:shd w:val="clear" w:color="auto" w:fill="FFFFFF"/>
        </w:rPr>
        <w:t>, P., Marano, V. and Kostova, T. (2019). Walking the walk or talking the talk? Corporate social responsibility decoupling in emerging market multinationals. </w:t>
      </w:r>
      <w:r w:rsidRPr="009232AD">
        <w:rPr>
          <w:rFonts w:asciiTheme="majorBidi" w:hAnsiTheme="majorBidi" w:cstheme="majorBidi"/>
          <w:i/>
          <w:iCs/>
          <w:color w:val="000000" w:themeColor="text1"/>
          <w:szCs w:val="24"/>
          <w:shd w:val="clear" w:color="auto" w:fill="FFFFFF"/>
        </w:rPr>
        <w:t>Journal of International Business Studies</w:t>
      </w:r>
      <w:r w:rsidRPr="009232AD">
        <w:rPr>
          <w:rFonts w:asciiTheme="majorBidi" w:hAnsiTheme="majorBidi" w:cstheme="majorBidi"/>
          <w:color w:val="000000" w:themeColor="text1"/>
          <w:szCs w:val="24"/>
          <w:shd w:val="clear" w:color="auto" w:fill="FFFFFF"/>
        </w:rPr>
        <w:t>, </w:t>
      </w:r>
      <w:r w:rsidRPr="009232AD">
        <w:rPr>
          <w:rFonts w:asciiTheme="majorBidi" w:hAnsiTheme="majorBidi" w:cstheme="majorBidi"/>
          <w:i/>
          <w:iCs/>
          <w:color w:val="000000" w:themeColor="text1"/>
          <w:szCs w:val="24"/>
          <w:shd w:val="clear" w:color="auto" w:fill="FFFFFF"/>
        </w:rPr>
        <w:t>50</w:t>
      </w:r>
      <w:r w:rsidRPr="009232AD">
        <w:rPr>
          <w:rFonts w:asciiTheme="majorBidi" w:hAnsiTheme="majorBidi" w:cstheme="majorBidi"/>
          <w:color w:val="000000" w:themeColor="text1"/>
          <w:szCs w:val="24"/>
          <w:shd w:val="clear" w:color="auto" w:fill="FFFFFF"/>
        </w:rPr>
        <w:t xml:space="preserve">, </w:t>
      </w:r>
      <w:r w:rsidR="004A5A47">
        <w:rPr>
          <w:rFonts w:asciiTheme="majorBidi" w:hAnsiTheme="majorBidi" w:cstheme="majorBidi"/>
          <w:color w:val="000000" w:themeColor="text1"/>
          <w:szCs w:val="24"/>
          <w:shd w:val="clear" w:color="auto" w:fill="FFFFFF"/>
        </w:rPr>
        <w:t xml:space="preserve"> </w:t>
      </w:r>
      <w:r w:rsidRPr="009232AD">
        <w:rPr>
          <w:rFonts w:asciiTheme="majorBidi" w:hAnsiTheme="majorBidi" w:cstheme="majorBidi"/>
          <w:color w:val="000000" w:themeColor="text1"/>
          <w:szCs w:val="24"/>
          <w:shd w:val="clear" w:color="auto" w:fill="FFFFFF"/>
        </w:rPr>
        <w:t>153-171.</w:t>
      </w:r>
    </w:p>
    <w:p w14:paraId="4AFEEBA3" w14:textId="43BDA455" w:rsidR="00051CFF" w:rsidRPr="009232AD" w:rsidRDefault="00051CFF" w:rsidP="00485217">
      <w:pPr>
        <w:ind w:left="720" w:hanging="720"/>
        <w:rPr>
          <w:rFonts w:asciiTheme="majorBidi" w:hAnsiTheme="majorBidi" w:cstheme="majorBidi"/>
          <w:color w:val="000000" w:themeColor="text1"/>
          <w:szCs w:val="24"/>
          <w:shd w:val="clear" w:color="auto" w:fill="FFFFFF"/>
        </w:rPr>
      </w:pPr>
      <w:r w:rsidRPr="009232AD">
        <w:rPr>
          <w:rFonts w:asciiTheme="majorBidi" w:hAnsiTheme="majorBidi" w:cstheme="majorBidi"/>
          <w:color w:val="000000" w:themeColor="text1"/>
          <w:szCs w:val="24"/>
          <w:shd w:val="clear" w:color="auto" w:fill="FFFFFF"/>
        </w:rPr>
        <w:t xml:space="preserve">Tilling, M.V. and Tilt, C.A. (2010). The edge of legitimacy: Voluntary social and environmental reporting in Rothmans' 1956‐1999 annual reports. Accounting, Auditing &amp; Accountability Journal, 23(1), </w:t>
      </w:r>
      <w:r w:rsidR="004A5A47">
        <w:rPr>
          <w:rFonts w:asciiTheme="majorBidi" w:hAnsiTheme="majorBidi" w:cstheme="majorBidi"/>
          <w:color w:val="000000" w:themeColor="text1"/>
          <w:szCs w:val="24"/>
          <w:shd w:val="clear" w:color="auto" w:fill="FFFFFF"/>
        </w:rPr>
        <w:t xml:space="preserve"> </w:t>
      </w:r>
      <w:r w:rsidRPr="009232AD">
        <w:rPr>
          <w:rFonts w:asciiTheme="majorBidi" w:hAnsiTheme="majorBidi" w:cstheme="majorBidi"/>
          <w:color w:val="000000" w:themeColor="text1"/>
          <w:szCs w:val="24"/>
          <w:shd w:val="clear" w:color="auto" w:fill="FFFFFF"/>
        </w:rPr>
        <w:t>55-81.</w:t>
      </w:r>
    </w:p>
    <w:p w14:paraId="30A29B7E" w14:textId="5D5632BC" w:rsidR="00051CFF" w:rsidRPr="009232AD" w:rsidRDefault="00051CFF" w:rsidP="00FA5E92">
      <w:pPr>
        <w:ind w:left="720" w:hanging="720"/>
        <w:rPr>
          <w:rFonts w:asciiTheme="majorBidi" w:hAnsiTheme="majorBidi" w:cstheme="majorBidi"/>
          <w:color w:val="000000" w:themeColor="text1"/>
          <w:szCs w:val="24"/>
          <w:shd w:val="clear" w:color="auto" w:fill="FFFFFF"/>
        </w:rPr>
      </w:pPr>
      <w:bookmarkStart w:id="47" w:name="Torelli"/>
      <w:r w:rsidRPr="00FA5E92">
        <w:rPr>
          <w:rFonts w:asciiTheme="majorBidi" w:hAnsiTheme="majorBidi" w:cstheme="majorBidi"/>
          <w:color w:val="000000" w:themeColor="text1"/>
          <w:szCs w:val="24"/>
          <w:shd w:val="clear" w:color="auto" w:fill="FFFFFF"/>
        </w:rPr>
        <w:t xml:space="preserve">Torelli, </w:t>
      </w:r>
      <w:bookmarkEnd w:id="47"/>
      <w:r w:rsidRPr="00FA5E92">
        <w:rPr>
          <w:rFonts w:asciiTheme="majorBidi" w:hAnsiTheme="majorBidi" w:cstheme="majorBidi"/>
          <w:color w:val="000000" w:themeColor="text1"/>
          <w:szCs w:val="24"/>
          <w:shd w:val="clear" w:color="auto" w:fill="FFFFFF"/>
        </w:rPr>
        <w:t xml:space="preserve">R., </w:t>
      </w:r>
      <w:proofErr w:type="spellStart"/>
      <w:r w:rsidRPr="00FA5E92">
        <w:rPr>
          <w:rFonts w:asciiTheme="majorBidi" w:hAnsiTheme="majorBidi" w:cstheme="majorBidi"/>
          <w:color w:val="000000" w:themeColor="text1"/>
          <w:szCs w:val="24"/>
          <w:shd w:val="clear" w:color="auto" w:fill="FFFFFF"/>
        </w:rPr>
        <w:t>Balluchi</w:t>
      </w:r>
      <w:proofErr w:type="spellEnd"/>
      <w:r w:rsidRPr="00FA5E92">
        <w:rPr>
          <w:rFonts w:asciiTheme="majorBidi" w:hAnsiTheme="majorBidi" w:cstheme="majorBidi"/>
          <w:color w:val="000000" w:themeColor="text1"/>
          <w:szCs w:val="24"/>
          <w:shd w:val="clear" w:color="auto" w:fill="FFFFFF"/>
        </w:rPr>
        <w:t xml:space="preserve">, F. and </w:t>
      </w:r>
      <w:proofErr w:type="spellStart"/>
      <w:r w:rsidRPr="00FA5E92">
        <w:rPr>
          <w:rFonts w:asciiTheme="majorBidi" w:hAnsiTheme="majorBidi" w:cstheme="majorBidi"/>
          <w:color w:val="000000" w:themeColor="text1"/>
          <w:szCs w:val="24"/>
          <w:shd w:val="clear" w:color="auto" w:fill="FFFFFF"/>
        </w:rPr>
        <w:t>Lazzini</w:t>
      </w:r>
      <w:proofErr w:type="spellEnd"/>
      <w:r w:rsidRPr="00FA5E92">
        <w:rPr>
          <w:rFonts w:asciiTheme="majorBidi" w:hAnsiTheme="majorBidi" w:cstheme="majorBidi"/>
          <w:color w:val="000000" w:themeColor="text1"/>
          <w:szCs w:val="24"/>
          <w:shd w:val="clear" w:color="auto" w:fill="FFFFFF"/>
        </w:rPr>
        <w:t xml:space="preserve">, A. (2020). </w:t>
      </w:r>
      <w:r w:rsidRPr="009232AD">
        <w:rPr>
          <w:rFonts w:asciiTheme="majorBidi" w:hAnsiTheme="majorBidi" w:cstheme="majorBidi"/>
          <w:color w:val="000000" w:themeColor="text1"/>
          <w:szCs w:val="24"/>
          <w:shd w:val="clear" w:color="auto" w:fill="FFFFFF"/>
        </w:rPr>
        <w:t>Greenwashing and environmental communication: Effects on stakeholders’ perceptions. </w:t>
      </w:r>
      <w:r w:rsidRPr="009232AD">
        <w:rPr>
          <w:rFonts w:asciiTheme="majorBidi" w:hAnsiTheme="majorBidi" w:cstheme="majorBidi"/>
          <w:i/>
          <w:iCs/>
          <w:color w:val="000000" w:themeColor="text1"/>
          <w:szCs w:val="24"/>
          <w:shd w:val="clear" w:color="auto" w:fill="FFFFFF"/>
        </w:rPr>
        <w:t>Business strategy and the Environment</w:t>
      </w:r>
      <w:r w:rsidRPr="009232AD">
        <w:rPr>
          <w:rFonts w:asciiTheme="majorBidi" w:hAnsiTheme="majorBidi" w:cstheme="majorBidi"/>
          <w:color w:val="000000" w:themeColor="text1"/>
          <w:szCs w:val="24"/>
          <w:shd w:val="clear" w:color="auto" w:fill="FFFFFF"/>
        </w:rPr>
        <w:t>, </w:t>
      </w:r>
      <w:r w:rsidRPr="009232AD">
        <w:rPr>
          <w:rFonts w:asciiTheme="majorBidi" w:hAnsiTheme="majorBidi" w:cstheme="majorBidi"/>
          <w:i/>
          <w:iCs/>
          <w:color w:val="000000" w:themeColor="text1"/>
          <w:szCs w:val="24"/>
          <w:shd w:val="clear" w:color="auto" w:fill="FFFFFF"/>
        </w:rPr>
        <w:t>29</w:t>
      </w:r>
      <w:r w:rsidRPr="009232AD">
        <w:rPr>
          <w:rFonts w:asciiTheme="majorBidi" w:hAnsiTheme="majorBidi" w:cstheme="majorBidi"/>
          <w:color w:val="000000" w:themeColor="text1"/>
          <w:szCs w:val="24"/>
          <w:shd w:val="clear" w:color="auto" w:fill="FFFFFF"/>
        </w:rPr>
        <w:t xml:space="preserve">(2), </w:t>
      </w:r>
      <w:r w:rsidR="004A5A47">
        <w:rPr>
          <w:rFonts w:asciiTheme="majorBidi" w:hAnsiTheme="majorBidi" w:cstheme="majorBidi"/>
          <w:color w:val="000000" w:themeColor="text1"/>
          <w:szCs w:val="24"/>
          <w:shd w:val="clear" w:color="auto" w:fill="FFFFFF"/>
        </w:rPr>
        <w:t xml:space="preserve"> </w:t>
      </w:r>
      <w:r w:rsidRPr="009232AD">
        <w:rPr>
          <w:rFonts w:asciiTheme="majorBidi" w:hAnsiTheme="majorBidi" w:cstheme="majorBidi"/>
          <w:color w:val="000000" w:themeColor="text1"/>
          <w:szCs w:val="24"/>
          <w:shd w:val="clear" w:color="auto" w:fill="FFFFFF"/>
        </w:rPr>
        <w:t>407-421.</w:t>
      </w:r>
    </w:p>
    <w:p w14:paraId="6933EAFE" w14:textId="266E81F1" w:rsidR="00051CFF" w:rsidRPr="009232AD" w:rsidRDefault="00051CFF" w:rsidP="00FA5E92">
      <w:pPr>
        <w:pStyle w:val="ListParagraph"/>
        <w:ind w:hanging="720"/>
        <w:rPr>
          <w:rFonts w:asciiTheme="majorBidi" w:hAnsiTheme="majorBidi" w:cstheme="majorBidi"/>
          <w:color w:val="000000" w:themeColor="text1"/>
          <w:szCs w:val="24"/>
        </w:rPr>
      </w:pPr>
      <w:bookmarkStart w:id="48" w:name="Watson"/>
      <w:r w:rsidRPr="009232AD">
        <w:rPr>
          <w:rFonts w:asciiTheme="majorBidi" w:hAnsiTheme="majorBidi" w:cstheme="majorBidi"/>
          <w:color w:val="000000" w:themeColor="text1"/>
          <w:szCs w:val="24"/>
        </w:rPr>
        <w:t>Watson</w:t>
      </w:r>
      <w:bookmarkEnd w:id="48"/>
      <w:r w:rsidRPr="009232AD">
        <w:rPr>
          <w:rFonts w:asciiTheme="majorBidi" w:hAnsiTheme="majorBidi" w:cstheme="majorBidi"/>
          <w:color w:val="000000" w:themeColor="text1"/>
          <w:szCs w:val="24"/>
        </w:rPr>
        <w:t xml:space="preserve">, D., Tregaskis, O., </w:t>
      </w:r>
      <w:proofErr w:type="spellStart"/>
      <w:r w:rsidRPr="009232AD">
        <w:rPr>
          <w:rFonts w:asciiTheme="majorBidi" w:hAnsiTheme="majorBidi" w:cstheme="majorBidi"/>
          <w:color w:val="000000" w:themeColor="text1"/>
          <w:szCs w:val="24"/>
        </w:rPr>
        <w:t>Gedikli</w:t>
      </w:r>
      <w:proofErr w:type="spellEnd"/>
      <w:r w:rsidRPr="009232AD">
        <w:rPr>
          <w:rFonts w:asciiTheme="majorBidi" w:hAnsiTheme="majorBidi" w:cstheme="majorBidi"/>
          <w:color w:val="000000" w:themeColor="text1"/>
          <w:szCs w:val="24"/>
        </w:rPr>
        <w:t xml:space="preserve">, C., Vaughn, O. and </w:t>
      </w:r>
      <w:proofErr w:type="spellStart"/>
      <w:r w:rsidRPr="009232AD">
        <w:rPr>
          <w:rFonts w:asciiTheme="majorBidi" w:hAnsiTheme="majorBidi" w:cstheme="majorBidi"/>
          <w:color w:val="000000" w:themeColor="text1"/>
          <w:szCs w:val="24"/>
        </w:rPr>
        <w:t>Semkina</w:t>
      </w:r>
      <w:proofErr w:type="spellEnd"/>
      <w:r w:rsidRPr="009232AD">
        <w:rPr>
          <w:rFonts w:asciiTheme="majorBidi" w:hAnsiTheme="majorBidi" w:cstheme="majorBidi"/>
          <w:color w:val="000000" w:themeColor="text1"/>
          <w:szCs w:val="24"/>
        </w:rPr>
        <w:t>, A. (2018). Wellbeing through learning: A systematic review of learning interventions in the workplace and their impact on wellbeing. </w:t>
      </w:r>
      <w:r w:rsidRPr="009232AD">
        <w:rPr>
          <w:rFonts w:asciiTheme="majorBidi" w:hAnsiTheme="majorBidi" w:cstheme="majorBidi"/>
          <w:i/>
          <w:iCs/>
          <w:color w:val="000000" w:themeColor="text1"/>
          <w:szCs w:val="24"/>
        </w:rPr>
        <w:t xml:space="preserve">European Journal of Work and </w:t>
      </w:r>
      <w:r w:rsidR="004848DD">
        <w:rPr>
          <w:rFonts w:asciiTheme="majorBidi" w:hAnsiTheme="majorBidi" w:cstheme="majorBidi"/>
          <w:i/>
          <w:iCs/>
          <w:color w:val="000000" w:themeColor="text1"/>
          <w:szCs w:val="24"/>
        </w:rPr>
        <w:t>Organisation</w:t>
      </w:r>
      <w:r w:rsidRPr="009232AD">
        <w:rPr>
          <w:rFonts w:asciiTheme="majorBidi" w:hAnsiTheme="majorBidi" w:cstheme="majorBidi"/>
          <w:i/>
          <w:iCs/>
          <w:color w:val="000000" w:themeColor="text1"/>
          <w:szCs w:val="24"/>
        </w:rPr>
        <w:t>al Psychology</w:t>
      </w:r>
      <w:r w:rsidRPr="009232AD">
        <w:rPr>
          <w:rFonts w:asciiTheme="majorBidi" w:hAnsiTheme="majorBidi" w:cstheme="majorBidi"/>
          <w:color w:val="000000" w:themeColor="text1"/>
          <w:szCs w:val="24"/>
        </w:rPr>
        <w:t xml:space="preserve">, 27(2), </w:t>
      </w:r>
      <w:r w:rsidR="004A5A47">
        <w:rPr>
          <w:rFonts w:asciiTheme="majorBidi" w:hAnsiTheme="majorBidi" w:cstheme="majorBidi"/>
          <w:color w:val="000000" w:themeColor="text1"/>
          <w:szCs w:val="24"/>
        </w:rPr>
        <w:t xml:space="preserve"> </w:t>
      </w:r>
      <w:r w:rsidRPr="009232AD">
        <w:rPr>
          <w:rFonts w:asciiTheme="majorBidi" w:hAnsiTheme="majorBidi" w:cstheme="majorBidi"/>
          <w:color w:val="000000" w:themeColor="text1"/>
          <w:szCs w:val="24"/>
        </w:rPr>
        <w:t>247-268.</w:t>
      </w:r>
    </w:p>
    <w:p w14:paraId="07CAF149" w14:textId="77777777" w:rsidR="00051CFF" w:rsidRPr="009232AD" w:rsidRDefault="00051CFF" w:rsidP="00FA5E92">
      <w:pPr>
        <w:ind w:left="720" w:hanging="720"/>
        <w:rPr>
          <w:rFonts w:asciiTheme="majorBidi" w:hAnsiTheme="majorBidi" w:cstheme="majorBidi"/>
          <w:color w:val="000000" w:themeColor="text1"/>
          <w:szCs w:val="24"/>
          <w:shd w:val="clear" w:color="auto" w:fill="FFFFFF"/>
        </w:rPr>
      </w:pPr>
      <w:r w:rsidRPr="009232AD">
        <w:rPr>
          <w:rFonts w:asciiTheme="majorBidi" w:hAnsiTheme="majorBidi" w:cstheme="majorBidi"/>
          <w:color w:val="000000" w:themeColor="text1"/>
          <w:szCs w:val="24"/>
          <w:shd w:val="clear" w:color="auto" w:fill="FFFFFF"/>
        </w:rPr>
        <w:t>Wei, Y., Nan, H. and Wei, G. (2020). The impact of employee welfare on innovation performance: Evidence from China’s manufacturing corporations. </w:t>
      </w:r>
      <w:r w:rsidRPr="009232AD">
        <w:rPr>
          <w:rFonts w:asciiTheme="majorBidi" w:hAnsiTheme="majorBidi" w:cstheme="majorBidi"/>
          <w:i/>
          <w:iCs/>
          <w:color w:val="000000" w:themeColor="text1"/>
          <w:szCs w:val="24"/>
          <w:shd w:val="clear" w:color="auto" w:fill="FFFFFF"/>
        </w:rPr>
        <w:t>International Journal of Production Economics</w:t>
      </w:r>
      <w:r w:rsidRPr="009232AD">
        <w:rPr>
          <w:rFonts w:asciiTheme="majorBidi" w:hAnsiTheme="majorBidi" w:cstheme="majorBidi"/>
          <w:color w:val="000000" w:themeColor="text1"/>
          <w:szCs w:val="24"/>
          <w:shd w:val="clear" w:color="auto" w:fill="FFFFFF"/>
        </w:rPr>
        <w:t>, </w:t>
      </w:r>
      <w:r w:rsidRPr="009232AD">
        <w:rPr>
          <w:rFonts w:asciiTheme="majorBidi" w:hAnsiTheme="majorBidi" w:cstheme="majorBidi"/>
          <w:i/>
          <w:iCs/>
          <w:color w:val="000000" w:themeColor="text1"/>
          <w:szCs w:val="24"/>
          <w:shd w:val="clear" w:color="auto" w:fill="FFFFFF"/>
        </w:rPr>
        <w:t>228</w:t>
      </w:r>
      <w:r w:rsidRPr="009232AD">
        <w:rPr>
          <w:rFonts w:asciiTheme="majorBidi" w:hAnsiTheme="majorBidi" w:cstheme="majorBidi"/>
          <w:color w:val="000000" w:themeColor="text1"/>
          <w:szCs w:val="24"/>
          <w:shd w:val="clear" w:color="auto" w:fill="FFFFFF"/>
        </w:rPr>
        <w:t>, p.107753.</w:t>
      </w:r>
    </w:p>
    <w:p w14:paraId="0F973D49" w14:textId="086FE1FC" w:rsidR="00051CFF" w:rsidRPr="009232AD" w:rsidRDefault="00051CFF" w:rsidP="00FA5E92">
      <w:pPr>
        <w:ind w:left="720" w:hanging="720"/>
        <w:rPr>
          <w:rFonts w:asciiTheme="majorBidi" w:hAnsiTheme="majorBidi" w:cstheme="majorBidi"/>
          <w:color w:val="000000" w:themeColor="text1"/>
          <w:szCs w:val="24"/>
          <w:shd w:val="clear" w:color="auto" w:fill="FFFFFF"/>
        </w:rPr>
      </w:pPr>
      <w:bookmarkStart w:id="49" w:name="Wu"/>
      <w:r w:rsidRPr="009232AD">
        <w:rPr>
          <w:rFonts w:asciiTheme="majorBidi" w:hAnsiTheme="majorBidi" w:cstheme="majorBidi"/>
          <w:color w:val="000000" w:themeColor="text1"/>
          <w:szCs w:val="24"/>
          <w:shd w:val="clear" w:color="auto" w:fill="FFFFFF"/>
        </w:rPr>
        <w:t xml:space="preserve">Wu, </w:t>
      </w:r>
      <w:bookmarkEnd w:id="49"/>
      <w:r w:rsidRPr="009232AD">
        <w:rPr>
          <w:rFonts w:asciiTheme="majorBidi" w:hAnsiTheme="majorBidi" w:cstheme="majorBidi"/>
          <w:color w:val="000000" w:themeColor="text1"/>
          <w:szCs w:val="24"/>
          <w:shd w:val="clear" w:color="auto" w:fill="FFFFFF"/>
        </w:rPr>
        <w:t>Y., c J.(2020). Bad greenwashing, good greenwashing: Corporate social responsibility and information transparency. </w:t>
      </w:r>
      <w:r w:rsidRPr="009232AD">
        <w:rPr>
          <w:rFonts w:asciiTheme="majorBidi" w:hAnsiTheme="majorBidi" w:cstheme="majorBidi"/>
          <w:i/>
          <w:iCs/>
          <w:color w:val="000000" w:themeColor="text1"/>
          <w:szCs w:val="24"/>
          <w:shd w:val="clear" w:color="auto" w:fill="FFFFFF"/>
        </w:rPr>
        <w:t>Management Science</w:t>
      </w:r>
      <w:r w:rsidRPr="009232AD">
        <w:rPr>
          <w:rFonts w:asciiTheme="majorBidi" w:hAnsiTheme="majorBidi" w:cstheme="majorBidi"/>
          <w:color w:val="000000" w:themeColor="text1"/>
          <w:szCs w:val="24"/>
          <w:shd w:val="clear" w:color="auto" w:fill="FFFFFF"/>
        </w:rPr>
        <w:t>, </w:t>
      </w:r>
      <w:r w:rsidRPr="009232AD">
        <w:rPr>
          <w:rFonts w:asciiTheme="majorBidi" w:hAnsiTheme="majorBidi" w:cstheme="majorBidi"/>
          <w:i/>
          <w:iCs/>
          <w:color w:val="000000" w:themeColor="text1"/>
          <w:szCs w:val="24"/>
          <w:shd w:val="clear" w:color="auto" w:fill="FFFFFF"/>
        </w:rPr>
        <w:t>66</w:t>
      </w:r>
      <w:r w:rsidRPr="009232AD">
        <w:rPr>
          <w:rFonts w:asciiTheme="majorBidi" w:hAnsiTheme="majorBidi" w:cstheme="majorBidi"/>
          <w:color w:val="000000" w:themeColor="text1"/>
          <w:szCs w:val="24"/>
          <w:shd w:val="clear" w:color="auto" w:fill="FFFFFF"/>
        </w:rPr>
        <w:t xml:space="preserve">(7), </w:t>
      </w:r>
      <w:r w:rsidR="004A5A47">
        <w:rPr>
          <w:rFonts w:asciiTheme="majorBidi" w:hAnsiTheme="majorBidi" w:cstheme="majorBidi"/>
          <w:color w:val="000000" w:themeColor="text1"/>
          <w:szCs w:val="24"/>
          <w:shd w:val="clear" w:color="auto" w:fill="FFFFFF"/>
        </w:rPr>
        <w:t xml:space="preserve"> </w:t>
      </w:r>
      <w:r w:rsidRPr="009232AD">
        <w:rPr>
          <w:rFonts w:asciiTheme="majorBidi" w:hAnsiTheme="majorBidi" w:cstheme="majorBidi"/>
          <w:color w:val="000000" w:themeColor="text1"/>
          <w:szCs w:val="24"/>
          <w:shd w:val="clear" w:color="auto" w:fill="FFFFFF"/>
        </w:rPr>
        <w:t>3095-3112.</w:t>
      </w:r>
    </w:p>
    <w:p w14:paraId="0FF32CA6" w14:textId="139129E1" w:rsidR="00C77830" w:rsidRDefault="00051CFF" w:rsidP="00485217">
      <w:pPr>
        <w:ind w:left="720" w:hanging="720"/>
      </w:pPr>
      <w:r w:rsidRPr="009232AD">
        <w:rPr>
          <w:rFonts w:asciiTheme="majorBidi" w:hAnsiTheme="majorBidi" w:cstheme="majorBidi"/>
          <w:color w:val="000000" w:themeColor="text1"/>
          <w:szCs w:val="24"/>
          <w:shd w:val="clear" w:color="auto" w:fill="FFFFFF"/>
        </w:rPr>
        <w:t>Zhang, D. (2022). Environmental regulation and firm product quality improvement: How does the greenwashing response?. </w:t>
      </w:r>
      <w:r w:rsidRPr="009232AD">
        <w:rPr>
          <w:rFonts w:asciiTheme="majorBidi" w:hAnsiTheme="majorBidi" w:cstheme="majorBidi"/>
          <w:i/>
          <w:iCs/>
          <w:color w:val="000000" w:themeColor="text1"/>
          <w:szCs w:val="24"/>
          <w:shd w:val="clear" w:color="auto" w:fill="FFFFFF"/>
        </w:rPr>
        <w:t>International Review of Financial Analysis</w:t>
      </w:r>
      <w:r w:rsidRPr="009232AD">
        <w:rPr>
          <w:rFonts w:asciiTheme="majorBidi" w:hAnsiTheme="majorBidi" w:cstheme="majorBidi"/>
          <w:color w:val="000000" w:themeColor="text1"/>
          <w:szCs w:val="24"/>
          <w:shd w:val="clear" w:color="auto" w:fill="FFFFFF"/>
        </w:rPr>
        <w:t>, </w:t>
      </w:r>
      <w:r w:rsidRPr="009232AD">
        <w:rPr>
          <w:rFonts w:asciiTheme="majorBidi" w:hAnsiTheme="majorBidi" w:cstheme="majorBidi"/>
          <w:i/>
          <w:iCs/>
          <w:color w:val="000000" w:themeColor="text1"/>
          <w:szCs w:val="24"/>
          <w:shd w:val="clear" w:color="auto" w:fill="FFFFFF"/>
        </w:rPr>
        <w:t>80</w:t>
      </w:r>
      <w:r w:rsidRPr="009232AD">
        <w:rPr>
          <w:rFonts w:asciiTheme="majorBidi" w:hAnsiTheme="majorBidi" w:cstheme="majorBidi"/>
          <w:color w:val="000000" w:themeColor="text1"/>
          <w:szCs w:val="24"/>
          <w:shd w:val="clear" w:color="auto" w:fill="FFFFFF"/>
        </w:rPr>
        <w:t>, p.102058.</w:t>
      </w:r>
      <w:r w:rsidR="004A5A47">
        <w:t xml:space="preserve"> </w:t>
      </w:r>
    </w:p>
    <w:p w14:paraId="00C27AFE" w14:textId="77777777" w:rsidR="00C77830" w:rsidRDefault="00C77830">
      <w:pPr>
        <w:spacing w:after="160" w:line="259" w:lineRule="auto"/>
        <w:ind w:firstLine="0"/>
      </w:pPr>
    </w:p>
    <w:p w14:paraId="38223A7E" w14:textId="77777777" w:rsidR="0049425C" w:rsidRDefault="0049425C">
      <w:pPr>
        <w:spacing w:after="160" w:line="259" w:lineRule="auto"/>
        <w:ind w:firstLine="0"/>
      </w:pPr>
    </w:p>
    <w:p w14:paraId="49277152" w14:textId="77777777" w:rsidR="0049425C" w:rsidRDefault="0049425C">
      <w:pPr>
        <w:spacing w:after="160" w:line="259" w:lineRule="auto"/>
        <w:ind w:firstLine="0"/>
      </w:pPr>
    </w:p>
    <w:p w14:paraId="09F1D847" w14:textId="77777777" w:rsidR="0049425C" w:rsidRDefault="0049425C">
      <w:pPr>
        <w:spacing w:after="160" w:line="259" w:lineRule="auto"/>
        <w:ind w:firstLine="0"/>
      </w:pPr>
    </w:p>
    <w:p w14:paraId="1E02DCFC" w14:textId="77777777" w:rsidR="0049425C" w:rsidRDefault="0049425C" w:rsidP="0049425C">
      <w:pPr>
        <w:pStyle w:val="Heading1"/>
      </w:pPr>
      <w:r>
        <w:t>Appendix 1</w:t>
      </w:r>
    </w:p>
    <w:tbl>
      <w:tblPr>
        <w:tblStyle w:val="TableGrid1"/>
        <w:tblW w:w="946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5959"/>
        <w:gridCol w:w="1246"/>
      </w:tblGrid>
      <w:tr w:rsidR="0049425C" w:rsidRPr="005862D0" w14:paraId="021E3D8F" w14:textId="77777777" w:rsidTr="003C02AD">
        <w:trPr>
          <w:trHeight w:val="283"/>
        </w:trPr>
        <w:tc>
          <w:tcPr>
            <w:tcW w:w="2263" w:type="dxa"/>
            <w:tcBorders>
              <w:bottom w:val="single" w:sz="4" w:space="0" w:color="auto"/>
            </w:tcBorders>
          </w:tcPr>
          <w:p w14:paraId="6EE46412" w14:textId="77777777" w:rsidR="0049425C" w:rsidRPr="005862D0" w:rsidRDefault="0049425C" w:rsidP="003C02AD">
            <w:pPr>
              <w:spacing w:line="240" w:lineRule="auto"/>
              <w:ind w:firstLine="0"/>
              <w:rPr>
                <w:rFonts w:eastAsia="Calibri" w:cs="Times New Roman"/>
                <w:b/>
                <w:bCs/>
                <w:sz w:val="20"/>
                <w:szCs w:val="20"/>
              </w:rPr>
            </w:pPr>
            <w:r w:rsidRPr="005862D0">
              <w:rPr>
                <w:rFonts w:eastAsia="Times New Roman" w:cs="Times New Roman"/>
                <w:b/>
                <w:bCs/>
                <w:sz w:val="20"/>
                <w:szCs w:val="20"/>
              </w:rPr>
              <w:t>Variable Name</w:t>
            </w:r>
          </w:p>
        </w:tc>
        <w:tc>
          <w:tcPr>
            <w:tcW w:w="5959" w:type="dxa"/>
            <w:tcBorders>
              <w:bottom w:val="single" w:sz="4" w:space="0" w:color="auto"/>
            </w:tcBorders>
          </w:tcPr>
          <w:p w14:paraId="4ADFED0A" w14:textId="77777777" w:rsidR="0049425C" w:rsidRPr="005862D0" w:rsidRDefault="0049425C" w:rsidP="003C02AD">
            <w:pPr>
              <w:spacing w:line="240" w:lineRule="auto"/>
              <w:ind w:firstLine="0"/>
              <w:rPr>
                <w:rFonts w:eastAsia="Calibri" w:cs="Times New Roman"/>
                <w:b/>
                <w:bCs/>
                <w:sz w:val="20"/>
                <w:szCs w:val="20"/>
              </w:rPr>
            </w:pPr>
            <w:r w:rsidRPr="005862D0">
              <w:rPr>
                <w:rFonts w:eastAsia="Calibri" w:cs="Times New Roman"/>
                <w:b/>
                <w:bCs/>
                <w:sz w:val="20"/>
                <w:szCs w:val="20"/>
              </w:rPr>
              <w:t>Definition</w:t>
            </w:r>
          </w:p>
        </w:tc>
        <w:tc>
          <w:tcPr>
            <w:tcW w:w="1246" w:type="dxa"/>
            <w:tcBorders>
              <w:bottom w:val="single" w:sz="4" w:space="0" w:color="auto"/>
            </w:tcBorders>
          </w:tcPr>
          <w:p w14:paraId="0B95850F" w14:textId="77777777" w:rsidR="0049425C" w:rsidRPr="005862D0" w:rsidRDefault="0049425C" w:rsidP="003C02AD">
            <w:pPr>
              <w:spacing w:line="240" w:lineRule="auto"/>
              <w:ind w:firstLine="0"/>
              <w:rPr>
                <w:rFonts w:eastAsia="Calibri" w:cs="Times New Roman"/>
                <w:b/>
                <w:bCs/>
                <w:sz w:val="20"/>
                <w:szCs w:val="20"/>
              </w:rPr>
            </w:pPr>
            <w:r w:rsidRPr="005862D0">
              <w:rPr>
                <w:rFonts w:eastAsia="Calibri" w:cs="Times New Roman"/>
                <w:b/>
                <w:bCs/>
                <w:sz w:val="20"/>
                <w:szCs w:val="20"/>
              </w:rPr>
              <w:t>Source</w:t>
            </w:r>
          </w:p>
        </w:tc>
      </w:tr>
      <w:tr w:rsidR="0049425C" w:rsidRPr="005862D0" w14:paraId="0489141F" w14:textId="77777777" w:rsidTr="003C02AD">
        <w:trPr>
          <w:trHeight w:val="283"/>
        </w:trPr>
        <w:tc>
          <w:tcPr>
            <w:tcW w:w="2263" w:type="dxa"/>
            <w:tcBorders>
              <w:top w:val="single" w:sz="4" w:space="0" w:color="auto"/>
              <w:bottom w:val="single" w:sz="4" w:space="0" w:color="auto"/>
            </w:tcBorders>
          </w:tcPr>
          <w:p w14:paraId="5D2C57C3" w14:textId="77777777" w:rsidR="0049425C" w:rsidRPr="005862D0" w:rsidRDefault="0049425C" w:rsidP="003C02AD">
            <w:pPr>
              <w:spacing w:line="240" w:lineRule="auto"/>
              <w:ind w:firstLine="0"/>
              <w:rPr>
                <w:rFonts w:eastAsia="Calibri" w:cs="Times New Roman"/>
                <w:sz w:val="20"/>
                <w:szCs w:val="20"/>
              </w:rPr>
            </w:pPr>
            <w:r w:rsidRPr="005862D0">
              <w:rPr>
                <w:rFonts w:eastAsia="Times New Roman" w:cs="Times New Roman"/>
                <w:b/>
                <w:bCs/>
                <w:i/>
                <w:iCs/>
                <w:sz w:val="20"/>
                <w:szCs w:val="20"/>
                <w:lang w:eastAsia="en-GB"/>
              </w:rPr>
              <w:t>Dependent variables</w:t>
            </w:r>
          </w:p>
        </w:tc>
        <w:tc>
          <w:tcPr>
            <w:tcW w:w="5959" w:type="dxa"/>
            <w:tcBorders>
              <w:top w:val="single" w:sz="4" w:space="0" w:color="auto"/>
              <w:bottom w:val="single" w:sz="4" w:space="0" w:color="auto"/>
            </w:tcBorders>
          </w:tcPr>
          <w:p w14:paraId="092FB241" w14:textId="77777777" w:rsidR="0049425C" w:rsidRPr="005862D0" w:rsidRDefault="0049425C" w:rsidP="003C02AD">
            <w:pPr>
              <w:spacing w:line="240" w:lineRule="auto"/>
              <w:ind w:firstLine="0"/>
              <w:rPr>
                <w:rFonts w:eastAsia="Calibri" w:cs="Times New Roman"/>
                <w:sz w:val="20"/>
                <w:szCs w:val="20"/>
              </w:rPr>
            </w:pPr>
          </w:p>
        </w:tc>
        <w:tc>
          <w:tcPr>
            <w:tcW w:w="1246" w:type="dxa"/>
            <w:tcBorders>
              <w:top w:val="single" w:sz="4" w:space="0" w:color="auto"/>
              <w:bottom w:val="single" w:sz="4" w:space="0" w:color="auto"/>
            </w:tcBorders>
          </w:tcPr>
          <w:p w14:paraId="05D62D00" w14:textId="77777777" w:rsidR="0049425C" w:rsidRPr="005862D0" w:rsidRDefault="0049425C" w:rsidP="003C02AD">
            <w:pPr>
              <w:spacing w:line="240" w:lineRule="auto"/>
              <w:ind w:firstLine="0"/>
              <w:rPr>
                <w:rFonts w:eastAsia="Calibri" w:cs="Times New Roman"/>
                <w:sz w:val="20"/>
                <w:szCs w:val="20"/>
              </w:rPr>
            </w:pPr>
          </w:p>
        </w:tc>
      </w:tr>
      <w:tr w:rsidR="0049425C" w:rsidRPr="005862D0" w14:paraId="589263F0" w14:textId="77777777" w:rsidTr="003C02AD">
        <w:trPr>
          <w:trHeight w:val="283"/>
        </w:trPr>
        <w:tc>
          <w:tcPr>
            <w:tcW w:w="2263" w:type="dxa"/>
            <w:tcBorders>
              <w:top w:val="single" w:sz="4" w:space="0" w:color="auto"/>
            </w:tcBorders>
          </w:tcPr>
          <w:p w14:paraId="19D5A8CE" w14:textId="77777777" w:rsidR="0049425C" w:rsidRPr="005862D0" w:rsidRDefault="0049425C" w:rsidP="003C02AD">
            <w:pPr>
              <w:spacing w:line="240" w:lineRule="auto"/>
              <w:ind w:firstLine="0"/>
              <w:rPr>
                <w:rFonts w:eastAsia="Calibri" w:cs="Times New Roman"/>
                <w:sz w:val="20"/>
                <w:szCs w:val="20"/>
              </w:rPr>
            </w:pPr>
            <w:proofErr w:type="spellStart"/>
            <w:r w:rsidRPr="005862D0">
              <w:rPr>
                <w:rFonts w:eastAsia="Calibri" w:cs="Times New Roman"/>
                <w:sz w:val="20"/>
                <w:szCs w:val="20"/>
              </w:rPr>
              <w:t>Overall_Rating</w:t>
            </w:r>
            <w:proofErr w:type="spellEnd"/>
          </w:p>
        </w:tc>
        <w:tc>
          <w:tcPr>
            <w:tcW w:w="5959" w:type="dxa"/>
            <w:tcBorders>
              <w:top w:val="single" w:sz="4" w:space="0" w:color="auto"/>
            </w:tcBorders>
          </w:tcPr>
          <w:p w14:paraId="34B99B83" w14:textId="3D3A43EC" w:rsidR="0049425C" w:rsidRPr="00E12169" w:rsidRDefault="0049425C" w:rsidP="003C02AD">
            <w:pPr>
              <w:spacing w:line="240" w:lineRule="auto"/>
              <w:ind w:firstLine="0"/>
              <w:jc w:val="both"/>
              <w:rPr>
                <w:rFonts w:eastAsia="Times New Roman" w:cs="Times New Roman"/>
                <w:sz w:val="20"/>
                <w:szCs w:val="20"/>
              </w:rPr>
            </w:pPr>
            <w:r w:rsidRPr="00E12169">
              <w:rPr>
                <w:rFonts w:eastAsia="Times New Roman" w:cs="Times New Roman"/>
                <w:sz w:val="20"/>
                <w:szCs w:val="20"/>
              </w:rPr>
              <w:t xml:space="preserve">The </w:t>
            </w:r>
            <w:r w:rsidR="004848DD" w:rsidRPr="00E12169">
              <w:rPr>
                <w:sz w:val="20"/>
                <w:szCs w:val="20"/>
              </w:rPr>
              <w:t>organisation</w:t>
            </w:r>
            <w:r w:rsidR="003D3806" w:rsidRPr="00E12169">
              <w:rPr>
                <w:sz w:val="20"/>
                <w:szCs w:val="20"/>
              </w:rPr>
              <w:t>’s</w:t>
            </w:r>
            <w:r w:rsidRPr="00E12169">
              <w:rPr>
                <w:rFonts w:eastAsia="Times New Roman" w:cs="Times New Roman"/>
                <w:sz w:val="20"/>
                <w:szCs w:val="20"/>
              </w:rPr>
              <w:t xml:space="preserve"> overall rating submitted by employees.</w:t>
            </w:r>
          </w:p>
        </w:tc>
        <w:tc>
          <w:tcPr>
            <w:tcW w:w="1246" w:type="dxa"/>
            <w:tcBorders>
              <w:top w:val="single" w:sz="4" w:space="0" w:color="auto"/>
            </w:tcBorders>
          </w:tcPr>
          <w:p w14:paraId="4F8FBEAA" w14:textId="77777777" w:rsidR="0049425C" w:rsidRPr="005862D0" w:rsidRDefault="0049425C" w:rsidP="003C02AD">
            <w:pPr>
              <w:spacing w:line="240" w:lineRule="auto"/>
              <w:ind w:firstLine="0"/>
              <w:rPr>
                <w:rFonts w:eastAsia="Calibri" w:cs="Times New Roman"/>
                <w:sz w:val="20"/>
                <w:szCs w:val="20"/>
              </w:rPr>
            </w:pPr>
            <w:r w:rsidRPr="005862D0">
              <w:rPr>
                <w:rFonts w:eastAsia="Times New Roman" w:cs="Times New Roman"/>
                <w:sz w:val="20"/>
                <w:szCs w:val="20"/>
              </w:rPr>
              <w:t>Glassdoor</w:t>
            </w:r>
          </w:p>
        </w:tc>
      </w:tr>
      <w:tr w:rsidR="0049425C" w:rsidRPr="005862D0" w14:paraId="3C303388" w14:textId="77777777" w:rsidTr="003C02AD">
        <w:trPr>
          <w:trHeight w:val="283"/>
        </w:trPr>
        <w:tc>
          <w:tcPr>
            <w:tcW w:w="2263" w:type="dxa"/>
          </w:tcPr>
          <w:p w14:paraId="0310C269" w14:textId="77777777" w:rsidR="0049425C" w:rsidRPr="005862D0" w:rsidRDefault="0049425C" w:rsidP="003C02AD">
            <w:pPr>
              <w:spacing w:line="240" w:lineRule="auto"/>
              <w:ind w:firstLine="0"/>
              <w:rPr>
                <w:rFonts w:eastAsia="Calibri" w:cs="Times New Roman"/>
                <w:sz w:val="20"/>
                <w:szCs w:val="20"/>
              </w:rPr>
            </w:pPr>
            <w:proofErr w:type="spellStart"/>
            <w:r w:rsidRPr="005862D0">
              <w:rPr>
                <w:rFonts w:eastAsia="Calibri" w:cs="Times New Roman"/>
                <w:sz w:val="20"/>
                <w:szCs w:val="20"/>
              </w:rPr>
              <w:t>CultureValues</w:t>
            </w:r>
            <w:proofErr w:type="spellEnd"/>
          </w:p>
        </w:tc>
        <w:tc>
          <w:tcPr>
            <w:tcW w:w="5959" w:type="dxa"/>
          </w:tcPr>
          <w:p w14:paraId="34FEEFEA" w14:textId="33E19349" w:rsidR="0049425C" w:rsidRPr="00E12169" w:rsidRDefault="0049425C" w:rsidP="003C02AD">
            <w:pPr>
              <w:spacing w:line="240" w:lineRule="auto"/>
              <w:ind w:firstLine="0"/>
              <w:rPr>
                <w:rFonts w:eastAsia="Calibri" w:cs="Times New Roman"/>
                <w:sz w:val="20"/>
                <w:szCs w:val="20"/>
              </w:rPr>
            </w:pPr>
            <w:r w:rsidRPr="00E12169">
              <w:rPr>
                <w:rFonts w:eastAsia="Times New Roman" w:cs="Times New Roman"/>
                <w:sz w:val="20"/>
                <w:szCs w:val="20"/>
              </w:rPr>
              <w:t xml:space="preserve">The </w:t>
            </w:r>
            <w:r w:rsidR="004848DD" w:rsidRPr="00E12169">
              <w:rPr>
                <w:sz w:val="20"/>
                <w:szCs w:val="20"/>
              </w:rPr>
              <w:t>organisation</w:t>
            </w:r>
            <w:r w:rsidR="003D3806" w:rsidRPr="00E12169">
              <w:rPr>
                <w:sz w:val="20"/>
                <w:szCs w:val="20"/>
              </w:rPr>
              <w:t>’s</w:t>
            </w:r>
            <w:r w:rsidRPr="00E12169">
              <w:rPr>
                <w:rFonts w:eastAsia="Times New Roman" w:cs="Times New Roman"/>
                <w:sz w:val="20"/>
                <w:szCs w:val="20"/>
              </w:rPr>
              <w:t xml:space="preserve"> culture and values rating submitted by employees. </w:t>
            </w:r>
          </w:p>
        </w:tc>
        <w:tc>
          <w:tcPr>
            <w:tcW w:w="1246" w:type="dxa"/>
          </w:tcPr>
          <w:p w14:paraId="3346BF93" w14:textId="77777777" w:rsidR="0049425C" w:rsidRPr="005862D0" w:rsidRDefault="0049425C" w:rsidP="003C02AD">
            <w:pPr>
              <w:spacing w:line="240" w:lineRule="auto"/>
              <w:ind w:firstLine="0"/>
              <w:rPr>
                <w:rFonts w:eastAsia="Calibri" w:cs="Times New Roman"/>
                <w:sz w:val="20"/>
                <w:szCs w:val="20"/>
              </w:rPr>
            </w:pPr>
            <w:r w:rsidRPr="005862D0">
              <w:rPr>
                <w:rFonts w:eastAsia="Times New Roman" w:cs="Times New Roman"/>
                <w:sz w:val="20"/>
                <w:szCs w:val="20"/>
              </w:rPr>
              <w:t>Glassdoor</w:t>
            </w:r>
          </w:p>
        </w:tc>
      </w:tr>
      <w:tr w:rsidR="0049425C" w:rsidRPr="005862D0" w14:paraId="5FD55C07" w14:textId="77777777" w:rsidTr="003C02AD">
        <w:trPr>
          <w:trHeight w:val="283"/>
        </w:trPr>
        <w:tc>
          <w:tcPr>
            <w:tcW w:w="2263" w:type="dxa"/>
          </w:tcPr>
          <w:p w14:paraId="2035CD0A" w14:textId="77777777" w:rsidR="0049425C" w:rsidRPr="005862D0" w:rsidRDefault="0049425C" w:rsidP="003C02AD">
            <w:pPr>
              <w:spacing w:line="240" w:lineRule="auto"/>
              <w:ind w:firstLine="0"/>
              <w:rPr>
                <w:rFonts w:eastAsia="Calibri" w:cs="Times New Roman"/>
                <w:sz w:val="20"/>
                <w:szCs w:val="20"/>
              </w:rPr>
            </w:pPr>
            <w:proofErr w:type="spellStart"/>
            <w:r w:rsidRPr="005862D0">
              <w:rPr>
                <w:rFonts w:eastAsia="Calibri" w:cs="Times New Roman"/>
                <w:sz w:val="20"/>
                <w:szCs w:val="20"/>
              </w:rPr>
              <w:t>WorkLifeBalance</w:t>
            </w:r>
            <w:proofErr w:type="spellEnd"/>
          </w:p>
        </w:tc>
        <w:tc>
          <w:tcPr>
            <w:tcW w:w="5959" w:type="dxa"/>
          </w:tcPr>
          <w:p w14:paraId="4B07A9EF" w14:textId="6DC5E36F" w:rsidR="0049425C" w:rsidRPr="00E12169" w:rsidRDefault="0049425C" w:rsidP="003C02AD">
            <w:pPr>
              <w:spacing w:line="240" w:lineRule="auto"/>
              <w:ind w:firstLine="0"/>
              <w:jc w:val="both"/>
              <w:rPr>
                <w:rFonts w:eastAsia="Times New Roman" w:cs="Times New Roman"/>
                <w:sz w:val="20"/>
                <w:szCs w:val="20"/>
              </w:rPr>
            </w:pPr>
            <w:r w:rsidRPr="00E12169">
              <w:rPr>
                <w:rFonts w:eastAsia="Times New Roman" w:cs="Times New Roman"/>
                <w:sz w:val="20"/>
                <w:szCs w:val="20"/>
              </w:rPr>
              <w:t>The</w:t>
            </w:r>
            <w:r w:rsidR="003D3806" w:rsidRPr="00E12169">
              <w:rPr>
                <w:sz w:val="20"/>
                <w:szCs w:val="20"/>
              </w:rPr>
              <w:t xml:space="preserve"> </w:t>
            </w:r>
            <w:r w:rsidR="004848DD" w:rsidRPr="00E12169">
              <w:rPr>
                <w:sz w:val="20"/>
                <w:szCs w:val="20"/>
              </w:rPr>
              <w:t>organisation</w:t>
            </w:r>
            <w:r w:rsidR="003D3806" w:rsidRPr="00E12169">
              <w:rPr>
                <w:sz w:val="20"/>
                <w:szCs w:val="20"/>
              </w:rPr>
              <w:t>’s</w:t>
            </w:r>
            <w:r w:rsidR="003D3806" w:rsidRPr="00E12169">
              <w:rPr>
                <w:rFonts w:eastAsia="Times New Roman" w:cs="Times New Roman"/>
                <w:sz w:val="20"/>
                <w:szCs w:val="20"/>
              </w:rPr>
              <w:t xml:space="preserve"> </w:t>
            </w:r>
            <w:r w:rsidRPr="00E12169">
              <w:rPr>
                <w:rFonts w:eastAsia="Times New Roman" w:cs="Times New Roman"/>
                <w:sz w:val="20"/>
                <w:szCs w:val="20"/>
              </w:rPr>
              <w:t>work/life balance rating submitted by employees.</w:t>
            </w:r>
          </w:p>
        </w:tc>
        <w:tc>
          <w:tcPr>
            <w:tcW w:w="1246" w:type="dxa"/>
          </w:tcPr>
          <w:p w14:paraId="000F2399" w14:textId="77777777" w:rsidR="0049425C" w:rsidRPr="005862D0" w:rsidRDefault="0049425C" w:rsidP="003C02AD">
            <w:pPr>
              <w:spacing w:line="240" w:lineRule="auto"/>
              <w:ind w:firstLine="0"/>
              <w:rPr>
                <w:rFonts w:eastAsia="Calibri" w:cs="Times New Roman"/>
                <w:sz w:val="20"/>
                <w:szCs w:val="20"/>
              </w:rPr>
            </w:pPr>
            <w:r w:rsidRPr="005862D0">
              <w:rPr>
                <w:rFonts w:eastAsia="Times New Roman" w:cs="Times New Roman"/>
                <w:sz w:val="20"/>
                <w:szCs w:val="20"/>
              </w:rPr>
              <w:t>Glassdoor</w:t>
            </w:r>
          </w:p>
        </w:tc>
      </w:tr>
      <w:tr w:rsidR="0049425C" w:rsidRPr="005862D0" w14:paraId="6AAB1A99" w14:textId="77777777" w:rsidTr="003C02AD">
        <w:trPr>
          <w:trHeight w:val="283"/>
        </w:trPr>
        <w:tc>
          <w:tcPr>
            <w:tcW w:w="2263" w:type="dxa"/>
          </w:tcPr>
          <w:p w14:paraId="17386245" w14:textId="77777777" w:rsidR="0049425C" w:rsidRPr="005862D0" w:rsidRDefault="0049425C" w:rsidP="003C02AD">
            <w:pPr>
              <w:spacing w:line="240" w:lineRule="auto"/>
              <w:ind w:firstLine="0"/>
              <w:rPr>
                <w:rFonts w:eastAsia="Calibri" w:cs="Times New Roman"/>
                <w:sz w:val="20"/>
                <w:szCs w:val="20"/>
              </w:rPr>
            </w:pPr>
            <w:proofErr w:type="spellStart"/>
            <w:r w:rsidRPr="005862D0">
              <w:rPr>
                <w:rFonts w:eastAsia="Calibri" w:cs="Times New Roman"/>
                <w:sz w:val="20"/>
                <w:szCs w:val="20"/>
              </w:rPr>
              <w:t>SeniorManagement</w:t>
            </w:r>
            <w:proofErr w:type="spellEnd"/>
          </w:p>
        </w:tc>
        <w:tc>
          <w:tcPr>
            <w:tcW w:w="5959" w:type="dxa"/>
          </w:tcPr>
          <w:p w14:paraId="691EBD7E" w14:textId="019F1984" w:rsidR="0049425C" w:rsidRPr="00E12169" w:rsidRDefault="0049425C" w:rsidP="003C02AD">
            <w:pPr>
              <w:spacing w:line="240" w:lineRule="auto"/>
              <w:ind w:firstLine="0"/>
              <w:jc w:val="both"/>
              <w:rPr>
                <w:rFonts w:eastAsia="Times New Roman" w:cs="Times New Roman"/>
                <w:sz w:val="20"/>
                <w:szCs w:val="20"/>
              </w:rPr>
            </w:pPr>
            <w:r w:rsidRPr="00E12169">
              <w:rPr>
                <w:rFonts w:eastAsia="Times New Roman" w:cs="Times New Roman"/>
                <w:sz w:val="20"/>
                <w:szCs w:val="20"/>
              </w:rPr>
              <w:t xml:space="preserve">The </w:t>
            </w:r>
            <w:r w:rsidR="004848DD" w:rsidRPr="00E12169">
              <w:rPr>
                <w:sz w:val="20"/>
                <w:szCs w:val="20"/>
              </w:rPr>
              <w:t>organisation</w:t>
            </w:r>
            <w:r w:rsidR="003D3806" w:rsidRPr="00E12169">
              <w:rPr>
                <w:sz w:val="20"/>
                <w:szCs w:val="20"/>
              </w:rPr>
              <w:t>’s</w:t>
            </w:r>
            <w:r w:rsidR="003D3806" w:rsidRPr="00E12169">
              <w:rPr>
                <w:rFonts w:eastAsia="Times New Roman" w:cs="Times New Roman"/>
                <w:sz w:val="20"/>
                <w:szCs w:val="20"/>
              </w:rPr>
              <w:t xml:space="preserve"> </w:t>
            </w:r>
            <w:r w:rsidRPr="00E12169">
              <w:rPr>
                <w:rFonts w:eastAsia="Times New Roman" w:cs="Times New Roman"/>
                <w:sz w:val="20"/>
                <w:szCs w:val="20"/>
              </w:rPr>
              <w:t>senior management rating submitted by employees.</w:t>
            </w:r>
          </w:p>
        </w:tc>
        <w:tc>
          <w:tcPr>
            <w:tcW w:w="1246" w:type="dxa"/>
          </w:tcPr>
          <w:p w14:paraId="5B586F1A" w14:textId="77777777" w:rsidR="0049425C" w:rsidRPr="005862D0" w:rsidRDefault="0049425C" w:rsidP="003C02AD">
            <w:pPr>
              <w:spacing w:line="240" w:lineRule="auto"/>
              <w:ind w:firstLine="0"/>
              <w:rPr>
                <w:rFonts w:eastAsia="Calibri" w:cs="Times New Roman"/>
                <w:sz w:val="20"/>
                <w:szCs w:val="20"/>
              </w:rPr>
            </w:pPr>
            <w:r w:rsidRPr="005862D0">
              <w:rPr>
                <w:rFonts w:eastAsia="Times New Roman" w:cs="Times New Roman"/>
                <w:sz w:val="20"/>
                <w:szCs w:val="20"/>
              </w:rPr>
              <w:t>Glassdoor</w:t>
            </w:r>
          </w:p>
        </w:tc>
      </w:tr>
      <w:tr w:rsidR="0049425C" w:rsidRPr="005862D0" w14:paraId="2FB6FD41" w14:textId="77777777" w:rsidTr="003C02AD">
        <w:trPr>
          <w:trHeight w:val="283"/>
        </w:trPr>
        <w:tc>
          <w:tcPr>
            <w:tcW w:w="2263" w:type="dxa"/>
          </w:tcPr>
          <w:p w14:paraId="41285DD6" w14:textId="77777777" w:rsidR="0049425C" w:rsidRPr="005862D0" w:rsidRDefault="0049425C" w:rsidP="003C02AD">
            <w:pPr>
              <w:spacing w:line="240" w:lineRule="auto"/>
              <w:ind w:firstLine="0"/>
              <w:rPr>
                <w:rFonts w:eastAsia="Calibri" w:cs="Times New Roman"/>
                <w:sz w:val="20"/>
                <w:szCs w:val="20"/>
              </w:rPr>
            </w:pPr>
            <w:proofErr w:type="spellStart"/>
            <w:r w:rsidRPr="005862D0">
              <w:rPr>
                <w:rFonts w:eastAsia="Calibri" w:cs="Times New Roman"/>
                <w:sz w:val="20"/>
                <w:szCs w:val="20"/>
              </w:rPr>
              <w:t>CompensationBenefits</w:t>
            </w:r>
            <w:proofErr w:type="spellEnd"/>
          </w:p>
        </w:tc>
        <w:tc>
          <w:tcPr>
            <w:tcW w:w="5959" w:type="dxa"/>
          </w:tcPr>
          <w:p w14:paraId="44A4B70E" w14:textId="2C3DAA1B" w:rsidR="0049425C" w:rsidRPr="00E12169" w:rsidRDefault="0049425C" w:rsidP="003C02AD">
            <w:pPr>
              <w:spacing w:line="240" w:lineRule="auto"/>
              <w:ind w:firstLine="0"/>
              <w:jc w:val="both"/>
              <w:rPr>
                <w:rFonts w:eastAsia="Times New Roman" w:cs="Times New Roman"/>
                <w:sz w:val="20"/>
                <w:szCs w:val="20"/>
              </w:rPr>
            </w:pPr>
            <w:r w:rsidRPr="00E12169">
              <w:rPr>
                <w:rFonts w:eastAsia="Times New Roman" w:cs="Times New Roman"/>
                <w:sz w:val="20"/>
                <w:szCs w:val="20"/>
              </w:rPr>
              <w:t>The</w:t>
            </w:r>
            <w:r w:rsidR="003D3806" w:rsidRPr="00E12169">
              <w:rPr>
                <w:sz w:val="20"/>
                <w:szCs w:val="20"/>
              </w:rPr>
              <w:t xml:space="preserve"> </w:t>
            </w:r>
            <w:r w:rsidR="004848DD" w:rsidRPr="00E12169">
              <w:rPr>
                <w:sz w:val="20"/>
                <w:szCs w:val="20"/>
              </w:rPr>
              <w:t>organisation</w:t>
            </w:r>
            <w:r w:rsidR="003D3806" w:rsidRPr="00E12169">
              <w:rPr>
                <w:sz w:val="20"/>
                <w:szCs w:val="20"/>
              </w:rPr>
              <w:t>’s</w:t>
            </w:r>
            <w:r w:rsidR="003D3806" w:rsidRPr="00E12169">
              <w:rPr>
                <w:rFonts w:eastAsia="Times New Roman" w:cs="Times New Roman"/>
                <w:sz w:val="20"/>
                <w:szCs w:val="20"/>
              </w:rPr>
              <w:t xml:space="preserve"> </w:t>
            </w:r>
            <w:r w:rsidRPr="00E12169">
              <w:rPr>
                <w:rFonts w:eastAsia="Times New Roman" w:cs="Times New Roman"/>
                <w:sz w:val="20"/>
                <w:szCs w:val="20"/>
              </w:rPr>
              <w:t>compensation and benefits rating submitted by employees.</w:t>
            </w:r>
          </w:p>
        </w:tc>
        <w:tc>
          <w:tcPr>
            <w:tcW w:w="1246" w:type="dxa"/>
          </w:tcPr>
          <w:p w14:paraId="7E0F6588" w14:textId="77777777" w:rsidR="0049425C" w:rsidRPr="005862D0" w:rsidRDefault="0049425C" w:rsidP="003C02AD">
            <w:pPr>
              <w:spacing w:line="240" w:lineRule="auto"/>
              <w:ind w:firstLine="0"/>
              <w:rPr>
                <w:rFonts w:eastAsia="Calibri" w:cs="Times New Roman"/>
                <w:sz w:val="20"/>
                <w:szCs w:val="20"/>
              </w:rPr>
            </w:pPr>
            <w:r w:rsidRPr="005862D0">
              <w:rPr>
                <w:rFonts w:eastAsia="Times New Roman" w:cs="Times New Roman"/>
                <w:sz w:val="20"/>
                <w:szCs w:val="20"/>
              </w:rPr>
              <w:t>Glassdoor</w:t>
            </w:r>
          </w:p>
        </w:tc>
      </w:tr>
      <w:tr w:rsidR="0049425C" w:rsidRPr="005862D0" w14:paraId="2450204D" w14:textId="77777777" w:rsidTr="003C02AD">
        <w:trPr>
          <w:trHeight w:val="283"/>
        </w:trPr>
        <w:tc>
          <w:tcPr>
            <w:tcW w:w="2263" w:type="dxa"/>
            <w:tcBorders>
              <w:bottom w:val="nil"/>
            </w:tcBorders>
          </w:tcPr>
          <w:p w14:paraId="1A1E815B" w14:textId="77777777" w:rsidR="0049425C" w:rsidRPr="005862D0" w:rsidRDefault="0049425C" w:rsidP="003C02AD">
            <w:pPr>
              <w:spacing w:line="240" w:lineRule="auto"/>
              <w:ind w:firstLine="0"/>
              <w:rPr>
                <w:rFonts w:eastAsia="Calibri" w:cs="Times New Roman"/>
                <w:sz w:val="20"/>
                <w:szCs w:val="20"/>
              </w:rPr>
            </w:pPr>
            <w:proofErr w:type="spellStart"/>
            <w:r w:rsidRPr="005862D0">
              <w:rPr>
                <w:rFonts w:eastAsia="Calibri" w:cs="Times New Roman"/>
                <w:sz w:val="20"/>
                <w:szCs w:val="20"/>
              </w:rPr>
              <w:t>CareerOpportunities</w:t>
            </w:r>
            <w:proofErr w:type="spellEnd"/>
          </w:p>
        </w:tc>
        <w:tc>
          <w:tcPr>
            <w:tcW w:w="5959" w:type="dxa"/>
            <w:tcBorders>
              <w:bottom w:val="nil"/>
            </w:tcBorders>
          </w:tcPr>
          <w:p w14:paraId="1F553243" w14:textId="0B951895" w:rsidR="0049425C" w:rsidRPr="00E12169" w:rsidRDefault="0049425C" w:rsidP="003C02AD">
            <w:pPr>
              <w:spacing w:line="240" w:lineRule="auto"/>
              <w:ind w:firstLine="0"/>
              <w:rPr>
                <w:rFonts w:eastAsia="Calibri" w:cs="Times New Roman"/>
                <w:sz w:val="20"/>
                <w:szCs w:val="20"/>
              </w:rPr>
            </w:pPr>
            <w:r w:rsidRPr="00E12169">
              <w:rPr>
                <w:rFonts w:eastAsia="Times New Roman" w:cs="Times New Roman"/>
                <w:sz w:val="20"/>
                <w:szCs w:val="20"/>
              </w:rPr>
              <w:t xml:space="preserve">The </w:t>
            </w:r>
            <w:r w:rsidR="004848DD" w:rsidRPr="00E12169">
              <w:rPr>
                <w:sz w:val="20"/>
                <w:szCs w:val="20"/>
              </w:rPr>
              <w:t>organisation</w:t>
            </w:r>
            <w:r w:rsidR="003D3806" w:rsidRPr="00E12169">
              <w:rPr>
                <w:sz w:val="20"/>
                <w:szCs w:val="20"/>
              </w:rPr>
              <w:t>’s</w:t>
            </w:r>
            <w:r w:rsidR="003D3806" w:rsidRPr="00E12169">
              <w:rPr>
                <w:rFonts w:eastAsia="Times New Roman" w:cs="Times New Roman"/>
                <w:sz w:val="20"/>
                <w:szCs w:val="20"/>
              </w:rPr>
              <w:t xml:space="preserve"> </w:t>
            </w:r>
            <w:r w:rsidRPr="00E12169">
              <w:rPr>
                <w:rFonts w:eastAsia="Times New Roman" w:cs="Times New Roman"/>
                <w:sz w:val="20"/>
                <w:szCs w:val="20"/>
              </w:rPr>
              <w:t>career opportunities rating submitted by employees.</w:t>
            </w:r>
          </w:p>
        </w:tc>
        <w:tc>
          <w:tcPr>
            <w:tcW w:w="1246" w:type="dxa"/>
            <w:tcBorders>
              <w:bottom w:val="nil"/>
            </w:tcBorders>
          </w:tcPr>
          <w:p w14:paraId="227602A4" w14:textId="77777777" w:rsidR="0049425C" w:rsidRPr="005862D0" w:rsidRDefault="0049425C" w:rsidP="003C02AD">
            <w:pPr>
              <w:spacing w:line="240" w:lineRule="auto"/>
              <w:ind w:firstLine="0"/>
              <w:rPr>
                <w:rFonts w:eastAsia="Calibri" w:cs="Times New Roman"/>
                <w:sz w:val="20"/>
                <w:szCs w:val="20"/>
              </w:rPr>
            </w:pPr>
            <w:r w:rsidRPr="005862D0">
              <w:rPr>
                <w:rFonts w:eastAsia="Times New Roman" w:cs="Times New Roman"/>
                <w:sz w:val="20"/>
                <w:szCs w:val="20"/>
              </w:rPr>
              <w:t>Glassdoor</w:t>
            </w:r>
          </w:p>
        </w:tc>
      </w:tr>
      <w:tr w:rsidR="0049425C" w:rsidRPr="005862D0" w14:paraId="3AD09E00" w14:textId="77777777" w:rsidTr="003C02AD">
        <w:trPr>
          <w:trHeight w:val="283"/>
        </w:trPr>
        <w:tc>
          <w:tcPr>
            <w:tcW w:w="2263" w:type="dxa"/>
            <w:tcBorders>
              <w:top w:val="nil"/>
              <w:bottom w:val="single" w:sz="4" w:space="0" w:color="auto"/>
            </w:tcBorders>
          </w:tcPr>
          <w:p w14:paraId="30F3F1D5" w14:textId="77777777" w:rsidR="0049425C" w:rsidRPr="005862D0" w:rsidRDefault="0049425C" w:rsidP="003C02AD">
            <w:pPr>
              <w:spacing w:line="240" w:lineRule="auto"/>
              <w:ind w:firstLine="0"/>
              <w:rPr>
                <w:rFonts w:eastAsia="Calibri" w:cs="Times New Roman"/>
                <w:sz w:val="20"/>
                <w:szCs w:val="20"/>
              </w:rPr>
            </w:pPr>
            <w:proofErr w:type="spellStart"/>
            <w:r w:rsidRPr="005862D0">
              <w:rPr>
                <w:rFonts w:eastAsia="Calibri" w:cs="Times New Roman"/>
                <w:sz w:val="20"/>
                <w:szCs w:val="20"/>
              </w:rPr>
              <w:t>Tobin_Q</w:t>
            </w:r>
            <w:proofErr w:type="spellEnd"/>
          </w:p>
        </w:tc>
        <w:tc>
          <w:tcPr>
            <w:tcW w:w="5959" w:type="dxa"/>
            <w:tcBorders>
              <w:top w:val="nil"/>
              <w:bottom w:val="single" w:sz="4" w:space="0" w:color="auto"/>
            </w:tcBorders>
          </w:tcPr>
          <w:p w14:paraId="19913346" w14:textId="77777777" w:rsidR="0049425C" w:rsidRPr="00E12169" w:rsidRDefault="0049425C" w:rsidP="003C02AD">
            <w:pPr>
              <w:spacing w:line="240" w:lineRule="auto"/>
              <w:ind w:firstLine="0"/>
              <w:rPr>
                <w:rFonts w:eastAsia="Times New Roman" w:cs="Times New Roman"/>
                <w:sz w:val="20"/>
                <w:szCs w:val="20"/>
              </w:rPr>
            </w:pPr>
            <w:r w:rsidRPr="00E12169">
              <w:rPr>
                <w:rFonts w:eastAsia="Times New Roman" w:cs="Times New Roman"/>
                <w:sz w:val="20"/>
                <w:szCs w:val="20"/>
              </w:rPr>
              <w:t xml:space="preserve">Tobin’s Q is calculated as market value plus total liabilities divided by total assets. Tobin’s Q is </w:t>
            </w:r>
            <w:proofErr w:type="spellStart"/>
            <w:r w:rsidRPr="00E12169">
              <w:rPr>
                <w:rFonts w:eastAsia="Times New Roman" w:cs="Times New Roman"/>
                <w:sz w:val="20"/>
                <w:szCs w:val="20"/>
              </w:rPr>
              <w:t>winsorised</w:t>
            </w:r>
            <w:proofErr w:type="spellEnd"/>
            <w:r w:rsidRPr="00E12169">
              <w:rPr>
                <w:rFonts w:eastAsia="Times New Roman" w:cs="Times New Roman"/>
                <w:sz w:val="20"/>
                <w:szCs w:val="20"/>
              </w:rPr>
              <w:t xml:space="preserve"> at the 1% level in each tail.</w:t>
            </w:r>
          </w:p>
        </w:tc>
        <w:tc>
          <w:tcPr>
            <w:tcW w:w="1246" w:type="dxa"/>
            <w:tcBorders>
              <w:top w:val="nil"/>
              <w:bottom w:val="single" w:sz="4" w:space="0" w:color="auto"/>
            </w:tcBorders>
          </w:tcPr>
          <w:p w14:paraId="7268D56D" w14:textId="77777777" w:rsidR="0049425C" w:rsidRPr="005862D0" w:rsidRDefault="0049425C" w:rsidP="003C02AD">
            <w:pPr>
              <w:spacing w:line="240" w:lineRule="auto"/>
              <w:ind w:firstLine="0"/>
              <w:rPr>
                <w:rFonts w:eastAsia="Times New Roman" w:cs="Times New Roman"/>
                <w:sz w:val="20"/>
                <w:szCs w:val="20"/>
              </w:rPr>
            </w:pPr>
            <w:r w:rsidRPr="005862D0">
              <w:rPr>
                <w:rFonts w:eastAsia="Times New Roman" w:cs="Times New Roman"/>
                <w:sz w:val="20"/>
                <w:szCs w:val="20"/>
              </w:rPr>
              <w:t>LSEG</w:t>
            </w:r>
          </w:p>
        </w:tc>
      </w:tr>
      <w:tr w:rsidR="0049425C" w:rsidRPr="005862D0" w14:paraId="04754FAB" w14:textId="77777777" w:rsidTr="003C02AD">
        <w:trPr>
          <w:trHeight w:val="283"/>
        </w:trPr>
        <w:tc>
          <w:tcPr>
            <w:tcW w:w="2263" w:type="dxa"/>
            <w:tcBorders>
              <w:top w:val="single" w:sz="4" w:space="0" w:color="auto"/>
              <w:bottom w:val="single" w:sz="4" w:space="0" w:color="auto"/>
            </w:tcBorders>
          </w:tcPr>
          <w:p w14:paraId="704A32F3" w14:textId="77777777" w:rsidR="0049425C" w:rsidRPr="005862D0" w:rsidRDefault="0049425C" w:rsidP="003C02AD">
            <w:pPr>
              <w:spacing w:line="240" w:lineRule="auto"/>
              <w:ind w:firstLine="0"/>
              <w:rPr>
                <w:rFonts w:eastAsia="Calibri" w:cs="Times New Roman"/>
                <w:sz w:val="20"/>
                <w:szCs w:val="20"/>
              </w:rPr>
            </w:pPr>
            <w:r w:rsidRPr="005862D0">
              <w:rPr>
                <w:rFonts w:eastAsia="Calibri" w:cs="Times New Roman"/>
                <w:b/>
                <w:bCs/>
                <w:i/>
                <w:iCs/>
                <w:sz w:val="20"/>
                <w:szCs w:val="20"/>
              </w:rPr>
              <w:t>Independent variables</w:t>
            </w:r>
          </w:p>
        </w:tc>
        <w:tc>
          <w:tcPr>
            <w:tcW w:w="5959" w:type="dxa"/>
            <w:tcBorders>
              <w:top w:val="single" w:sz="4" w:space="0" w:color="auto"/>
              <w:bottom w:val="single" w:sz="4" w:space="0" w:color="auto"/>
            </w:tcBorders>
          </w:tcPr>
          <w:p w14:paraId="69918305" w14:textId="77777777" w:rsidR="0049425C" w:rsidRPr="005862D0" w:rsidRDefault="0049425C" w:rsidP="003C02AD">
            <w:pPr>
              <w:spacing w:line="240" w:lineRule="auto"/>
              <w:ind w:firstLine="0"/>
              <w:rPr>
                <w:rFonts w:eastAsia="Times New Roman" w:cs="Times New Roman"/>
                <w:sz w:val="20"/>
                <w:szCs w:val="20"/>
              </w:rPr>
            </w:pPr>
          </w:p>
        </w:tc>
        <w:tc>
          <w:tcPr>
            <w:tcW w:w="1246" w:type="dxa"/>
            <w:tcBorders>
              <w:top w:val="single" w:sz="4" w:space="0" w:color="auto"/>
              <w:bottom w:val="single" w:sz="4" w:space="0" w:color="auto"/>
            </w:tcBorders>
          </w:tcPr>
          <w:p w14:paraId="0E5C42A4" w14:textId="77777777" w:rsidR="0049425C" w:rsidRPr="005862D0" w:rsidRDefault="0049425C" w:rsidP="003C02AD">
            <w:pPr>
              <w:spacing w:line="240" w:lineRule="auto"/>
              <w:ind w:firstLine="0"/>
              <w:rPr>
                <w:rFonts w:eastAsia="Times New Roman" w:cs="Times New Roman"/>
                <w:sz w:val="20"/>
                <w:szCs w:val="20"/>
              </w:rPr>
            </w:pPr>
          </w:p>
        </w:tc>
      </w:tr>
      <w:tr w:rsidR="0049425C" w:rsidRPr="005862D0" w14:paraId="767F1A14" w14:textId="77777777" w:rsidTr="003C02AD">
        <w:trPr>
          <w:trHeight w:val="283"/>
        </w:trPr>
        <w:tc>
          <w:tcPr>
            <w:tcW w:w="2263" w:type="dxa"/>
            <w:tcBorders>
              <w:top w:val="single" w:sz="4" w:space="0" w:color="auto"/>
            </w:tcBorders>
          </w:tcPr>
          <w:p w14:paraId="237E0E8B" w14:textId="77777777" w:rsidR="0049425C" w:rsidRPr="005862D0" w:rsidRDefault="0049425C" w:rsidP="003C02AD">
            <w:pPr>
              <w:spacing w:line="240" w:lineRule="auto"/>
              <w:ind w:firstLine="0"/>
              <w:rPr>
                <w:rFonts w:eastAsia="Calibri" w:cs="Times New Roman"/>
                <w:sz w:val="20"/>
                <w:szCs w:val="20"/>
              </w:rPr>
            </w:pPr>
            <w:proofErr w:type="spellStart"/>
            <w:r w:rsidRPr="005862D0">
              <w:rPr>
                <w:rFonts w:eastAsia="Calibri" w:cs="Times New Roman"/>
                <w:sz w:val="20"/>
                <w:szCs w:val="20"/>
              </w:rPr>
              <w:t>OverallWellbeing_ESG</w:t>
            </w:r>
            <w:proofErr w:type="spellEnd"/>
          </w:p>
        </w:tc>
        <w:tc>
          <w:tcPr>
            <w:tcW w:w="5959" w:type="dxa"/>
            <w:tcBorders>
              <w:top w:val="single" w:sz="4" w:space="0" w:color="auto"/>
            </w:tcBorders>
          </w:tcPr>
          <w:p w14:paraId="36009F8C" w14:textId="77777777" w:rsidR="0049425C" w:rsidRPr="00825D8A" w:rsidRDefault="0049425C" w:rsidP="003C02AD">
            <w:pPr>
              <w:spacing w:line="240" w:lineRule="auto"/>
              <w:ind w:firstLine="0"/>
              <w:rPr>
                <w:rFonts w:eastAsia="Times New Roman" w:cs="Times New Roman"/>
                <w:sz w:val="20"/>
                <w:szCs w:val="20"/>
              </w:rPr>
            </w:pPr>
            <w:r w:rsidRPr="00825D8A">
              <w:rPr>
                <w:rFonts w:eastAsia="Times New Roman" w:cs="Times New Roman"/>
                <w:sz w:val="20"/>
                <w:szCs w:val="20"/>
              </w:rPr>
              <w:t>The number of all wellbeing words -as identified in appendix 1in the online appendix -found in the ESG report divided by the total number of words in the ESG report multiplied by 100.</w:t>
            </w:r>
          </w:p>
        </w:tc>
        <w:tc>
          <w:tcPr>
            <w:tcW w:w="1246" w:type="dxa"/>
            <w:tcBorders>
              <w:top w:val="single" w:sz="4" w:space="0" w:color="auto"/>
            </w:tcBorders>
          </w:tcPr>
          <w:p w14:paraId="50F5886A" w14:textId="77777777" w:rsidR="0049425C" w:rsidRPr="005862D0" w:rsidRDefault="0049425C" w:rsidP="003C02AD">
            <w:pPr>
              <w:spacing w:line="240" w:lineRule="auto"/>
              <w:ind w:firstLine="0"/>
              <w:rPr>
                <w:rFonts w:eastAsia="Times New Roman" w:cs="Times New Roman"/>
                <w:sz w:val="20"/>
                <w:szCs w:val="20"/>
              </w:rPr>
            </w:pPr>
            <w:r w:rsidRPr="005862D0">
              <w:rPr>
                <w:rFonts w:eastAsia="Times New Roman" w:cs="Times New Roman"/>
                <w:sz w:val="20"/>
                <w:szCs w:val="20"/>
              </w:rPr>
              <w:t>ESG reports</w:t>
            </w:r>
          </w:p>
        </w:tc>
      </w:tr>
      <w:tr w:rsidR="0049425C" w:rsidRPr="005862D0" w14:paraId="7793F2B1" w14:textId="77777777" w:rsidTr="003C02AD">
        <w:trPr>
          <w:trHeight w:val="283"/>
        </w:trPr>
        <w:tc>
          <w:tcPr>
            <w:tcW w:w="2263" w:type="dxa"/>
          </w:tcPr>
          <w:p w14:paraId="05186DBA" w14:textId="77777777" w:rsidR="0049425C" w:rsidRPr="005862D0" w:rsidRDefault="0049425C" w:rsidP="003C02AD">
            <w:pPr>
              <w:spacing w:line="240" w:lineRule="auto"/>
              <w:ind w:firstLine="0"/>
              <w:rPr>
                <w:rFonts w:eastAsia="Calibri" w:cs="Times New Roman"/>
                <w:sz w:val="20"/>
                <w:szCs w:val="20"/>
              </w:rPr>
            </w:pPr>
            <w:r w:rsidRPr="005862D0">
              <w:rPr>
                <w:rFonts w:eastAsia="Calibri" w:cs="Times New Roman"/>
                <w:sz w:val="20"/>
                <w:szCs w:val="20"/>
              </w:rPr>
              <w:t>DEI_ESG</w:t>
            </w:r>
          </w:p>
        </w:tc>
        <w:tc>
          <w:tcPr>
            <w:tcW w:w="5959" w:type="dxa"/>
          </w:tcPr>
          <w:p w14:paraId="153620CF" w14:textId="77777777" w:rsidR="0049425C" w:rsidRPr="00825D8A" w:rsidRDefault="0049425C" w:rsidP="003C02AD">
            <w:pPr>
              <w:spacing w:line="240" w:lineRule="auto"/>
              <w:ind w:firstLine="0"/>
              <w:rPr>
                <w:rFonts w:eastAsia="Times New Roman" w:cs="Times New Roman"/>
                <w:sz w:val="20"/>
                <w:szCs w:val="20"/>
              </w:rPr>
            </w:pPr>
            <w:r w:rsidRPr="00825D8A">
              <w:rPr>
                <w:rFonts w:eastAsia="Times New Roman" w:cs="Times New Roman"/>
                <w:sz w:val="20"/>
                <w:szCs w:val="20"/>
              </w:rPr>
              <w:t>The number of Diversity, Equity and Inclusion words -as identified in appendix 1in the online appendix - found in the ESG report divided by the total number of words in the ESG report multiplied by 100.</w:t>
            </w:r>
          </w:p>
        </w:tc>
        <w:tc>
          <w:tcPr>
            <w:tcW w:w="1246" w:type="dxa"/>
          </w:tcPr>
          <w:p w14:paraId="58956D6E" w14:textId="77777777" w:rsidR="0049425C" w:rsidRPr="005862D0" w:rsidRDefault="0049425C" w:rsidP="003C02AD">
            <w:pPr>
              <w:spacing w:line="240" w:lineRule="auto"/>
              <w:ind w:firstLine="0"/>
              <w:rPr>
                <w:rFonts w:eastAsia="Times New Roman" w:cs="Times New Roman"/>
                <w:sz w:val="20"/>
                <w:szCs w:val="20"/>
              </w:rPr>
            </w:pPr>
            <w:r w:rsidRPr="005862D0">
              <w:rPr>
                <w:rFonts w:eastAsia="Times New Roman" w:cs="Times New Roman"/>
                <w:sz w:val="20"/>
                <w:szCs w:val="20"/>
              </w:rPr>
              <w:t>ESG reports</w:t>
            </w:r>
          </w:p>
        </w:tc>
      </w:tr>
      <w:tr w:rsidR="0049425C" w:rsidRPr="005862D0" w14:paraId="72876907" w14:textId="77777777" w:rsidTr="003C02AD">
        <w:trPr>
          <w:trHeight w:val="283"/>
        </w:trPr>
        <w:tc>
          <w:tcPr>
            <w:tcW w:w="2263" w:type="dxa"/>
          </w:tcPr>
          <w:p w14:paraId="01D2796C" w14:textId="77777777" w:rsidR="0049425C" w:rsidRPr="005862D0" w:rsidRDefault="0049425C" w:rsidP="003C02AD">
            <w:pPr>
              <w:spacing w:line="240" w:lineRule="auto"/>
              <w:ind w:firstLine="0"/>
              <w:rPr>
                <w:rFonts w:eastAsia="Calibri" w:cs="Times New Roman"/>
                <w:sz w:val="20"/>
                <w:szCs w:val="20"/>
              </w:rPr>
            </w:pPr>
            <w:r w:rsidRPr="005862D0">
              <w:rPr>
                <w:rFonts w:eastAsia="Calibri" w:cs="Times New Roman"/>
                <w:sz w:val="20"/>
                <w:szCs w:val="20"/>
              </w:rPr>
              <w:t>HRM_ESG</w:t>
            </w:r>
          </w:p>
        </w:tc>
        <w:tc>
          <w:tcPr>
            <w:tcW w:w="5959" w:type="dxa"/>
          </w:tcPr>
          <w:p w14:paraId="0288E74D" w14:textId="77777777" w:rsidR="0049425C" w:rsidRPr="00825D8A" w:rsidRDefault="0049425C" w:rsidP="003C02AD">
            <w:pPr>
              <w:spacing w:line="240" w:lineRule="auto"/>
              <w:ind w:firstLine="0"/>
              <w:rPr>
                <w:rFonts w:eastAsia="Times New Roman" w:cs="Times New Roman"/>
                <w:sz w:val="20"/>
                <w:szCs w:val="20"/>
              </w:rPr>
            </w:pPr>
            <w:r w:rsidRPr="00825D8A">
              <w:rPr>
                <w:rFonts w:eastAsia="Times New Roman" w:cs="Times New Roman"/>
                <w:sz w:val="20"/>
                <w:szCs w:val="20"/>
              </w:rPr>
              <w:t xml:space="preserve">The number of Human Resource Management Practices and Wellbeing Initiatives words -as identified in </w:t>
            </w:r>
            <w:r>
              <w:rPr>
                <w:rFonts w:eastAsia="Times New Roman" w:cs="Times New Roman"/>
                <w:sz w:val="20"/>
                <w:szCs w:val="20"/>
              </w:rPr>
              <w:t>A</w:t>
            </w:r>
            <w:r w:rsidRPr="00825D8A">
              <w:rPr>
                <w:rFonts w:eastAsia="Times New Roman" w:cs="Times New Roman"/>
                <w:sz w:val="20"/>
                <w:szCs w:val="20"/>
              </w:rPr>
              <w:t>ppendix 1in the online appendix - found in the ESG report divided by the total number of words in the ESG report multiplied by 100.</w:t>
            </w:r>
          </w:p>
        </w:tc>
        <w:tc>
          <w:tcPr>
            <w:tcW w:w="1246" w:type="dxa"/>
          </w:tcPr>
          <w:p w14:paraId="591E17E4" w14:textId="77777777" w:rsidR="0049425C" w:rsidRPr="005862D0" w:rsidRDefault="0049425C" w:rsidP="003C02AD">
            <w:pPr>
              <w:spacing w:line="240" w:lineRule="auto"/>
              <w:ind w:firstLine="0"/>
              <w:rPr>
                <w:rFonts w:eastAsia="Times New Roman" w:cs="Times New Roman"/>
                <w:sz w:val="20"/>
                <w:szCs w:val="20"/>
              </w:rPr>
            </w:pPr>
            <w:r w:rsidRPr="005862D0">
              <w:rPr>
                <w:rFonts w:eastAsia="Times New Roman" w:cs="Times New Roman"/>
                <w:sz w:val="20"/>
                <w:szCs w:val="20"/>
              </w:rPr>
              <w:t>ESG reports</w:t>
            </w:r>
          </w:p>
        </w:tc>
      </w:tr>
      <w:tr w:rsidR="0049425C" w:rsidRPr="005862D0" w14:paraId="2CFE6CD2" w14:textId="77777777" w:rsidTr="003C02AD">
        <w:trPr>
          <w:trHeight w:val="283"/>
        </w:trPr>
        <w:tc>
          <w:tcPr>
            <w:tcW w:w="2263" w:type="dxa"/>
          </w:tcPr>
          <w:p w14:paraId="4FD5169F" w14:textId="77777777" w:rsidR="0049425C" w:rsidRPr="005862D0" w:rsidRDefault="0049425C" w:rsidP="003C02AD">
            <w:pPr>
              <w:spacing w:line="240" w:lineRule="auto"/>
              <w:ind w:firstLine="0"/>
              <w:rPr>
                <w:rFonts w:eastAsia="Calibri" w:cs="Times New Roman"/>
                <w:sz w:val="20"/>
                <w:szCs w:val="20"/>
              </w:rPr>
            </w:pPr>
            <w:proofErr w:type="spellStart"/>
            <w:r w:rsidRPr="005862D0">
              <w:rPr>
                <w:rFonts w:eastAsia="Calibri" w:cs="Times New Roman"/>
                <w:sz w:val="20"/>
                <w:szCs w:val="20"/>
              </w:rPr>
              <w:t>MentalHealth_ESG</w:t>
            </w:r>
            <w:proofErr w:type="spellEnd"/>
          </w:p>
        </w:tc>
        <w:tc>
          <w:tcPr>
            <w:tcW w:w="5959" w:type="dxa"/>
          </w:tcPr>
          <w:p w14:paraId="3CD1ACF3" w14:textId="77777777" w:rsidR="0049425C" w:rsidRPr="00825D8A" w:rsidRDefault="0049425C" w:rsidP="003C02AD">
            <w:pPr>
              <w:spacing w:line="240" w:lineRule="auto"/>
              <w:ind w:firstLine="0"/>
              <w:rPr>
                <w:rFonts w:eastAsia="Times New Roman" w:cs="Times New Roman"/>
                <w:sz w:val="20"/>
                <w:szCs w:val="20"/>
              </w:rPr>
            </w:pPr>
            <w:r w:rsidRPr="00825D8A">
              <w:rPr>
                <w:rFonts w:eastAsia="Times New Roman" w:cs="Times New Roman"/>
                <w:sz w:val="20"/>
                <w:szCs w:val="20"/>
              </w:rPr>
              <w:t xml:space="preserve">The number of Mental Health and Associated Indicators words -as identified in </w:t>
            </w:r>
            <w:r>
              <w:rPr>
                <w:rFonts w:eastAsia="Times New Roman" w:cs="Times New Roman"/>
                <w:sz w:val="20"/>
                <w:szCs w:val="20"/>
              </w:rPr>
              <w:t>A</w:t>
            </w:r>
            <w:r w:rsidRPr="00825D8A">
              <w:rPr>
                <w:rFonts w:eastAsia="Times New Roman" w:cs="Times New Roman"/>
                <w:sz w:val="20"/>
                <w:szCs w:val="20"/>
              </w:rPr>
              <w:t>ppendix 1in the online appendix - found in the ESG report divided by the total number of words in the ESG report multiplied by 100.</w:t>
            </w:r>
          </w:p>
        </w:tc>
        <w:tc>
          <w:tcPr>
            <w:tcW w:w="1246" w:type="dxa"/>
          </w:tcPr>
          <w:p w14:paraId="52E4C24A" w14:textId="77777777" w:rsidR="0049425C" w:rsidRPr="005862D0" w:rsidRDefault="0049425C" w:rsidP="003C02AD">
            <w:pPr>
              <w:spacing w:line="240" w:lineRule="auto"/>
              <w:ind w:firstLine="0"/>
              <w:rPr>
                <w:rFonts w:eastAsia="Times New Roman" w:cs="Times New Roman"/>
                <w:sz w:val="20"/>
                <w:szCs w:val="20"/>
              </w:rPr>
            </w:pPr>
            <w:r w:rsidRPr="005862D0">
              <w:rPr>
                <w:rFonts w:eastAsia="Times New Roman" w:cs="Times New Roman"/>
                <w:sz w:val="20"/>
                <w:szCs w:val="20"/>
              </w:rPr>
              <w:t>ESG reports</w:t>
            </w:r>
          </w:p>
        </w:tc>
      </w:tr>
      <w:tr w:rsidR="0049425C" w:rsidRPr="005862D0" w14:paraId="7E316D10" w14:textId="77777777" w:rsidTr="003C02AD">
        <w:trPr>
          <w:trHeight w:val="283"/>
        </w:trPr>
        <w:tc>
          <w:tcPr>
            <w:tcW w:w="2263" w:type="dxa"/>
          </w:tcPr>
          <w:p w14:paraId="37A18942" w14:textId="77777777" w:rsidR="0049425C" w:rsidRPr="005862D0" w:rsidRDefault="0049425C" w:rsidP="003C02AD">
            <w:pPr>
              <w:spacing w:line="240" w:lineRule="auto"/>
              <w:ind w:firstLine="0"/>
              <w:rPr>
                <w:rFonts w:eastAsia="Calibri" w:cs="Times New Roman"/>
                <w:sz w:val="20"/>
                <w:szCs w:val="20"/>
              </w:rPr>
            </w:pPr>
            <w:proofErr w:type="spellStart"/>
            <w:r w:rsidRPr="005862D0">
              <w:rPr>
                <w:rFonts w:eastAsia="Calibri" w:cs="Times New Roman"/>
                <w:sz w:val="20"/>
                <w:szCs w:val="20"/>
              </w:rPr>
              <w:t>Resources_ESG</w:t>
            </w:r>
            <w:proofErr w:type="spellEnd"/>
          </w:p>
        </w:tc>
        <w:tc>
          <w:tcPr>
            <w:tcW w:w="5959" w:type="dxa"/>
          </w:tcPr>
          <w:p w14:paraId="4B1B8211" w14:textId="77777777" w:rsidR="0049425C" w:rsidRPr="00825D8A" w:rsidRDefault="0049425C" w:rsidP="003C02AD">
            <w:pPr>
              <w:spacing w:line="240" w:lineRule="auto"/>
              <w:ind w:firstLine="0"/>
              <w:rPr>
                <w:rFonts w:eastAsia="Times New Roman" w:cs="Times New Roman"/>
                <w:sz w:val="20"/>
                <w:szCs w:val="20"/>
              </w:rPr>
            </w:pPr>
            <w:r w:rsidRPr="00825D8A">
              <w:rPr>
                <w:rFonts w:eastAsia="Times New Roman" w:cs="Times New Roman"/>
                <w:sz w:val="20"/>
                <w:szCs w:val="20"/>
              </w:rPr>
              <w:t xml:space="preserve">The number of </w:t>
            </w:r>
            <w:r w:rsidRPr="00825D8A">
              <w:rPr>
                <w:rFonts w:eastAsia="Calibri" w:cs="Times New Roman"/>
                <w:sz w:val="20"/>
                <w:szCs w:val="20"/>
              </w:rPr>
              <w:t>Resources</w:t>
            </w:r>
            <w:r w:rsidRPr="00825D8A">
              <w:rPr>
                <w:rFonts w:eastAsia="Times New Roman" w:cs="Times New Roman"/>
                <w:sz w:val="20"/>
                <w:szCs w:val="20"/>
              </w:rPr>
              <w:t xml:space="preserve"> words -as identified in </w:t>
            </w:r>
            <w:r>
              <w:rPr>
                <w:rFonts w:eastAsia="Times New Roman" w:cs="Times New Roman"/>
                <w:sz w:val="20"/>
                <w:szCs w:val="20"/>
              </w:rPr>
              <w:t>A</w:t>
            </w:r>
            <w:r w:rsidRPr="00825D8A">
              <w:rPr>
                <w:rFonts w:eastAsia="Times New Roman" w:cs="Times New Roman"/>
                <w:sz w:val="20"/>
                <w:szCs w:val="20"/>
              </w:rPr>
              <w:t xml:space="preserve">ppendix 1in the online appendix- found in the ESG report divided by the total number of words in the ESG report multiplied by 100. </w:t>
            </w:r>
          </w:p>
        </w:tc>
        <w:tc>
          <w:tcPr>
            <w:tcW w:w="1246" w:type="dxa"/>
          </w:tcPr>
          <w:p w14:paraId="79599EE3" w14:textId="77777777" w:rsidR="0049425C" w:rsidRPr="005862D0" w:rsidRDefault="0049425C" w:rsidP="003C02AD">
            <w:pPr>
              <w:spacing w:line="240" w:lineRule="auto"/>
              <w:ind w:firstLine="0"/>
              <w:rPr>
                <w:rFonts w:eastAsia="Times New Roman" w:cs="Times New Roman"/>
                <w:sz w:val="20"/>
                <w:szCs w:val="20"/>
              </w:rPr>
            </w:pPr>
            <w:r w:rsidRPr="005862D0">
              <w:rPr>
                <w:rFonts w:eastAsia="Times New Roman" w:cs="Times New Roman"/>
                <w:sz w:val="20"/>
                <w:szCs w:val="20"/>
              </w:rPr>
              <w:t>ESG reports</w:t>
            </w:r>
          </w:p>
        </w:tc>
      </w:tr>
      <w:tr w:rsidR="0049425C" w:rsidRPr="005862D0" w14:paraId="0124D735" w14:textId="77777777" w:rsidTr="003C02AD">
        <w:trPr>
          <w:trHeight w:val="283"/>
        </w:trPr>
        <w:tc>
          <w:tcPr>
            <w:tcW w:w="2263" w:type="dxa"/>
            <w:tcBorders>
              <w:bottom w:val="single" w:sz="4" w:space="0" w:color="auto"/>
            </w:tcBorders>
          </w:tcPr>
          <w:p w14:paraId="4931EFBB" w14:textId="77777777" w:rsidR="0049425C" w:rsidRPr="005862D0" w:rsidRDefault="0049425C" w:rsidP="003C02AD">
            <w:pPr>
              <w:spacing w:line="240" w:lineRule="auto"/>
              <w:ind w:firstLine="0"/>
              <w:rPr>
                <w:rFonts w:eastAsia="Calibri" w:cs="Times New Roman"/>
                <w:sz w:val="20"/>
                <w:szCs w:val="20"/>
              </w:rPr>
            </w:pPr>
            <w:proofErr w:type="spellStart"/>
            <w:r w:rsidRPr="005862D0">
              <w:rPr>
                <w:rFonts w:eastAsia="Calibri" w:cs="Times New Roman"/>
                <w:sz w:val="20"/>
                <w:szCs w:val="20"/>
              </w:rPr>
              <w:t>Risk_ESG</w:t>
            </w:r>
            <w:proofErr w:type="spellEnd"/>
          </w:p>
        </w:tc>
        <w:tc>
          <w:tcPr>
            <w:tcW w:w="5959" w:type="dxa"/>
            <w:tcBorders>
              <w:bottom w:val="single" w:sz="4" w:space="0" w:color="auto"/>
            </w:tcBorders>
          </w:tcPr>
          <w:p w14:paraId="1BC6A896" w14:textId="77777777" w:rsidR="0049425C" w:rsidRPr="00825D8A" w:rsidRDefault="0049425C" w:rsidP="003C02AD">
            <w:pPr>
              <w:spacing w:line="240" w:lineRule="auto"/>
              <w:ind w:firstLine="0"/>
              <w:rPr>
                <w:rFonts w:eastAsia="Times New Roman" w:cs="Times New Roman"/>
                <w:sz w:val="20"/>
                <w:szCs w:val="20"/>
              </w:rPr>
            </w:pPr>
            <w:r w:rsidRPr="00825D8A">
              <w:rPr>
                <w:rFonts w:eastAsia="Times New Roman" w:cs="Times New Roman"/>
                <w:sz w:val="20"/>
                <w:szCs w:val="20"/>
              </w:rPr>
              <w:t xml:space="preserve">The number of Job/Occupational Risk Factors words -as identified in </w:t>
            </w:r>
            <w:r>
              <w:rPr>
                <w:rFonts w:eastAsia="Times New Roman" w:cs="Times New Roman"/>
                <w:sz w:val="20"/>
                <w:szCs w:val="20"/>
              </w:rPr>
              <w:t>A</w:t>
            </w:r>
            <w:r w:rsidRPr="00825D8A">
              <w:rPr>
                <w:rFonts w:eastAsia="Times New Roman" w:cs="Times New Roman"/>
                <w:sz w:val="20"/>
                <w:szCs w:val="20"/>
              </w:rPr>
              <w:t>ppendix 1in the online appendix - in the ESG report divided by the total number of words in the ESG report multiplied by 100.</w:t>
            </w:r>
          </w:p>
        </w:tc>
        <w:tc>
          <w:tcPr>
            <w:tcW w:w="1246" w:type="dxa"/>
            <w:tcBorders>
              <w:bottom w:val="single" w:sz="4" w:space="0" w:color="auto"/>
            </w:tcBorders>
          </w:tcPr>
          <w:p w14:paraId="2F3E3931" w14:textId="77777777" w:rsidR="0049425C" w:rsidRPr="005862D0" w:rsidRDefault="0049425C" w:rsidP="003C02AD">
            <w:pPr>
              <w:spacing w:line="240" w:lineRule="auto"/>
              <w:ind w:firstLine="0"/>
              <w:rPr>
                <w:rFonts w:eastAsia="Times New Roman" w:cs="Times New Roman"/>
                <w:sz w:val="20"/>
                <w:szCs w:val="20"/>
              </w:rPr>
            </w:pPr>
            <w:r w:rsidRPr="005862D0">
              <w:rPr>
                <w:rFonts w:eastAsia="Times New Roman" w:cs="Times New Roman"/>
                <w:sz w:val="20"/>
                <w:szCs w:val="20"/>
              </w:rPr>
              <w:t>ESG reports</w:t>
            </w:r>
          </w:p>
        </w:tc>
      </w:tr>
      <w:tr w:rsidR="0049425C" w:rsidRPr="005862D0" w14:paraId="1B10D488" w14:textId="77777777" w:rsidTr="003C02AD">
        <w:trPr>
          <w:trHeight w:val="283"/>
        </w:trPr>
        <w:tc>
          <w:tcPr>
            <w:tcW w:w="2263" w:type="dxa"/>
            <w:tcBorders>
              <w:top w:val="single" w:sz="4" w:space="0" w:color="auto"/>
              <w:bottom w:val="single" w:sz="4" w:space="0" w:color="auto"/>
            </w:tcBorders>
          </w:tcPr>
          <w:p w14:paraId="7D60CDE3" w14:textId="77777777" w:rsidR="0049425C" w:rsidRPr="005862D0" w:rsidRDefault="0049425C" w:rsidP="003C02AD">
            <w:pPr>
              <w:spacing w:line="240" w:lineRule="auto"/>
              <w:ind w:firstLine="0"/>
              <w:rPr>
                <w:rFonts w:eastAsia="Calibri" w:cs="Times New Roman"/>
                <w:sz w:val="20"/>
                <w:szCs w:val="20"/>
              </w:rPr>
            </w:pPr>
            <w:r w:rsidRPr="005862D0">
              <w:rPr>
                <w:rFonts w:eastAsia="Times New Roman" w:cs="Times New Roman"/>
                <w:b/>
                <w:bCs/>
                <w:i/>
                <w:iCs/>
                <w:sz w:val="20"/>
                <w:szCs w:val="20"/>
              </w:rPr>
              <w:t>Control variables</w:t>
            </w:r>
          </w:p>
        </w:tc>
        <w:tc>
          <w:tcPr>
            <w:tcW w:w="5959" w:type="dxa"/>
            <w:tcBorders>
              <w:top w:val="single" w:sz="4" w:space="0" w:color="auto"/>
              <w:bottom w:val="single" w:sz="4" w:space="0" w:color="auto"/>
            </w:tcBorders>
          </w:tcPr>
          <w:p w14:paraId="05C7822B" w14:textId="77777777" w:rsidR="0049425C" w:rsidRPr="005862D0" w:rsidRDefault="0049425C" w:rsidP="003C02AD">
            <w:pPr>
              <w:spacing w:line="240" w:lineRule="auto"/>
              <w:ind w:firstLine="0"/>
              <w:rPr>
                <w:rFonts w:eastAsia="Times New Roman" w:cs="Times New Roman"/>
                <w:sz w:val="20"/>
                <w:szCs w:val="20"/>
              </w:rPr>
            </w:pPr>
          </w:p>
        </w:tc>
        <w:tc>
          <w:tcPr>
            <w:tcW w:w="1246" w:type="dxa"/>
            <w:tcBorders>
              <w:top w:val="single" w:sz="4" w:space="0" w:color="auto"/>
              <w:bottom w:val="single" w:sz="4" w:space="0" w:color="auto"/>
            </w:tcBorders>
          </w:tcPr>
          <w:p w14:paraId="51D95EA6" w14:textId="77777777" w:rsidR="0049425C" w:rsidRPr="005862D0" w:rsidRDefault="0049425C" w:rsidP="003C02AD">
            <w:pPr>
              <w:spacing w:line="240" w:lineRule="auto"/>
              <w:ind w:firstLine="0"/>
              <w:rPr>
                <w:rFonts w:eastAsia="Times New Roman" w:cs="Times New Roman"/>
                <w:sz w:val="20"/>
                <w:szCs w:val="20"/>
              </w:rPr>
            </w:pPr>
          </w:p>
        </w:tc>
      </w:tr>
      <w:tr w:rsidR="0049425C" w:rsidRPr="005862D0" w14:paraId="0F0D8975" w14:textId="77777777" w:rsidTr="003C02AD">
        <w:trPr>
          <w:trHeight w:val="283"/>
        </w:trPr>
        <w:tc>
          <w:tcPr>
            <w:tcW w:w="2263" w:type="dxa"/>
            <w:tcBorders>
              <w:top w:val="single" w:sz="4" w:space="0" w:color="auto"/>
            </w:tcBorders>
          </w:tcPr>
          <w:p w14:paraId="6FB63128" w14:textId="77777777" w:rsidR="0049425C" w:rsidRPr="005862D0" w:rsidRDefault="0049425C" w:rsidP="003C02AD">
            <w:pPr>
              <w:spacing w:line="240" w:lineRule="auto"/>
              <w:ind w:firstLine="0"/>
              <w:rPr>
                <w:rFonts w:eastAsia="Times New Roman" w:cs="Times New Roman"/>
                <w:i/>
                <w:iCs/>
                <w:sz w:val="20"/>
                <w:szCs w:val="20"/>
              </w:rPr>
            </w:pPr>
            <w:r w:rsidRPr="005862D0">
              <w:rPr>
                <w:rFonts w:eastAsia="Calibri" w:cs="Times New Roman"/>
                <w:sz w:val="20"/>
                <w:szCs w:val="20"/>
              </w:rPr>
              <w:t>Cash</w:t>
            </w:r>
          </w:p>
        </w:tc>
        <w:tc>
          <w:tcPr>
            <w:tcW w:w="5959" w:type="dxa"/>
            <w:tcBorders>
              <w:top w:val="single" w:sz="4" w:space="0" w:color="auto"/>
            </w:tcBorders>
          </w:tcPr>
          <w:p w14:paraId="3B88BDDF" w14:textId="77777777" w:rsidR="0049425C" w:rsidRPr="005862D0" w:rsidRDefault="0049425C" w:rsidP="003C02AD">
            <w:pPr>
              <w:spacing w:line="240" w:lineRule="auto"/>
              <w:ind w:firstLine="0"/>
              <w:rPr>
                <w:rFonts w:eastAsia="Times New Roman" w:cs="Times New Roman"/>
                <w:sz w:val="20"/>
                <w:szCs w:val="20"/>
              </w:rPr>
            </w:pPr>
            <w:r w:rsidRPr="005862D0">
              <w:rPr>
                <w:rFonts w:eastAsia="Calibri" w:cs="Times New Roman"/>
                <w:sz w:val="20"/>
                <w:szCs w:val="20"/>
              </w:rPr>
              <w:t>Cash and equivalents divided by total assets.</w:t>
            </w:r>
            <w:r w:rsidRPr="005862D0">
              <w:rPr>
                <w:rFonts w:eastAsia="Times New Roman" w:cs="Times New Roman"/>
                <w:sz w:val="20"/>
                <w:szCs w:val="20"/>
              </w:rPr>
              <w:t xml:space="preserve"> </w:t>
            </w:r>
          </w:p>
        </w:tc>
        <w:tc>
          <w:tcPr>
            <w:tcW w:w="1246" w:type="dxa"/>
            <w:tcBorders>
              <w:top w:val="single" w:sz="4" w:space="0" w:color="auto"/>
            </w:tcBorders>
          </w:tcPr>
          <w:p w14:paraId="07E8F50C" w14:textId="77777777" w:rsidR="0049425C" w:rsidRPr="005862D0" w:rsidRDefault="0049425C" w:rsidP="003C02AD">
            <w:pPr>
              <w:spacing w:line="240" w:lineRule="auto"/>
              <w:ind w:firstLine="0"/>
              <w:rPr>
                <w:rFonts w:eastAsia="Times New Roman" w:cs="Times New Roman"/>
                <w:sz w:val="20"/>
                <w:szCs w:val="20"/>
              </w:rPr>
            </w:pPr>
            <w:r w:rsidRPr="005862D0">
              <w:rPr>
                <w:rFonts w:eastAsia="Calibri" w:cs="Times New Roman"/>
                <w:sz w:val="20"/>
                <w:szCs w:val="20"/>
              </w:rPr>
              <w:t>LSEG</w:t>
            </w:r>
          </w:p>
        </w:tc>
      </w:tr>
      <w:tr w:rsidR="0049425C" w:rsidRPr="005862D0" w14:paraId="693156EA" w14:textId="77777777" w:rsidTr="003C02AD">
        <w:trPr>
          <w:trHeight w:val="283"/>
        </w:trPr>
        <w:tc>
          <w:tcPr>
            <w:tcW w:w="2263" w:type="dxa"/>
          </w:tcPr>
          <w:p w14:paraId="155EF48B" w14:textId="77777777" w:rsidR="0049425C" w:rsidRPr="005862D0" w:rsidRDefault="0049425C" w:rsidP="003C02AD">
            <w:pPr>
              <w:spacing w:line="240" w:lineRule="auto"/>
              <w:ind w:firstLine="0"/>
              <w:rPr>
                <w:rFonts w:eastAsia="Times New Roman" w:cs="Times New Roman"/>
                <w:i/>
                <w:iCs/>
                <w:sz w:val="20"/>
                <w:szCs w:val="20"/>
              </w:rPr>
            </w:pPr>
            <w:r w:rsidRPr="005862D0">
              <w:rPr>
                <w:rFonts w:eastAsia="Calibri" w:cs="Times New Roman"/>
                <w:sz w:val="20"/>
                <w:szCs w:val="20"/>
              </w:rPr>
              <w:t>Lev</w:t>
            </w:r>
          </w:p>
        </w:tc>
        <w:tc>
          <w:tcPr>
            <w:tcW w:w="5959" w:type="dxa"/>
          </w:tcPr>
          <w:p w14:paraId="76D84452" w14:textId="77777777" w:rsidR="0049425C" w:rsidRPr="005862D0" w:rsidRDefault="0049425C" w:rsidP="003C02AD">
            <w:pPr>
              <w:spacing w:line="240" w:lineRule="auto"/>
              <w:ind w:firstLine="0"/>
              <w:rPr>
                <w:rFonts w:eastAsia="Times New Roman" w:cs="Times New Roman"/>
                <w:sz w:val="20"/>
                <w:szCs w:val="20"/>
              </w:rPr>
            </w:pPr>
            <w:r w:rsidRPr="005862D0">
              <w:rPr>
                <w:rFonts w:eastAsia="Calibri" w:cs="Times New Roman"/>
                <w:sz w:val="20"/>
                <w:szCs w:val="20"/>
              </w:rPr>
              <w:t xml:space="preserve">Leverage is total debt to total assets. </w:t>
            </w:r>
          </w:p>
        </w:tc>
        <w:tc>
          <w:tcPr>
            <w:tcW w:w="1246" w:type="dxa"/>
          </w:tcPr>
          <w:p w14:paraId="61C1F719" w14:textId="77777777" w:rsidR="0049425C" w:rsidRPr="005862D0" w:rsidRDefault="0049425C" w:rsidP="003C02AD">
            <w:pPr>
              <w:spacing w:line="240" w:lineRule="auto"/>
              <w:ind w:firstLine="0"/>
              <w:rPr>
                <w:rFonts w:eastAsia="Times New Roman" w:cs="Times New Roman"/>
                <w:sz w:val="20"/>
                <w:szCs w:val="20"/>
              </w:rPr>
            </w:pPr>
            <w:r w:rsidRPr="005862D0">
              <w:rPr>
                <w:rFonts w:eastAsia="Calibri" w:cs="Times New Roman"/>
                <w:sz w:val="20"/>
                <w:szCs w:val="20"/>
              </w:rPr>
              <w:t>LSEG</w:t>
            </w:r>
          </w:p>
        </w:tc>
      </w:tr>
      <w:tr w:rsidR="0049425C" w:rsidRPr="005862D0" w14:paraId="76FF6D20" w14:textId="77777777" w:rsidTr="003C02AD">
        <w:trPr>
          <w:trHeight w:val="283"/>
        </w:trPr>
        <w:tc>
          <w:tcPr>
            <w:tcW w:w="2263" w:type="dxa"/>
          </w:tcPr>
          <w:p w14:paraId="24E0513C" w14:textId="77777777" w:rsidR="0049425C" w:rsidRPr="005862D0" w:rsidRDefault="0049425C" w:rsidP="003C02AD">
            <w:pPr>
              <w:spacing w:line="240" w:lineRule="auto"/>
              <w:ind w:firstLine="0"/>
              <w:rPr>
                <w:rFonts w:eastAsia="Times New Roman" w:cs="Times New Roman"/>
                <w:i/>
                <w:iCs/>
                <w:sz w:val="20"/>
                <w:szCs w:val="20"/>
              </w:rPr>
            </w:pPr>
            <w:proofErr w:type="spellStart"/>
            <w:r w:rsidRPr="005862D0">
              <w:rPr>
                <w:rFonts w:eastAsia="Calibri" w:cs="Times New Roman"/>
                <w:sz w:val="20"/>
                <w:szCs w:val="20"/>
              </w:rPr>
              <w:t>N_Reviews</w:t>
            </w:r>
            <w:proofErr w:type="spellEnd"/>
          </w:p>
        </w:tc>
        <w:tc>
          <w:tcPr>
            <w:tcW w:w="5959" w:type="dxa"/>
          </w:tcPr>
          <w:p w14:paraId="4C9938CC" w14:textId="199E6821" w:rsidR="0049425C" w:rsidRPr="005862D0" w:rsidRDefault="0049425C" w:rsidP="003C02AD">
            <w:pPr>
              <w:spacing w:line="240" w:lineRule="auto"/>
              <w:ind w:firstLine="0"/>
              <w:rPr>
                <w:rFonts w:eastAsia="Times New Roman" w:cs="Times New Roman"/>
                <w:sz w:val="20"/>
                <w:szCs w:val="20"/>
              </w:rPr>
            </w:pPr>
            <w:r w:rsidRPr="005862D0">
              <w:rPr>
                <w:rFonts w:eastAsia="Calibri" w:cs="Times New Roman"/>
                <w:sz w:val="20"/>
                <w:szCs w:val="20"/>
              </w:rPr>
              <w:t xml:space="preserve">Log the number of reviews submitted by employees for </w:t>
            </w:r>
            <w:r w:rsidR="00782DEB">
              <w:rPr>
                <w:rFonts w:eastAsia="Calibri" w:cs="Times New Roman"/>
                <w:sz w:val="20"/>
                <w:szCs w:val="20"/>
              </w:rPr>
              <w:t>an organisation.</w:t>
            </w:r>
          </w:p>
        </w:tc>
        <w:tc>
          <w:tcPr>
            <w:tcW w:w="1246" w:type="dxa"/>
          </w:tcPr>
          <w:p w14:paraId="2D24C752" w14:textId="77777777" w:rsidR="0049425C" w:rsidRPr="005862D0" w:rsidRDefault="0049425C" w:rsidP="003C02AD">
            <w:pPr>
              <w:spacing w:line="240" w:lineRule="auto"/>
              <w:ind w:firstLine="0"/>
              <w:rPr>
                <w:rFonts w:eastAsia="Times New Roman" w:cs="Times New Roman"/>
                <w:sz w:val="20"/>
                <w:szCs w:val="20"/>
              </w:rPr>
            </w:pPr>
            <w:r w:rsidRPr="005862D0">
              <w:rPr>
                <w:rFonts w:eastAsia="Calibri" w:cs="Times New Roman"/>
                <w:sz w:val="20"/>
                <w:szCs w:val="20"/>
              </w:rPr>
              <w:t>LSEG</w:t>
            </w:r>
          </w:p>
        </w:tc>
      </w:tr>
      <w:tr w:rsidR="0049425C" w:rsidRPr="005862D0" w14:paraId="20FC678B" w14:textId="77777777" w:rsidTr="003C02AD">
        <w:trPr>
          <w:trHeight w:val="283"/>
        </w:trPr>
        <w:tc>
          <w:tcPr>
            <w:tcW w:w="2263" w:type="dxa"/>
          </w:tcPr>
          <w:p w14:paraId="400A6ABF" w14:textId="77777777" w:rsidR="0049425C" w:rsidRPr="005862D0" w:rsidRDefault="0049425C" w:rsidP="003C02AD">
            <w:pPr>
              <w:spacing w:line="240" w:lineRule="auto"/>
              <w:ind w:firstLine="0"/>
              <w:rPr>
                <w:rFonts w:eastAsia="Times New Roman" w:cs="Times New Roman"/>
                <w:i/>
                <w:iCs/>
                <w:sz w:val="20"/>
                <w:szCs w:val="20"/>
              </w:rPr>
            </w:pPr>
            <w:r w:rsidRPr="005862D0">
              <w:rPr>
                <w:rFonts w:eastAsia="Calibri" w:cs="Times New Roman"/>
                <w:sz w:val="20"/>
                <w:szCs w:val="20"/>
              </w:rPr>
              <w:t>ROA</w:t>
            </w:r>
          </w:p>
        </w:tc>
        <w:tc>
          <w:tcPr>
            <w:tcW w:w="5959" w:type="dxa"/>
          </w:tcPr>
          <w:p w14:paraId="6AAE009E" w14:textId="77777777" w:rsidR="0049425C" w:rsidRPr="005862D0" w:rsidRDefault="0049425C" w:rsidP="003C02AD">
            <w:pPr>
              <w:spacing w:line="240" w:lineRule="auto"/>
              <w:ind w:firstLine="0"/>
              <w:jc w:val="both"/>
              <w:rPr>
                <w:rFonts w:eastAsia="Times New Roman" w:cs="Times New Roman"/>
                <w:sz w:val="20"/>
                <w:szCs w:val="20"/>
              </w:rPr>
            </w:pPr>
            <w:r w:rsidRPr="005862D0">
              <w:rPr>
                <w:rFonts w:eastAsia="Times New Roman" w:cs="Times New Roman"/>
                <w:sz w:val="20"/>
                <w:szCs w:val="20"/>
              </w:rPr>
              <w:t xml:space="preserve">Return on Assets is the ratio of </w:t>
            </w:r>
            <w:r w:rsidRPr="005862D0">
              <w:rPr>
                <w:rFonts w:eastAsia="Calibri" w:cs="Times New Roman"/>
                <w:sz w:val="20"/>
                <w:szCs w:val="20"/>
              </w:rPr>
              <w:t>income before extraordinary items to total assets.</w:t>
            </w:r>
          </w:p>
        </w:tc>
        <w:tc>
          <w:tcPr>
            <w:tcW w:w="1246" w:type="dxa"/>
          </w:tcPr>
          <w:p w14:paraId="305AA86F" w14:textId="77777777" w:rsidR="0049425C" w:rsidRPr="005862D0" w:rsidRDefault="0049425C" w:rsidP="003C02AD">
            <w:pPr>
              <w:spacing w:line="240" w:lineRule="auto"/>
              <w:ind w:firstLine="0"/>
              <w:rPr>
                <w:rFonts w:eastAsia="Times New Roman" w:cs="Times New Roman"/>
                <w:sz w:val="20"/>
                <w:szCs w:val="20"/>
              </w:rPr>
            </w:pPr>
            <w:r w:rsidRPr="005862D0">
              <w:rPr>
                <w:rFonts w:eastAsia="Calibri" w:cs="Times New Roman"/>
                <w:sz w:val="20"/>
                <w:szCs w:val="20"/>
              </w:rPr>
              <w:t>LSEG</w:t>
            </w:r>
          </w:p>
        </w:tc>
      </w:tr>
      <w:tr w:rsidR="0049425C" w:rsidRPr="005862D0" w14:paraId="4DE7BC08" w14:textId="77777777" w:rsidTr="003C02AD">
        <w:trPr>
          <w:trHeight w:val="283"/>
        </w:trPr>
        <w:tc>
          <w:tcPr>
            <w:tcW w:w="2263" w:type="dxa"/>
          </w:tcPr>
          <w:p w14:paraId="0E1D0256" w14:textId="77777777" w:rsidR="0049425C" w:rsidRPr="005862D0" w:rsidRDefault="0049425C" w:rsidP="003C02AD">
            <w:pPr>
              <w:spacing w:line="240" w:lineRule="auto"/>
              <w:ind w:firstLine="0"/>
              <w:rPr>
                <w:rFonts w:eastAsia="Times New Roman" w:cs="Times New Roman"/>
                <w:i/>
                <w:iCs/>
                <w:sz w:val="20"/>
                <w:szCs w:val="20"/>
              </w:rPr>
            </w:pPr>
            <w:r w:rsidRPr="005862D0">
              <w:rPr>
                <w:rFonts w:eastAsia="Calibri" w:cs="Times New Roman"/>
                <w:sz w:val="20"/>
                <w:szCs w:val="20"/>
              </w:rPr>
              <w:t>Size</w:t>
            </w:r>
          </w:p>
        </w:tc>
        <w:tc>
          <w:tcPr>
            <w:tcW w:w="5959" w:type="dxa"/>
          </w:tcPr>
          <w:p w14:paraId="09EF519F" w14:textId="3E9DD8BD" w:rsidR="0049425C" w:rsidRPr="005862D0" w:rsidRDefault="0049425C" w:rsidP="00081933">
            <w:pPr>
              <w:spacing w:line="240" w:lineRule="auto"/>
              <w:ind w:firstLine="0"/>
              <w:jc w:val="both"/>
              <w:rPr>
                <w:rFonts w:eastAsia="Times New Roman" w:cs="Times New Roman"/>
                <w:sz w:val="20"/>
                <w:szCs w:val="20"/>
              </w:rPr>
            </w:pPr>
            <w:r w:rsidRPr="005862D0">
              <w:rPr>
                <w:rFonts w:eastAsia="Times New Roman" w:cs="Times New Roman"/>
                <w:sz w:val="20"/>
                <w:szCs w:val="20"/>
              </w:rPr>
              <w:t xml:space="preserve">The </w:t>
            </w:r>
            <w:r w:rsidR="004848DD">
              <w:rPr>
                <w:rFonts w:eastAsia="Times New Roman" w:cs="Times New Roman"/>
                <w:sz w:val="20"/>
                <w:szCs w:val="20"/>
              </w:rPr>
              <w:t>organisation</w:t>
            </w:r>
            <w:r w:rsidR="00081933">
              <w:rPr>
                <w:rFonts w:eastAsia="Times New Roman" w:cs="Times New Roman"/>
                <w:sz w:val="20"/>
                <w:szCs w:val="20"/>
              </w:rPr>
              <w:t>’s</w:t>
            </w:r>
            <w:r w:rsidRPr="005862D0">
              <w:rPr>
                <w:rFonts w:eastAsia="Times New Roman" w:cs="Times New Roman"/>
                <w:sz w:val="20"/>
                <w:szCs w:val="20"/>
              </w:rPr>
              <w:t xml:space="preserve"> size is measured as the log of total assets</w:t>
            </w:r>
          </w:p>
        </w:tc>
        <w:tc>
          <w:tcPr>
            <w:tcW w:w="1246" w:type="dxa"/>
          </w:tcPr>
          <w:p w14:paraId="3D1AF2F7" w14:textId="77777777" w:rsidR="0049425C" w:rsidRPr="005862D0" w:rsidRDefault="0049425C" w:rsidP="003C02AD">
            <w:pPr>
              <w:spacing w:line="240" w:lineRule="auto"/>
              <w:ind w:firstLine="0"/>
              <w:rPr>
                <w:rFonts w:eastAsia="Times New Roman" w:cs="Times New Roman"/>
                <w:sz w:val="20"/>
                <w:szCs w:val="20"/>
              </w:rPr>
            </w:pPr>
            <w:r w:rsidRPr="005862D0">
              <w:rPr>
                <w:rFonts w:eastAsia="Calibri" w:cs="Times New Roman"/>
                <w:sz w:val="20"/>
                <w:szCs w:val="20"/>
              </w:rPr>
              <w:t>LSEG</w:t>
            </w:r>
          </w:p>
        </w:tc>
      </w:tr>
    </w:tbl>
    <w:p w14:paraId="4E2551A0" w14:textId="77777777" w:rsidR="0049425C" w:rsidRPr="00307D38" w:rsidRDefault="0049425C" w:rsidP="0049425C">
      <w:pPr>
        <w:spacing w:line="240" w:lineRule="auto"/>
        <w:ind w:firstLine="0"/>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t>Note. LSEG r</w:t>
      </w:r>
      <w:r w:rsidRPr="00307D38">
        <w:rPr>
          <w:rFonts w:asciiTheme="majorBidi" w:hAnsiTheme="majorBidi" w:cstheme="majorBidi"/>
          <w:color w:val="000000" w:themeColor="text1"/>
          <w:sz w:val="20"/>
          <w:szCs w:val="20"/>
        </w:rPr>
        <w:t xml:space="preserve">efers to </w:t>
      </w:r>
      <w:r w:rsidRPr="00307D38">
        <w:rPr>
          <w:rFonts w:asciiTheme="majorBidi" w:hAnsiTheme="majorBidi" w:cstheme="majorBidi"/>
          <w:color w:val="000000" w:themeColor="text1"/>
          <w:sz w:val="20"/>
          <w:szCs w:val="20"/>
          <w:shd w:val="clear" w:color="auto" w:fill="FFFFFF"/>
        </w:rPr>
        <w:t xml:space="preserve">London Stock Exchange Group plc, it is </w:t>
      </w:r>
      <w:r>
        <w:rPr>
          <w:rFonts w:asciiTheme="majorBidi" w:hAnsiTheme="majorBidi" w:cstheme="majorBidi"/>
          <w:color w:val="000000" w:themeColor="text1"/>
          <w:sz w:val="20"/>
          <w:szCs w:val="20"/>
          <w:shd w:val="clear" w:color="auto" w:fill="FFFFFF"/>
        </w:rPr>
        <w:t xml:space="preserve">a </w:t>
      </w:r>
      <w:r w:rsidRPr="00307D38">
        <w:rPr>
          <w:rFonts w:asciiTheme="majorBidi" w:hAnsiTheme="majorBidi" w:cstheme="majorBidi"/>
          <w:color w:val="000000" w:themeColor="text1"/>
          <w:sz w:val="20"/>
          <w:szCs w:val="20"/>
          <w:shd w:val="clear" w:color="auto" w:fill="FFFFFF"/>
        </w:rPr>
        <w:t xml:space="preserve">global provider </w:t>
      </w:r>
      <w:r>
        <w:rPr>
          <w:rFonts w:asciiTheme="majorBidi" w:hAnsiTheme="majorBidi" w:cstheme="majorBidi"/>
          <w:color w:val="000000" w:themeColor="text1"/>
          <w:sz w:val="20"/>
          <w:szCs w:val="20"/>
          <w:shd w:val="clear" w:color="auto" w:fill="FFFFFF"/>
        </w:rPr>
        <w:t>of</w:t>
      </w:r>
      <w:r w:rsidRPr="00307D38">
        <w:rPr>
          <w:rFonts w:asciiTheme="majorBidi" w:hAnsiTheme="majorBidi" w:cstheme="majorBidi"/>
          <w:color w:val="000000" w:themeColor="text1"/>
          <w:sz w:val="20"/>
          <w:szCs w:val="20"/>
          <w:shd w:val="clear" w:color="auto" w:fill="FFFFFF"/>
        </w:rPr>
        <w:t xml:space="preserve"> financial market data and infrastructure. </w:t>
      </w:r>
    </w:p>
    <w:p w14:paraId="08B95559" w14:textId="77777777" w:rsidR="0049425C" w:rsidRDefault="0049425C" w:rsidP="0049425C">
      <w:pPr>
        <w:spacing w:after="160" w:line="259" w:lineRule="auto"/>
        <w:ind w:firstLine="0"/>
      </w:pPr>
    </w:p>
    <w:p w14:paraId="0ED4C14E" w14:textId="77777777" w:rsidR="0049425C" w:rsidRDefault="0049425C">
      <w:pPr>
        <w:spacing w:after="160" w:line="259" w:lineRule="auto"/>
        <w:ind w:firstLine="0"/>
        <w:sectPr w:rsidR="0049425C" w:rsidSect="00166248">
          <w:footerReference w:type="default" r:id="rId14"/>
          <w:pgSz w:w="11906" w:h="16838" w:code="9"/>
          <w:pgMar w:top="1440" w:right="1440" w:bottom="1440" w:left="1440" w:header="709" w:footer="709" w:gutter="0"/>
          <w:pgNumType w:start="1"/>
          <w:cols w:space="720"/>
          <w:docGrid w:linePitch="360"/>
        </w:sectPr>
      </w:pPr>
    </w:p>
    <w:p w14:paraId="00CCFA9B" w14:textId="77777777" w:rsidR="00C77830" w:rsidRDefault="00C77830" w:rsidP="00C77830">
      <w:pPr>
        <w:ind w:firstLine="0"/>
      </w:pPr>
    </w:p>
    <w:p w14:paraId="52B6AF26" w14:textId="53AC0B7B" w:rsidR="00C77830" w:rsidRDefault="00C77830" w:rsidP="00C77830">
      <w:pPr>
        <w:pStyle w:val="Heading2"/>
      </w:pPr>
      <w:r>
        <w:t>Table 1. Descriptive statistics and correlations</w:t>
      </w:r>
    </w:p>
    <w:p w14:paraId="456A3067" w14:textId="2C130424" w:rsidR="00C77830" w:rsidRDefault="00C77830" w:rsidP="00C77830">
      <w:pPr>
        <w:ind w:firstLine="0"/>
      </w:pPr>
      <w:r>
        <w:rPr>
          <w:rFonts w:ascii="TimesNewRomanPSMT" w:eastAsia="Times New Roman" w:hAnsi="TimesNewRomanPSMT" w:cs="Arial"/>
          <w:sz w:val="20"/>
          <w:szCs w:val="20"/>
          <w:lang w:eastAsia="en-GB"/>
        </w:rPr>
        <w:t xml:space="preserve">Note. </w:t>
      </w:r>
      <w:r w:rsidRPr="009D2F08">
        <w:rPr>
          <w:rFonts w:ascii="TimesNewRomanMTStd" w:hAnsi="TimesNewRomanMTStd"/>
          <w:color w:val="000000" w:themeColor="text1"/>
          <w:sz w:val="20"/>
          <w:szCs w:val="20"/>
        </w:rPr>
        <w:t xml:space="preserve">M </w:t>
      </w:r>
      <w:r w:rsidRPr="009D2F08">
        <w:rPr>
          <w:rFonts w:ascii="MTSY" w:hAnsi="MTSY"/>
          <w:color w:val="000000" w:themeColor="text1"/>
          <w:sz w:val="20"/>
          <w:szCs w:val="20"/>
        </w:rPr>
        <w:t xml:space="preserve">= </w:t>
      </w:r>
      <w:r w:rsidRPr="009D2F08">
        <w:rPr>
          <w:rFonts w:ascii="TimesNewRomanMTStd" w:hAnsi="TimesNewRomanMTStd"/>
          <w:color w:val="000000" w:themeColor="text1"/>
          <w:sz w:val="20"/>
          <w:szCs w:val="20"/>
        </w:rPr>
        <w:t xml:space="preserve">mean; SD </w:t>
      </w:r>
      <w:r w:rsidRPr="009D2F08">
        <w:rPr>
          <w:rFonts w:ascii="MTSY" w:hAnsi="MTSY"/>
          <w:color w:val="000000" w:themeColor="text1"/>
          <w:sz w:val="20"/>
          <w:szCs w:val="20"/>
        </w:rPr>
        <w:t xml:space="preserve">= </w:t>
      </w:r>
      <w:r w:rsidRPr="009D2F08">
        <w:rPr>
          <w:rFonts w:ascii="TimesNewRomanMTStd" w:hAnsi="TimesNewRomanMTStd"/>
          <w:color w:val="000000" w:themeColor="text1"/>
          <w:sz w:val="20"/>
          <w:szCs w:val="20"/>
        </w:rPr>
        <w:t>standard deviation</w:t>
      </w:r>
      <w:r>
        <w:rPr>
          <w:rFonts w:ascii="TimesNewRomanMTStd" w:hAnsi="TimesNewRomanMTStd"/>
          <w:color w:val="000000" w:themeColor="text1"/>
          <w:sz w:val="20"/>
          <w:szCs w:val="20"/>
        </w:rPr>
        <w:t>.</w:t>
      </w:r>
      <w:r w:rsidR="004A5A47">
        <w:rPr>
          <w:color w:val="000000" w:themeColor="text1"/>
        </w:rPr>
        <w:t xml:space="preserve"> </w:t>
      </w:r>
      <w:r w:rsidRPr="00FC4ABE">
        <w:rPr>
          <w:rFonts w:ascii="TimesNewRomanPS-BoldMT" w:eastAsia="Times New Roman" w:hAnsi="TimesNewRomanPS-BoldMT" w:cs="Arial"/>
          <w:b/>
          <w:bCs/>
          <w:sz w:val="20"/>
          <w:szCs w:val="20"/>
          <w:lang w:eastAsia="en-GB"/>
        </w:rPr>
        <w:t xml:space="preserve">Bold </w:t>
      </w:r>
      <w:r w:rsidRPr="00FC4ABE">
        <w:rPr>
          <w:rFonts w:ascii="TimesNewRomanPSMT" w:eastAsia="Times New Roman" w:hAnsi="TimesNewRomanPSMT" w:cs="Arial"/>
          <w:sz w:val="20"/>
          <w:szCs w:val="20"/>
          <w:lang w:eastAsia="en-GB"/>
        </w:rPr>
        <w:t xml:space="preserve">coefficients represent significance at the 5% level or less using a two-sided test. See Appendix </w:t>
      </w:r>
      <w:r>
        <w:rPr>
          <w:rFonts w:ascii="TimesNewRomanPSMT" w:eastAsia="Times New Roman" w:hAnsi="TimesNewRomanPSMT" w:cs="Arial"/>
          <w:sz w:val="20"/>
          <w:szCs w:val="20"/>
          <w:lang w:eastAsia="en-GB"/>
        </w:rPr>
        <w:t>1</w:t>
      </w:r>
      <w:r w:rsidRPr="00FC4ABE">
        <w:rPr>
          <w:rFonts w:ascii="TimesNewRomanPSMT" w:eastAsia="Times New Roman" w:hAnsi="TimesNewRomanPSMT" w:cs="Arial"/>
          <w:sz w:val="20"/>
          <w:szCs w:val="20"/>
          <w:lang w:eastAsia="en-GB"/>
        </w:rPr>
        <w:t xml:space="preserve"> for variable definitions</w:t>
      </w:r>
    </w:p>
    <w:tbl>
      <w:tblPr>
        <w:tblpPr w:leftFromText="180" w:rightFromText="180" w:vertAnchor="page" w:horzAnchor="margin" w:tblpY="2585"/>
        <w:tblW w:w="14208" w:type="dxa"/>
        <w:tblLayout w:type="fixed"/>
        <w:tblLook w:val="0000" w:firstRow="0" w:lastRow="0" w:firstColumn="0" w:lastColumn="0" w:noHBand="0" w:noVBand="0"/>
      </w:tblPr>
      <w:tblGrid>
        <w:gridCol w:w="1077"/>
        <w:gridCol w:w="1984"/>
        <w:gridCol w:w="734"/>
        <w:gridCol w:w="801"/>
        <w:gridCol w:w="801"/>
        <w:gridCol w:w="801"/>
        <w:gridCol w:w="801"/>
        <w:gridCol w:w="801"/>
        <w:gridCol w:w="801"/>
        <w:gridCol w:w="801"/>
        <w:gridCol w:w="801"/>
        <w:gridCol w:w="801"/>
        <w:gridCol w:w="801"/>
        <w:gridCol w:w="801"/>
        <w:gridCol w:w="801"/>
        <w:gridCol w:w="801"/>
      </w:tblGrid>
      <w:tr w:rsidR="00C77830" w:rsidRPr="005862D0" w14:paraId="711B1785" w14:textId="77777777" w:rsidTr="00FA5E92">
        <w:trPr>
          <w:trHeight w:val="22"/>
        </w:trPr>
        <w:tc>
          <w:tcPr>
            <w:tcW w:w="1077" w:type="dxa"/>
            <w:tcBorders>
              <w:top w:val="single" w:sz="4" w:space="0" w:color="auto"/>
              <w:left w:val="nil"/>
              <w:bottom w:val="single" w:sz="6" w:space="0" w:color="auto"/>
              <w:right w:val="nil"/>
            </w:tcBorders>
          </w:tcPr>
          <w:p w14:paraId="5238B703" w14:textId="77777777" w:rsidR="00C77830" w:rsidRPr="0049704A" w:rsidRDefault="00C77830" w:rsidP="00C3611B">
            <w:pPr>
              <w:widowControl w:val="0"/>
              <w:autoSpaceDE w:val="0"/>
              <w:autoSpaceDN w:val="0"/>
              <w:adjustRightInd w:val="0"/>
              <w:spacing w:line="240" w:lineRule="auto"/>
              <w:ind w:firstLine="0"/>
              <w:rPr>
                <w:rFonts w:eastAsia="Times New Roman" w:cs="Times New Roman"/>
                <w:b/>
                <w:bCs/>
                <w:sz w:val="20"/>
                <w:szCs w:val="20"/>
                <w:lang w:eastAsia="en-GB"/>
              </w:rPr>
            </w:pPr>
          </w:p>
        </w:tc>
        <w:tc>
          <w:tcPr>
            <w:tcW w:w="1984" w:type="dxa"/>
            <w:tcBorders>
              <w:top w:val="single" w:sz="4" w:space="0" w:color="auto"/>
              <w:left w:val="nil"/>
              <w:bottom w:val="single" w:sz="6" w:space="0" w:color="auto"/>
              <w:right w:val="nil"/>
            </w:tcBorders>
          </w:tcPr>
          <w:p w14:paraId="49391C04" w14:textId="76BD2B72" w:rsidR="00C77830" w:rsidRPr="0049704A" w:rsidRDefault="00C77830" w:rsidP="00C3611B">
            <w:pPr>
              <w:widowControl w:val="0"/>
              <w:autoSpaceDE w:val="0"/>
              <w:autoSpaceDN w:val="0"/>
              <w:adjustRightInd w:val="0"/>
              <w:spacing w:line="240" w:lineRule="auto"/>
              <w:ind w:firstLine="0"/>
              <w:rPr>
                <w:rFonts w:eastAsia="Times New Roman" w:cs="Times New Roman"/>
                <w:sz w:val="20"/>
                <w:szCs w:val="20"/>
                <w:lang w:eastAsia="en-GB"/>
              </w:rPr>
            </w:pPr>
            <w:r w:rsidRPr="0049704A">
              <w:rPr>
                <w:rFonts w:eastAsia="Times New Roman" w:cs="Times New Roman"/>
                <w:b/>
                <w:bCs/>
                <w:sz w:val="20"/>
                <w:szCs w:val="20"/>
                <w:lang w:eastAsia="en-GB"/>
              </w:rPr>
              <w:t>Variable</w:t>
            </w:r>
          </w:p>
        </w:tc>
        <w:tc>
          <w:tcPr>
            <w:tcW w:w="734" w:type="dxa"/>
            <w:tcBorders>
              <w:top w:val="single" w:sz="4" w:space="0" w:color="auto"/>
              <w:left w:val="nil"/>
              <w:bottom w:val="single" w:sz="6" w:space="0" w:color="auto"/>
              <w:right w:val="nil"/>
            </w:tcBorders>
          </w:tcPr>
          <w:p w14:paraId="2EF4A79C"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sidRPr="0049704A">
              <w:rPr>
                <w:rFonts w:eastAsia="Times New Roman" w:cs="Times New Roman"/>
                <w:b/>
                <w:bCs/>
                <w:sz w:val="20"/>
                <w:szCs w:val="20"/>
                <w:lang w:eastAsia="en-GB"/>
              </w:rPr>
              <w:t>M</w:t>
            </w:r>
          </w:p>
        </w:tc>
        <w:tc>
          <w:tcPr>
            <w:tcW w:w="801" w:type="dxa"/>
            <w:tcBorders>
              <w:top w:val="single" w:sz="4" w:space="0" w:color="auto"/>
              <w:left w:val="nil"/>
              <w:bottom w:val="single" w:sz="6" w:space="0" w:color="auto"/>
              <w:right w:val="nil"/>
            </w:tcBorders>
          </w:tcPr>
          <w:p w14:paraId="7ACEE38F"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sidRPr="0049704A">
              <w:rPr>
                <w:rFonts w:eastAsia="Times New Roman" w:cs="Times New Roman"/>
                <w:b/>
                <w:bCs/>
                <w:sz w:val="20"/>
                <w:szCs w:val="20"/>
                <w:lang w:eastAsia="en-GB"/>
              </w:rPr>
              <w:t>SD</w:t>
            </w:r>
          </w:p>
        </w:tc>
        <w:tc>
          <w:tcPr>
            <w:tcW w:w="801" w:type="dxa"/>
            <w:tcBorders>
              <w:top w:val="single" w:sz="4" w:space="0" w:color="auto"/>
              <w:left w:val="nil"/>
              <w:bottom w:val="single" w:sz="6" w:space="0" w:color="auto"/>
              <w:right w:val="nil"/>
            </w:tcBorders>
          </w:tcPr>
          <w:p w14:paraId="6DFCE79F" w14:textId="46CFB414"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r w:rsidRPr="0049704A">
              <w:rPr>
                <w:rFonts w:eastAsia="Times New Roman" w:cs="Times New Roman"/>
                <w:b/>
                <w:bCs/>
                <w:sz w:val="20"/>
                <w:szCs w:val="20"/>
                <w:lang w:eastAsia="en-GB"/>
              </w:rPr>
              <w:t>1</w:t>
            </w:r>
          </w:p>
        </w:tc>
        <w:tc>
          <w:tcPr>
            <w:tcW w:w="801" w:type="dxa"/>
            <w:tcBorders>
              <w:top w:val="single" w:sz="4" w:space="0" w:color="auto"/>
              <w:left w:val="nil"/>
              <w:bottom w:val="single" w:sz="6" w:space="0" w:color="auto"/>
              <w:right w:val="nil"/>
            </w:tcBorders>
          </w:tcPr>
          <w:p w14:paraId="1A4EB693" w14:textId="06269050"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r w:rsidRPr="0049704A">
              <w:rPr>
                <w:rFonts w:eastAsia="Times New Roman" w:cs="Times New Roman"/>
                <w:b/>
                <w:bCs/>
                <w:sz w:val="20"/>
                <w:szCs w:val="20"/>
                <w:lang w:eastAsia="en-GB"/>
              </w:rPr>
              <w:t>2</w:t>
            </w:r>
          </w:p>
        </w:tc>
        <w:tc>
          <w:tcPr>
            <w:tcW w:w="801" w:type="dxa"/>
            <w:tcBorders>
              <w:top w:val="single" w:sz="4" w:space="0" w:color="auto"/>
              <w:left w:val="nil"/>
              <w:bottom w:val="single" w:sz="6" w:space="0" w:color="auto"/>
              <w:right w:val="nil"/>
            </w:tcBorders>
          </w:tcPr>
          <w:p w14:paraId="58BEE9F6" w14:textId="5AB0B5B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r w:rsidRPr="0049704A">
              <w:rPr>
                <w:rFonts w:eastAsia="Times New Roman" w:cs="Times New Roman"/>
                <w:b/>
                <w:bCs/>
                <w:sz w:val="20"/>
                <w:szCs w:val="20"/>
                <w:lang w:eastAsia="en-GB"/>
              </w:rPr>
              <w:t>3</w:t>
            </w:r>
          </w:p>
        </w:tc>
        <w:tc>
          <w:tcPr>
            <w:tcW w:w="801" w:type="dxa"/>
            <w:tcBorders>
              <w:top w:val="single" w:sz="4" w:space="0" w:color="auto"/>
              <w:left w:val="nil"/>
              <w:bottom w:val="single" w:sz="6" w:space="0" w:color="auto"/>
              <w:right w:val="nil"/>
            </w:tcBorders>
          </w:tcPr>
          <w:p w14:paraId="2F2263ED" w14:textId="2BFE7E1D"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r w:rsidRPr="0049704A">
              <w:rPr>
                <w:rFonts w:eastAsia="Times New Roman" w:cs="Times New Roman"/>
                <w:b/>
                <w:bCs/>
                <w:sz w:val="20"/>
                <w:szCs w:val="20"/>
                <w:lang w:eastAsia="en-GB"/>
              </w:rPr>
              <w:t>4</w:t>
            </w:r>
          </w:p>
        </w:tc>
        <w:tc>
          <w:tcPr>
            <w:tcW w:w="801" w:type="dxa"/>
            <w:tcBorders>
              <w:top w:val="single" w:sz="4" w:space="0" w:color="auto"/>
              <w:left w:val="nil"/>
              <w:bottom w:val="single" w:sz="6" w:space="0" w:color="auto"/>
              <w:right w:val="nil"/>
            </w:tcBorders>
          </w:tcPr>
          <w:p w14:paraId="5560419B" w14:textId="6A952F76"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r w:rsidRPr="0049704A">
              <w:rPr>
                <w:rFonts w:eastAsia="Times New Roman" w:cs="Times New Roman"/>
                <w:b/>
                <w:bCs/>
                <w:sz w:val="20"/>
                <w:szCs w:val="20"/>
                <w:lang w:eastAsia="en-GB"/>
              </w:rPr>
              <w:t>5</w:t>
            </w:r>
          </w:p>
        </w:tc>
        <w:tc>
          <w:tcPr>
            <w:tcW w:w="801" w:type="dxa"/>
            <w:tcBorders>
              <w:top w:val="single" w:sz="4" w:space="0" w:color="auto"/>
              <w:left w:val="nil"/>
              <w:bottom w:val="single" w:sz="6" w:space="0" w:color="auto"/>
              <w:right w:val="nil"/>
            </w:tcBorders>
          </w:tcPr>
          <w:p w14:paraId="68C1AE39" w14:textId="66F87EBA"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r w:rsidRPr="0049704A">
              <w:rPr>
                <w:rFonts w:eastAsia="Times New Roman" w:cs="Times New Roman"/>
                <w:b/>
                <w:bCs/>
                <w:sz w:val="20"/>
                <w:szCs w:val="20"/>
                <w:lang w:eastAsia="en-GB"/>
              </w:rPr>
              <w:t>6</w:t>
            </w:r>
          </w:p>
        </w:tc>
        <w:tc>
          <w:tcPr>
            <w:tcW w:w="801" w:type="dxa"/>
            <w:tcBorders>
              <w:top w:val="single" w:sz="4" w:space="0" w:color="auto"/>
              <w:left w:val="nil"/>
              <w:bottom w:val="single" w:sz="6" w:space="0" w:color="auto"/>
              <w:right w:val="nil"/>
            </w:tcBorders>
          </w:tcPr>
          <w:p w14:paraId="6945B585" w14:textId="56EB94E2"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r w:rsidRPr="0049704A">
              <w:rPr>
                <w:rFonts w:eastAsia="Times New Roman" w:cs="Times New Roman"/>
                <w:b/>
                <w:bCs/>
                <w:sz w:val="20"/>
                <w:szCs w:val="20"/>
                <w:lang w:eastAsia="en-GB"/>
              </w:rPr>
              <w:t>7</w:t>
            </w:r>
          </w:p>
        </w:tc>
        <w:tc>
          <w:tcPr>
            <w:tcW w:w="801" w:type="dxa"/>
            <w:tcBorders>
              <w:top w:val="single" w:sz="4" w:space="0" w:color="auto"/>
              <w:left w:val="nil"/>
              <w:bottom w:val="single" w:sz="6" w:space="0" w:color="auto"/>
              <w:right w:val="nil"/>
            </w:tcBorders>
          </w:tcPr>
          <w:p w14:paraId="32518FFA" w14:textId="00526C74"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r w:rsidRPr="0049704A">
              <w:rPr>
                <w:rFonts w:eastAsia="Times New Roman" w:cs="Times New Roman"/>
                <w:b/>
                <w:bCs/>
                <w:sz w:val="20"/>
                <w:szCs w:val="20"/>
                <w:lang w:eastAsia="en-GB"/>
              </w:rPr>
              <w:t>8</w:t>
            </w:r>
          </w:p>
        </w:tc>
        <w:tc>
          <w:tcPr>
            <w:tcW w:w="801" w:type="dxa"/>
            <w:tcBorders>
              <w:top w:val="single" w:sz="4" w:space="0" w:color="auto"/>
              <w:left w:val="nil"/>
              <w:bottom w:val="single" w:sz="6" w:space="0" w:color="auto"/>
              <w:right w:val="nil"/>
            </w:tcBorders>
          </w:tcPr>
          <w:p w14:paraId="7E0D296E" w14:textId="19837902"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r w:rsidRPr="0049704A">
              <w:rPr>
                <w:rFonts w:eastAsia="Times New Roman" w:cs="Times New Roman"/>
                <w:b/>
                <w:bCs/>
                <w:sz w:val="20"/>
                <w:szCs w:val="20"/>
                <w:lang w:eastAsia="en-GB"/>
              </w:rPr>
              <w:t>9</w:t>
            </w:r>
          </w:p>
        </w:tc>
        <w:tc>
          <w:tcPr>
            <w:tcW w:w="801" w:type="dxa"/>
            <w:tcBorders>
              <w:top w:val="single" w:sz="4" w:space="0" w:color="auto"/>
              <w:left w:val="nil"/>
              <w:bottom w:val="single" w:sz="6" w:space="0" w:color="auto"/>
              <w:right w:val="nil"/>
            </w:tcBorders>
          </w:tcPr>
          <w:p w14:paraId="59FB6954" w14:textId="3CF7D694"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r w:rsidRPr="0049704A">
              <w:rPr>
                <w:rFonts w:eastAsia="Times New Roman" w:cs="Times New Roman"/>
                <w:b/>
                <w:bCs/>
                <w:sz w:val="20"/>
                <w:szCs w:val="20"/>
                <w:lang w:eastAsia="en-GB"/>
              </w:rPr>
              <w:t>10</w:t>
            </w:r>
          </w:p>
        </w:tc>
        <w:tc>
          <w:tcPr>
            <w:tcW w:w="801" w:type="dxa"/>
            <w:tcBorders>
              <w:top w:val="single" w:sz="4" w:space="0" w:color="auto"/>
              <w:left w:val="nil"/>
              <w:bottom w:val="single" w:sz="6" w:space="0" w:color="auto"/>
              <w:right w:val="nil"/>
            </w:tcBorders>
          </w:tcPr>
          <w:p w14:paraId="1D04ABD6" w14:textId="2C909091"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r w:rsidRPr="0049704A">
              <w:rPr>
                <w:rFonts w:eastAsia="Times New Roman" w:cs="Times New Roman"/>
                <w:b/>
                <w:bCs/>
                <w:sz w:val="20"/>
                <w:szCs w:val="20"/>
                <w:lang w:eastAsia="en-GB"/>
              </w:rPr>
              <w:t>11</w:t>
            </w:r>
          </w:p>
        </w:tc>
        <w:tc>
          <w:tcPr>
            <w:tcW w:w="801" w:type="dxa"/>
            <w:tcBorders>
              <w:top w:val="single" w:sz="4" w:space="0" w:color="auto"/>
              <w:left w:val="nil"/>
              <w:bottom w:val="single" w:sz="6" w:space="0" w:color="auto"/>
              <w:right w:val="nil"/>
            </w:tcBorders>
          </w:tcPr>
          <w:p w14:paraId="5740EEEE" w14:textId="3E9C4318"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r w:rsidRPr="0049704A">
              <w:rPr>
                <w:rFonts w:eastAsia="Times New Roman" w:cs="Times New Roman"/>
                <w:b/>
                <w:bCs/>
                <w:sz w:val="20"/>
                <w:szCs w:val="20"/>
                <w:lang w:eastAsia="en-GB"/>
              </w:rPr>
              <w:t>12</w:t>
            </w:r>
          </w:p>
        </w:tc>
      </w:tr>
      <w:tr w:rsidR="00C77830" w:rsidRPr="005862D0" w14:paraId="76C1355C" w14:textId="77777777" w:rsidTr="00FA5E92">
        <w:trPr>
          <w:trHeight w:val="22"/>
        </w:trPr>
        <w:tc>
          <w:tcPr>
            <w:tcW w:w="1077" w:type="dxa"/>
            <w:vMerge w:val="restart"/>
            <w:tcBorders>
              <w:top w:val="single" w:sz="6" w:space="0" w:color="auto"/>
              <w:left w:val="nil"/>
              <w:right w:val="nil"/>
            </w:tcBorders>
            <w:vAlign w:val="center"/>
          </w:tcPr>
          <w:p w14:paraId="62651F4C" w14:textId="6AEBC776" w:rsidR="00C77830" w:rsidRPr="0049704A" w:rsidRDefault="00C77830" w:rsidP="00C77830">
            <w:pPr>
              <w:widowControl w:val="0"/>
              <w:autoSpaceDE w:val="0"/>
              <w:autoSpaceDN w:val="0"/>
              <w:adjustRightInd w:val="0"/>
              <w:spacing w:line="240" w:lineRule="auto"/>
              <w:ind w:firstLine="0"/>
              <w:rPr>
                <w:rFonts w:eastAsia="Times New Roman" w:cs="Times New Roman"/>
                <w:sz w:val="20"/>
                <w:szCs w:val="20"/>
                <w:lang w:eastAsia="en-GB"/>
              </w:rPr>
            </w:pPr>
            <w:r>
              <w:rPr>
                <w:rFonts w:eastAsia="Times New Roman" w:cs="Times New Roman"/>
                <w:sz w:val="20"/>
                <w:szCs w:val="20"/>
                <w:lang w:eastAsia="en-GB"/>
              </w:rPr>
              <w:t>Glassdoor</w:t>
            </w:r>
          </w:p>
        </w:tc>
        <w:tc>
          <w:tcPr>
            <w:tcW w:w="1984" w:type="dxa"/>
            <w:tcBorders>
              <w:top w:val="single" w:sz="6" w:space="0" w:color="auto"/>
              <w:left w:val="nil"/>
              <w:bottom w:val="nil"/>
              <w:right w:val="nil"/>
            </w:tcBorders>
          </w:tcPr>
          <w:p w14:paraId="37623B35" w14:textId="631A5335" w:rsidR="00C77830" w:rsidRPr="0049704A" w:rsidRDefault="00C77830" w:rsidP="00C3611B">
            <w:pPr>
              <w:widowControl w:val="0"/>
              <w:autoSpaceDE w:val="0"/>
              <w:autoSpaceDN w:val="0"/>
              <w:adjustRightInd w:val="0"/>
              <w:spacing w:line="240" w:lineRule="auto"/>
              <w:ind w:firstLine="0"/>
              <w:rPr>
                <w:rFonts w:eastAsia="Times New Roman" w:cs="Times New Roman"/>
                <w:sz w:val="20"/>
                <w:szCs w:val="20"/>
                <w:lang w:eastAsia="en-GB"/>
              </w:rPr>
            </w:pPr>
            <w:r w:rsidRPr="0049704A">
              <w:rPr>
                <w:rFonts w:eastAsia="Times New Roman" w:cs="Times New Roman"/>
                <w:sz w:val="20"/>
                <w:szCs w:val="20"/>
                <w:lang w:eastAsia="en-GB"/>
              </w:rPr>
              <w:t>1 Overall</w:t>
            </w:r>
            <w:r>
              <w:rPr>
                <w:rFonts w:eastAsia="Times New Roman" w:cs="Times New Roman"/>
                <w:sz w:val="20"/>
                <w:szCs w:val="20"/>
                <w:lang w:eastAsia="en-GB"/>
              </w:rPr>
              <w:t xml:space="preserve"> </w:t>
            </w:r>
            <w:r w:rsidRPr="0049704A">
              <w:rPr>
                <w:rFonts w:eastAsia="Times New Roman" w:cs="Times New Roman"/>
                <w:sz w:val="20"/>
                <w:szCs w:val="20"/>
                <w:lang w:eastAsia="en-GB"/>
              </w:rPr>
              <w:t>Rating</w:t>
            </w:r>
          </w:p>
        </w:tc>
        <w:tc>
          <w:tcPr>
            <w:tcW w:w="734" w:type="dxa"/>
            <w:tcBorders>
              <w:top w:val="single" w:sz="6" w:space="0" w:color="auto"/>
              <w:left w:val="nil"/>
              <w:bottom w:val="nil"/>
              <w:right w:val="nil"/>
            </w:tcBorders>
          </w:tcPr>
          <w:p w14:paraId="4E863DB0"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r w:rsidRPr="0049704A">
              <w:rPr>
                <w:rFonts w:eastAsia="Times New Roman" w:cs="Times New Roman"/>
                <w:sz w:val="20"/>
                <w:szCs w:val="20"/>
                <w:lang w:eastAsia="en-GB"/>
              </w:rPr>
              <w:t>3.902</w:t>
            </w:r>
          </w:p>
        </w:tc>
        <w:tc>
          <w:tcPr>
            <w:tcW w:w="801" w:type="dxa"/>
            <w:tcBorders>
              <w:top w:val="single" w:sz="6" w:space="0" w:color="auto"/>
              <w:left w:val="nil"/>
              <w:bottom w:val="nil"/>
              <w:right w:val="nil"/>
            </w:tcBorders>
          </w:tcPr>
          <w:p w14:paraId="0EF97630"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r w:rsidRPr="0049704A">
              <w:rPr>
                <w:rFonts w:eastAsia="Times New Roman" w:cs="Times New Roman"/>
                <w:sz w:val="20"/>
                <w:szCs w:val="20"/>
                <w:lang w:eastAsia="en-GB"/>
              </w:rPr>
              <w:t>1.146</w:t>
            </w:r>
          </w:p>
        </w:tc>
        <w:tc>
          <w:tcPr>
            <w:tcW w:w="801" w:type="dxa"/>
            <w:tcBorders>
              <w:top w:val="single" w:sz="6" w:space="0" w:color="auto"/>
              <w:left w:val="nil"/>
              <w:bottom w:val="nil"/>
              <w:right w:val="nil"/>
            </w:tcBorders>
          </w:tcPr>
          <w:p w14:paraId="1337BC79"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r w:rsidRPr="0049704A">
              <w:rPr>
                <w:rFonts w:eastAsia="Times New Roman" w:cs="Times New Roman"/>
                <w:sz w:val="20"/>
                <w:szCs w:val="20"/>
                <w:lang w:eastAsia="en-GB"/>
              </w:rPr>
              <w:t>1.000</w:t>
            </w:r>
          </w:p>
        </w:tc>
        <w:tc>
          <w:tcPr>
            <w:tcW w:w="801" w:type="dxa"/>
            <w:tcBorders>
              <w:top w:val="single" w:sz="6" w:space="0" w:color="auto"/>
              <w:left w:val="nil"/>
              <w:bottom w:val="nil"/>
              <w:right w:val="nil"/>
            </w:tcBorders>
          </w:tcPr>
          <w:p w14:paraId="5C4627CD"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c>
          <w:tcPr>
            <w:tcW w:w="801" w:type="dxa"/>
            <w:tcBorders>
              <w:top w:val="single" w:sz="6" w:space="0" w:color="auto"/>
              <w:left w:val="nil"/>
              <w:bottom w:val="nil"/>
              <w:right w:val="nil"/>
            </w:tcBorders>
          </w:tcPr>
          <w:p w14:paraId="0A71C602"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c>
          <w:tcPr>
            <w:tcW w:w="801" w:type="dxa"/>
            <w:tcBorders>
              <w:top w:val="single" w:sz="6" w:space="0" w:color="auto"/>
              <w:left w:val="nil"/>
              <w:bottom w:val="nil"/>
              <w:right w:val="nil"/>
            </w:tcBorders>
          </w:tcPr>
          <w:p w14:paraId="49C5E8BB"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c>
          <w:tcPr>
            <w:tcW w:w="801" w:type="dxa"/>
            <w:tcBorders>
              <w:top w:val="single" w:sz="6" w:space="0" w:color="auto"/>
              <w:left w:val="nil"/>
              <w:bottom w:val="nil"/>
              <w:right w:val="nil"/>
            </w:tcBorders>
          </w:tcPr>
          <w:p w14:paraId="487E3C01"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c>
          <w:tcPr>
            <w:tcW w:w="801" w:type="dxa"/>
            <w:tcBorders>
              <w:top w:val="single" w:sz="6" w:space="0" w:color="auto"/>
              <w:left w:val="nil"/>
              <w:bottom w:val="nil"/>
              <w:right w:val="nil"/>
            </w:tcBorders>
          </w:tcPr>
          <w:p w14:paraId="2DD0C5AF"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c>
          <w:tcPr>
            <w:tcW w:w="801" w:type="dxa"/>
            <w:tcBorders>
              <w:top w:val="single" w:sz="6" w:space="0" w:color="auto"/>
              <w:left w:val="nil"/>
              <w:bottom w:val="nil"/>
              <w:right w:val="nil"/>
            </w:tcBorders>
          </w:tcPr>
          <w:p w14:paraId="3D3CA3D0"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c>
          <w:tcPr>
            <w:tcW w:w="801" w:type="dxa"/>
            <w:tcBorders>
              <w:top w:val="single" w:sz="6" w:space="0" w:color="auto"/>
              <w:left w:val="nil"/>
              <w:bottom w:val="nil"/>
              <w:right w:val="nil"/>
            </w:tcBorders>
          </w:tcPr>
          <w:p w14:paraId="5A654937"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c>
          <w:tcPr>
            <w:tcW w:w="801" w:type="dxa"/>
            <w:tcBorders>
              <w:top w:val="single" w:sz="6" w:space="0" w:color="auto"/>
              <w:left w:val="nil"/>
              <w:bottom w:val="nil"/>
              <w:right w:val="nil"/>
            </w:tcBorders>
          </w:tcPr>
          <w:p w14:paraId="7AB696F9"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c>
          <w:tcPr>
            <w:tcW w:w="801" w:type="dxa"/>
            <w:tcBorders>
              <w:top w:val="single" w:sz="6" w:space="0" w:color="auto"/>
              <w:left w:val="nil"/>
              <w:bottom w:val="nil"/>
              <w:right w:val="nil"/>
            </w:tcBorders>
          </w:tcPr>
          <w:p w14:paraId="49CAC00C"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c>
          <w:tcPr>
            <w:tcW w:w="801" w:type="dxa"/>
            <w:tcBorders>
              <w:top w:val="single" w:sz="6" w:space="0" w:color="auto"/>
              <w:left w:val="nil"/>
              <w:bottom w:val="nil"/>
              <w:right w:val="nil"/>
            </w:tcBorders>
          </w:tcPr>
          <w:p w14:paraId="0236744A"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c>
          <w:tcPr>
            <w:tcW w:w="801" w:type="dxa"/>
            <w:tcBorders>
              <w:top w:val="single" w:sz="6" w:space="0" w:color="auto"/>
              <w:left w:val="nil"/>
              <w:bottom w:val="nil"/>
              <w:right w:val="nil"/>
            </w:tcBorders>
          </w:tcPr>
          <w:p w14:paraId="7E17EBE2"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r>
      <w:tr w:rsidR="00C77830" w:rsidRPr="005862D0" w14:paraId="75AF8D51" w14:textId="77777777" w:rsidTr="00FA5E92">
        <w:trPr>
          <w:trHeight w:val="22"/>
        </w:trPr>
        <w:tc>
          <w:tcPr>
            <w:tcW w:w="1077" w:type="dxa"/>
            <w:vMerge/>
            <w:tcBorders>
              <w:left w:val="nil"/>
              <w:right w:val="nil"/>
            </w:tcBorders>
          </w:tcPr>
          <w:p w14:paraId="1B7291B4" w14:textId="77777777" w:rsidR="00C77830" w:rsidRPr="0049704A" w:rsidRDefault="00C77830" w:rsidP="00C3611B">
            <w:pPr>
              <w:widowControl w:val="0"/>
              <w:autoSpaceDE w:val="0"/>
              <w:autoSpaceDN w:val="0"/>
              <w:adjustRightInd w:val="0"/>
              <w:spacing w:line="240" w:lineRule="auto"/>
              <w:ind w:firstLine="0"/>
              <w:rPr>
                <w:rFonts w:eastAsia="Times New Roman" w:cs="Times New Roman"/>
                <w:sz w:val="20"/>
                <w:szCs w:val="20"/>
                <w:lang w:eastAsia="en-GB"/>
              </w:rPr>
            </w:pPr>
          </w:p>
        </w:tc>
        <w:tc>
          <w:tcPr>
            <w:tcW w:w="1984" w:type="dxa"/>
            <w:tcBorders>
              <w:top w:val="nil"/>
              <w:left w:val="nil"/>
              <w:bottom w:val="nil"/>
              <w:right w:val="nil"/>
            </w:tcBorders>
          </w:tcPr>
          <w:p w14:paraId="6D290FB8" w14:textId="3849FF7F" w:rsidR="00C77830" w:rsidRPr="0049704A" w:rsidRDefault="00C77830" w:rsidP="00C3611B">
            <w:pPr>
              <w:widowControl w:val="0"/>
              <w:autoSpaceDE w:val="0"/>
              <w:autoSpaceDN w:val="0"/>
              <w:adjustRightInd w:val="0"/>
              <w:spacing w:line="240" w:lineRule="auto"/>
              <w:ind w:firstLine="0"/>
              <w:rPr>
                <w:rFonts w:eastAsia="Times New Roman" w:cs="Times New Roman"/>
                <w:sz w:val="20"/>
                <w:szCs w:val="20"/>
                <w:lang w:eastAsia="en-GB"/>
              </w:rPr>
            </w:pPr>
            <w:r w:rsidRPr="0049704A">
              <w:rPr>
                <w:rFonts w:eastAsia="Times New Roman" w:cs="Times New Roman"/>
                <w:sz w:val="20"/>
                <w:szCs w:val="20"/>
                <w:lang w:eastAsia="en-GB"/>
              </w:rPr>
              <w:t>2 Culture</w:t>
            </w:r>
            <w:r>
              <w:rPr>
                <w:rFonts w:eastAsia="Times New Roman" w:cs="Times New Roman"/>
                <w:sz w:val="20"/>
                <w:szCs w:val="20"/>
                <w:lang w:eastAsia="en-GB"/>
              </w:rPr>
              <w:t xml:space="preserve"> and </w:t>
            </w:r>
            <w:r w:rsidRPr="0049704A">
              <w:rPr>
                <w:rFonts w:eastAsia="Times New Roman" w:cs="Times New Roman"/>
                <w:sz w:val="20"/>
                <w:szCs w:val="20"/>
                <w:lang w:eastAsia="en-GB"/>
              </w:rPr>
              <w:t>Values</w:t>
            </w:r>
          </w:p>
        </w:tc>
        <w:tc>
          <w:tcPr>
            <w:tcW w:w="734" w:type="dxa"/>
            <w:tcBorders>
              <w:top w:val="nil"/>
              <w:left w:val="nil"/>
              <w:bottom w:val="nil"/>
              <w:right w:val="nil"/>
            </w:tcBorders>
          </w:tcPr>
          <w:p w14:paraId="5B4CE514"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sidRPr="0049704A">
              <w:rPr>
                <w:rFonts w:eastAsia="Times New Roman" w:cs="Times New Roman"/>
                <w:sz w:val="20"/>
                <w:szCs w:val="20"/>
                <w:lang w:eastAsia="en-GB"/>
              </w:rPr>
              <w:t>3.830</w:t>
            </w:r>
          </w:p>
        </w:tc>
        <w:tc>
          <w:tcPr>
            <w:tcW w:w="801" w:type="dxa"/>
            <w:tcBorders>
              <w:top w:val="nil"/>
              <w:left w:val="nil"/>
              <w:bottom w:val="nil"/>
              <w:right w:val="nil"/>
            </w:tcBorders>
          </w:tcPr>
          <w:p w14:paraId="2FFD0503"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sidRPr="0049704A">
              <w:rPr>
                <w:rFonts w:eastAsia="Times New Roman" w:cs="Times New Roman"/>
                <w:sz w:val="20"/>
                <w:szCs w:val="20"/>
                <w:lang w:eastAsia="en-GB"/>
              </w:rPr>
              <w:t>1.283</w:t>
            </w:r>
          </w:p>
        </w:tc>
        <w:tc>
          <w:tcPr>
            <w:tcW w:w="801" w:type="dxa"/>
            <w:tcBorders>
              <w:top w:val="nil"/>
              <w:left w:val="nil"/>
              <w:bottom w:val="nil"/>
              <w:right w:val="nil"/>
            </w:tcBorders>
          </w:tcPr>
          <w:p w14:paraId="18B60847"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Pr>
                <w:rFonts w:eastAsia="Times New Roman" w:cs="Times New Roman"/>
                <w:b/>
                <w:bCs/>
                <w:sz w:val="20"/>
                <w:szCs w:val="20"/>
                <w:lang w:eastAsia="en-GB"/>
              </w:rPr>
              <w:t>.</w:t>
            </w:r>
            <w:r w:rsidRPr="0049704A">
              <w:rPr>
                <w:rFonts w:eastAsia="Times New Roman" w:cs="Times New Roman"/>
                <w:b/>
                <w:bCs/>
                <w:sz w:val="20"/>
                <w:szCs w:val="20"/>
                <w:lang w:eastAsia="en-GB"/>
              </w:rPr>
              <w:t>759</w:t>
            </w:r>
          </w:p>
        </w:tc>
        <w:tc>
          <w:tcPr>
            <w:tcW w:w="801" w:type="dxa"/>
            <w:tcBorders>
              <w:top w:val="nil"/>
              <w:left w:val="nil"/>
              <w:bottom w:val="nil"/>
              <w:right w:val="nil"/>
            </w:tcBorders>
          </w:tcPr>
          <w:p w14:paraId="1A684A83"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r w:rsidRPr="0049704A">
              <w:rPr>
                <w:rFonts w:eastAsia="Times New Roman" w:cs="Times New Roman"/>
                <w:sz w:val="20"/>
                <w:szCs w:val="20"/>
                <w:lang w:eastAsia="en-GB"/>
              </w:rPr>
              <w:t>1.000</w:t>
            </w:r>
          </w:p>
        </w:tc>
        <w:tc>
          <w:tcPr>
            <w:tcW w:w="801" w:type="dxa"/>
            <w:tcBorders>
              <w:top w:val="nil"/>
              <w:left w:val="nil"/>
              <w:bottom w:val="nil"/>
              <w:right w:val="nil"/>
            </w:tcBorders>
          </w:tcPr>
          <w:p w14:paraId="2DFF3857"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c>
          <w:tcPr>
            <w:tcW w:w="801" w:type="dxa"/>
            <w:tcBorders>
              <w:top w:val="nil"/>
              <w:left w:val="nil"/>
              <w:bottom w:val="nil"/>
              <w:right w:val="nil"/>
            </w:tcBorders>
          </w:tcPr>
          <w:p w14:paraId="332136A6"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c>
          <w:tcPr>
            <w:tcW w:w="801" w:type="dxa"/>
            <w:tcBorders>
              <w:top w:val="nil"/>
              <w:left w:val="nil"/>
              <w:bottom w:val="nil"/>
              <w:right w:val="nil"/>
            </w:tcBorders>
          </w:tcPr>
          <w:p w14:paraId="1C3A5E5E"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c>
          <w:tcPr>
            <w:tcW w:w="801" w:type="dxa"/>
            <w:tcBorders>
              <w:top w:val="nil"/>
              <w:left w:val="nil"/>
              <w:bottom w:val="nil"/>
              <w:right w:val="nil"/>
            </w:tcBorders>
          </w:tcPr>
          <w:p w14:paraId="0642EA62"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c>
          <w:tcPr>
            <w:tcW w:w="801" w:type="dxa"/>
            <w:tcBorders>
              <w:top w:val="nil"/>
              <w:left w:val="nil"/>
              <w:bottom w:val="nil"/>
              <w:right w:val="nil"/>
            </w:tcBorders>
          </w:tcPr>
          <w:p w14:paraId="502667D9"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c>
          <w:tcPr>
            <w:tcW w:w="801" w:type="dxa"/>
            <w:tcBorders>
              <w:top w:val="nil"/>
              <w:left w:val="nil"/>
              <w:bottom w:val="nil"/>
              <w:right w:val="nil"/>
            </w:tcBorders>
          </w:tcPr>
          <w:p w14:paraId="6C6ADD26"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c>
          <w:tcPr>
            <w:tcW w:w="801" w:type="dxa"/>
            <w:tcBorders>
              <w:top w:val="nil"/>
              <w:left w:val="nil"/>
              <w:bottom w:val="nil"/>
              <w:right w:val="nil"/>
            </w:tcBorders>
          </w:tcPr>
          <w:p w14:paraId="5AB2FB88"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c>
          <w:tcPr>
            <w:tcW w:w="801" w:type="dxa"/>
            <w:tcBorders>
              <w:top w:val="nil"/>
              <w:left w:val="nil"/>
              <w:bottom w:val="nil"/>
              <w:right w:val="nil"/>
            </w:tcBorders>
          </w:tcPr>
          <w:p w14:paraId="1F686CA5"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c>
          <w:tcPr>
            <w:tcW w:w="801" w:type="dxa"/>
            <w:tcBorders>
              <w:top w:val="nil"/>
              <w:left w:val="nil"/>
              <w:bottom w:val="nil"/>
              <w:right w:val="nil"/>
            </w:tcBorders>
          </w:tcPr>
          <w:p w14:paraId="041CC06D"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c>
          <w:tcPr>
            <w:tcW w:w="801" w:type="dxa"/>
            <w:tcBorders>
              <w:top w:val="nil"/>
              <w:left w:val="nil"/>
              <w:bottom w:val="nil"/>
              <w:right w:val="nil"/>
            </w:tcBorders>
          </w:tcPr>
          <w:p w14:paraId="5E0EB7D7"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r>
      <w:tr w:rsidR="00C77830" w:rsidRPr="005862D0" w14:paraId="47AF71D2" w14:textId="77777777" w:rsidTr="00FA5E92">
        <w:trPr>
          <w:trHeight w:val="22"/>
        </w:trPr>
        <w:tc>
          <w:tcPr>
            <w:tcW w:w="1077" w:type="dxa"/>
            <w:vMerge/>
            <w:tcBorders>
              <w:left w:val="nil"/>
              <w:right w:val="nil"/>
            </w:tcBorders>
          </w:tcPr>
          <w:p w14:paraId="2F315387" w14:textId="77777777" w:rsidR="00C77830" w:rsidRPr="0049704A" w:rsidRDefault="00C77830" w:rsidP="00C3611B">
            <w:pPr>
              <w:widowControl w:val="0"/>
              <w:autoSpaceDE w:val="0"/>
              <w:autoSpaceDN w:val="0"/>
              <w:adjustRightInd w:val="0"/>
              <w:spacing w:line="240" w:lineRule="auto"/>
              <w:ind w:firstLine="0"/>
              <w:rPr>
                <w:rFonts w:eastAsia="Times New Roman" w:cs="Times New Roman"/>
                <w:sz w:val="20"/>
                <w:szCs w:val="20"/>
                <w:lang w:eastAsia="en-GB"/>
              </w:rPr>
            </w:pPr>
          </w:p>
        </w:tc>
        <w:tc>
          <w:tcPr>
            <w:tcW w:w="1984" w:type="dxa"/>
            <w:tcBorders>
              <w:top w:val="nil"/>
              <w:left w:val="nil"/>
              <w:bottom w:val="nil"/>
              <w:right w:val="nil"/>
            </w:tcBorders>
          </w:tcPr>
          <w:p w14:paraId="6ACD50F0" w14:textId="45D6D900" w:rsidR="00C77830" w:rsidRPr="0049704A" w:rsidRDefault="00C77830" w:rsidP="00C3611B">
            <w:pPr>
              <w:widowControl w:val="0"/>
              <w:autoSpaceDE w:val="0"/>
              <w:autoSpaceDN w:val="0"/>
              <w:adjustRightInd w:val="0"/>
              <w:spacing w:line="240" w:lineRule="auto"/>
              <w:ind w:firstLine="0"/>
              <w:rPr>
                <w:rFonts w:eastAsia="Times New Roman" w:cs="Times New Roman"/>
                <w:sz w:val="20"/>
                <w:szCs w:val="20"/>
                <w:lang w:eastAsia="en-GB"/>
              </w:rPr>
            </w:pPr>
            <w:r w:rsidRPr="0049704A">
              <w:rPr>
                <w:rFonts w:eastAsia="Times New Roman" w:cs="Times New Roman"/>
                <w:sz w:val="20"/>
                <w:szCs w:val="20"/>
                <w:lang w:eastAsia="en-GB"/>
              </w:rPr>
              <w:t>3 Work</w:t>
            </w:r>
            <w:r>
              <w:rPr>
                <w:rFonts w:eastAsia="Times New Roman" w:cs="Times New Roman"/>
                <w:sz w:val="20"/>
                <w:szCs w:val="20"/>
                <w:lang w:eastAsia="en-GB"/>
              </w:rPr>
              <w:t xml:space="preserve"> </w:t>
            </w:r>
            <w:r w:rsidRPr="0049704A">
              <w:rPr>
                <w:rFonts w:eastAsia="Times New Roman" w:cs="Times New Roman"/>
                <w:sz w:val="20"/>
                <w:szCs w:val="20"/>
                <w:lang w:eastAsia="en-GB"/>
              </w:rPr>
              <w:t>Life</w:t>
            </w:r>
            <w:r>
              <w:rPr>
                <w:rFonts w:eastAsia="Times New Roman" w:cs="Times New Roman"/>
                <w:sz w:val="20"/>
                <w:szCs w:val="20"/>
                <w:lang w:eastAsia="en-GB"/>
              </w:rPr>
              <w:t xml:space="preserve"> </w:t>
            </w:r>
            <w:r w:rsidRPr="0049704A">
              <w:rPr>
                <w:rFonts w:eastAsia="Times New Roman" w:cs="Times New Roman"/>
                <w:sz w:val="20"/>
                <w:szCs w:val="20"/>
                <w:lang w:eastAsia="en-GB"/>
              </w:rPr>
              <w:t>Balance</w:t>
            </w:r>
          </w:p>
        </w:tc>
        <w:tc>
          <w:tcPr>
            <w:tcW w:w="734" w:type="dxa"/>
            <w:tcBorders>
              <w:top w:val="nil"/>
              <w:left w:val="nil"/>
              <w:bottom w:val="nil"/>
              <w:right w:val="nil"/>
            </w:tcBorders>
          </w:tcPr>
          <w:p w14:paraId="61A6F268"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sidRPr="0049704A">
              <w:rPr>
                <w:rFonts w:eastAsia="Times New Roman" w:cs="Times New Roman"/>
                <w:sz w:val="20"/>
                <w:szCs w:val="20"/>
                <w:lang w:eastAsia="en-GB"/>
              </w:rPr>
              <w:t>3.618</w:t>
            </w:r>
          </w:p>
        </w:tc>
        <w:tc>
          <w:tcPr>
            <w:tcW w:w="801" w:type="dxa"/>
            <w:tcBorders>
              <w:top w:val="nil"/>
              <w:left w:val="nil"/>
              <w:bottom w:val="nil"/>
              <w:right w:val="nil"/>
            </w:tcBorders>
          </w:tcPr>
          <w:p w14:paraId="5CAE7D49"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sidRPr="0049704A">
              <w:rPr>
                <w:rFonts w:eastAsia="Times New Roman" w:cs="Times New Roman"/>
                <w:sz w:val="20"/>
                <w:szCs w:val="20"/>
                <w:lang w:eastAsia="en-GB"/>
              </w:rPr>
              <w:t>1.317</w:t>
            </w:r>
          </w:p>
        </w:tc>
        <w:tc>
          <w:tcPr>
            <w:tcW w:w="801" w:type="dxa"/>
            <w:tcBorders>
              <w:top w:val="nil"/>
              <w:left w:val="nil"/>
              <w:bottom w:val="nil"/>
              <w:right w:val="nil"/>
            </w:tcBorders>
          </w:tcPr>
          <w:p w14:paraId="2D093CE0"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Pr>
                <w:rFonts w:eastAsia="Times New Roman" w:cs="Times New Roman"/>
                <w:b/>
                <w:bCs/>
                <w:sz w:val="20"/>
                <w:szCs w:val="20"/>
                <w:lang w:eastAsia="en-GB"/>
              </w:rPr>
              <w:t>.</w:t>
            </w:r>
            <w:r w:rsidRPr="0049704A">
              <w:rPr>
                <w:rFonts w:eastAsia="Times New Roman" w:cs="Times New Roman"/>
                <w:b/>
                <w:bCs/>
                <w:sz w:val="20"/>
                <w:szCs w:val="20"/>
                <w:lang w:eastAsia="en-GB"/>
              </w:rPr>
              <w:t>621</w:t>
            </w:r>
          </w:p>
        </w:tc>
        <w:tc>
          <w:tcPr>
            <w:tcW w:w="801" w:type="dxa"/>
            <w:tcBorders>
              <w:top w:val="nil"/>
              <w:left w:val="nil"/>
              <w:bottom w:val="nil"/>
              <w:right w:val="nil"/>
            </w:tcBorders>
          </w:tcPr>
          <w:p w14:paraId="567131AB"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Pr>
                <w:rFonts w:eastAsia="Times New Roman" w:cs="Times New Roman"/>
                <w:b/>
                <w:bCs/>
                <w:sz w:val="20"/>
                <w:szCs w:val="20"/>
                <w:lang w:eastAsia="en-GB"/>
              </w:rPr>
              <w:t>.</w:t>
            </w:r>
            <w:r w:rsidRPr="0049704A">
              <w:rPr>
                <w:rFonts w:eastAsia="Times New Roman" w:cs="Times New Roman"/>
                <w:b/>
                <w:bCs/>
                <w:sz w:val="20"/>
                <w:szCs w:val="20"/>
                <w:lang w:eastAsia="en-GB"/>
              </w:rPr>
              <w:t>623</w:t>
            </w:r>
          </w:p>
        </w:tc>
        <w:tc>
          <w:tcPr>
            <w:tcW w:w="801" w:type="dxa"/>
            <w:tcBorders>
              <w:top w:val="nil"/>
              <w:left w:val="nil"/>
              <w:bottom w:val="nil"/>
              <w:right w:val="nil"/>
            </w:tcBorders>
          </w:tcPr>
          <w:p w14:paraId="4F8B5439"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r w:rsidRPr="0049704A">
              <w:rPr>
                <w:rFonts w:eastAsia="Times New Roman" w:cs="Times New Roman"/>
                <w:sz w:val="20"/>
                <w:szCs w:val="20"/>
                <w:lang w:eastAsia="en-GB"/>
              </w:rPr>
              <w:t>1.000</w:t>
            </w:r>
          </w:p>
        </w:tc>
        <w:tc>
          <w:tcPr>
            <w:tcW w:w="801" w:type="dxa"/>
            <w:tcBorders>
              <w:top w:val="nil"/>
              <w:left w:val="nil"/>
              <w:bottom w:val="nil"/>
              <w:right w:val="nil"/>
            </w:tcBorders>
          </w:tcPr>
          <w:p w14:paraId="2F2AE626"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c>
          <w:tcPr>
            <w:tcW w:w="801" w:type="dxa"/>
            <w:tcBorders>
              <w:top w:val="nil"/>
              <w:left w:val="nil"/>
              <w:bottom w:val="nil"/>
              <w:right w:val="nil"/>
            </w:tcBorders>
          </w:tcPr>
          <w:p w14:paraId="1BCC18AC"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c>
          <w:tcPr>
            <w:tcW w:w="801" w:type="dxa"/>
            <w:tcBorders>
              <w:top w:val="nil"/>
              <w:left w:val="nil"/>
              <w:bottom w:val="nil"/>
              <w:right w:val="nil"/>
            </w:tcBorders>
          </w:tcPr>
          <w:p w14:paraId="7FDB424A"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c>
          <w:tcPr>
            <w:tcW w:w="801" w:type="dxa"/>
            <w:tcBorders>
              <w:top w:val="nil"/>
              <w:left w:val="nil"/>
              <w:bottom w:val="nil"/>
              <w:right w:val="nil"/>
            </w:tcBorders>
          </w:tcPr>
          <w:p w14:paraId="198B1FD9"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c>
          <w:tcPr>
            <w:tcW w:w="801" w:type="dxa"/>
            <w:tcBorders>
              <w:top w:val="nil"/>
              <w:left w:val="nil"/>
              <w:bottom w:val="nil"/>
              <w:right w:val="nil"/>
            </w:tcBorders>
          </w:tcPr>
          <w:p w14:paraId="09519131"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c>
          <w:tcPr>
            <w:tcW w:w="801" w:type="dxa"/>
            <w:tcBorders>
              <w:top w:val="nil"/>
              <w:left w:val="nil"/>
              <w:bottom w:val="nil"/>
              <w:right w:val="nil"/>
            </w:tcBorders>
          </w:tcPr>
          <w:p w14:paraId="193BB19C"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c>
          <w:tcPr>
            <w:tcW w:w="801" w:type="dxa"/>
            <w:tcBorders>
              <w:top w:val="nil"/>
              <w:left w:val="nil"/>
              <w:bottom w:val="nil"/>
              <w:right w:val="nil"/>
            </w:tcBorders>
          </w:tcPr>
          <w:p w14:paraId="221978FA"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c>
          <w:tcPr>
            <w:tcW w:w="801" w:type="dxa"/>
            <w:tcBorders>
              <w:top w:val="nil"/>
              <w:left w:val="nil"/>
              <w:bottom w:val="nil"/>
              <w:right w:val="nil"/>
            </w:tcBorders>
          </w:tcPr>
          <w:p w14:paraId="4642D75A"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c>
          <w:tcPr>
            <w:tcW w:w="801" w:type="dxa"/>
            <w:tcBorders>
              <w:top w:val="nil"/>
              <w:left w:val="nil"/>
              <w:bottom w:val="nil"/>
              <w:right w:val="nil"/>
            </w:tcBorders>
          </w:tcPr>
          <w:p w14:paraId="0D4C6AF2"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r>
      <w:tr w:rsidR="00C77830" w:rsidRPr="005862D0" w14:paraId="0FC943C5" w14:textId="77777777" w:rsidTr="00FA5E92">
        <w:trPr>
          <w:trHeight w:val="22"/>
        </w:trPr>
        <w:tc>
          <w:tcPr>
            <w:tcW w:w="1077" w:type="dxa"/>
            <w:vMerge/>
            <w:tcBorders>
              <w:left w:val="nil"/>
              <w:right w:val="nil"/>
            </w:tcBorders>
          </w:tcPr>
          <w:p w14:paraId="3FB4123F" w14:textId="77777777" w:rsidR="00C77830" w:rsidRPr="0049704A" w:rsidRDefault="00C77830" w:rsidP="00C3611B">
            <w:pPr>
              <w:widowControl w:val="0"/>
              <w:autoSpaceDE w:val="0"/>
              <w:autoSpaceDN w:val="0"/>
              <w:adjustRightInd w:val="0"/>
              <w:spacing w:line="240" w:lineRule="auto"/>
              <w:ind w:firstLine="0"/>
              <w:rPr>
                <w:rFonts w:eastAsia="Times New Roman" w:cs="Times New Roman"/>
                <w:sz w:val="20"/>
                <w:szCs w:val="20"/>
                <w:lang w:eastAsia="en-GB"/>
              </w:rPr>
            </w:pPr>
          </w:p>
        </w:tc>
        <w:tc>
          <w:tcPr>
            <w:tcW w:w="1984" w:type="dxa"/>
            <w:tcBorders>
              <w:top w:val="nil"/>
              <w:left w:val="nil"/>
              <w:bottom w:val="nil"/>
              <w:right w:val="nil"/>
            </w:tcBorders>
          </w:tcPr>
          <w:p w14:paraId="30AE7010" w14:textId="327499F5" w:rsidR="00C77830" w:rsidRPr="0049704A" w:rsidRDefault="00C77830" w:rsidP="00C3611B">
            <w:pPr>
              <w:widowControl w:val="0"/>
              <w:autoSpaceDE w:val="0"/>
              <w:autoSpaceDN w:val="0"/>
              <w:adjustRightInd w:val="0"/>
              <w:spacing w:line="240" w:lineRule="auto"/>
              <w:ind w:firstLine="0"/>
              <w:rPr>
                <w:rFonts w:eastAsia="Times New Roman" w:cs="Times New Roman"/>
                <w:sz w:val="20"/>
                <w:szCs w:val="20"/>
                <w:lang w:eastAsia="en-GB"/>
              </w:rPr>
            </w:pPr>
            <w:r w:rsidRPr="0049704A">
              <w:rPr>
                <w:rFonts w:eastAsia="Times New Roman" w:cs="Times New Roman"/>
                <w:sz w:val="20"/>
                <w:szCs w:val="20"/>
                <w:lang w:eastAsia="en-GB"/>
              </w:rPr>
              <w:t>4 Senior</w:t>
            </w:r>
            <w:r>
              <w:rPr>
                <w:rFonts w:eastAsia="Times New Roman" w:cs="Times New Roman"/>
                <w:sz w:val="20"/>
                <w:szCs w:val="20"/>
                <w:lang w:eastAsia="en-GB"/>
              </w:rPr>
              <w:t xml:space="preserve"> </w:t>
            </w:r>
            <w:r w:rsidRPr="0049704A">
              <w:rPr>
                <w:rFonts w:eastAsia="Times New Roman" w:cs="Times New Roman"/>
                <w:sz w:val="20"/>
                <w:szCs w:val="20"/>
                <w:lang w:eastAsia="en-GB"/>
              </w:rPr>
              <w:t>Management</w:t>
            </w:r>
          </w:p>
        </w:tc>
        <w:tc>
          <w:tcPr>
            <w:tcW w:w="734" w:type="dxa"/>
            <w:tcBorders>
              <w:top w:val="nil"/>
              <w:left w:val="nil"/>
              <w:bottom w:val="nil"/>
              <w:right w:val="nil"/>
            </w:tcBorders>
          </w:tcPr>
          <w:p w14:paraId="2F0DE96F"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sidRPr="0049704A">
              <w:rPr>
                <w:rFonts w:eastAsia="Times New Roman" w:cs="Times New Roman"/>
                <w:sz w:val="20"/>
                <w:szCs w:val="20"/>
                <w:lang w:eastAsia="en-GB"/>
              </w:rPr>
              <w:t>3.472</w:t>
            </w:r>
          </w:p>
        </w:tc>
        <w:tc>
          <w:tcPr>
            <w:tcW w:w="801" w:type="dxa"/>
            <w:tcBorders>
              <w:top w:val="nil"/>
              <w:left w:val="nil"/>
              <w:bottom w:val="nil"/>
              <w:right w:val="nil"/>
            </w:tcBorders>
          </w:tcPr>
          <w:p w14:paraId="43C11613"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sidRPr="0049704A">
              <w:rPr>
                <w:rFonts w:eastAsia="Times New Roman" w:cs="Times New Roman"/>
                <w:sz w:val="20"/>
                <w:szCs w:val="20"/>
                <w:lang w:eastAsia="en-GB"/>
              </w:rPr>
              <w:t>1.336</w:t>
            </w:r>
          </w:p>
        </w:tc>
        <w:tc>
          <w:tcPr>
            <w:tcW w:w="801" w:type="dxa"/>
            <w:tcBorders>
              <w:top w:val="nil"/>
              <w:left w:val="nil"/>
              <w:bottom w:val="nil"/>
              <w:right w:val="nil"/>
            </w:tcBorders>
          </w:tcPr>
          <w:p w14:paraId="6178AD11"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Pr>
                <w:rFonts w:eastAsia="Times New Roman" w:cs="Times New Roman"/>
                <w:b/>
                <w:bCs/>
                <w:sz w:val="20"/>
                <w:szCs w:val="20"/>
                <w:lang w:eastAsia="en-GB"/>
              </w:rPr>
              <w:t>.</w:t>
            </w:r>
            <w:r w:rsidRPr="0049704A">
              <w:rPr>
                <w:rFonts w:eastAsia="Times New Roman" w:cs="Times New Roman"/>
                <w:b/>
                <w:bCs/>
                <w:sz w:val="20"/>
                <w:szCs w:val="20"/>
                <w:lang w:eastAsia="en-GB"/>
              </w:rPr>
              <w:t>740</w:t>
            </w:r>
          </w:p>
        </w:tc>
        <w:tc>
          <w:tcPr>
            <w:tcW w:w="801" w:type="dxa"/>
            <w:tcBorders>
              <w:top w:val="nil"/>
              <w:left w:val="nil"/>
              <w:bottom w:val="nil"/>
              <w:right w:val="nil"/>
            </w:tcBorders>
          </w:tcPr>
          <w:p w14:paraId="6D946108"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Pr>
                <w:rFonts w:eastAsia="Times New Roman" w:cs="Times New Roman"/>
                <w:b/>
                <w:bCs/>
                <w:sz w:val="20"/>
                <w:szCs w:val="20"/>
                <w:lang w:eastAsia="en-GB"/>
              </w:rPr>
              <w:t>.</w:t>
            </w:r>
            <w:r w:rsidRPr="0049704A">
              <w:rPr>
                <w:rFonts w:eastAsia="Times New Roman" w:cs="Times New Roman"/>
                <w:b/>
                <w:bCs/>
                <w:sz w:val="20"/>
                <w:szCs w:val="20"/>
                <w:lang w:eastAsia="en-GB"/>
              </w:rPr>
              <w:t>751</w:t>
            </w:r>
          </w:p>
        </w:tc>
        <w:tc>
          <w:tcPr>
            <w:tcW w:w="801" w:type="dxa"/>
            <w:tcBorders>
              <w:top w:val="nil"/>
              <w:left w:val="nil"/>
              <w:bottom w:val="nil"/>
              <w:right w:val="nil"/>
            </w:tcBorders>
          </w:tcPr>
          <w:p w14:paraId="705B5369"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Pr>
                <w:rFonts w:eastAsia="Times New Roman" w:cs="Times New Roman"/>
                <w:b/>
                <w:bCs/>
                <w:sz w:val="20"/>
                <w:szCs w:val="20"/>
                <w:lang w:eastAsia="en-GB"/>
              </w:rPr>
              <w:t>.</w:t>
            </w:r>
            <w:r w:rsidRPr="0049704A">
              <w:rPr>
                <w:rFonts w:eastAsia="Times New Roman" w:cs="Times New Roman"/>
                <w:b/>
                <w:bCs/>
                <w:sz w:val="20"/>
                <w:szCs w:val="20"/>
                <w:lang w:eastAsia="en-GB"/>
              </w:rPr>
              <w:t>614</w:t>
            </w:r>
          </w:p>
        </w:tc>
        <w:tc>
          <w:tcPr>
            <w:tcW w:w="801" w:type="dxa"/>
            <w:tcBorders>
              <w:top w:val="nil"/>
              <w:left w:val="nil"/>
              <w:bottom w:val="nil"/>
              <w:right w:val="nil"/>
            </w:tcBorders>
          </w:tcPr>
          <w:p w14:paraId="7A9BC55F"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r w:rsidRPr="0049704A">
              <w:rPr>
                <w:rFonts w:eastAsia="Times New Roman" w:cs="Times New Roman"/>
                <w:sz w:val="20"/>
                <w:szCs w:val="20"/>
                <w:lang w:eastAsia="en-GB"/>
              </w:rPr>
              <w:t>1.000</w:t>
            </w:r>
          </w:p>
        </w:tc>
        <w:tc>
          <w:tcPr>
            <w:tcW w:w="801" w:type="dxa"/>
            <w:tcBorders>
              <w:top w:val="nil"/>
              <w:left w:val="nil"/>
              <w:bottom w:val="nil"/>
              <w:right w:val="nil"/>
            </w:tcBorders>
          </w:tcPr>
          <w:p w14:paraId="44EFD2CF"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c>
          <w:tcPr>
            <w:tcW w:w="801" w:type="dxa"/>
            <w:tcBorders>
              <w:top w:val="nil"/>
              <w:left w:val="nil"/>
              <w:bottom w:val="nil"/>
              <w:right w:val="nil"/>
            </w:tcBorders>
          </w:tcPr>
          <w:p w14:paraId="3F772E6F"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c>
          <w:tcPr>
            <w:tcW w:w="801" w:type="dxa"/>
            <w:tcBorders>
              <w:top w:val="nil"/>
              <w:left w:val="nil"/>
              <w:bottom w:val="nil"/>
              <w:right w:val="nil"/>
            </w:tcBorders>
          </w:tcPr>
          <w:p w14:paraId="5A3D2CFE"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c>
          <w:tcPr>
            <w:tcW w:w="801" w:type="dxa"/>
            <w:tcBorders>
              <w:top w:val="nil"/>
              <w:left w:val="nil"/>
              <w:bottom w:val="nil"/>
              <w:right w:val="nil"/>
            </w:tcBorders>
          </w:tcPr>
          <w:p w14:paraId="77F3EFDA"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c>
          <w:tcPr>
            <w:tcW w:w="801" w:type="dxa"/>
            <w:tcBorders>
              <w:top w:val="nil"/>
              <w:left w:val="nil"/>
              <w:bottom w:val="nil"/>
              <w:right w:val="nil"/>
            </w:tcBorders>
          </w:tcPr>
          <w:p w14:paraId="64456765"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c>
          <w:tcPr>
            <w:tcW w:w="801" w:type="dxa"/>
            <w:tcBorders>
              <w:top w:val="nil"/>
              <w:left w:val="nil"/>
              <w:bottom w:val="nil"/>
              <w:right w:val="nil"/>
            </w:tcBorders>
          </w:tcPr>
          <w:p w14:paraId="559C686E"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c>
          <w:tcPr>
            <w:tcW w:w="801" w:type="dxa"/>
            <w:tcBorders>
              <w:top w:val="nil"/>
              <w:left w:val="nil"/>
              <w:bottom w:val="nil"/>
              <w:right w:val="nil"/>
            </w:tcBorders>
          </w:tcPr>
          <w:p w14:paraId="6C5F1C86"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c>
          <w:tcPr>
            <w:tcW w:w="801" w:type="dxa"/>
            <w:tcBorders>
              <w:top w:val="nil"/>
              <w:left w:val="nil"/>
              <w:bottom w:val="nil"/>
              <w:right w:val="nil"/>
            </w:tcBorders>
          </w:tcPr>
          <w:p w14:paraId="17D63559"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r>
      <w:tr w:rsidR="00C77830" w:rsidRPr="005862D0" w14:paraId="41EB34EE" w14:textId="77777777" w:rsidTr="00FA5E92">
        <w:trPr>
          <w:trHeight w:val="22"/>
        </w:trPr>
        <w:tc>
          <w:tcPr>
            <w:tcW w:w="1077" w:type="dxa"/>
            <w:vMerge/>
            <w:tcBorders>
              <w:left w:val="nil"/>
              <w:right w:val="nil"/>
            </w:tcBorders>
          </w:tcPr>
          <w:p w14:paraId="236E4651" w14:textId="77777777" w:rsidR="00C77830" w:rsidRPr="0049704A" w:rsidRDefault="00C77830" w:rsidP="00C3611B">
            <w:pPr>
              <w:widowControl w:val="0"/>
              <w:autoSpaceDE w:val="0"/>
              <w:autoSpaceDN w:val="0"/>
              <w:adjustRightInd w:val="0"/>
              <w:spacing w:line="240" w:lineRule="auto"/>
              <w:ind w:firstLine="0"/>
              <w:rPr>
                <w:rFonts w:eastAsia="Times New Roman" w:cs="Times New Roman"/>
                <w:sz w:val="20"/>
                <w:szCs w:val="20"/>
                <w:lang w:eastAsia="en-GB"/>
              </w:rPr>
            </w:pPr>
          </w:p>
        </w:tc>
        <w:tc>
          <w:tcPr>
            <w:tcW w:w="1984" w:type="dxa"/>
            <w:tcBorders>
              <w:top w:val="nil"/>
              <w:left w:val="nil"/>
              <w:bottom w:val="nil"/>
              <w:right w:val="nil"/>
            </w:tcBorders>
          </w:tcPr>
          <w:p w14:paraId="37398507" w14:textId="31F2B6ED" w:rsidR="00C77830" w:rsidRPr="0049704A" w:rsidRDefault="00C77830" w:rsidP="00C3611B">
            <w:pPr>
              <w:widowControl w:val="0"/>
              <w:autoSpaceDE w:val="0"/>
              <w:autoSpaceDN w:val="0"/>
              <w:adjustRightInd w:val="0"/>
              <w:spacing w:line="240" w:lineRule="auto"/>
              <w:ind w:firstLine="0"/>
              <w:rPr>
                <w:rFonts w:eastAsia="Times New Roman" w:cs="Times New Roman"/>
                <w:sz w:val="20"/>
                <w:szCs w:val="20"/>
                <w:lang w:eastAsia="en-GB"/>
              </w:rPr>
            </w:pPr>
            <w:r w:rsidRPr="0049704A">
              <w:rPr>
                <w:rFonts w:eastAsia="Times New Roman" w:cs="Times New Roman"/>
                <w:sz w:val="20"/>
                <w:szCs w:val="20"/>
                <w:lang w:eastAsia="en-GB"/>
              </w:rPr>
              <w:t>5 Compensation</w:t>
            </w:r>
            <w:r>
              <w:rPr>
                <w:rFonts w:eastAsia="Times New Roman" w:cs="Times New Roman"/>
                <w:sz w:val="20"/>
                <w:szCs w:val="20"/>
                <w:lang w:eastAsia="en-GB"/>
              </w:rPr>
              <w:t xml:space="preserve"> and </w:t>
            </w:r>
            <w:r w:rsidRPr="0049704A">
              <w:rPr>
                <w:rFonts w:eastAsia="Times New Roman" w:cs="Times New Roman"/>
                <w:sz w:val="20"/>
                <w:szCs w:val="20"/>
                <w:lang w:eastAsia="en-GB"/>
              </w:rPr>
              <w:t>Benefits</w:t>
            </w:r>
          </w:p>
        </w:tc>
        <w:tc>
          <w:tcPr>
            <w:tcW w:w="734" w:type="dxa"/>
            <w:tcBorders>
              <w:top w:val="nil"/>
              <w:left w:val="nil"/>
              <w:bottom w:val="nil"/>
              <w:right w:val="nil"/>
            </w:tcBorders>
          </w:tcPr>
          <w:p w14:paraId="34B13AAE"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sidRPr="0049704A">
              <w:rPr>
                <w:rFonts w:eastAsia="Times New Roman" w:cs="Times New Roman"/>
                <w:sz w:val="20"/>
                <w:szCs w:val="20"/>
                <w:lang w:eastAsia="en-GB"/>
              </w:rPr>
              <w:t>3.818</w:t>
            </w:r>
          </w:p>
        </w:tc>
        <w:tc>
          <w:tcPr>
            <w:tcW w:w="801" w:type="dxa"/>
            <w:tcBorders>
              <w:top w:val="nil"/>
              <w:left w:val="nil"/>
              <w:bottom w:val="nil"/>
              <w:right w:val="nil"/>
            </w:tcBorders>
          </w:tcPr>
          <w:p w14:paraId="0E24F696"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sidRPr="0049704A">
              <w:rPr>
                <w:rFonts w:eastAsia="Times New Roman" w:cs="Times New Roman"/>
                <w:sz w:val="20"/>
                <w:szCs w:val="20"/>
                <w:lang w:eastAsia="en-GB"/>
              </w:rPr>
              <w:t>1.153</w:t>
            </w:r>
          </w:p>
        </w:tc>
        <w:tc>
          <w:tcPr>
            <w:tcW w:w="801" w:type="dxa"/>
            <w:tcBorders>
              <w:top w:val="nil"/>
              <w:left w:val="nil"/>
              <w:bottom w:val="nil"/>
              <w:right w:val="nil"/>
            </w:tcBorders>
          </w:tcPr>
          <w:p w14:paraId="3B149602"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Pr>
                <w:rFonts w:eastAsia="Times New Roman" w:cs="Times New Roman"/>
                <w:b/>
                <w:bCs/>
                <w:sz w:val="20"/>
                <w:szCs w:val="20"/>
                <w:lang w:eastAsia="en-GB"/>
              </w:rPr>
              <w:t>.</w:t>
            </w:r>
            <w:r w:rsidRPr="0049704A">
              <w:rPr>
                <w:rFonts w:eastAsia="Times New Roman" w:cs="Times New Roman"/>
                <w:b/>
                <w:bCs/>
                <w:sz w:val="20"/>
                <w:szCs w:val="20"/>
                <w:lang w:eastAsia="en-GB"/>
              </w:rPr>
              <w:t>596</w:t>
            </w:r>
          </w:p>
        </w:tc>
        <w:tc>
          <w:tcPr>
            <w:tcW w:w="801" w:type="dxa"/>
            <w:tcBorders>
              <w:top w:val="nil"/>
              <w:left w:val="nil"/>
              <w:bottom w:val="nil"/>
              <w:right w:val="nil"/>
            </w:tcBorders>
          </w:tcPr>
          <w:p w14:paraId="1FCBA970"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Pr>
                <w:rFonts w:eastAsia="Times New Roman" w:cs="Times New Roman"/>
                <w:b/>
                <w:bCs/>
                <w:sz w:val="20"/>
                <w:szCs w:val="20"/>
                <w:lang w:eastAsia="en-GB"/>
              </w:rPr>
              <w:t>.</w:t>
            </w:r>
            <w:r w:rsidRPr="0049704A">
              <w:rPr>
                <w:rFonts w:eastAsia="Times New Roman" w:cs="Times New Roman"/>
                <w:b/>
                <w:bCs/>
                <w:sz w:val="20"/>
                <w:szCs w:val="20"/>
                <w:lang w:eastAsia="en-GB"/>
              </w:rPr>
              <w:t>540</w:t>
            </w:r>
          </w:p>
        </w:tc>
        <w:tc>
          <w:tcPr>
            <w:tcW w:w="801" w:type="dxa"/>
            <w:tcBorders>
              <w:top w:val="nil"/>
              <w:left w:val="nil"/>
              <w:bottom w:val="nil"/>
              <w:right w:val="nil"/>
            </w:tcBorders>
          </w:tcPr>
          <w:p w14:paraId="632FF7F1"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Pr>
                <w:rFonts w:eastAsia="Times New Roman" w:cs="Times New Roman"/>
                <w:b/>
                <w:bCs/>
                <w:sz w:val="20"/>
                <w:szCs w:val="20"/>
                <w:lang w:eastAsia="en-GB"/>
              </w:rPr>
              <w:t>.</w:t>
            </w:r>
            <w:r w:rsidRPr="0049704A">
              <w:rPr>
                <w:rFonts w:eastAsia="Times New Roman" w:cs="Times New Roman"/>
                <w:b/>
                <w:bCs/>
                <w:sz w:val="20"/>
                <w:szCs w:val="20"/>
                <w:lang w:eastAsia="en-GB"/>
              </w:rPr>
              <w:t>430</w:t>
            </w:r>
          </w:p>
        </w:tc>
        <w:tc>
          <w:tcPr>
            <w:tcW w:w="801" w:type="dxa"/>
            <w:tcBorders>
              <w:top w:val="nil"/>
              <w:left w:val="nil"/>
              <w:bottom w:val="nil"/>
              <w:right w:val="nil"/>
            </w:tcBorders>
          </w:tcPr>
          <w:p w14:paraId="4247B29D"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Pr>
                <w:rFonts w:eastAsia="Times New Roman" w:cs="Times New Roman"/>
                <w:b/>
                <w:bCs/>
                <w:sz w:val="20"/>
                <w:szCs w:val="20"/>
                <w:lang w:eastAsia="en-GB"/>
              </w:rPr>
              <w:t>.</w:t>
            </w:r>
            <w:r w:rsidRPr="0049704A">
              <w:rPr>
                <w:rFonts w:eastAsia="Times New Roman" w:cs="Times New Roman"/>
                <w:b/>
                <w:bCs/>
                <w:sz w:val="20"/>
                <w:szCs w:val="20"/>
                <w:lang w:eastAsia="en-GB"/>
              </w:rPr>
              <w:t>544</w:t>
            </w:r>
          </w:p>
        </w:tc>
        <w:tc>
          <w:tcPr>
            <w:tcW w:w="801" w:type="dxa"/>
            <w:tcBorders>
              <w:top w:val="nil"/>
              <w:left w:val="nil"/>
              <w:bottom w:val="nil"/>
              <w:right w:val="nil"/>
            </w:tcBorders>
          </w:tcPr>
          <w:p w14:paraId="539C179C"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r w:rsidRPr="0049704A">
              <w:rPr>
                <w:rFonts w:eastAsia="Times New Roman" w:cs="Times New Roman"/>
                <w:sz w:val="20"/>
                <w:szCs w:val="20"/>
                <w:lang w:eastAsia="en-GB"/>
              </w:rPr>
              <w:t>1.000</w:t>
            </w:r>
          </w:p>
        </w:tc>
        <w:tc>
          <w:tcPr>
            <w:tcW w:w="801" w:type="dxa"/>
            <w:tcBorders>
              <w:top w:val="nil"/>
              <w:left w:val="nil"/>
              <w:bottom w:val="nil"/>
              <w:right w:val="nil"/>
            </w:tcBorders>
          </w:tcPr>
          <w:p w14:paraId="2642AF10"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c>
          <w:tcPr>
            <w:tcW w:w="801" w:type="dxa"/>
            <w:tcBorders>
              <w:top w:val="nil"/>
              <w:left w:val="nil"/>
              <w:bottom w:val="nil"/>
              <w:right w:val="nil"/>
            </w:tcBorders>
          </w:tcPr>
          <w:p w14:paraId="6742C829"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c>
          <w:tcPr>
            <w:tcW w:w="801" w:type="dxa"/>
            <w:tcBorders>
              <w:top w:val="nil"/>
              <w:left w:val="nil"/>
              <w:bottom w:val="nil"/>
              <w:right w:val="nil"/>
            </w:tcBorders>
          </w:tcPr>
          <w:p w14:paraId="0805B473"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c>
          <w:tcPr>
            <w:tcW w:w="801" w:type="dxa"/>
            <w:tcBorders>
              <w:top w:val="nil"/>
              <w:left w:val="nil"/>
              <w:bottom w:val="nil"/>
              <w:right w:val="nil"/>
            </w:tcBorders>
          </w:tcPr>
          <w:p w14:paraId="5DE8544D"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c>
          <w:tcPr>
            <w:tcW w:w="801" w:type="dxa"/>
            <w:tcBorders>
              <w:top w:val="nil"/>
              <w:left w:val="nil"/>
              <w:bottom w:val="nil"/>
              <w:right w:val="nil"/>
            </w:tcBorders>
          </w:tcPr>
          <w:p w14:paraId="34F6F47A"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c>
          <w:tcPr>
            <w:tcW w:w="801" w:type="dxa"/>
            <w:tcBorders>
              <w:top w:val="nil"/>
              <w:left w:val="nil"/>
              <w:bottom w:val="nil"/>
              <w:right w:val="nil"/>
            </w:tcBorders>
          </w:tcPr>
          <w:p w14:paraId="010DB262"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c>
          <w:tcPr>
            <w:tcW w:w="801" w:type="dxa"/>
            <w:tcBorders>
              <w:top w:val="nil"/>
              <w:left w:val="nil"/>
              <w:bottom w:val="nil"/>
              <w:right w:val="nil"/>
            </w:tcBorders>
          </w:tcPr>
          <w:p w14:paraId="058106B6"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r>
      <w:tr w:rsidR="00C77830" w:rsidRPr="005862D0" w14:paraId="326A8FB8" w14:textId="77777777" w:rsidTr="00FA5E92">
        <w:trPr>
          <w:trHeight w:val="22"/>
        </w:trPr>
        <w:tc>
          <w:tcPr>
            <w:tcW w:w="1077" w:type="dxa"/>
            <w:vMerge/>
            <w:tcBorders>
              <w:left w:val="nil"/>
              <w:bottom w:val="single" w:sz="4" w:space="0" w:color="auto"/>
              <w:right w:val="nil"/>
            </w:tcBorders>
          </w:tcPr>
          <w:p w14:paraId="19391836" w14:textId="77777777" w:rsidR="00C77830" w:rsidRPr="0049704A" w:rsidRDefault="00C77830" w:rsidP="00C3611B">
            <w:pPr>
              <w:widowControl w:val="0"/>
              <w:autoSpaceDE w:val="0"/>
              <w:autoSpaceDN w:val="0"/>
              <w:adjustRightInd w:val="0"/>
              <w:spacing w:line="240" w:lineRule="auto"/>
              <w:ind w:firstLine="0"/>
              <w:rPr>
                <w:rFonts w:eastAsia="Times New Roman" w:cs="Times New Roman"/>
                <w:sz w:val="20"/>
                <w:szCs w:val="20"/>
                <w:lang w:eastAsia="en-GB"/>
              </w:rPr>
            </w:pPr>
          </w:p>
        </w:tc>
        <w:tc>
          <w:tcPr>
            <w:tcW w:w="1984" w:type="dxa"/>
            <w:tcBorders>
              <w:top w:val="nil"/>
              <w:left w:val="nil"/>
              <w:bottom w:val="single" w:sz="4" w:space="0" w:color="auto"/>
              <w:right w:val="nil"/>
            </w:tcBorders>
          </w:tcPr>
          <w:p w14:paraId="775A785D" w14:textId="58A278D6" w:rsidR="00C77830" w:rsidRPr="0049704A" w:rsidRDefault="00C77830" w:rsidP="00C3611B">
            <w:pPr>
              <w:widowControl w:val="0"/>
              <w:autoSpaceDE w:val="0"/>
              <w:autoSpaceDN w:val="0"/>
              <w:adjustRightInd w:val="0"/>
              <w:spacing w:line="240" w:lineRule="auto"/>
              <w:ind w:firstLine="0"/>
              <w:rPr>
                <w:rFonts w:eastAsia="Times New Roman" w:cs="Times New Roman"/>
                <w:sz w:val="20"/>
                <w:szCs w:val="20"/>
                <w:lang w:eastAsia="en-GB"/>
              </w:rPr>
            </w:pPr>
            <w:r w:rsidRPr="0049704A">
              <w:rPr>
                <w:rFonts w:eastAsia="Times New Roman" w:cs="Times New Roman"/>
                <w:sz w:val="20"/>
                <w:szCs w:val="20"/>
                <w:lang w:eastAsia="en-GB"/>
              </w:rPr>
              <w:t>6 Career</w:t>
            </w:r>
            <w:r>
              <w:rPr>
                <w:rFonts w:eastAsia="Times New Roman" w:cs="Times New Roman"/>
                <w:sz w:val="20"/>
                <w:szCs w:val="20"/>
                <w:lang w:eastAsia="en-GB"/>
              </w:rPr>
              <w:t xml:space="preserve"> </w:t>
            </w:r>
            <w:r w:rsidRPr="0049704A">
              <w:rPr>
                <w:rFonts w:eastAsia="Times New Roman" w:cs="Times New Roman"/>
                <w:sz w:val="20"/>
                <w:szCs w:val="20"/>
                <w:lang w:eastAsia="en-GB"/>
              </w:rPr>
              <w:t>Opportunities</w:t>
            </w:r>
          </w:p>
        </w:tc>
        <w:tc>
          <w:tcPr>
            <w:tcW w:w="734" w:type="dxa"/>
            <w:tcBorders>
              <w:top w:val="nil"/>
              <w:left w:val="nil"/>
              <w:bottom w:val="single" w:sz="4" w:space="0" w:color="auto"/>
              <w:right w:val="nil"/>
            </w:tcBorders>
          </w:tcPr>
          <w:p w14:paraId="64C889EF"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sidRPr="0049704A">
              <w:rPr>
                <w:rFonts w:eastAsia="Times New Roman" w:cs="Times New Roman"/>
                <w:sz w:val="20"/>
                <w:szCs w:val="20"/>
                <w:lang w:eastAsia="en-GB"/>
              </w:rPr>
              <w:t>3.771</w:t>
            </w:r>
          </w:p>
        </w:tc>
        <w:tc>
          <w:tcPr>
            <w:tcW w:w="801" w:type="dxa"/>
            <w:tcBorders>
              <w:top w:val="nil"/>
              <w:left w:val="nil"/>
              <w:bottom w:val="single" w:sz="4" w:space="0" w:color="auto"/>
              <w:right w:val="nil"/>
            </w:tcBorders>
          </w:tcPr>
          <w:p w14:paraId="7C60834B"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sidRPr="0049704A">
              <w:rPr>
                <w:rFonts w:eastAsia="Times New Roman" w:cs="Times New Roman"/>
                <w:sz w:val="20"/>
                <w:szCs w:val="20"/>
                <w:lang w:eastAsia="en-GB"/>
              </w:rPr>
              <w:t>1.234</w:t>
            </w:r>
          </w:p>
        </w:tc>
        <w:tc>
          <w:tcPr>
            <w:tcW w:w="801" w:type="dxa"/>
            <w:tcBorders>
              <w:top w:val="nil"/>
              <w:left w:val="nil"/>
              <w:bottom w:val="single" w:sz="4" w:space="0" w:color="auto"/>
              <w:right w:val="nil"/>
            </w:tcBorders>
          </w:tcPr>
          <w:p w14:paraId="1D99BC8C"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Pr>
                <w:rFonts w:eastAsia="Times New Roman" w:cs="Times New Roman"/>
                <w:b/>
                <w:bCs/>
                <w:sz w:val="20"/>
                <w:szCs w:val="20"/>
                <w:lang w:eastAsia="en-GB"/>
              </w:rPr>
              <w:t>.</w:t>
            </w:r>
            <w:r w:rsidRPr="0049704A">
              <w:rPr>
                <w:rFonts w:eastAsia="Times New Roman" w:cs="Times New Roman"/>
                <w:b/>
                <w:bCs/>
                <w:sz w:val="20"/>
                <w:szCs w:val="20"/>
                <w:lang w:eastAsia="en-GB"/>
              </w:rPr>
              <w:t>706</w:t>
            </w:r>
          </w:p>
        </w:tc>
        <w:tc>
          <w:tcPr>
            <w:tcW w:w="801" w:type="dxa"/>
            <w:tcBorders>
              <w:top w:val="nil"/>
              <w:left w:val="nil"/>
              <w:bottom w:val="single" w:sz="4" w:space="0" w:color="auto"/>
              <w:right w:val="nil"/>
            </w:tcBorders>
          </w:tcPr>
          <w:p w14:paraId="2DE31AB5"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Pr>
                <w:rFonts w:eastAsia="Times New Roman" w:cs="Times New Roman"/>
                <w:b/>
                <w:bCs/>
                <w:sz w:val="20"/>
                <w:szCs w:val="20"/>
                <w:lang w:eastAsia="en-GB"/>
              </w:rPr>
              <w:t>.</w:t>
            </w:r>
            <w:r w:rsidRPr="0049704A">
              <w:rPr>
                <w:rFonts w:eastAsia="Times New Roman" w:cs="Times New Roman"/>
                <w:b/>
                <w:bCs/>
                <w:sz w:val="20"/>
                <w:szCs w:val="20"/>
                <w:lang w:eastAsia="en-GB"/>
              </w:rPr>
              <w:t>646</w:t>
            </w:r>
          </w:p>
        </w:tc>
        <w:tc>
          <w:tcPr>
            <w:tcW w:w="801" w:type="dxa"/>
            <w:tcBorders>
              <w:top w:val="nil"/>
              <w:left w:val="nil"/>
              <w:bottom w:val="single" w:sz="4" w:space="0" w:color="auto"/>
              <w:right w:val="nil"/>
            </w:tcBorders>
          </w:tcPr>
          <w:p w14:paraId="7C844F0B"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Pr>
                <w:rFonts w:eastAsia="Times New Roman" w:cs="Times New Roman"/>
                <w:b/>
                <w:bCs/>
                <w:sz w:val="20"/>
                <w:szCs w:val="20"/>
                <w:lang w:eastAsia="en-GB"/>
              </w:rPr>
              <w:t>.</w:t>
            </w:r>
            <w:r w:rsidRPr="0049704A">
              <w:rPr>
                <w:rFonts w:eastAsia="Times New Roman" w:cs="Times New Roman"/>
                <w:b/>
                <w:bCs/>
                <w:sz w:val="20"/>
                <w:szCs w:val="20"/>
                <w:lang w:eastAsia="en-GB"/>
              </w:rPr>
              <w:t>497</w:t>
            </w:r>
          </w:p>
        </w:tc>
        <w:tc>
          <w:tcPr>
            <w:tcW w:w="801" w:type="dxa"/>
            <w:tcBorders>
              <w:top w:val="nil"/>
              <w:left w:val="nil"/>
              <w:bottom w:val="single" w:sz="4" w:space="0" w:color="auto"/>
              <w:right w:val="nil"/>
            </w:tcBorders>
          </w:tcPr>
          <w:p w14:paraId="7AD94929"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Pr>
                <w:rFonts w:eastAsia="Times New Roman" w:cs="Times New Roman"/>
                <w:b/>
                <w:bCs/>
                <w:sz w:val="20"/>
                <w:szCs w:val="20"/>
                <w:lang w:eastAsia="en-GB"/>
              </w:rPr>
              <w:t>.</w:t>
            </w:r>
            <w:r w:rsidRPr="0049704A">
              <w:rPr>
                <w:rFonts w:eastAsia="Times New Roman" w:cs="Times New Roman"/>
                <w:b/>
                <w:bCs/>
                <w:sz w:val="20"/>
                <w:szCs w:val="20"/>
                <w:lang w:eastAsia="en-GB"/>
              </w:rPr>
              <w:t>669</w:t>
            </w:r>
          </w:p>
        </w:tc>
        <w:tc>
          <w:tcPr>
            <w:tcW w:w="801" w:type="dxa"/>
            <w:tcBorders>
              <w:top w:val="nil"/>
              <w:left w:val="nil"/>
              <w:bottom w:val="single" w:sz="4" w:space="0" w:color="auto"/>
              <w:right w:val="nil"/>
            </w:tcBorders>
          </w:tcPr>
          <w:p w14:paraId="7CD8A6F2"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Pr>
                <w:rFonts w:eastAsia="Times New Roman" w:cs="Times New Roman"/>
                <w:b/>
                <w:bCs/>
                <w:sz w:val="20"/>
                <w:szCs w:val="20"/>
                <w:lang w:eastAsia="en-GB"/>
              </w:rPr>
              <w:t>.</w:t>
            </w:r>
            <w:r w:rsidRPr="0049704A">
              <w:rPr>
                <w:rFonts w:eastAsia="Times New Roman" w:cs="Times New Roman"/>
                <w:b/>
                <w:bCs/>
                <w:sz w:val="20"/>
                <w:szCs w:val="20"/>
                <w:lang w:eastAsia="en-GB"/>
              </w:rPr>
              <w:t>580</w:t>
            </w:r>
          </w:p>
        </w:tc>
        <w:tc>
          <w:tcPr>
            <w:tcW w:w="801" w:type="dxa"/>
            <w:tcBorders>
              <w:top w:val="nil"/>
              <w:left w:val="nil"/>
              <w:bottom w:val="single" w:sz="4" w:space="0" w:color="auto"/>
              <w:right w:val="nil"/>
            </w:tcBorders>
          </w:tcPr>
          <w:p w14:paraId="1E899843"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r w:rsidRPr="0049704A">
              <w:rPr>
                <w:rFonts w:eastAsia="Times New Roman" w:cs="Times New Roman"/>
                <w:sz w:val="20"/>
                <w:szCs w:val="20"/>
                <w:lang w:eastAsia="en-GB"/>
              </w:rPr>
              <w:t>1.000</w:t>
            </w:r>
          </w:p>
        </w:tc>
        <w:tc>
          <w:tcPr>
            <w:tcW w:w="801" w:type="dxa"/>
            <w:tcBorders>
              <w:top w:val="nil"/>
              <w:left w:val="nil"/>
              <w:bottom w:val="single" w:sz="4" w:space="0" w:color="auto"/>
              <w:right w:val="nil"/>
            </w:tcBorders>
          </w:tcPr>
          <w:p w14:paraId="1FA3100B"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c>
          <w:tcPr>
            <w:tcW w:w="801" w:type="dxa"/>
            <w:tcBorders>
              <w:top w:val="nil"/>
              <w:left w:val="nil"/>
              <w:bottom w:val="single" w:sz="4" w:space="0" w:color="auto"/>
              <w:right w:val="nil"/>
            </w:tcBorders>
          </w:tcPr>
          <w:p w14:paraId="4DAB3755"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c>
          <w:tcPr>
            <w:tcW w:w="801" w:type="dxa"/>
            <w:tcBorders>
              <w:top w:val="nil"/>
              <w:left w:val="nil"/>
              <w:bottom w:val="single" w:sz="4" w:space="0" w:color="auto"/>
              <w:right w:val="nil"/>
            </w:tcBorders>
          </w:tcPr>
          <w:p w14:paraId="3C76A0B4"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c>
          <w:tcPr>
            <w:tcW w:w="801" w:type="dxa"/>
            <w:tcBorders>
              <w:top w:val="nil"/>
              <w:left w:val="nil"/>
              <w:bottom w:val="single" w:sz="4" w:space="0" w:color="auto"/>
              <w:right w:val="nil"/>
            </w:tcBorders>
          </w:tcPr>
          <w:p w14:paraId="2DFFF7A7"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c>
          <w:tcPr>
            <w:tcW w:w="801" w:type="dxa"/>
            <w:tcBorders>
              <w:top w:val="nil"/>
              <w:left w:val="nil"/>
              <w:bottom w:val="single" w:sz="4" w:space="0" w:color="auto"/>
              <w:right w:val="nil"/>
            </w:tcBorders>
          </w:tcPr>
          <w:p w14:paraId="4FCC8879"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c>
          <w:tcPr>
            <w:tcW w:w="801" w:type="dxa"/>
            <w:tcBorders>
              <w:top w:val="nil"/>
              <w:left w:val="nil"/>
              <w:bottom w:val="single" w:sz="4" w:space="0" w:color="auto"/>
              <w:right w:val="nil"/>
            </w:tcBorders>
          </w:tcPr>
          <w:p w14:paraId="749C7CBF"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r>
      <w:tr w:rsidR="00C77830" w:rsidRPr="005862D0" w14:paraId="61E10397" w14:textId="77777777" w:rsidTr="00FA5E92">
        <w:trPr>
          <w:trHeight w:val="22"/>
        </w:trPr>
        <w:tc>
          <w:tcPr>
            <w:tcW w:w="1077" w:type="dxa"/>
            <w:vMerge w:val="restart"/>
            <w:tcBorders>
              <w:top w:val="single" w:sz="4" w:space="0" w:color="auto"/>
              <w:left w:val="nil"/>
              <w:right w:val="nil"/>
            </w:tcBorders>
            <w:vAlign w:val="center"/>
          </w:tcPr>
          <w:p w14:paraId="675F9DF4" w14:textId="2100C1D6" w:rsidR="00C77830" w:rsidRPr="0049704A" w:rsidRDefault="00C77830" w:rsidP="00C77830">
            <w:pPr>
              <w:widowControl w:val="0"/>
              <w:autoSpaceDE w:val="0"/>
              <w:autoSpaceDN w:val="0"/>
              <w:adjustRightInd w:val="0"/>
              <w:spacing w:line="240" w:lineRule="auto"/>
              <w:ind w:firstLine="0"/>
              <w:rPr>
                <w:rFonts w:eastAsia="Times New Roman" w:cs="Times New Roman"/>
                <w:sz w:val="20"/>
                <w:szCs w:val="20"/>
                <w:lang w:eastAsia="en-GB"/>
              </w:rPr>
            </w:pPr>
            <w:r>
              <w:rPr>
                <w:rFonts w:eastAsia="Times New Roman" w:cs="Times New Roman"/>
                <w:sz w:val="20"/>
                <w:szCs w:val="20"/>
                <w:lang w:eastAsia="en-GB"/>
              </w:rPr>
              <w:t>ESG</w:t>
            </w:r>
          </w:p>
        </w:tc>
        <w:tc>
          <w:tcPr>
            <w:tcW w:w="1984" w:type="dxa"/>
            <w:tcBorders>
              <w:top w:val="single" w:sz="4" w:space="0" w:color="auto"/>
              <w:left w:val="nil"/>
              <w:bottom w:val="nil"/>
              <w:right w:val="nil"/>
            </w:tcBorders>
          </w:tcPr>
          <w:p w14:paraId="3D1841B6" w14:textId="13C0869F" w:rsidR="00C77830" w:rsidRPr="0049704A" w:rsidRDefault="00C77830" w:rsidP="00C3611B">
            <w:pPr>
              <w:widowControl w:val="0"/>
              <w:autoSpaceDE w:val="0"/>
              <w:autoSpaceDN w:val="0"/>
              <w:adjustRightInd w:val="0"/>
              <w:spacing w:line="240" w:lineRule="auto"/>
              <w:ind w:firstLine="0"/>
              <w:rPr>
                <w:rFonts w:eastAsia="Times New Roman" w:cs="Times New Roman"/>
                <w:sz w:val="20"/>
                <w:szCs w:val="20"/>
                <w:lang w:eastAsia="en-GB"/>
              </w:rPr>
            </w:pPr>
            <w:r w:rsidRPr="0049704A">
              <w:rPr>
                <w:rFonts w:eastAsia="Times New Roman" w:cs="Times New Roman"/>
                <w:sz w:val="20"/>
                <w:szCs w:val="20"/>
                <w:lang w:eastAsia="en-GB"/>
              </w:rPr>
              <w:t>7 Overall</w:t>
            </w:r>
            <w:r>
              <w:rPr>
                <w:rFonts w:eastAsia="Times New Roman" w:cs="Times New Roman"/>
                <w:sz w:val="20"/>
                <w:szCs w:val="20"/>
                <w:lang w:eastAsia="en-GB"/>
              </w:rPr>
              <w:t xml:space="preserve"> </w:t>
            </w:r>
            <w:r w:rsidRPr="0049704A">
              <w:rPr>
                <w:rFonts w:eastAsia="Times New Roman" w:cs="Times New Roman"/>
                <w:sz w:val="20"/>
                <w:szCs w:val="20"/>
                <w:lang w:eastAsia="en-GB"/>
              </w:rPr>
              <w:t>Wellbeing</w:t>
            </w:r>
          </w:p>
        </w:tc>
        <w:tc>
          <w:tcPr>
            <w:tcW w:w="734" w:type="dxa"/>
            <w:tcBorders>
              <w:top w:val="single" w:sz="4" w:space="0" w:color="auto"/>
              <w:left w:val="nil"/>
              <w:bottom w:val="nil"/>
              <w:right w:val="nil"/>
            </w:tcBorders>
          </w:tcPr>
          <w:p w14:paraId="669DC1F9"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sidRPr="0049704A">
              <w:rPr>
                <w:rFonts w:eastAsia="Times New Roman" w:cs="Times New Roman"/>
                <w:sz w:val="20"/>
                <w:szCs w:val="20"/>
                <w:lang w:eastAsia="en-GB"/>
              </w:rPr>
              <w:t>2.312</w:t>
            </w:r>
          </w:p>
        </w:tc>
        <w:tc>
          <w:tcPr>
            <w:tcW w:w="801" w:type="dxa"/>
            <w:tcBorders>
              <w:top w:val="single" w:sz="4" w:space="0" w:color="auto"/>
              <w:left w:val="nil"/>
              <w:bottom w:val="nil"/>
              <w:right w:val="nil"/>
            </w:tcBorders>
          </w:tcPr>
          <w:p w14:paraId="4D276C03"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sidRPr="0049704A">
              <w:rPr>
                <w:rFonts w:eastAsia="Times New Roman" w:cs="Times New Roman"/>
                <w:sz w:val="20"/>
                <w:szCs w:val="20"/>
                <w:lang w:eastAsia="en-GB"/>
              </w:rPr>
              <w:t>0.763</w:t>
            </w:r>
          </w:p>
        </w:tc>
        <w:tc>
          <w:tcPr>
            <w:tcW w:w="801" w:type="dxa"/>
            <w:tcBorders>
              <w:top w:val="single" w:sz="4" w:space="0" w:color="auto"/>
              <w:left w:val="nil"/>
              <w:bottom w:val="nil"/>
              <w:right w:val="nil"/>
            </w:tcBorders>
          </w:tcPr>
          <w:p w14:paraId="7C6780E8"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sidRPr="0049704A">
              <w:rPr>
                <w:rFonts w:eastAsia="Times New Roman" w:cs="Times New Roman"/>
                <w:b/>
                <w:bCs/>
                <w:sz w:val="20"/>
                <w:szCs w:val="20"/>
                <w:lang w:eastAsia="en-GB"/>
              </w:rPr>
              <w:t>-</w:t>
            </w:r>
            <w:r>
              <w:rPr>
                <w:rFonts w:eastAsia="Times New Roman" w:cs="Times New Roman"/>
                <w:b/>
                <w:bCs/>
                <w:sz w:val="20"/>
                <w:szCs w:val="20"/>
                <w:lang w:eastAsia="en-GB"/>
              </w:rPr>
              <w:t>.</w:t>
            </w:r>
            <w:r w:rsidRPr="0049704A">
              <w:rPr>
                <w:rFonts w:eastAsia="Times New Roman" w:cs="Times New Roman"/>
                <w:b/>
                <w:bCs/>
                <w:sz w:val="20"/>
                <w:szCs w:val="20"/>
                <w:lang w:eastAsia="en-GB"/>
              </w:rPr>
              <w:t>076</w:t>
            </w:r>
          </w:p>
        </w:tc>
        <w:tc>
          <w:tcPr>
            <w:tcW w:w="801" w:type="dxa"/>
            <w:tcBorders>
              <w:top w:val="single" w:sz="4" w:space="0" w:color="auto"/>
              <w:left w:val="nil"/>
              <w:bottom w:val="nil"/>
              <w:right w:val="nil"/>
            </w:tcBorders>
          </w:tcPr>
          <w:p w14:paraId="29C951F9"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sidRPr="0049704A">
              <w:rPr>
                <w:rFonts w:eastAsia="Times New Roman" w:cs="Times New Roman"/>
                <w:b/>
                <w:bCs/>
                <w:sz w:val="20"/>
                <w:szCs w:val="20"/>
                <w:lang w:eastAsia="en-GB"/>
              </w:rPr>
              <w:t>-</w:t>
            </w:r>
            <w:r>
              <w:rPr>
                <w:rFonts w:eastAsia="Times New Roman" w:cs="Times New Roman"/>
                <w:b/>
                <w:bCs/>
                <w:sz w:val="20"/>
                <w:szCs w:val="20"/>
                <w:lang w:eastAsia="en-GB"/>
              </w:rPr>
              <w:t>.</w:t>
            </w:r>
            <w:r w:rsidRPr="0049704A">
              <w:rPr>
                <w:rFonts w:eastAsia="Times New Roman" w:cs="Times New Roman"/>
                <w:b/>
                <w:bCs/>
                <w:sz w:val="20"/>
                <w:szCs w:val="20"/>
                <w:lang w:eastAsia="en-GB"/>
              </w:rPr>
              <w:t>073</w:t>
            </w:r>
          </w:p>
        </w:tc>
        <w:tc>
          <w:tcPr>
            <w:tcW w:w="801" w:type="dxa"/>
            <w:tcBorders>
              <w:top w:val="single" w:sz="4" w:space="0" w:color="auto"/>
              <w:left w:val="nil"/>
              <w:bottom w:val="nil"/>
              <w:right w:val="nil"/>
            </w:tcBorders>
          </w:tcPr>
          <w:p w14:paraId="2B5A8384"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sidRPr="0049704A">
              <w:rPr>
                <w:rFonts w:eastAsia="Times New Roman" w:cs="Times New Roman"/>
                <w:b/>
                <w:bCs/>
                <w:sz w:val="20"/>
                <w:szCs w:val="20"/>
                <w:lang w:eastAsia="en-GB"/>
              </w:rPr>
              <w:t>-</w:t>
            </w:r>
            <w:r>
              <w:rPr>
                <w:rFonts w:eastAsia="Times New Roman" w:cs="Times New Roman"/>
                <w:b/>
                <w:bCs/>
                <w:sz w:val="20"/>
                <w:szCs w:val="20"/>
                <w:lang w:eastAsia="en-GB"/>
              </w:rPr>
              <w:t>.</w:t>
            </w:r>
            <w:r w:rsidRPr="0049704A">
              <w:rPr>
                <w:rFonts w:eastAsia="Times New Roman" w:cs="Times New Roman"/>
                <w:b/>
                <w:bCs/>
                <w:sz w:val="20"/>
                <w:szCs w:val="20"/>
                <w:lang w:eastAsia="en-GB"/>
              </w:rPr>
              <w:t>049</w:t>
            </w:r>
          </w:p>
        </w:tc>
        <w:tc>
          <w:tcPr>
            <w:tcW w:w="801" w:type="dxa"/>
            <w:tcBorders>
              <w:top w:val="single" w:sz="4" w:space="0" w:color="auto"/>
              <w:left w:val="nil"/>
              <w:bottom w:val="nil"/>
              <w:right w:val="nil"/>
            </w:tcBorders>
          </w:tcPr>
          <w:p w14:paraId="4A74326C"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sidRPr="0049704A">
              <w:rPr>
                <w:rFonts w:eastAsia="Times New Roman" w:cs="Times New Roman"/>
                <w:b/>
                <w:bCs/>
                <w:sz w:val="20"/>
                <w:szCs w:val="20"/>
                <w:lang w:eastAsia="en-GB"/>
              </w:rPr>
              <w:t>-</w:t>
            </w:r>
            <w:r>
              <w:rPr>
                <w:rFonts w:eastAsia="Times New Roman" w:cs="Times New Roman"/>
                <w:b/>
                <w:bCs/>
                <w:sz w:val="20"/>
                <w:szCs w:val="20"/>
                <w:lang w:eastAsia="en-GB"/>
              </w:rPr>
              <w:t>.</w:t>
            </w:r>
            <w:r w:rsidRPr="0049704A">
              <w:rPr>
                <w:rFonts w:eastAsia="Times New Roman" w:cs="Times New Roman"/>
                <w:b/>
                <w:bCs/>
                <w:sz w:val="20"/>
                <w:szCs w:val="20"/>
                <w:lang w:eastAsia="en-GB"/>
              </w:rPr>
              <w:t>058</w:t>
            </w:r>
          </w:p>
        </w:tc>
        <w:tc>
          <w:tcPr>
            <w:tcW w:w="801" w:type="dxa"/>
            <w:tcBorders>
              <w:top w:val="single" w:sz="4" w:space="0" w:color="auto"/>
              <w:left w:val="nil"/>
              <w:bottom w:val="nil"/>
              <w:right w:val="nil"/>
            </w:tcBorders>
          </w:tcPr>
          <w:p w14:paraId="66BF4069"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sidRPr="0049704A">
              <w:rPr>
                <w:rFonts w:eastAsia="Times New Roman" w:cs="Times New Roman"/>
                <w:b/>
                <w:bCs/>
                <w:sz w:val="20"/>
                <w:szCs w:val="20"/>
                <w:lang w:eastAsia="en-GB"/>
              </w:rPr>
              <w:t>-</w:t>
            </w:r>
            <w:r>
              <w:rPr>
                <w:rFonts w:eastAsia="Times New Roman" w:cs="Times New Roman"/>
                <w:b/>
                <w:bCs/>
                <w:sz w:val="20"/>
                <w:szCs w:val="20"/>
                <w:lang w:eastAsia="en-GB"/>
              </w:rPr>
              <w:t>.</w:t>
            </w:r>
            <w:r w:rsidRPr="0049704A">
              <w:rPr>
                <w:rFonts w:eastAsia="Times New Roman" w:cs="Times New Roman"/>
                <w:b/>
                <w:bCs/>
                <w:sz w:val="20"/>
                <w:szCs w:val="20"/>
                <w:lang w:eastAsia="en-GB"/>
              </w:rPr>
              <w:t>070</w:t>
            </w:r>
          </w:p>
        </w:tc>
        <w:tc>
          <w:tcPr>
            <w:tcW w:w="801" w:type="dxa"/>
            <w:tcBorders>
              <w:top w:val="single" w:sz="4" w:space="0" w:color="auto"/>
              <w:left w:val="nil"/>
              <w:bottom w:val="nil"/>
              <w:right w:val="nil"/>
            </w:tcBorders>
          </w:tcPr>
          <w:p w14:paraId="5216DA8E"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sidRPr="0049704A">
              <w:rPr>
                <w:rFonts w:eastAsia="Times New Roman" w:cs="Times New Roman"/>
                <w:b/>
                <w:bCs/>
                <w:sz w:val="20"/>
                <w:szCs w:val="20"/>
                <w:lang w:eastAsia="en-GB"/>
              </w:rPr>
              <w:t>-</w:t>
            </w:r>
            <w:r>
              <w:rPr>
                <w:rFonts w:eastAsia="Times New Roman" w:cs="Times New Roman"/>
                <w:b/>
                <w:bCs/>
                <w:sz w:val="20"/>
                <w:szCs w:val="20"/>
                <w:lang w:eastAsia="en-GB"/>
              </w:rPr>
              <w:t>.</w:t>
            </w:r>
            <w:r w:rsidRPr="0049704A">
              <w:rPr>
                <w:rFonts w:eastAsia="Times New Roman" w:cs="Times New Roman"/>
                <w:b/>
                <w:bCs/>
                <w:sz w:val="20"/>
                <w:szCs w:val="20"/>
                <w:lang w:eastAsia="en-GB"/>
              </w:rPr>
              <w:t>058</w:t>
            </w:r>
          </w:p>
        </w:tc>
        <w:tc>
          <w:tcPr>
            <w:tcW w:w="801" w:type="dxa"/>
            <w:tcBorders>
              <w:top w:val="single" w:sz="4" w:space="0" w:color="auto"/>
              <w:left w:val="nil"/>
              <w:bottom w:val="nil"/>
              <w:right w:val="nil"/>
            </w:tcBorders>
          </w:tcPr>
          <w:p w14:paraId="51CB4E54"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r w:rsidRPr="0049704A">
              <w:rPr>
                <w:rFonts w:eastAsia="Times New Roman" w:cs="Times New Roman"/>
                <w:sz w:val="20"/>
                <w:szCs w:val="20"/>
                <w:lang w:eastAsia="en-GB"/>
              </w:rPr>
              <w:t>1.000</w:t>
            </w:r>
          </w:p>
        </w:tc>
        <w:tc>
          <w:tcPr>
            <w:tcW w:w="801" w:type="dxa"/>
            <w:tcBorders>
              <w:top w:val="single" w:sz="4" w:space="0" w:color="auto"/>
              <w:left w:val="nil"/>
              <w:bottom w:val="nil"/>
              <w:right w:val="nil"/>
            </w:tcBorders>
          </w:tcPr>
          <w:p w14:paraId="7F88D70F"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c>
          <w:tcPr>
            <w:tcW w:w="801" w:type="dxa"/>
            <w:tcBorders>
              <w:top w:val="single" w:sz="4" w:space="0" w:color="auto"/>
              <w:left w:val="nil"/>
              <w:bottom w:val="nil"/>
              <w:right w:val="nil"/>
            </w:tcBorders>
          </w:tcPr>
          <w:p w14:paraId="3FAF65E4"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c>
          <w:tcPr>
            <w:tcW w:w="801" w:type="dxa"/>
            <w:tcBorders>
              <w:top w:val="single" w:sz="4" w:space="0" w:color="auto"/>
              <w:left w:val="nil"/>
              <w:bottom w:val="nil"/>
              <w:right w:val="nil"/>
            </w:tcBorders>
          </w:tcPr>
          <w:p w14:paraId="46E4B704"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c>
          <w:tcPr>
            <w:tcW w:w="801" w:type="dxa"/>
            <w:tcBorders>
              <w:top w:val="single" w:sz="4" w:space="0" w:color="auto"/>
              <w:left w:val="nil"/>
              <w:bottom w:val="nil"/>
              <w:right w:val="nil"/>
            </w:tcBorders>
          </w:tcPr>
          <w:p w14:paraId="4F4DF077"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c>
          <w:tcPr>
            <w:tcW w:w="801" w:type="dxa"/>
            <w:tcBorders>
              <w:top w:val="single" w:sz="4" w:space="0" w:color="auto"/>
              <w:left w:val="nil"/>
              <w:bottom w:val="nil"/>
              <w:right w:val="nil"/>
            </w:tcBorders>
          </w:tcPr>
          <w:p w14:paraId="7C0EE12A"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r>
      <w:tr w:rsidR="00C77830" w:rsidRPr="005862D0" w14:paraId="7C30C525" w14:textId="77777777" w:rsidTr="00FA5E92">
        <w:trPr>
          <w:trHeight w:val="22"/>
        </w:trPr>
        <w:tc>
          <w:tcPr>
            <w:tcW w:w="1077" w:type="dxa"/>
            <w:vMerge/>
            <w:tcBorders>
              <w:left w:val="nil"/>
              <w:right w:val="nil"/>
            </w:tcBorders>
          </w:tcPr>
          <w:p w14:paraId="38FA62A1" w14:textId="77777777" w:rsidR="00C77830" w:rsidRPr="0049704A" w:rsidRDefault="00C77830" w:rsidP="00C3611B">
            <w:pPr>
              <w:widowControl w:val="0"/>
              <w:autoSpaceDE w:val="0"/>
              <w:autoSpaceDN w:val="0"/>
              <w:adjustRightInd w:val="0"/>
              <w:spacing w:line="240" w:lineRule="auto"/>
              <w:ind w:firstLine="0"/>
              <w:rPr>
                <w:rFonts w:eastAsia="Times New Roman" w:cs="Times New Roman"/>
                <w:sz w:val="20"/>
                <w:szCs w:val="20"/>
                <w:lang w:eastAsia="en-GB"/>
              </w:rPr>
            </w:pPr>
          </w:p>
        </w:tc>
        <w:tc>
          <w:tcPr>
            <w:tcW w:w="1984" w:type="dxa"/>
            <w:tcBorders>
              <w:top w:val="nil"/>
              <w:left w:val="nil"/>
              <w:bottom w:val="nil"/>
              <w:right w:val="nil"/>
            </w:tcBorders>
          </w:tcPr>
          <w:p w14:paraId="10539119" w14:textId="22D3274A" w:rsidR="00C77830" w:rsidRPr="0049704A" w:rsidRDefault="00C77830" w:rsidP="00C3611B">
            <w:pPr>
              <w:widowControl w:val="0"/>
              <w:autoSpaceDE w:val="0"/>
              <w:autoSpaceDN w:val="0"/>
              <w:adjustRightInd w:val="0"/>
              <w:spacing w:line="240" w:lineRule="auto"/>
              <w:ind w:firstLine="0"/>
              <w:rPr>
                <w:rFonts w:eastAsia="Times New Roman" w:cs="Times New Roman"/>
                <w:sz w:val="20"/>
                <w:szCs w:val="20"/>
                <w:lang w:eastAsia="en-GB"/>
              </w:rPr>
            </w:pPr>
            <w:r w:rsidRPr="0049704A">
              <w:rPr>
                <w:rFonts w:eastAsia="Times New Roman" w:cs="Times New Roman"/>
                <w:sz w:val="20"/>
                <w:szCs w:val="20"/>
                <w:lang w:eastAsia="en-GB"/>
              </w:rPr>
              <w:t>8</w:t>
            </w:r>
            <w:r w:rsidR="004A5A47">
              <w:rPr>
                <w:rFonts w:eastAsia="Times New Roman" w:cs="Times New Roman"/>
                <w:sz w:val="20"/>
                <w:szCs w:val="20"/>
                <w:lang w:eastAsia="en-GB"/>
              </w:rPr>
              <w:t xml:space="preserve"> </w:t>
            </w:r>
            <w:r w:rsidRPr="00C77830">
              <w:rPr>
                <w:rFonts w:eastAsia="Times New Roman" w:cs="Times New Roman"/>
                <w:sz w:val="20"/>
                <w:szCs w:val="20"/>
                <w:lang w:eastAsia="en-GB"/>
              </w:rPr>
              <w:t>Diversity, Equity and Inclusion</w:t>
            </w:r>
          </w:p>
        </w:tc>
        <w:tc>
          <w:tcPr>
            <w:tcW w:w="734" w:type="dxa"/>
            <w:tcBorders>
              <w:top w:val="nil"/>
              <w:left w:val="nil"/>
              <w:bottom w:val="nil"/>
              <w:right w:val="nil"/>
            </w:tcBorders>
          </w:tcPr>
          <w:p w14:paraId="70F22C5E"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sidRPr="0049704A">
              <w:rPr>
                <w:rFonts w:eastAsia="Times New Roman" w:cs="Times New Roman"/>
                <w:sz w:val="20"/>
                <w:szCs w:val="20"/>
                <w:lang w:eastAsia="en-GB"/>
              </w:rPr>
              <w:t>0.703</w:t>
            </w:r>
          </w:p>
        </w:tc>
        <w:tc>
          <w:tcPr>
            <w:tcW w:w="801" w:type="dxa"/>
            <w:tcBorders>
              <w:top w:val="nil"/>
              <w:left w:val="nil"/>
              <w:bottom w:val="nil"/>
              <w:right w:val="nil"/>
            </w:tcBorders>
          </w:tcPr>
          <w:p w14:paraId="159D0C82"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sidRPr="0049704A">
              <w:rPr>
                <w:rFonts w:eastAsia="Times New Roman" w:cs="Times New Roman"/>
                <w:sz w:val="20"/>
                <w:szCs w:val="20"/>
                <w:lang w:eastAsia="en-GB"/>
              </w:rPr>
              <w:t>0.371</w:t>
            </w:r>
          </w:p>
        </w:tc>
        <w:tc>
          <w:tcPr>
            <w:tcW w:w="801" w:type="dxa"/>
            <w:tcBorders>
              <w:top w:val="nil"/>
              <w:left w:val="nil"/>
              <w:bottom w:val="nil"/>
              <w:right w:val="nil"/>
            </w:tcBorders>
          </w:tcPr>
          <w:p w14:paraId="44F5A288"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Pr>
                <w:rFonts w:eastAsia="Times New Roman" w:cs="Times New Roman"/>
                <w:b/>
                <w:bCs/>
                <w:sz w:val="20"/>
                <w:szCs w:val="20"/>
                <w:lang w:eastAsia="en-GB"/>
              </w:rPr>
              <w:t>.</w:t>
            </w:r>
            <w:r w:rsidRPr="0049704A">
              <w:rPr>
                <w:rFonts w:eastAsia="Times New Roman" w:cs="Times New Roman"/>
                <w:b/>
                <w:bCs/>
                <w:sz w:val="20"/>
                <w:szCs w:val="20"/>
                <w:lang w:eastAsia="en-GB"/>
              </w:rPr>
              <w:t>009</w:t>
            </w:r>
          </w:p>
        </w:tc>
        <w:tc>
          <w:tcPr>
            <w:tcW w:w="801" w:type="dxa"/>
            <w:tcBorders>
              <w:top w:val="nil"/>
              <w:left w:val="nil"/>
              <w:bottom w:val="nil"/>
              <w:right w:val="nil"/>
            </w:tcBorders>
          </w:tcPr>
          <w:p w14:paraId="1E6903F0"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Pr>
                <w:rFonts w:eastAsia="Times New Roman" w:cs="Times New Roman"/>
                <w:b/>
                <w:bCs/>
                <w:sz w:val="20"/>
                <w:szCs w:val="20"/>
                <w:lang w:eastAsia="en-GB"/>
              </w:rPr>
              <w:t>.</w:t>
            </w:r>
            <w:r w:rsidRPr="0049704A">
              <w:rPr>
                <w:rFonts w:eastAsia="Times New Roman" w:cs="Times New Roman"/>
                <w:b/>
                <w:bCs/>
                <w:sz w:val="20"/>
                <w:szCs w:val="20"/>
                <w:lang w:eastAsia="en-GB"/>
              </w:rPr>
              <w:t>028</w:t>
            </w:r>
          </w:p>
        </w:tc>
        <w:tc>
          <w:tcPr>
            <w:tcW w:w="801" w:type="dxa"/>
            <w:tcBorders>
              <w:top w:val="nil"/>
              <w:left w:val="nil"/>
              <w:bottom w:val="nil"/>
              <w:right w:val="nil"/>
            </w:tcBorders>
          </w:tcPr>
          <w:p w14:paraId="3DC8E16F"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Pr>
                <w:rFonts w:eastAsia="Times New Roman" w:cs="Times New Roman"/>
                <w:b/>
                <w:bCs/>
                <w:sz w:val="20"/>
                <w:szCs w:val="20"/>
                <w:lang w:eastAsia="en-GB"/>
              </w:rPr>
              <w:t>.</w:t>
            </w:r>
            <w:r w:rsidRPr="0049704A">
              <w:rPr>
                <w:rFonts w:eastAsia="Times New Roman" w:cs="Times New Roman"/>
                <w:b/>
                <w:bCs/>
                <w:sz w:val="20"/>
                <w:szCs w:val="20"/>
                <w:lang w:eastAsia="en-GB"/>
              </w:rPr>
              <w:t>022</w:t>
            </w:r>
          </w:p>
        </w:tc>
        <w:tc>
          <w:tcPr>
            <w:tcW w:w="801" w:type="dxa"/>
            <w:tcBorders>
              <w:top w:val="nil"/>
              <w:left w:val="nil"/>
              <w:bottom w:val="nil"/>
              <w:right w:val="nil"/>
            </w:tcBorders>
          </w:tcPr>
          <w:p w14:paraId="5E7D3198"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Pr>
                <w:rFonts w:eastAsia="Times New Roman" w:cs="Times New Roman"/>
                <w:b/>
                <w:bCs/>
                <w:sz w:val="20"/>
                <w:szCs w:val="20"/>
                <w:lang w:eastAsia="en-GB"/>
              </w:rPr>
              <w:t>.</w:t>
            </w:r>
            <w:r w:rsidRPr="0049704A">
              <w:rPr>
                <w:rFonts w:eastAsia="Times New Roman" w:cs="Times New Roman"/>
                <w:b/>
                <w:bCs/>
                <w:sz w:val="20"/>
                <w:szCs w:val="20"/>
                <w:lang w:eastAsia="en-GB"/>
              </w:rPr>
              <w:t>020</w:t>
            </w:r>
          </w:p>
        </w:tc>
        <w:tc>
          <w:tcPr>
            <w:tcW w:w="801" w:type="dxa"/>
            <w:tcBorders>
              <w:top w:val="nil"/>
              <w:left w:val="nil"/>
              <w:bottom w:val="nil"/>
              <w:right w:val="nil"/>
            </w:tcBorders>
          </w:tcPr>
          <w:p w14:paraId="03E47EFF"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sidRPr="0049704A">
              <w:rPr>
                <w:rFonts w:eastAsia="Times New Roman" w:cs="Times New Roman"/>
                <w:b/>
                <w:bCs/>
                <w:sz w:val="20"/>
                <w:szCs w:val="20"/>
                <w:lang w:eastAsia="en-GB"/>
              </w:rPr>
              <w:t>-</w:t>
            </w:r>
            <w:r>
              <w:rPr>
                <w:rFonts w:eastAsia="Times New Roman" w:cs="Times New Roman"/>
                <w:b/>
                <w:bCs/>
                <w:sz w:val="20"/>
                <w:szCs w:val="20"/>
                <w:lang w:eastAsia="en-GB"/>
              </w:rPr>
              <w:t>.</w:t>
            </w:r>
            <w:r w:rsidRPr="0049704A">
              <w:rPr>
                <w:rFonts w:eastAsia="Times New Roman" w:cs="Times New Roman"/>
                <w:b/>
                <w:bCs/>
                <w:sz w:val="20"/>
                <w:szCs w:val="20"/>
                <w:lang w:eastAsia="en-GB"/>
              </w:rPr>
              <w:t>020</w:t>
            </w:r>
          </w:p>
        </w:tc>
        <w:tc>
          <w:tcPr>
            <w:tcW w:w="801" w:type="dxa"/>
            <w:tcBorders>
              <w:top w:val="nil"/>
              <w:left w:val="nil"/>
              <w:bottom w:val="nil"/>
              <w:right w:val="nil"/>
            </w:tcBorders>
          </w:tcPr>
          <w:p w14:paraId="6FE8A9E4"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Pr>
                <w:rFonts w:eastAsia="Times New Roman" w:cs="Times New Roman"/>
                <w:b/>
                <w:bCs/>
                <w:sz w:val="20"/>
                <w:szCs w:val="20"/>
                <w:lang w:eastAsia="en-GB"/>
              </w:rPr>
              <w:t>.</w:t>
            </w:r>
            <w:r w:rsidRPr="0049704A">
              <w:rPr>
                <w:rFonts w:eastAsia="Times New Roman" w:cs="Times New Roman"/>
                <w:b/>
                <w:bCs/>
                <w:sz w:val="20"/>
                <w:szCs w:val="20"/>
                <w:lang w:eastAsia="en-GB"/>
              </w:rPr>
              <w:t>011</w:t>
            </w:r>
          </w:p>
        </w:tc>
        <w:tc>
          <w:tcPr>
            <w:tcW w:w="801" w:type="dxa"/>
            <w:tcBorders>
              <w:top w:val="nil"/>
              <w:left w:val="nil"/>
              <w:bottom w:val="nil"/>
              <w:right w:val="nil"/>
            </w:tcBorders>
          </w:tcPr>
          <w:p w14:paraId="4BCA84F1"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Pr>
                <w:rFonts w:eastAsia="Times New Roman" w:cs="Times New Roman"/>
                <w:b/>
                <w:bCs/>
                <w:sz w:val="20"/>
                <w:szCs w:val="20"/>
                <w:lang w:eastAsia="en-GB"/>
              </w:rPr>
              <w:t>.</w:t>
            </w:r>
            <w:r w:rsidRPr="0049704A">
              <w:rPr>
                <w:rFonts w:eastAsia="Times New Roman" w:cs="Times New Roman"/>
                <w:b/>
                <w:bCs/>
                <w:sz w:val="20"/>
                <w:szCs w:val="20"/>
                <w:lang w:eastAsia="en-GB"/>
              </w:rPr>
              <w:t>620</w:t>
            </w:r>
          </w:p>
        </w:tc>
        <w:tc>
          <w:tcPr>
            <w:tcW w:w="801" w:type="dxa"/>
            <w:tcBorders>
              <w:top w:val="nil"/>
              <w:left w:val="nil"/>
              <w:bottom w:val="nil"/>
              <w:right w:val="nil"/>
            </w:tcBorders>
          </w:tcPr>
          <w:p w14:paraId="335AE7CB"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r w:rsidRPr="0049704A">
              <w:rPr>
                <w:rFonts w:eastAsia="Times New Roman" w:cs="Times New Roman"/>
                <w:sz w:val="20"/>
                <w:szCs w:val="20"/>
                <w:lang w:eastAsia="en-GB"/>
              </w:rPr>
              <w:t>1.000</w:t>
            </w:r>
          </w:p>
        </w:tc>
        <w:tc>
          <w:tcPr>
            <w:tcW w:w="801" w:type="dxa"/>
            <w:tcBorders>
              <w:top w:val="nil"/>
              <w:left w:val="nil"/>
              <w:bottom w:val="nil"/>
              <w:right w:val="nil"/>
            </w:tcBorders>
          </w:tcPr>
          <w:p w14:paraId="417B3335"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c>
          <w:tcPr>
            <w:tcW w:w="801" w:type="dxa"/>
            <w:tcBorders>
              <w:top w:val="nil"/>
              <w:left w:val="nil"/>
              <w:bottom w:val="nil"/>
              <w:right w:val="nil"/>
            </w:tcBorders>
          </w:tcPr>
          <w:p w14:paraId="2E6857A4"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c>
          <w:tcPr>
            <w:tcW w:w="801" w:type="dxa"/>
            <w:tcBorders>
              <w:top w:val="nil"/>
              <w:left w:val="nil"/>
              <w:bottom w:val="nil"/>
              <w:right w:val="nil"/>
            </w:tcBorders>
          </w:tcPr>
          <w:p w14:paraId="73F6EAD1"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c>
          <w:tcPr>
            <w:tcW w:w="801" w:type="dxa"/>
            <w:tcBorders>
              <w:top w:val="nil"/>
              <w:left w:val="nil"/>
              <w:bottom w:val="nil"/>
              <w:right w:val="nil"/>
            </w:tcBorders>
          </w:tcPr>
          <w:p w14:paraId="629B55A0"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r>
      <w:tr w:rsidR="00C77830" w:rsidRPr="005862D0" w14:paraId="625B4CF4" w14:textId="77777777" w:rsidTr="00FA5E92">
        <w:trPr>
          <w:trHeight w:val="22"/>
        </w:trPr>
        <w:tc>
          <w:tcPr>
            <w:tcW w:w="1077" w:type="dxa"/>
            <w:vMerge/>
            <w:tcBorders>
              <w:left w:val="nil"/>
              <w:right w:val="nil"/>
            </w:tcBorders>
          </w:tcPr>
          <w:p w14:paraId="26988E97" w14:textId="77777777" w:rsidR="00C77830" w:rsidRPr="0049704A" w:rsidRDefault="00C77830" w:rsidP="00C3611B">
            <w:pPr>
              <w:widowControl w:val="0"/>
              <w:autoSpaceDE w:val="0"/>
              <w:autoSpaceDN w:val="0"/>
              <w:adjustRightInd w:val="0"/>
              <w:spacing w:line="240" w:lineRule="auto"/>
              <w:ind w:firstLine="0"/>
              <w:rPr>
                <w:rFonts w:eastAsia="Times New Roman" w:cs="Times New Roman"/>
                <w:sz w:val="20"/>
                <w:szCs w:val="20"/>
                <w:lang w:eastAsia="en-GB"/>
              </w:rPr>
            </w:pPr>
          </w:p>
        </w:tc>
        <w:tc>
          <w:tcPr>
            <w:tcW w:w="1984" w:type="dxa"/>
            <w:tcBorders>
              <w:top w:val="nil"/>
              <w:left w:val="nil"/>
              <w:bottom w:val="nil"/>
              <w:right w:val="nil"/>
            </w:tcBorders>
          </w:tcPr>
          <w:p w14:paraId="76081D77" w14:textId="5EC57B08" w:rsidR="00C77830" w:rsidRPr="0049704A" w:rsidRDefault="00C77830" w:rsidP="00C3611B">
            <w:pPr>
              <w:widowControl w:val="0"/>
              <w:autoSpaceDE w:val="0"/>
              <w:autoSpaceDN w:val="0"/>
              <w:adjustRightInd w:val="0"/>
              <w:spacing w:line="240" w:lineRule="auto"/>
              <w:ind w:firstLine="0"/>
              <w:rPr>
                <w:rFonts w:eastAsia="Times New Roman" w:cs="Times New Roman"/>
                <w:sz w:val="20"/>
                <w:szCs w:val="20"/>
                <w:lang w:eastAsia="en-GB"/>
              </w:rPr>
            </w:pPr>
            <w:r w:rsidRPr="0049704A">
              <w:rPr>
                <w:rFonts w:eastAsia="Times New Roman" w:cs="Times New Roman"/>
                <w:sz w:val="20"/>
                <w:szCs w:val="20"/>
                <w:lang w:eastAsia="en-GB"/>
              </w:rPr>
              <w:t>9</w:t>
            </w:r>
            <w:r w:rsidR="004A5A47">
              <w:rPr>
                <w:rFonts w:eastAsia="Times New Roman" w:cs="Times New Roman"/>
                <w:sz w:val="20"/>
                <w:szCs w:val="20"/>
                <w:lang w:eastAsia="en-GB"/>
              </w:rPr>
              <w:t xml:space="preserve"> </w:t>
            </w:r>
            <w:r w:rsidRPr="00C77830">
              <w:rPr>
                <w:rFonts w:eastAsia="Times New Roman" w:cs="Times New Roman"/>
                <w:sz w:val="20"/>
                <w:szCs w:val="20"/>
                <w:lang w:eastAsia="en-GB"/>
              </w:rPr>
              <w:t xml:space="preserve">Human Resource Management Practices and Wellbeing Initiatives </w:t>
            </w:r>
          </w:p>
        </w:tc>
        <w:tc>
          <w:tcPr>
            <w:tcW w:w="734" w:type="dxa"/>
            <w:tcBorders>
              <w:top w:val="nil"/>
              <w:left w:val="nil"/>
              <w:bottom w:val="nil"/>
              <w:right w:val="nil"/>
            </w:tcBorders>
          </w:tcPr>
          <w:p w14:paraId="305F5658"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sidRPr="0049704A">
              <w:rPr>
                <w:rFonts w:eastAsia="Times New Roman" w:cs="Times New Roman"/>
                <w:sz w:val="20"/>
                <w:szCs w:val="20"/>
                <w:lang w:eastAsia="en-GB"/>
              </w:rPr>
              <w:t>0.224</w:t>
            </w:r>
          </w:p>
        </w:tc>
        <w:tc>
          <w:tcPr>
            <w:tcW w:w="801" w:type="dxa"/>
            <w:tcBorders>
              <w:top w:val="nil"/>
              <w:left w:val="nil"/>
              <w:bottom w:val="nil"/>
              <w:right w:val="nil"/>
            </w:tcBorders>
          </w:tcPr>
          <w:p w14:paraId="5480280A"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sidRPr="0049704A">
              <w:rPr>
                <w:rFonts w:eastAsia="Times New Roman" w:cs="Times New Roman"/>
                <w:sz w:val="20"/>
                <w:szCs w:val="20"/>
                <w:lang w:eastAsia="en-GB"/>
              </w:rPr>
              <w:t>0.099</w:t>
            </w:r>
          </w:p>
        </w:tc>
        <w:tc>
          <w:tcPr>
            <w:tcW w:w="801" w:type="dxa"/>
            <w:tcBorders>
              <w:top w:val="nil"/>
              <w:left w:val="nil"/>
              <w:bottom w:val="nil"/>
              <w:right w:val="nil"/>
            </w:tcBorders>
          </w:tcPr>
          <w:p w14:paraId="538CD8B4"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sidRPr="0049704A">
              <w:rPr>
                <w:rFonts w:eastAsia="Times New Roman" w:cs="Times New Roman"/>
                <w:b/>
                <w:bCs/>
                <w:sz w:val="20"/>
                <w:szCs w:val="20"/>
                <w:lang w:eastAsia="en-GB"/>
              </w:rPr>
              <w:t>-</w:t>
            </w:r>
            <w:r>
              <w:rPr>
                <w:rFonts w:eastAsia="Times New Roman" w:cs="Times New Roman"/>
                <w:b/>
                <w:bCs/>
                <w:sz w:val="20"/>
                <w:szCs w:val="20"/>
                <w:lang w:eastAsia="en-GB"/>
              </w:rPr>
              <w:t>.</w:t>
            </w:r>
            <w:r w:rsidRPr="0049704A">
              <w:rPr>
                <w:rFonts w:eastAsia="Times New Roman" w:cs="Times New Roman"/>
                <w:b/>
                <w:bCs/>
                <w:sz w:val="20"/>
                <w:szCs w:val="20"/>
                <w:lang w:eastAsia="en-GB"/>
              </w:rPr>
              <w:t>075</w:t>
            </w:r>
          </w:p>
        </w:tc>
        <w:tc>
          <w:tcPr>
            <w:tcW w:w="801" w:type="dxa"/>
            <w:tcBorders>
              <w:top w:val="nil"/>
              <w:left w:val="nil"/>
              <w:bottom w:val="nil"/>
              <w:right w:val="nil"/>
            </w:tcBorders>
          </w:tcPr>
          <w:p w14:paraId="5D625FC2"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sidRPr="0049704A">
              <w:rPr>
                <w:rFonts w:eastAsia="Times New Roman" w:cs="Times New Roman"/>
                <w:b/>
                <w:bCs/>
                <w:sz w:val="20"/>
                <w:szCs w:val="20"/>
                <w:lang w:eastAsia="en-GB"/>
              </w:rPr>
              <w:t>-</w:t>
            </w:r>
            <w:r>
              <w:rPr>
                <w:rFonts w:eastAsia="Times New Roman" w:cs="Times New Roman"/>
                <w:b/>
                <w:bCs/>
                <w:sz w:val="20"/>
                <w:szCs w:val="20"/>
                <w:lang w:eastAsia="en-GB"/>
              </w:rPr>
              <w:t>.</w:t>
            </w:r>
            <w:r w:rsidRPr="0049704A">
              <w:rPr>
                <w:rFonts w:eastAsia="Times New Roman" w:cs="Times New Roman"/>
                <w:b/>
                <w:bCs/>
                <w:sz w:val="20"/>
                <w:szCs w:val="20"/>
                <w:lang w:eastAsia="en-GB"/>
              </w:rPr>
              <w:t>069</w:t>
            </w:r>
          </w:p>
        </w:tc>
        <w:tc>
          <w:tcPr>
            <w:tcW w:w="801" w:type="dxa"/>
            <w:tcBorders>
              <w:top w:val="nil"/>
              <w:left w:val="nil"/>
              <w:bottom w:val="nil"/>
              <w:right w:val="nil"/>
            </w:tcBorders>
          </w:tcPr>
          <w:p w14:paraId="220084AC"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sidRPr="0049704A">
              <w:rPr>
                <w:rFonts w:eastAsia="Times New Roman" w:cs="Times New Roman"/>
                <w:b/>
                <w:bCs/>
                <w:sz w:val="20"/>
                <w:szCs w:val="20"/>
                <w:lang w:eastAsia="en-GB"/>
              </w:rPr>
              <w:t>-</w:t>
            </w:r>
            <w:r>
              <w:rPr>
                <w:rFonts w:eastAsia="Times New Roman" w:cs="Times New Roman"/>
                <w:b/>
                <w:bCs/>
                <w:sz w:val="20"/>
                <w:szCs w:val="20"/>
                <w:lang w:eastAsia="en-GB"/>
              </w:rPr>
              <w:t>.</w:t>
            </w:r>
            <w:r w:rsidRPr="0049704A">
              <w:rPr>
                <w:rFonts w:eastAsia="Times New Roman" w:cs="Times New Roman"/>
                <w:b/>
                <w:bCs/>
                <w:sz w:val="20"/>
                <w:szCs w:val="20"/>
                <w:lang w:eastAsia="en-GB"/>
              </w:rPr>
              <w:t>064</w:t>
            </w:r>
          </w:p>
        </w:tc>
        <w:tc>
          <w:tcPr>
            <w:tcW w:w="801" w:type="dxa"/>
            <w:tcBorders>
              <w:top w:val="nil"/>
              <w:left w:val="nil"/>
              <w:bottom w:val="nil"/>
              <w:right w:val="nil"/>
            </w:tcBorders>
          </w:tcPr>
          <w:p w14:paraId="08EE833E"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sidRPr="0049704A">
              <w:rPr>
                <w:rFonts w:eastAsia="Times New Roman" w:cs="Times New Roman"/>
                <w:b/>
                <w:bCs/>
                <w:sz w:val="20"/>
                <w:szCs w:val="20"/>
                <w:lang w:eastAsia="en-GB"/>
              </w:rPr>
              <w:t>-</w:t>
            </w:r>
            <w:r>
              <w:rPr>
                <w:rFonts w:eastAsia="Times New Roman" w:cs="Times New Roman"/>
                <w:b/>
                <w:bCs/>
                <w:sz w:val="20"/>
                <w:szCs w:val="20"/>
                <w:lang w:eastAsia="en-GB"/>
              </w:rPr>
              <w:t>.</w:t>
            </w:r>
            <w:r w:rsidRPr="0049704A">
              <w:rPr>
                <w:rFonts w:eastAsia="Times New Roman" w:cs="Times New Roman"/>
                <w:b/>
                <w:bCs/>
                <w:sz w:val="20"/>
                <w:szCs w:val="20"/>
                <w:lang w:eastAsia="en-GB"/>
              </w:rPr>
              <w:t>065</w:t>
            </w:r>
          </w:p>
        </w:tc>
        <w:tc>
          <w:tcPr>
            <w:tcW w:w="801" w:type="dxa"/>
            <w:tcBorders>
              <w:top w:val="nil"/>
              <w:left w:val="nil"/>
              <w:bottom w:val="nil"/>
              <w:right w:val="nil"/>
            </w:tcBorders>
          </w:tcPr>
          <w:p w14:paraId="412DA350"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sidRPr="0049704A">
              <w:rPr>
                <w:rFonts w:eastAsia="Times New Roman" w:cs="Times New Roman"/>
                <w:b/>
                <w:bCs/>
                <w:sz w:val="20"/>
                <w:szCs w:val="20"/>
                <w:lang w:eastAsia="en-GB"/>
              </w:rPr>
              <w:t>-</w:t>
            </w:r>
            <w:r>
              <w:rPr>
                <w:rFonts w:eastAsia="Times New Roman" w:cs="Times New Roman"/>
                <w:b/>
                <w:bCs/>
                <w:sz w:val="20"/>
                <w:szCs w:val="20"/>
                <w:lang w:eastAsia="en-GB"/>
              </w:rPr>
              <w:t>.</w:t>
            </w:r>
            <w:r w:rsidRPr="0049704A">
              <w:rPr>
                <w:rFonts w:eastAsia="Times New Roman" w:cs="Times New Roman"/>
                <w:b/>
                <w:bCs/>
                <w:sz w:val="20"/>
                <w:szCs w:val="20"/>
                <w:lang w:eastAsia="en-GB"/>
              </w:rPr>
              <w:t>038</w:t>
            </w:r>
          </w:p>
        </w:tc>
        <w:tc>
          <w:tcPr>
            <w:tcW w:w="801" w:type="dxa"/>
            <w:tcBorders>
              <w:top w:val="nil"/>
              <w:left w:val="nil"/>
              <w:bottom w:val="nil"/>
              <w:right w:val="nil"/>
            </w:tcBorders>
          </w:tcPr>
          <w:p w14:paraId="0EDEF9F9"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sidRPr="0049704A">
              <w:rPr>
                <w:rFonts w:eastAsia="Times New Roman" w:cs="Times New Roman"/>
                <w:b/>
                <w:bCs/>
                <w:sz w:val="20"/>
                <w:szCs w:val="20"/>
                <w:lang w:eastAsia="en-GB"/>
              </w:rPr>
              <w:t>-</w:t>
            </w:r>
            <w:r>
              <w:rPr>
                <w:rFonts w:eastAsia="Times New Roman" w:cs="Times New Roman"/>
                <w:b/>
                <w:bCs/>
                <w:sz w:val="20"/>
                <w:szCs w:val="20"/>
                <w:lang w:eastAsia="en-GB"/>
              </w:rPr>
              <w:t>.</w:t>
            </w:r>
            <w:r w:rsidRPr="0049704A">
              <w:rPr>
                <w:rFonts w:eastAsia="Times New Roman" w:cs="Times New Roman"/>
                <w:b/>
                <w:bCs/>
                <w:sz w:val="20"/>
                <w:szCs w:val="20"/>
                <w:lang w:eastAsia="en-GB"/>
              </w:rPr>
              <w:t>060</w:t>
            </w:r>
          </w:p>
        </w:tc>
        <w:tc>
          <w:tcPr>
            <w:tcW w:w="801" w:type="dxa"/>
            <w:tcBorders>
              <w:top w:val="nil"/>
              <w:left w:val="nil"/>
              <w:bottom w:val="nil"/>
              <w:right w:val="nil"/>
            </w:tcBorders>
          </w:tcPr>
          <w:p w14:paraId="1B288AFE"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Pr>
                <w:rFonts w:eastAsia="Times New Roman" w:cs="Times New Roman"/>
                <w:b/>
                <w:bCs/>
                <w:sz w:val="20"/>
                <w:szCs w:val="20"/>
                <w:lang w:eastAsia="en-GB"/>
              </w:rPr>
              <w:t>.</w:t>
            </w:r>
            <w:r w:rsidRPr="0049704A">
              <w:rPr>
                <w:rFonts w:eastAsia="Times New Roman" w:cs="Times New Roman"/>
                <w:b/>
                <w:bCs/>
                <w:sz w:val="20"/>
                <w:szCs w:val="20"/>
                <w:lang w:eastAsia="en-GB"/>
              </w:rPr>
              <w:t>453</w:t>
            </w:r>
          </w:p>
        </w:tc>
        <w:tc>
          <w:tcPr>
            <w:tcW w:w="801" w:type="dxa"/>
            <w:tcBorders>
              <w:top w:val="nil"/>
              <w:left w:val="nil"/>
              <w:bottom w:val="nil"/>
              <w:right w:val="nil"/>
            </w:tcBorders>
          </w:tcPr>
          <w:p w14:paraId="7D68FB53"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Pr>
                <w:rFonts w:eastAsia="Times New Roman" w:cs="Times New Roman"/>
                <w:b/>
                <w:bCs/>
                <w:sz w:val="20"/>
                <w:szCs w:val="20"/>
                <w:lang w:eastAsia="en-GB"/>
              </w:rPr>
              <w:t>.</w:t>
            </w:r>
            <w:r w:rsidRPr="0049704A">
              <w:rPr>
                <w:rFonts w:eastAsia="Times New Roman" w:cs="Times New Roman"/>
                <w:b/>
                <w:bCs/>
                <w:sz w:val="20"/>
                <w:szCs w:val="20"/>
                <w:lang w:eastAsia="en-GB"/>
              </w:rPr>
              <w:t>195</w:t>
            </w:r>
          </w:p>
        </w:tc>
        <w:tc>
          <w:tcPr>
            <w:tcW w:w="801" w:type="dxa"/>
            <w:tcBorders>
              <w:top w:val="nil"/>
              <w:left w:val="nil"/>
              <w:bottom w:val="nil"/>
              <w:right w:val="nil"/>
            </w:tcBorders>
          </w:tcPr>
          <w:p w14:paraId="3F7EA32D"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r w:rsidRPr="0049704A">
              <w:rPr>
                <w:rFonts w:eastAsia="Times New Roman" w:cs="Times New Roman"/>
                <w:sz w:val="20"/>
                <w:szCs w:val="20"/>
                <w:lang w:eastAsia="en-GB"/>
              </w:rPr>
              <w:t>1.000</w:t>
            </w:r>
          </w:p>
        </w:tc>
        <w:tc>
          <w:tcPr>
            <w:tcW w:w="801" w:type="dxa"/>
            <w:tcBorders>
              <w:top w:val="nil"/>
              <w:left w:val="nil"/>
              <w:bottom w:val="nil"/>
              <w:right w:val="nil"/>
            </w:tcBorders>
          </w:tcPr>
          <w:p w14:paraId="7846D148"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c>
          <w:tcPr>
            <w:tcW w:w="801" w:type="dxa"/>
            <w:tcBorders>
              <w:top w:val="nil"/>
              <w:left w:val="nil"/>
              <w:bottom w:val="nil"/>
              <w:right w:val="nil"/>
            </w:tcBorders>
          </w:tcPr>
          <w:p w14:paraId="4FD7B27D"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c>
          <w:tcPr>
            <w:tcW w:w="801" w:type="dxa"/>
            <w:tcBorders>
              <w:top w:val="nil"/>
              <w:left w:val="nil"/>
              <w:bottom w:val="nil"/>
              <w:right w:val="nil"/>
            </w:tcBorders>
          </w:tcPr>
          <w:p w14:paraId="20E73EA7"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r>
      <w:tr w:rsidR="00C77830" w:rsidRPr="005862D0" w14:paraId="55C3F74F" w14:textId="77777777" w:rsidTr="00FA5E92">
        <w:trPr>
          <w:trHeight w:val="22"/>
        </w:trPr>
        <w:tc>
          <w:tcPr>
            <w:tcW w:w="1077" w:type="dxa"/>
            <w:vMerge/>
            <w:tcBorders>
              <w:left w:val="nil"/>
              <w:right w:val="nil"/>
            </w:tcBorders>
          </w:tcPr>
          <w:p w14:paraId="19406B4F" w14:textId="77777777" w:rsidR="00C77830" w:rsidRPr="0049704A" w:rsidRDefault="00C77830" w:rsidP="00C3611B">
            <w:pPr>
              <w:widowControl w:val="0"/>
              <w:autoSpaceDE w:val="0"/>
              <w:autoSpaceDN w:val="0"/>
              <w:adjustRightInd w:val="0"/>
              <w:spacing w:line="240" w:lineRule="auto"/>
              <w:ind w:firstLine="0"/>
              <w:rPr>
                <w:rFonts w:eastAsia="Times New Roman" w:cs="Times New Roman"/>
                <w:sz w:val="20"/>
                <w:szCs w:val="20"/>
                <w:lang w:eastAsia="en-GB"/>
              </w:rPr>
            </w:pPr>
          </w:p>
        </w:tc>
        <w:tc>
          <w:tcPr>
            <w:tcW w:w="1984" w:type="dxa"/>
            <w:tcBorders>
              <w:top w:val="nil"/>
              <w:left w:val="nil"/>
              <w:bottom w:val="nil"/>
              <w:right w:val="nil"/>
            </w:tcBorders>
          </w:tcPr>
          <w:p w14:paraId="63A426FF" w14:textId="66A27FC8" w:rsidR="00C77830" w:rsidRPr="0049704A" w:rsidRDefault="00C77830" w:rsidP="00C3611B">
            <w:pPr>
              <w:widowControl w:val="0"/>
              <w:autoSpaceDE w:val="0"/>
              <w:autoSpaceDN w:val="0"/>
              <w:adjustRightInd w:val="0"/>
              <w:spacing w:line="240" w:lineRule="auto"/>
              <w:ind w:firstLine="0"/>
              <w:rPr>
                <w:rFonts w:eastAsia="Times New Roman" w:cs="Times New Roman"/>
                <w:sz w:val="20"/>
                <w:szCs w:val="20"/>
                <w:lang w:eastAsia="en-GB"/>
              </w:rPr>
            </w:pPr>
            <w:r w:rsidRPr="0049704A">
              <w:rPr>
                <w:rFonts w:eastAsia="Times New Roman" w:cs="Times New Roman"/>
                <w:sz w:val="20"/>
                <w:szCs w:val="20"/>
                <w:lang w:eastAsia="en-GB"/>
              </w:rPr>
              <w:t>10 Mental</w:t>
            </w:r>
            <w:r>
              <w:rPr>
                <w:rFonts w:eastAsia="Times New Roman" w:cs="Times New Roman"/>
                <w:sz w:val="20"/>
                <w:szCs w:val="20"/>
                <w:lang w:eastAsia="en-GB"/>
              </w:rPr>
              <w:t xml:space="preserve"> </w:t>
            </w:r>
            <w:r w:rsidRPr="0049704A">
              <w:rPr>
                <w:rFonts w:eastAsia="Times New Roman" w:cs="Times New Roman"/>
                <w:sz w:val="20"/>
                <w:szCs w:val="20"/>
                <w:lang w:eastAsia="en-GB"/>
              </w:rPr>
              <w:t>Health</w:t>
            </w:r>
          </w:p>
        </w:tc>
        <w:tc>
          <w:tcPr>
            <w:tcW w:w="734" w:type="dxa"/>
            <w:tcBorders>
              <w:top w:val="nil"/>
              <w:left w:val="nil"/>
              <w:bottom w:val="nil"/>
              <w:right w:val="nil"/>
            </w:tcBorders>
          </w:tcPr>
          <w:p w14:paraId="2B78F63B"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sidRPr="0049704A">
              <w:rPr>
                <w:rFonts w:eastAsia="Times New Roman" w:cs="Times New Roman"/>
                <w:sz w:val="20"/>
                <w:szCs w:val="20"/>
                <w:lang w:eastAsia="en-GB"/>
              </w:rPr>
              <w:t>0.569</w:t>
            </w:r>
          </w:p>
        </w:tc>
        <w:tc>
          <w:tcPr>
            <w:tcW w:w="801" w:type="dxa"/>
            <w:tcBorders>
              <w:top w:val="nil"/>
              <w:left w:val="nil"/>
              <w:bottom w:val="nil"/>
              <w:right w:val="nil"/>
            </w:tcBorders>
          </w:tcPr>
          <w:p w14:paraId="5A8AF6FF"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sidRPr="0049704A">
              <w:rPr>
                <w:rFonts w:eastAsia="Times New Roman" w:cs="Times New Roman"/>
                <w:sz w:val="20"/>
                <w:szCs w:val="20"/>
                <w:lang w:eastAsia="en-GB"/>
              </w:rPr>
              <w:t>0.453</w:t>
            </w:r>
          </w:p>
        </w:tc>
        <w:tc>
          <w:tcPr>
            <w:tcW w:w="801" w:type="dxa"/>
            <w:tcBorders>
              <w:top w:val="nil"/>
              <w:left w:val="nil"/>
              <w:bottom w:val="nil"/>
              <w:right w:val="nil"/>
            </w:tcBorders>
          </w:tcPr>
          <w:p w14:paraId="20326C01"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sidRPr="0049704A">
              <w:rPr>
                <w:rFonts w:eastAsia="Times New Roman" w:cs="Times New Roman"/>
                <w:b/>
                <w:bCs/>
                <w:sz w:val="20"/>
                <w:szCs w:val="20"/>
                <w:lang w:eastAsia="en-GB"/>
              </w:rPr>
              <w:t>-</w:t>
            </w:r>
            <w:r>
              <w:rPr>
                <w:rFonts w:eastAsia="Times New Roman" w:cs="Times New Roman"/>
                <w:b/>
                <w:bCs/>
                <w:sz w:val="20"/>
                <w:szCs w:val="20"/>
                <w:lang w:eastAsia="en-GB"/>
              </w:rPr>
              <w:t>.</w:t>
            </w:r>
            <w:r w:rsidRPr="0049704A">
              <w:rPr>
                <w:rFonts w:eastAsia="Times New Roman" w:cs="Times New Roman"/>
                <w:b/>
                <w:bCs/>
                <w:sz w:val="20"/>
                <w:szCs w:val="20"/>
                <w:lang w:eastAsia="en-GB"/>
              </w:rPr>
              <w:t>080</w:t>
            </w:r>
          </w:p>
        </w:tc>
        <w:tc>
          <w:tcPr>
            <w:tcW w:w="801" w:type="dxa"/>
            <w:tcBorders>
              <w:top w:val="nil"/>
              <w:left w:val="nil"/>
              <w:bottom w:val="nil"/>
              <w:right w:val="nil"/>
            </w:tcBorders>
          </w:tcPr>
          <w:p w14:paraId="49663442"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sidRPr="0049704A">
              <w:rPr>
                <w:rFonts w:eastAsia="Times New Roman" w:cs="Times New Roman"/>
                <w:b/>
                <w:bCs/>
                <w:sz w:val="20"/>
                <w:szCs w:val="20"/>
                <w:lang w:eastAsia="en-GB"/>
              </w:rPr>
              <w:t>-</w:t>
            </w:r>
            <w:r>
              <w:rPr>
                <w:rFonts w:eastAsia="Times New Roman" w:cs="Times New Roman"/>
                <w:b/>
                <w:bCs/>
                <w:sz w:val="20"/>
                <w:szCs w:val="20"/>
                <w:lang w:eastAsia="en-GB"/>
              </w:rPr>
              <w:t>.</w:t>
            </w:r>
            <w:r w:rsidRPr="0049704A">
              <w:rPr>
                <w:rFonts w:eastAsia="Times New Roman" w:cs="Times New Roman"/>
                <w:b/>
                <w:bCs/>
                <w:sz w:val="20"/>
                <w:szCs w:val="20"/>
                <w:lang w:eastAsia="en-GB"/>
              </w:rPr>
              <w:t>091</w:t>
            </w:r>
          </w:p>
        </w:tc>
        <w:tc>
          <w:tcPr>
            <w:tcW w:w="801" w:type="dxa"/>
            <w:tcBorders>
              <w:top w:val="nil"/>
              <w:left w:val="nil"/>
              <w:bottom w:val="nil"/>
              <w:right w:val="nil"/>
            </w:tcBorders>
          </w:tcPr>
          <w:p w14:paraId="70EFB645"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sidRPr="0049704A">
              <w:rPr>
                <w:rFonts w:eastAsia="Times New Roman" w:cs="Times New Roman"/>
                <w:b/>
                <w:bCs/>
                <w:sz w:val="20"/>
                <w:szCs w:val="20"/>
                <w:lang w:eastAsia="en-GB"/>
              </w:rPr>
              <w:t>-</w:t>
            </w:r>
            <w:r>
              <w:rPr>
                <w:rFonts w:eastAsia="Times New Roman" w:cs="Times New Roman"/>
                <w:b/>
                <w:bCs/>
                <w:sz w:val="20"/>
                <w:szCs w:val="20"/>
                <w:lang w:eastAsia="en-GB"/>
              </w:rPr>
              <w:t>.</w:t>
            </w:r>
            <w:r w:rsidRPr="0049704A">
              <w:rPr>
                <w:rFonts w:eastAsia="Times New Roman" w:cs="Times New Roman"/>
                <w:b/>
                <w:bCs/>
                <w:sz w:val="20"/>
                <w:szCs w:val="20"/>
                <w:lang w:eastAsia="en-GB"/>
              </w:rPr>
              <w:t>068</w:t>
            </w:r>
          </w:p>
        </w:tc>
        <w:tc>
          <w:tcPr>
            <w:tcW w:w="801" w:type="dxa"/>
            <w:tcBorders>
              <w:top w:val="nil"/>
              <w:left w:val="nil"/>
              <w:bottom w:val="nil"/>
              <w:right w:val="nil"/>
            </w:tcBorders>
          </w:tcPr>
          <w:p w14:paraId="37305D4B"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sidRPr="0049704A">
              <w:rPr>
                <w:rFonts w:eastAsia="Times New Roman" w:cs="Times New Roman"/>
                <w:b/>
                <w:bCs/>
                <w:sz w:val="20"/>
                <w:szCs w:val="20"/>
                <w:lang w:eastAsia="en-GB"/>
              </w:rPr>
              <w:t>-</w:t>
            </w:r>
            <w:r>
              <w:rPr>
                <w:rFonts w:eastAsia="Times New Roman" w:cs="Times New Roman"/>
                <w:b/>
                <w:bCs/>
                <w:sz w:val="20"/>
                <w:szCs w:val="20"/>
                <w:lang w:eastAsia="en-GB"/>
              </w:rPr>
              <w:t>.</w:t>
            </w:r>
            <w:r w:rsidRPr="0049704A">
              <w:rPr>
                <w:rFonts w:eastAsia="Times New Roman" w:cs="Times New Roman"/>
                <w:b/>
                <w:bCs/>
                <w:sz w:val="20"/>
                <w:szCs w:val="20"/>
                <w:lang w:eastAsia="en-GB"/>
              </w:rPr>
              <w:t>068</w:t>
            </w:r>
          </w:p>
        </w:tc>
        <w:tc>
          <w:tcPr>
            <w:tcW w:w="801" w:type="dxa"/>
            <w:tcBorders>
              <w:top w:val="nil"/>
              <w:left w:val="nil"/>
              <w:bottom w:val="nil"/>
              <w:right w:val="nil"/>
            </w:tcBorders>
          </w:tcPr>
          <w:p w14:paraId="5577D332"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sidRPr="0049704A">
              <w:rPr>
                <w:rFonts w:eastAsia="Times New Roman" w:cs="Times New Roman"/>
                <w:b/>
                <w:bCs/>
                <w:sz w:val="20"/>
                <w:szCs w:val="20"/>
                <w:lang w:eastAsia="en-GB"/>
              </w:rPr>
              <w:t>-</w:t>
            </w:r>
            <w:r>
              <w:rPr>
                <w:rFonts w:eastAsia="Times New Roman" w:cs="Times New Roman"/>
                <w:b/>
                <w:bCs/>
                <w:sz w:val="20"/>
                <w:szCs w:val="20"/>
                <w:lang w:eastAsia="en-GB"/>
              </w:rPr>
              <w:t>.</w:t>
            </w:r>
            <w:r w:rsidRPr="0049704A">
              <w:rPr>
                <w:rFonts w:eastAsia="Times New Roman" w:cs="Times New Roman"/>
                <w:b/>
                <w:bCs/>
                <w:sz w:val="20"/>
                <w:szCs w:val="20"/>
                <w:lang w:eastAsia="en-GB"/>
              </w:rPr>
              <w:t>038</w:t>
            </w:r>
          </w:p>
        </w:tc>
        <w:tc>
          <w:tcPr>
            <w:tcW w:w="801" w:type="dxa"/>
            <w:tcBorders>
              <w:top w:val="nil"/>
              <w:left w:val="nil"/>
              <w:bottom w:val="nil"/>
              <w:right w:val="nil"/>
            </w:tcBorders>
          </w:tcPr>
          <w:p w14:paraId="70EE13E8"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sidRPr="0049704A">
              <w:rPr>
                <w:rFonts w:eastAsia="Times New Roman" w:cs="Times New Roman"/>
                <w:b/>
                <w:bCs/>
                <w:sz w:val="20"/>
                <w:szCs w:val="20"/>
                <w:lang w:eastAsia="en-GB"/>
              </w:rPr>
              <w:t>-</w:t>
            </w:r>
            <w:r>
              <w:rPr>
                <w:rFonts w:eastAsia="Times New Roman" w:cs="Times New Roman"/>
                <w:b/>
                <w:bCs/>
                <w:sz w:val="20"/>
                <w:szCs w:val="20"/>
                <w:lang w:eastAsia="en-GB"/>
              </w:rPr>
              <w:t>.</w:t>
            </w:r>
            <w:r w:rsidRPr="0049704A">
              <w:rPr>
                <w:rFonts w:eastAsia="Times New Roman" w:cs="Times New Roman"/>
                <w:b/>
                <w:bCs/>
                <w:sz w:val="20"/>
                <w:szCs w:val="20"/>
                <w:lang w:eastAsia="en-GB"/>
              </w:rPr>
              <w:t>058</w:t>
            </w:r>
          </w:p>
        </w:tc>
        <w:tc>
          <w:tcPr>
            <w:tcW w:w="801" w:type="dxa"/>
            <w:tcBorders>
              <w:top w:val="nil"/>
              <w:left w:val="nil"/>
              <w:bottom w:val="nil"/>
              <w:right w:val="nil"/>
            </w:tcBorders>
          </w:tcPr>
          <w:p w14:paraId="787E96F3"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Pr>
                <w:rFonts w:eastAsia="Times New Roman" w:cs="Times New Roman"/>
                <w:b/>
                <w:bCs/>
                <w:sz w:val="20"/>
                <w:szCs w:val="20"/>
                <w:lang w:eastAsia="en-GB"/>
              </w:rPr>
              <w:t>.</w:t>
            </w:r>
            <w:r w:rsidRPr="0049704A">
              <w:rPr>
                <w:rFonts w:eastAsia="Times New Roman" w:cs="Times New Roman"/>
                <w:b/>
                <w:bCs/>
                <w:sz w:val="20"/>
                <w:szCs w:val="20"/>
                <w:lang w:eastAsia="en-GB"/>
              </w:rPr>
              <w:t>732</w:t>
            </w:r>
          </w:p>
        </w:tc>
        <w:tc>
          <w:tcPr>
            <w:tcW w:w="801" w:type="dxa"/>
            <w:tcBorders>
              <w:top w:val="nil"/>
              <w:left w:val="nil"/>
              <w:bottom w:val="nil"/>
              <w:right w:val="nil"/>
            </w:tcBorders>
          </w:tcPr>
          <w:p w14:paraId="2B71E93B"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Pr>
                <w:rFonts w:eastAsia="Times New Roman" w:cs="Times New Roman"/>
                <w:b/>
                <w:bCs/>
                <w:sz w:val="20"/>
                <w:szCs w:val="20"/>
                <w:lang w:eastAsia="en-GB"/>
              </w:rPr>
              <w:t>.</w:t>
            </w:r>
            <w:r w:rsidRPr="0049704A">
              <w:rPr>
                <w:rFonts w:eastAsia="Times New Roman" w:cs="Times New Roman"/>
                <w:b/>
                <w:bCs/>
                <w:sz w:val="20"/>
                <w:szCs w:val="20"/>
                <w:lang w:eastAsia="en-GB"/>
              </w:rPr>
              <w:t>085</w:t>
            </w:r>
          </w:p>
        </w:tc>
        <w:tc>
          <w:tcPr>
            <w:tcW w:w="801" w:type="dxa"/>
            <w:tcBorders>
              <w:top w:val="nil"/>
              <w:left w:val="nil"/>
              <w:bottom w:val="nil"/>
              <w:right w:val="nil"/>
            </w:tcBorders>
          </w:tcPr>
          <w:p w14:paraId="4C0D4723"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Pr>
                <w:rFonts w:eastAsia="Times New Roman" w:cs="Times New Roman"/>
                <w:b/>
                <w:bCs/>
                <w:sz w:val="20"/>
                <w:szCs w:val="20"/>
                <w:lang w:eastAsia="en-GB"/>
              </w:rPr>
              <w:t>.</w:t>
            </w:r>
            <w:r w:rsidRPr="0049704A">
              <w:rPr>
                <w:rFonts w:eastAsia="Times New Roman" w:cs="Times New Roman"/>
                <w:b/>
                <w:bCs/>
                <w:sz w:val="20"/>
                <w:szCs w:val="20"/>
                <w:lang w:eastAsia="en-GB"/>
              </w:rPr>
              <w:t>165</w:t>
            </w:r>
          </w:p>
        </w:tc>
        <w:tc>
          <w:tcPr>
            <w:tcW w:w="801" w:type="dxa"/>
            <w:tcBorders>
              <w:top w:val="nil"/>
              <w:left w:val="nil"/>
              <w:bottom w:val="nil"/>
              <w:right w:val="nil"/>
            </w:tcBorders>
          </w:tcPr>
          <w:p w14:paraId="346EE73A"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r w:rsidRPr="0049704A">
              <w:rPr>
                <w:rFonts w:eastAsia="Times New Roman" w:cs="Times New Roman"/>
                <w:sz w:val="20"/>
                <w:szCs w:val="20"/>
                <w:lang w:eastAsia="en-GB"/>
              </w:rPr>
              <w:t>1.000</w:t>
            </w:r>
          </w:p>
        </w:tc>
        <w:tc>
          <w:tcPr>
            <w:tcW w:w="801" w:type="dxa"/>
            <w:tcBorders>
              <w:top w:val="nil"/>
              <w:left w:val="nil"/>
              <w:bottom w:val="nil"/>
              <w:right w:val="nil"/>
            </w:tcBorders>
          </w:tcPr>
          <w:p w14:paraId="1DA969EC"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c>
          <w:tcPr>
            <w:tcW w:w="801" w:type="dxa"/>
            <w:tcBorders>
              <w:top w:val="nil"/>
              <w:left w:val="nil"/>
              <w:bottom w:val="nil"/>
              <w:right w:val="nil"/>
            </w:tcBorders>
          </w:tcPr>
          <w:p w14:paraId="07515203"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r>
      <w:tr w:rsidR="00C77830" w:rsidRPr="005862D0" w14:paraId="20B826BD" w14:textId="77777777" w:rsidTr="00FA5E92">
        <w:trPr>
          <w:trHeight w:val="22"/>
        </w:trPr>
        <w:tc>
          <w:tcPr>
            <w:tcW w:w="1077" w:type="dxa"/>
            <w:vMerge/>
            <w:tcBorders>
              <w:left w:val="nil"/>
              <w:right w:val="nil"/>
            </w:tcBorders>
          </w:tcPr>
          <w:p w14:paraId="4F5771A8" w14:textId="77777777" w:rsidR="00C77830" w:rsidRPr="0049704A" w:rsidRDefault="00C77830" w:rsidP="00C3611B">
            <w:pPr>
              <w:widowControl w:val="0"/>
              <w:autoSpaceDE w:val="0"/>
              <w:autoSpaceDN w:val="0"/>
              <w:adjustRightInd w:val="0"/>
              <w:spacing w:line="240" w:lineRule="auto"/>
              <w:ind w:firstLine="0"/>
              <w:rPr>
                <w:rFonts w:eastAsia="Times New Roman" w:cs="Times New Roman"/>
                <w:sz w:val="20"/>
                <w:szCs w:val="20"/>
                <w:lang w:eastAsia="en-GB"/>
              </w:rPr>
            </w:pPr>
          </w:p>
        </w:tc>
        <w:tc>
          <w:tcPr>
            <w:tcW w:w="1984" w:type="dxa"/>
            <w:tcBorders>
              <w:top w:val="nil"/>
              <w:left w:val="nil"/>
              <w:bottom w:val="nil"/>
              <w:right w:val="nil"/>
            </w:tcBorders>
          </w:tcPr>
          <w:p w14:paraId="59F370B5" w14:textId="1FCD9A74" w:rsidR="00C77830" w:rsidRPr="0049704A" w:rsidRDefault="00C77830" w:rsidP="00C3611B">
            <w:pPr>
              <w:widowControl w:val="0"/>
              <w:autoSpaceDE w:val="0"/>
              <w:autoSpaceDN w:val="0"/>
              <w:adjustRightInd w:val="0"/>
              <w:spacing w:line="240" w:lineRule="auto"/>
              <w:ind w:firstLine="0"/>
              <w:rPr>
                <w:rFonts w:eastAsia="Times New Roman" w:cs="Times New Roman"/>
                <w:sz w:val="20"/>
                <w:szCs w:val="20"/>
                <w:lang w:eastAsia="en-GB"/>
              </w:rPr>
            </w:pPr>
            <w:r w:rsidRPr="0049704A">
              <w:rPr>
                <w:rFonts w:eastAsia="Times New Roman" w:cs="Times New Roman"/>
                <w:sz w:val="20"/>
                <w:szCs w:val="20"/>
                <w:lang w:eastAsia="en-GB"/>
              </w:rPr>
              <w:t>11 Resources</w:t>
            </w:r>
            <w:r>
              <w:rPr>
                <w:rFonts w:eastAsia="Times New Roman" w:cs="Times New Roman"/>
                <w:sz w:val="20"/>
                <w:szCs w:val="20"/>
                <w:lang w:eastAsia="en-GB"/>
              </w:rPr>
              <w:t xml:space="preserve"> </w:t>
            </w:r>
          </w:p>
        </w:tc>
        <w:tc>
          <w:tcPr>
            <w:tcW w:w="734" w:type="dxa"/>
            <w:tcBorders>
              <w:top w:val="nil"/>
              <w:left w:val="nil"/>
              <w:bottom w:val="nil"/>
              <w:right w:val="nil"/>
            </w:tcBorders>
          </w:tcPr>
          <w:p w14:paraId="6B37B5E1"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sidRPr="0049704A">
              <w:rPr>
                <w:rFonts w:eastAsia="Times New Roman" w:cs="Times New Roman"/>
                <w:sz w:val="20"/>
                <w:szCs w:val="20"/>
                <w:lang w:eastAsia="en-GB"/>
              </w:rPr>
              <w:t>0.755</w:t>
            </w:r>
          </w:p>
        </w:tc>
        <w:tc>
          <w:tcPr>
            <w:tcW w:w="801" w:type="dxa"/>
            <w:tcBorders>
              <w:top w:val="nil"/>
              <w:left w:val="nil"/>
              <w:bottom w:val="nil"/>
              <w:right w:val="nil"/>
            </w:tcBorders>
          </w:tcPr>
          <w:p w14:paraId="534968AE"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sidRPr="0049704A">
              <w:rPr>
                <w:rFonts w:eastAsia="Times New Roman" w:cs="Times New Roman"/>
                <w:sz w:val="20"/>
                <w:szCs w:val="20"/>
                <w:lang w:eastAsia="en-GB"/>
              </w:rPr>
              <w:t>0.254</w:t>
            </w:r>
          </w:p>
        </w:tc>
        <w:tc>
          <w:tcPr>
            <w:tcW w:w="801" w:type="dxa"/>
            <w:tcBorders>
              <w:top w:val="nil"/>
              <w:left w:val="nil"/>
              <w:bottom w:val="nil"/>
              <w:right w:val="nil"/>
            </w:tcBorders>
          </w:tcPr>
          <w:p w14:paraId="4241C370"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sidRPr="0049704A">
              <w:rPr>
                <w:rFonts w:eastAsia="Times New Roman" w:cs="Times New Roman"/>
                <w:b/>
                <w:bCs/>
                <w:sz w:val="20"/>
                <w:szCs w:val="20"/>
                <w:lang w:eastAsia="en-GB"/>
              </w:rPr>
              <w:t>-</w:t>
            </w:r>
            <w:r>
              <w:rPr>
                <w:rFonts w:eastAsia="Times New Roman" w:cs="Times New Roman"/>
                <w:b/>
                <w:bCs/>
                <w:sz w:val="20"/>
                <w:szCs w:val="20"/>
                <w:lang w:eastAsia="en-GB"/>
              </w:rPr>
              <w:t>.</w:t>
            </w:r>
            <w:r w:rsidRPr="0049704A">
              <w:rPr>
                <w:rFonts w:eastAsia="Times New Roman" w:cs="Times New Roman"/>
                <w:b/>
                <w:bCs/>
                <w:sz w:val="20"/>
                <w:szCs w:val="20"/>
                <w:lang w:eastAsia="en-GB"/>
              </w:rPr>
              <w:t>074</w:t>
            </w:r>
          </w:p>
        </w:tc>
        <w:tc>
          <w:tcPr>
            <w:tcW w:w="801" w:type="dxa"/>
            <w:tcBorders>
              <w:top w:val="nil"/>
              <w:left w:val="nil"/>
              <w:bottom w:val="nil"/>
              <w:right w:val="nil"/>
            </w:tcBorders>
          </w:tcPr>
          <w:p w14:paraId="6FF36C90"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sidRPr="0049704A">
              <w:rPr>
                <w:rFonts w:eastAsia="Times New Roman" w:cs="Times New Roman"/>
                <w:b/>
                <w:bCs/>
                <w:sz w:val="20"/>
                <w:szCs w:val="20"/>
                <w:lang w:eastAsia="en-GB"/>
              </w:rPr>
              <w:t>-</w:t>
            </w:r>
            <w:r>
              <w:rPr>
                <w:rFonts w:eastAsia="Times New Roman" w:cs="Times New Roman"/>
                <w:b/>
                <w:bCs/>
                <w:sz w:val="20"/>
                <w:szCs w:val="20"/>
                <w:lang w:eastAsia="en-GB"/>
              </w:rPr>
              <w:t>.</w:t>
            </w:r>
            <w:r w:rsidRPr="0049704A">
              <w:rPr>
                <w:rFonts w:eastAsia="Times New Roman" w:cs="Times New Roman"/>
                <w:b/>
                <w:bCs/>
                <w:sz w:val="20"/>
                <w:szCs w:val="20"/>
                <w:lang w:eastAsia="en-GB"/>
              </w:rPr>
              <w:t>077</w:t>
            </w:r>
          </w:p>
        </w:tc>
        <w:tc>
          <w:tcPr>
            <w:tcW w:w="801" w:type="dxa"/>
            <w:tcBorders>
              <w:top w:val="nil"/>
              <w:left w:val="nil"/>
              <w:bottom w:val="nil"/>
              <w:right w:val="nil"/>
            </w:tcBorders>
          </w:tcPr>
          <w:p w14:paraId="6898B816"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sidRPr="0049704A">
              <w:rPr>
                <w:rFonts w:eastAsia="Times New Roman" w:cs="Times New Roman"/>
                <w:b/>
                <w:bCs/>
                <w:sz w:val="20"/>
                <w:szCs w:val="20"/>
                <w:lang w:eastAsia="en-GB"/>
              </w:rPr>
              <w:t>-</w:t>
            </w:r>
            <w:r>
              <w:rPr>
                <w:rFonts w:eastAsia="Times New Roman" w:cs="Times New Roman"/>
                <w:b/>
                <w:bCs/>
                <w:sz w:val="20"/>
                <w:szCs w:val="20"/>
                <w:lang w:eastAsia="en-GB"/>
              </w:rPr>
              <w:t>.</w:t>
            </w:r>
            <w:r w:rsidRPr="0049704A">
              <w:rPr>
                <w:rFonts w:eastAsia="Times New Roman" w:cs="Times New Roman"/>
                <w:b/>
                <w:bCs/>
                <w:sz w:val="20"/>
                <w:szCs w:val="20"/>
                <w:lang w:eastAsia="en-GB"/>
              </w:rPr>
              <w:t>037</w:t>
            </w:r>
          </w:p>
        </w:tc>
        <w:tc>
          <w:tcPr>
            <w:tcW w:w="801" w:type="dxa"/>
            <w:tcBorders>
              <w:top w:val="nil"/>
              <w:left w:val="nil"/>
              <w:bottom w:val="nil"/>
              <w:right w:val="nil"/>
            </w:tcBorders>
          </w:tcPr>
          <w:p w14:paraId="45DB13DC"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sidRPr="0049704A">
              <w:rPr>
                <w:rFonts w:eastAsia="Times New Roman" w:cs="Times New Roman"/>
                <w:b/>
                <w:bCs/>
                <w:sz w:val="20"/>
                <w:szCs w:val="20"/>
                <w:lang w:eastAsia="en-GB"/>
              </w:rPr>
              <w:t>-</w:t>
            </w:r>
            <w:r>
              <w:rPr>
                <w:rFonts w:eastAsia="Times New Roman" w:cs="Times New Roman"/>
                <w:b/>
                <w:bCs/>
                <w:sz w:val="20"/>
                <w:szCs w:val="20"/>
                <w:lang w:eastAsia="en-GB"/>
              </w:rPr>
              <w:t>.</w:t>
            </w:r>
            <w:r w:rsidRPr="0049704A">
              <w:rPr>
                <w:rFonts w:eastAsia="Times New Roman" w:cs="Times New Roman"/>
                <w:b/>
                <w:bCs/>
                <w:sz w:val="20"/>
                <w:szCs w:val="20"/>
                <w:lang w:eastAsia="en-GB"/>
              </w:rPr>
              <w:t>059</w:t>
            </w:r>
          </w:p>
        </w:tc>
        <w:tc>
          <w:tcPr>
            <w:tcW w:w="801" w:type="dxa"/>
            <w:tcBorders>
              <w:top w:val="nil"/>
              <w:left w:val="nil"/>
              <w:bottom w:val="nil"/>
              <w:right w:val="nil"/>
            </w:tcBorders>
          </w:tcPr>
          <w:p w14:paraId="0095C008"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sidRPr="0049704A">
              <w:rPr>
                <w:rFonts w:eastAsia="Times New Roman" w:cs="Times New Roman"/>
                <w:b/>
                <w:bCs/>
                <w:sz w:val="20"/>
                <w:szCs w:val="20"/>
                <w:lang w:eastAsia="en-GB"/>
              </w:rPr>
              <w:t>-</w:t>
            </w:r>
            <w:r>
              <w:rPr>
                <w:rFonts w:eastAsia="Times New Roman" w:cs="Times New Roman"/>
                <w:b/>
                <w:bCs/>
                <w:sz w:val="20"/>
                <w:szCs w:val="20"/>
                <w:lang w:eastAsia="en-GB"/>
              </w:rPr>
              <w:t>.</w:t>
            </w:r>
            <w:r w:rsidRPr="0049704A">
              <w:rPr>
                <w:rFonts w:eastAsia="Times New Roman" w:cs="Times New Roman"/>
                <w:b/>
                <w:bCs/>
                <w:sz w:val="20"/>
                <w:szCs w:val="20"/>
                <w:lang w:eastAsia="en-GB"/>
              </w:rPr>
              <w:t>104</w:t>
            </w:r>
          </w:p>
        </w:tc>
        <w:tc>
          <w:tcPr>
            <w:tcW w:w="801" w:type="dxa"/>
            <w:tcBorders>
              <w:top w:val="nil"/>
              <w:left w:val="nil"/>
              <w:bottom w:val="nil"/>
              <w:right w:val="nil"/>
            </w:tcBorders>
          </w:tcPr>
          <w:p w14:paraId="0BF4B5F8"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sidRPr="0049704A">
              <w:rPr>
                <w:rFonts w:eastAsia="Times New Roman" w:cs="Times New Roman"/>
                <w:b/>
                <w:bCs/>
                <w:sz w:val="20"/>
                <w:szCs w:val="20"/>
                <w:lang w:eastAsia="en-GB"/>
              </w:rPr>
              <w:t>-</w:t>
            </w:r>
            <w:r>
              <w:rPr>
                <w:rFonts w:eastAsia="Times New Roman" w:cs="Times New Roman"/>
                <w:b/>
                <w:bCs/>
                <w:sz w:val="20"/>
                <w:szCs w:val="20"/>
                <w:lang w:eastAsia="en-GB"/>
              </w:rPr>
              <w:t>.</w:t>
            </w:r>
            <w:r w:rsidRPr="0049704A">
              <w:rPr>
                <w:rFonts w:eastAsia="Times New Roman" w:cs="Times New Roman"/>
                <w:b/>
                <w:bCs/>
                <w:sz w:val="20"/>
                <w:szCs w:val="20"/>
                <w:lang w:eastAsia="en-GB"/>
              </w:rPr>
              <w:t>066</w:t>
            </w:r>
          </w:p>
        </w:tc>
        <w:tc>
          <w:tcPr>
            <w:tcW w:w="801" w:type="dxa"/>
            <w:tcBorders>
              <w:top w:val="nil"/>
              <w:left w:val="nil"/>
              <w:bottom w:val="nil"/>
              <w:right w:val="nil"/>
            </w:tcBorders>
          </w:tcPr>
          <w:p w14:paraId="45F5B460"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Pr>
                <w:rFonts w:eastAsia="Times New Roman" w:cs="Times New Roman"/>
                <w:b/>
                <w:bCs/>
                <w:sz w:val="20"/>
                <w:szCs w:val="20"/>
                <w:lang w:eastAsia="en-GB"/>
              </w:rPr>
              <w:t>.</w:t>
            </w:r>
            <w:r w:rsidRPr="0049704A">
              <w:rPr>
                <w:rFonts w:eastAsia="Times New Roman" w:cs="Times New Roman"/>
                <w:b/>
                <w:bCs/>
                <w:sz w:val="20"/>
                <w:szCs w:val="20"/>
                <w:lang w:eastAsia="en-GB"/>
              </w:rPr>
              <w:t>594</w:t>
            </w:r>
          </w:p>
        </w:tc>
        <w:tc>
          <w:tcPr>
            <w:tcW w:w="801" w:type="dxa"/>
            <w:tcBorders>
              <w:top w:val="nil"/>
              <w:left w:val="nil"/>
              <w:bottom w:val="nil"/>
              <w:right w:val="nil"/>
            </w:tcBorders>
          </w:tcPr>
          <w:p w14:paraId="7E159E93"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Pr>
                <w:rFonts w:eastAsia="Times New Roman" w:cs="Times New Roman"/>
                <w:b/>
                <w:bCs/>
                <w:sz w:val="20"/>
                <w:szCs w:val="20"/>
                <w:lang w:eastAsia="en-GB"/>
              </w:rPr>
              <w:t>.</w:t>
            </w:r>
            <w:r w:rsidRPr="0049704A">
              <w:rPr>
                <w:rFonts w:eastAsia="Times New Roman" w:cs="Times New Roman"/>
                <w:b/>
                <w:bCs/>
                <w:sz w:val="20"/>
                <w:szCs w:val="20"/>
                <w:lang w:eastAsia="en-GB"/>
              </w:rPr>
              <w:t>170</w:t>
            </w:r>
          </w:p>
        </w:tc>
        <w:tc>
          <w:tcPr>
            <w:tcW w:w="801" w:type="dxa"/>
            <w:tcBorders>
              <w:top w:val="nil"/>
              <w:left w:val="nil"/>
              <w:bottom w:val="nil"/>
              <w:right w:val="nil"/>
            </w:tcBorders>
          </w:tcPr>
          <w:p w14:paraId="1E7171E1"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Pr>
                <w:rFonts w:eastAsia="Times New Roman" w:cs="Times New Roman"/>
                <w:b/>
                <w:bCs/>
                <w:sz w:val="20"/>
                <w:szCs w:val="20"/>
                <w:lang w:eastAsia="en-GB"/>
              </w:rPr>
              <w:t>.</w:t>
            </w:r>
            <w:r w:rsidRPr="0049704A">
              <w:rPr>
                <w:rFonts w:eastAsia="Times New Roman" w:cs="Times New Roman"/>
                <w:b/>
                <w:bCs/>
                <w:sz w:val="20"/>
                <w:szCs w:val="20"/>
                <w:lang w:eastAsia="en-GB"/>
              </w:rPr>
              <w:t>374</w:t>
            </w:r>
          </w:p>
        </w:tc>
        <w:tc>
          <w:tcPr>
            <w:tcW w:w="801" w:type="dxa"/>
            <w:tcBorders>
              <w:top w:val="nil"/>
              <w:left w:val="nil"/>
              <w:bottom w:val="nil"/>
              <w:right w:val="nil"/>
            </w:tcBorders>
          </w:tcPr>
          <w:p w14:paraId="012A7D9D"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Pr>
                <w:rFonts w:eastAsia="Times New Roman" w:cs="Times New Roman"/>
                <w:b/>
                <w:bCs/>
                <w:sz w:val="20"/>
                <w:szCs w:val="20"/>
                <w:lang w:eastAsia="en-GB"/>
              </w:rPr>
              <w:t>.</w:t>
            </w:r>
            <w:r w:rsidRPr="0049704A">
              <w:rPr>
                <w:rFonts w:eastAsia="Times New Roman" w:cs="Times New Roman"/>
                <w:b/>
                <w:bCs/>
                <w:sz w:val="20"/>
                <w:szCs w:val="20"/>
                <w:lang w:eastAsia="en-GB"/>
              </w:rPr>
              <w:t>214</w:t>
            </w:r>
          </w:p>
        </w:tc>
        <w:tc>
          <w:tcPr>
            <w:tcW w:w="801" w:type="dxa"/>
            <w:tcBorders>
              <w:top w:val="nil"/>
              <w:left w:val="nil"/>
              <w:bottom w:val="nil"/>
              <w:right w:val="nil"/>
            </w:tcBorders>
          </w:tcPr>
          <w:p w14:paraId="56219E57"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r w:rsidRPr="0049704A">
              <w:rPr>
                <w:rFonts w:eastAsia="Times New Roman" w:cs="Times New Roman"/>
                <w:sz w:val="20"/>
                <w:szCs w:val="20"/>
                <w:lang w:eastAsia="en-GB"/>
              </w:rPr>
              <w:t>1.000</w:t>
            </w:r>
          </w:p>
        </w:tc>
        <w:tc>
          <w:tcPr>
            <w:tcW w:w="801" w:type="dxa"/>
            <w:tcBorders>
              <w:top w:val="nil"/>
              <w:left w:val="nil"/>
              <w:bottom w:val="nil"/>
              <w:right w:val="nil"/>
            </w:tcBorders>
          </w:tcPr>
          <w:p w14:paraId="62C4532F"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p>
        </w:tc>
      </w:tr>
      <w:tr w:rsidR="00C77830" w:rsidRPr="005862D0" w14:paraId="3F0BF950" w14:textId="77777777" w:rsidTr="00FA5E92">
        <w:trPr>
          <w:trHeight w:val="22"/>
        </w:trPr>
        <w:tc>
          <w:tcPr>
            <w:tcW w:w="1077" w:type="dxa"/>
            <w:vMerge/>
            <w:tcBorders>
              <w:left w:val="nil"/>
              <w:bottom w:val="single" w:sz="4" w:space="0" w:color="auto"/>
              <w:right w:val="nil"/>
            </w:tcBorders>
          </w:tcPr>
          <w:p w14:paraId="471696C0" w14:textId="77777777" w:rsidR="00C77830" w:rsidRPr="0049704A" w:rsidRDefault="00C77830" w:rsidP="00C3611B">
            <w:pPr>
              <w:widowControl w:val="0"/>
              <w:autoSpaceDE w:val="0"/>
              <w:autoSpaceDN w:val="0"/>
              <w:adjustRightInd w:val="0"/>
              <w:spacing w:line="240" w:lineRule="auto"/>
              <w:ind w:firstLine="0"/>
              <w:rPr>
                <w:rFonts w:eastAsia="Times New Roman" w:cs="Times New Roman"/>
                <w:sz w:val="20"/>
                <w:szCs w:val="20"/>
                <w:lang w:eastAsia="en-GB"/>
              </w:rPr>
            </w:pPr>
          </w:p>
        </w:tc>
        <w:tc>
          <w:tcPr>
            <w:tcW w:w="1984" w:type="dxa"/>
            <w:tcBorders>
              <w:top w:val="nil"/>
              <w:left w:val="nil"/>
              <w:bottom w:val="single" w:sz="4" w:space="0" w:color="auto"/>
              <w:right w:val="nil"/>
            </w:tcBorders>
          </w:tcPr>
          <w:p w14:paraId="53B2F361" w14:textId="79ABBBE5" w:rsidR="00C77830" w:rsidRPr="0049704A" w:rsidRDefault="00C77830" w:rsidP="00C3611B">
            <w:pPr>
              <w:widowControl w:val="0"/>
              <w:autoSpaceDE w:val="0"/>
              <w:autoSpaceDN w:val="0"/>
              <w:adjustRightInd w:val="0"/>
              <w:spacing w:line="240" w:lineRule="auto"/>
              <w:ind w:firstLine="0"/>
              <w:rPr>
                <w:rFonts w:eastAsia="Times New Roman" w:cs="Times New Roman"/>
                <w:sz w:val="20"/>
                <w:szCs w:val="20"/>
                <w:lang w:eastAsia="en-GB"/>
              </w:rPr>
            </w:pPr>
            <w:r w:rsidRPr="0049704A">
              <w:rPr>
                <w:rFonts w:eastAsia="Times New Roman" w:cs="Times New Roman"/>
                <w:sz w:val="20"/>
                <w:szCs w:val="20"/>
                <w:lang w:eastAsia="en-GB"/>
              </w:rPr>
              <w:t>12 Risk</w:t>
            </w:r>
            <w:r>
              <w:rPr>
                <w:rFonts w:eastAsia="Times New Roman" w:cs="Times New Roman"/>
                <w:sz w:val="20"/>
                <w:szCs w:val="20"/>
                <w:lang w:eastAsia="en-GB"/>
              </w:rPr>
              <w:t xml:space="preserve"> Factors</w:t>
            </w:r>
          </w:p>
        </w:tc>
        <w:tc>
          <w:tcPr>
            <w:tcW w:w="734" w:type="dxa"/>
            <w:tcBorders>
              <w:top w:val="nil"/>
              <w:left w:val="nil"/>
              <w:bottom w:val="single" w:sz="4" w:space="0" w:color="auto"/>
              <w:right w:val="nil"/>
            </w:tcBorders>
          </w:tcPr>
          <w:p w14:paraId="132FBE76"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sidRPr="0049704A">
              <w:rPr>
                <w:rFonts w:eastAsia="Times New Roman" w:cs="Times New Roman"/>
                <w:sz w:val="20"/>
                <w:szCs w:val="20"/>
                <w:lang w:eastAsia="en-GB"/>
              </w:rPr>
              <w:t>0.051</w:t>
            </w:r>
          </w:p>
        </w:tc>
        <w:tc>
          <w:tcPr>
            <w:tcW w:w="801" w:type="dxa"/>
            <w:tcBorders>
              <w:top w:val="nil"/>
              <w:left w:val="nil"/>
              <w:bottom w:val="single" w:sz="4" w:space="0" w:color="auto"/>
              <w:right w:val="nil"/>
            </w:tcBorders>
          </w:tcPr>
          <w:p w14:paraId="29AA6FC3"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sidRPr="0049704A">
              <w:rPr>
                <w:rFonts w:eastAsia="Times New Roman" w:cs="Times New Roman"/>
                <w:sz w:val="20"/>
                <w:szCs w:val="20"/>
                <w:lang w:eastAsia="en-GB"/>
              </w:rPr>
              <w:t>0.030</w:t>
            </w:r>
          </w:p>
        </w:tc>
        <w:tc>
          <w:tcPr>
            <w:tcW w:w="801" w:type="dxa"/>
            <w:tcBorders>
              <w:top w:val="nil"/>
              <w:left w:val="nil"/>
              <w:bottom w:val="single" w:sz="4" w:space="0" w:color="auto"/>
              <w:right w:val="nil"/>
            </w:tcBorders>
          </w:tcPr>
          <w:p w14:paraId="0A8E5CD7"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Pr>
                <w:rFonts w:eastAsia="Times New Roman" w:cs="Times New Roman"/>
                <w:b/>
                <w:bCs/>
                <w:sz w:val="20"/>
                <w:szCs w:val="20"/>
                <w:lang w:eastAsia="en-GB"/>
              </w:rPr>
              <w:t>.</w:t>
            </w:r>
            <w:r w:rsidRPr="0049704A">
              <w:rPr>
                <w:rFonts w:eastAsia="Times New Roman" w:cs="Times New Roman"/>
                <w:b/>
                <w:bCs/>
                <w:sz w:val="20"/>
                <w:szCs w:val="20"/>
                <w:lang w:eastAsia="en-GB"/>
              </w:rPr>
              <w:t>037</w:t>
            </w:r>
          </w:p>
        </w:tc>
        <w:tc>
          <w:tcPr>
            <w:tcW w:w="801" w:type="dxa"/>
            <w:tcBorders>
              <w:top w:val="nil"/>
              <w:left w:val="nil"/>
              <w:bottom w:val="single" w:sz="4" w:space="0" w:color="auto"/>
              <w:right w:val="nil"/>
            </w:tcBorders>
          </w:tcPr>
          <w:p w14:paraId="128C6525"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Pr>
                <w:rFonts w:eastAsia="Times New Roman" w:cs="Times New Roman"/>
                <w:b/>
                <w:bCs/>
                <w:sz w:val="20"/>
                <w:szCs w:val="20"/>
                <w:lang w:eastAsia="en-GB"/>
              </w:rPr>
              <w:t>.</w:t>
            </w:r>
            <w:r w:rsidRPr="0049704A">
              <w:rPr>
                <w:rFonts w:eastAsia="Times New Roman" w:cs="Times New Roman"/>
                <w:b/>
                <w:bCs/>
                <w:sz w:val="20"/>
                <w:szCs w:val="20"/>
                <w:lang w:eastAsia="en-GB"/>
              </w:rPr>
              <w:t>043</w:t>
            </w:r>
          </w:p>
        </w:tc>
        <w:tc>
          <w:tcPr>
            <w:tcW w:w="801" w:type="dxa"/>
            <w:tcBorders>
              <w:top w:val="nil"/>
              <w:left w:val="nil"/>
              <w:bottom w:val="single" w:sz="4" w:space="0" w:color="auto"/>
              <w:right w:val="nil"/>
            </w:tcBorders>
          </w:tcPr>
          <w:p w14:paraId="2F110965"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Pr>
                <w:rFonts w:eastAsia="Times New Roman" w:cs="Times New Roman"/>
                <w:b/>
                <w:bCs/>
                <w:sz w:val="20"/>
                <w:szCs w:val="20"/>
                <w:lang w:eastAsia="en-GB"/>
              </w:rPr>
              <w:t>.</w:t>
            </w:r>
            <w:r w:rsidRPr="0049704A">
              <w:rPr>
                <w:rFonts w:eastAsia="Times New Roman" w:cs="Times New Roman"/>
                <w:b/>
                <w:bCs/>
                <w:sz w:val="20"/>
                <w:szCs w:val="20"/>
                <w:lang w:eastAsia="en-GB"/>
              </w:rPr>
              <w:t>040</w:t>
            </w:r>
          </w:p>
        </w:tc>
        <w:tc>
          <w:tcPr>
            <w:tcW w:w="801" w:type="dxa"/>
            <w:tcBorders>
              <w:top w:val="nil"/>
              <w:left w:val="nil"/>
              <w:bottom w:val="single" w:sz="4" w:space="0" w:color="auto"/>
              <w:right w:val="nil"/>
            </w:tcBorders>
          </w:tcPr>
          <w:p w14:paraId="3BA23013"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Pr>
                <w:rFonts w:eastAsia="Times New Roman" w:cs="Times New Roman"/>
                <w:b/>
                <w:bCs/>
                <w:sz w:val="20"/>
                <w:szCs w:val="20"/>
                <w:lang w:eastAsia="en-GB"/>
              </w:rPr>
              <w:t>.</w:t>
            </w:r>
            <w:r w:rsidRPr="0049704A">
              <w:rPr>
                <w:rFonts w:eastAsia="Times New Roman" w:cs="Times New Roman"/>
                <w:b/>
                <w:bCs/>
                <w:sz w:val="20"/>
                <w:szCs w:val="20"/>
                <w:lang w:eastAsia="en-GB"/>
              </w:rPr>
              <w:t>024</w:t>
            </w:r>
          </w:p>
        </w:tc>
        <w:tc>
          <w:tcPr>
            <w:tcW w:w="801" w:type="dxa"/>
            <w:tcBorders>
              <w:top w:val="nil"/>
              <w:left w:val="nil"/>
              <w:bottom w:val="single" w:sz="4" w:space="0" w:color="auto"/>
              <w:right w:val="nil"/>
            </w:tcBorders>
          </w:tcPr>
          <w:p w14:paraId="581B0E36"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Pr>
                <w:rFonts w:eastAsia="Times New Roman" w:cs="Times New Roman"/>
                <w:b/>
                <w:bCs/>
                <w:sz w:val="20"/>
                <w:szCs w:val="20"/>
                <w:lang w:eastAsia="en-GB"/>
              </w:rPr>
              <w:t>.</w:t>
            </w:r>
            <w:r w:rsidRPr="0049704A">
              <w:rPr>
                <w:rFonts w:eastAsia="Times New Roman" w:cs="Times New Roman"/>
                <w:b/>
                <w:bCs/>
                <w:sz w:val="20"/>
                <w:szCs w:val="20"/>
                <w:lang w:eastAsia="en-GB"/>
              </w:rPr>
              <w:t>045</w:t>
            </w:r>
          </w:p>
        </w:tc>
        <w:tc>
          <w:tcPr>
            <w:tcW w:w="801" w:type="dxa"/>
            <w:tcBorders>
              <w:top w:val="nil"/>
              <w:left w:val="nil"/>
              <w:bottom w:val="single" w:sz="4" w:space="0" w:color="auto"/>
              <w:right w:val="nil"/>
            </w:tcBorders>
          </w:tcPr>
          <w:p w14:paraId="20FD0822"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Pr>
                <w:rFonts w:eastAsia="Times New Roman" w:cs="Times New Roman"/>
                <w:b/>
                <w:bCs/>
                <w:sz w:val="20"/>
                <w:szCs w:val="20"/>
                <w:lang w:eastAsia="en-GB"/>
              </w:rPr>
              <w:t>.</w:t>
            </w:r>
            <w:r w:rsidRPr="0049704A">
              <w:rPr>
                <w:rFonts w:eastAsia="Times New Roman" w:cs="Times New Roman"/>
                <w:b/>
                <w:bCs/>
                <w:sz w:val="20"/>
                <w:szCs w:val="20"/>
                <w:lang w:eastAsia="en-GB"/>
              </w:rPr>
              <w:t>017</w:t>
            </w:r>
          </w:p>
        </w:tc>
        <w:tc>
          <w:tcPr>
            <w:tcW w:w="801" w:type="dxa"/>
            <w:tcBorders>
              <w:top w:val="nil"/>
              <w:left w:val="nil"/>
              <w:bottom w:val="single" w:sz="4" w:space="0" w:color="auto"/>
              <w:right w:val="nil"/>
            </w:tcBorders>
          </w:tcPr>
          <w:p w14:paraId="262DC404"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Pr>
                <w:rFonts w:eastAsia="Times New Roman" w:cs="Times New Roman"/>
                <w:b/>
                <w:bCs/>
                <w:sz w:val="20"/>
                <w:szCs w:val="20"/>
                <w:lang w:eastAsia="en-GB"/>
              </w:rPr>
              <w:t>.</w:t>
            </w:r>
            <w:r w:rsidRPr="0049704A">
              <w:rPr>
                <w:rFonts w:eastAsia="Times New Roman" w:cs="Times New Roman"/>
                <w:b/>
                <w:bCs/>
                <w:sz w:val="20"/>
                <w:szCs w:val="20"/>
                <w:lang w:eastAsia="en-GB"/>
              </w:rPr>
              <w:t>090</w:t>
            </w:r>
          </w:p>
        </w:tc>
        <w:tc>
          <w:tcPr>
            <w:tcW w:w="801" w:type="dxa"/>
            <w:tcBorders>
              <w:top w:val="nil"/>
              <w:left w:val="nil"/>
              <w:bottom w:val="single" w:sz="4" w:space="0" w:color="auto"/>
              <w:right w:val="nil"/>
            </w:tcBorders>
          </w:tcPr>
          <w:p w14:paraId="44C581C1"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sidRPr="0049704A">
              <w:rPr>
                <w:rFonts w:eastAsia="Times New Roman" w:cs="Times New Roman"/>
                <w:b/>
                <w:bCs/>
                <w:sz w:val="20"/>
                <w:szCs w:val="20"/>
                <w:lang w:eastAsia="en-GB"/>
              </w:rPr>
              <w:t>-</w:t>
            </w:r>
            <w:r>
              <w:rPr>
                <w:rFonts w:eastAsia="Times New Roman" w:cs="Times New Roman"/>
                <w:b/>
                <w:bCs/>
                <w:sz w:val="20"/>
                <w:szCs w:val="20"/>
                <w:lang w:eastAsia="en-GB"/>
              </w:rPr>
              <w:t>.</w:t>
            </w:r>
            <w:r w:rsidRPr="0049704A">
              <w:rPr>
                <w:rFonts w:eastAsia="Times New Roman" w:cs="Times New Roman"/>
                <w:b/>
                <w:bCs/>
                <w:sz w:val="20"/>
                <w:szCs w:val="20"/>
                <w:lang w:eastAsia="en-GB"/>
              </w:rPr>
              <w:t>021</w:t>
            </w:r>
          </w:p>
        </w:tc>
        <w:tc>
          <w:tcPr>
            <w:tcW w:w="801" w:type="dxa"/>
            <w:tcBorders>
              <w:top w:val="nil"/>
              <w:left w:val="nil"/>
              <w:bottom w:val="single" w:sz="4" w:space="0" w:color="auto"/>
              <w:right w:val="nil"/>
            </w:tcBorders>
          </w:tcPr>
          <w:p w14:paraId="680F9AB5"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Pr>
                <w:rFonts w:eastAsia="Times New Roman" w:cs="Times New Roman"/>
                <w:b/>
                <w:bCs/>
                <w:sz w:val="20"/>
                <w:szCs w:val="20"/>
                <w:lang w:eastAsia="en-GB"/>
              </w:rPr>
              <w:t>.</w:t>
            </w:r>
            <w:r w:rsidRPr="0049704A">
              <w:rPr>
                <w:rFonts w:eastAsia="Times New Roman" w:cs="Times New Roman"/>
                <w:b/>
                <w:bCs/>
                <w:sz w:val="20"/>
                <w:szCs w:val="20"/>
                <w:lang w:eastAsia="en-GB"/>
              </w:rPr>
              <w:t>071</w:t>
            </w:r>
          </w:p>
        </w:tc>
        <w:tc>
          <w:tcPr>
            <w:tcW w:w="801" w:type="dxa"/>
            <w:tcBorders>
              <w:top w:val="nil"/>
              <w:left w:val="nil"/>
              <w:bottom w:val="single" w:sz="4" w:space="0" w:color="auto"/>
              <w:right w:val="nil"/>
            </w:tcBorders>
          </w:tcPr>
          <w:p w14:paraId="39AF0A8A"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Pr>
                <w:rFonts w:eastAsia="Times New Roman" w:cs="Times New Roman"/>
                <w:b/>
                <w:bCs/>
                <w:sz w:val="20"/>
                <w:szCs w:val="20"/>
                <w:lang w:eastAsia="en-GB"/>
              </w:rPr>
              <w:t>.</w:t>
            </w:r>
            <w:r w:rsidRPr="0049704A">
              <w:rPr>
                <w:rFonts w:eastAsia="Times New Roman" w:cs="Times New Roman"/>
                <w:b/>
                <w:bCs/>
                <w:sz w:val="20"/>
                <w:szCs w:val="20"/>
                <w:lang w:eastAsia="en-GB"/>
              </w:rPr>
              <w:t>066</w:t>
            </w:r>
          </w:p>
        </w:tc>
        <w:tc>
          <w:tcPr>
            <w:tcW w:w="801" w:type="dxa"/>
            <w:tcBorders>
              <w:top w:val="nil"/>
              <w:left w:val="nil"/>
              <w:bottom w:val="single" w:sz="4" w:space="0" w:color="auto"/>
              <w:right w:val="nil"/>
            </w:tcBorders>
          </w:tcPr>
          <w:p w14:paraId="0B34227C"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b/>
                <w:bCs/>
                <w:sz w:val="20"/>
                <w:szCs w:val="20"/>
                <w:lang w:eastAsia="en-GB"/>
              </w:rPr>
            </w:pPr>
            <w:r>
              <w:rPr>
                <w:rFonts w:eastAsia="Times New Roman" w:cs="Times New Roman"/>
                <w:b/>
                <w:bCs/>
                <w:sz w:val="20"/>
                <w:szCs w:val="20"/>
                <w:lang w:eastAsia="en-GB"/>
              </w:rPr>
              <w:t>.</w:t>
            </w:r>
            <w:r w:rsidRPr="0049704A">
              <w:rPr>
                <w:rFonts w:eastAsia="Times New Roman" w:cs="Times New Roman"/>
                <w:b/>
                <w:bCs/>
                <w:sz w:val="20"/>
                <w:szCs w:val="20"/>
                <w:lang w:eastAsia="en-GB"/>
              </w:rPr>
              <w:t>040</w:t>
            </w:r>
          </w:p>
        </w:tc>
        <w:tc>
          <w:tcPr>
            <w:tcW w:w="801" w:type="dxa"/>
            <w:tcBorders>
              <w:top w:val="nil"/>
              <w:left w:val="nil"/>
              <w:bottom w:val="single" w:sz="4" w:space="0" w:color="auto"/>
              <w:right w:val="nil"/>
            </w:tcBorders>
          </w:tcPr>
          <w:p w14:paraId="6A1B940F" w14:textId="77777777" w:rsidR="00C77830" w:rsidRPr="0049704A" w:rsidRDefault="00C77830" w:rsidP="00C3611B">
            <w:pPr>
              <w:widowControl w:val="0"/>
              <w:autoSpaceDE w:val="0"/>
              <w:autoSpaceDN w:val="0"/>
              <w:adjustRightInd w:val="0"/>
              <w:spacing w:line="240" w:lineRule="auto"/>
              <w:ind w:firstLine="0"/>
              <w:jc w:val="center"/>
              <w:rPr>
                <w:rFonts w:eastAsia="Times New Roman" w:cs="Times New Roman"/>
                <w:sz w:val="20"/>
                <w:szCs w:val="20"/>
                <w:lang w:eastAsia="en-GB"/>
              </w:rPr>
            </w:pPr>
            <w:r w:rsidRPr="0049704A">
              <w:rPr>
                <w:rFonts w:eastAsia="Times New Roman" w:cs="Times New Roman"/>
                <w:sz w:val="20"/>
                <w:szCs w:val="20"/>
                <w:lang w:eastAsia="en-GB"/>
              </w:rPr>
              <w:t>1.000</w:t>
            </w:r>
          </w:p>
        </w:tc>
      </w:tr>
    </w:tbl>
    <w:p w14:paraId="15CFBE6E" w14:textId="77777777" w:rsidR="00C77830" w:rsidRDefault="00C77830" w:rsidP="00C77830">
      <w:pPr>
        <w:ind w:firstLine="0"/>
      </w:pPr>
    </w:p>
    <w:p w14:paraId="5DC941B9" w14:textId="77777777" w:rsidR="00C77830" w:rsidRDefault="00C77830" w:rsidP="00C77830">
      <w:pPr>
        <w:ind w:firstLine="0"/>
      </w:pPr>
    </w:p>
    <w:p w14:paraId="0CEB4627" w14:textId="77777777" w:rsidR="00C77830" w:rsidRDefault="00C77830" w:rsidP="00C77830">
      <w:pPr>
        <w:spacing w:after="160" w:line="259" w:lineRule="auto"/>
        <w:ind w:firstLine="0"/>
      </w:pPr>
      <w:r>
        <w:br w:type="page"/>
      </w:r>
    </w:p>
    <w:p w14:paraId="38EF07E1" w14:textId="1AF9EE65" w:rsidR="00C77830" w:rsidRPr="009232AD" w:rsidRDefault="00C77830" w:rsidP="00C77830">
      <w:pPr>
        <w:pStyle w:val="Heading2"/>
      </w:pPr>
      <w:r w:rsidRPr="009232AD">
        <w:lastRenderedPageBreak/>
        <w:t xml:space="preserve">Table 2: The Association Between ESG Wellbeing Disclosures and </w:t>
      </w:r>
      <w:r w:rsidR="004848DD">
        <w:t>Organisation</w:t>
      </w:r>
      <w:r w:rsidR="005C20C2">
        <w:t>s</w:t>
      </w:r>
      <w:r w:rsidR="005C20C2">
        <w:rPr>
          <w:rFonts w:eastAsia="Times New Roman" w:cs="Times New Roman"/>
          <w:sz w:val="20"/>
          <w:szCs w:val="20"/>
        </w:rPr>
        <w:t xml:space="preserve">’ </w:t>
      </w:r>
      <w:r w:rsidRPr="009232AD">
        <w:t>Rating in Glassdoor</w:t>
      </w:r>
    </w:p>
    <w:tbl>
      <w:tblPr>
        <w:tblStyle w:val="TableGrid"/>
        <w:tblW w:w="0" w:type="auto"/>
        <w:jc w:val="center"/>
        <w:tblBorders>
          <w:top w:val="single" w:sz="0" w:space="0" w:color="000000"/>
          <w:left w:val="nil"/>
          <w:bottom w:val="nil"/>
          <w:right w:val="nil"/>
          <w:insideH w:val="nil"/>
          <w:insideV w:val="nil"/>
        </w:tblBorders>
        <w:tblLook w:val="04A0" w:firstRow="1" w:lastRow="0" w:firstColumn="1" w:lastColumn="0" w:noHBand="0" w:noVBand="1"/>
      </w:tblPr>
      <w:tblGrid>
        <w:gridCol w:w="1954"/>
        <w:gridCol w:w="1573"/>
        <w:gridCol w:w="1428"/>
        <w:gridCol w:w="1792"/>
        <w:gridCol w:w="2002"/>
        <w:gridCol w:w="2323"/>
        <w:gridCol w:w="2104"/>
      </w:tblGrid>
      <w:tr w:rsidR="00C77830" w:rsidRPr="00C77830" w14:paraId="39488AEF" w14:textId="77777777" w:rsidTr="00C3611B">
        <w:trPr>
          <w:jc w:val="center"/>
        </w:trPr>
        <w:tc>
          <w:tcPr>
            <w:tcW w:w="1954" w:type="dxa"/>
          </w:tcPr>
          <w:p w14:paraId="450E280B" w14:textId="77777777" w:rsidR="00C77830" w:rsidRPr="00C77830" w:rsidRDefault="00C77830" w:rsidP="00C3611B">
            <w:pPr>
              <w:pStyle w:val="NoSpacing"/>
              <w:ind w:firstLine="0"/>
              <w:rPr>
                <w:sz w:val="20"/>
                <w:szCs w:val="18"/>
                <w:lang w:val="en-GB"/>
              </w:rPr>
            </w:pPr>
          </w:p>
        </w:tc>
        <w:tc>
          <w:tcPr>
            <w:tcW w:w="1573" w:type="dxa"/>
          </w:tcPr>
          <w:p w14:paraId="4B22F7A6" w14:textId="77777777" w:rsidR="00C77830" w:rsidRPr="00C77830" w:rsidRDefault="00C77830" w:rsidP="00C77830">
            <w:pPr>
              <w:pStyle w:val="NoSpacing"/>
              <w:ind w:firstLine="0"/>
              <w:jc w:val="center"/>
              <w:rPr>
                <w:sz w:val="20"/>
                <w:szCs w:val="18"/>
                <w:lang w:val="en-GB"/>
              </w:rPr>
            </w:pPr>
            <w:r w:rsidRPr="00C77830">
              <w:rPr>
                <w:sz w:val="20"/>
                <w:szCs w:val="18"/>
                <w:lang w:val="en-GB"/>
              </w:rPr>
              <w:t>(1)</w:t>
            </w:r>
          </w:p>
        </w:tc>
        <w:tc>
          <w:tcPr>
            <w:tcW w:w="1428" w:type="dxa"/>
          </w:tcPr>
          <w:p w14:paraId="17838A5A" w14:textId="77777777" w:rsidR="00C77830" w:rsidRPr="00C77830" w:rsidRDefault="00C77830" w:rsidP="00C77830">
            <w:pPr>
              <w:pStyle w:val="NoSpacing"/>
              <w:ind w:firstLine="0"/>
              <w:jc w:val="center"/>
              <w:rPr>
                <w:sz w:val="20"/>
                <w:szCs w:val="18"/>
                <w:lang w:val="en-GB"/>
              </w:rPr>
            </w:pPr>
            <w:r w:rsidRPr="00C77830">
              <w:rPr>
                <w:sz w:val="20"/>
                <w:szCs w:val="18"/>
                <w:lang w:val="en-GB"/>
              </w:rPr>
              <w:t>(2)</w:t>
            </w:r>
          </w:p>
        </w:tc>
        <w:tc>
          <w:tcPr>
            <w:tcW w:w="1792" w:type="dxa"/>
          </w:tcPr>
          <w:p w14:paraId="2C5F5984" w14:textId="77777777" w:rsidR="00C77830" w:rsidRPr="00C77830" w:rsidRDefault="00C77830" w:rsidP="00C77830">
            <w:pPr>
              <w:pStyle w:val="NoSpacing"/>
              <w:ind w:firstLine="0"/>
              <w:jc w:val="center"/>
              <w:rPr>
                <w:sz w:val="20"/>
                <w:szCs w:val="18"/>
                <w:lang w:val="en-GB"/>
              </w:rPr>
            </w:pPr>
            <w:r w:rsidRPr="00C77830">
              <w:rPr>
                <w:sz w:val="20"/>
                <w:szCs w:val="18"/>
                <w:lang w:val="en-GB"/>
              </w:rPr>
              <w:t>(3)</w:t>
            </w:r>
          </w:p>
        </w:tc>
        <w:tc>
          <w:tcPr>
            <w:tcW w:w="2002" w:type="dxa"/>
          </w:tcPr>
          <w:p w14:paraId="60F9E6FB" w14:textId="77777777" w:rsidR="00C77830" w:rsidRPr="00C77830" w:rsidRDefault="00C77830" w:rsidP="00C77830">
            <w:pPr>
              <w:pStyle w:val="NoSpacing"/>
              <w:ind w:firstLine="0"/>
              <w:jc w:val="center"/>
              <w:rPr>
                <w:sz w:val="20"/>
                <w:szCs w:val="18"/>
                <w:lang w:val="en-GB"/>
              </w:rPr>
            </w:pPr>
            <w:r w:rsidRPr="00C77830">
              <w:rPr>
                <w:sz w:val="20"/>
                <w:szCs w:val="18"/>
                <w:lang w:val="en-GB"/>
              </w:rPr>
              <w:t>(4)</w:t>
            </w:r>
          </w:p>
        </w:tc>
        <w:tc>
          <w:tcPr>
            <w:tcW w:w="2323" w:type="dxa"/>
          </w:tcPr>
          <w:p w14:paraId="6E1F16B4" w14:textId="77777777" w:rsidR="00C77830" w:rsidRPr="00C77830" w:rsidRDefault="00C77830" w:rsidP="00C77830">
            <w:pPr>
              <w:pStyle w:val="NoSpacing"/>
              <w:ind w:firstLine="0"/>
              <w:jc w:val="center"/>
              <w:rPr>
                <w:sz w:val="20"/>
                <w:szCs w:val="18"/>
                <w:lang w:val="en-GB"/>
              </w:rPr>
            </w:pPr>
            <w:r w:rsidRPr="00C77830">
              <w:rPr>
                <w:sz w:val="20"/>
                <w:szCs w:val="18"/>
                <w:lang w:val="en-GB"/>
              </w:rPr>
              <w:t>(5)</w:t>
            </w:r>
          </w:p>
        </w:tc>
        <w:tc>
          <w:tcPr>
            <w:tcW w:w="2104" w:type="dxa"/>
          </w:tcPr>
          <w:p w14:paraId="39B6EA55" w14:textId="77777777" w:rsidR="00C77830" w:rsidRPr="00C77830" w:rsidRDefault="00C77830" w:rsidP="00C77830">
            <w:pPr>
              <w:pStyle w:val="NoSpacing"/>
              <w:ind w:firstLine="0"/>
              <w:jc w:val="center"/>
              <w:rPr>
                <w:sz w:val="20"/>
                <w:szCs w:val="18"/>
                <w:lang w:val="en-GB"/>
              </w:rPr>
            </w:pPr>
            <w:r w:rsidRPr="00C77830">
              <w:rPr>
                <w:sz w:val="20"/>
                <w:szCs w:val="18"/>
                <w:lang w:val="en-GB"/>
              </w:rPr>
              <w:t>(6)</w:t>
            </w:r>
          </w:p>
        </w:tc>
      </w:tr>
      <w:tr w:rsidR="00C77830" w:rsidRPr="00C77830" w14:paraId="12C0E558" w14:textId="77777777" w:rsidTr="00C3611B">
        <w:trPr>
          <w:jc w:val="center"/>
        </w:trPr>
        <w:tc>
          <w:tcPr>
            <w:tcW w:w="1954" w:type="dxa"/>
            <w:tcBorders>
              <w:bottom w:val="single" w:sz="0" w:space="0" w:color="000000"/>
            </w:tcBorders>
          </w:tcPr>
          <w:p w14:paraId="2F06B450" w14:textId="77777777" w:rsidR="00C77830" w:rsidRPr="00C77830" w:rsidRDefault="00C77830" w:rsidP="00C3611B">
            <w:pPr>
              <w:pStyle w:val="NoSpacing"/>
              <w:ind w:firstLine="0"/>
              <w:rPr>
                <w:sz w:val="20"/>
                <w:szCs w:val="18"/>
                <w:lang w:val="en-GB"/>
              </w:rPr>
            </w:pPr>
          </w:p>
        </w:tc>
        <w:tc>
          <w:tcPr>
            <w:tcW w:w="1573" w:type="dxa"/>
            <w:tcBorders>
              <w:bottom w:val="single" w:sz="0" w:space="0" w:color="000000"/>
            </w:tcBorders>
          </w:tcPr>
          <w:p w14:paraId="2F403176" w14:textId="77777777" w:rsidR="00C77830" w:rsidRPr="00C77830" w:rsidRDefault="00C77830" w:rsidP="00C77830">
            <w:pPr>
              <w:pStyle w:val="NoSpacing"/>
              <w:ind w:firstLine="0"/>
              <w:jc w:val="center"/>
              <w:rPr>
                <w:sz w:val="20"/>
                <w:szCs w:val="18"/>
                <w:lang w:val="en-GB"/>
              </w:rPr>
            </w:pPr>
            <w:proofErr w:type="spellStart"/>
            <w:r w:rsidRPr="00C77830">
              <w:rPr>
                <w:sz w:val="20"/>
                <w:szCs w:val="18"/>
                <w:lang w:val="en-GB"/>
              </w:rPr>
              <w:t>Overall_Rating</w:t>
            </w:r>
            <w:proofErr w:type="spellEnd"/>
          </w:p>
        </w:tc>
        <w:tc>
          <w:tcPr>
            <w:tcW w:w="1428" w:type="dxa"/>
            <w:tcBorders>
              <w:bottom w:val="single" w:sz="0" w:space="0" w:color="000000"/>
            </w:tcBorders>
          </w:tcPr>
          <w:p w14:paraId="4CB651E2" w14:textId="77777777" w:rsidR="00C77830" w:rsidRPr="00C77830" w:rsidRDefault="00C77830" w:rsidP="00C77830">
            <w:pPr>
              <w:pStyle w:val="NoSpacing"/>
              <w:ind w:firstLine="0"/>
              <w:jc w:val="center"/>
              <w:rPr>
                <w:sz w:val="20"/>
                <w:szCs w:val="18"/>
                <w:lang w:val="en-GB"/>
              </w:rPr>
            </w:pPr>
            <w:proofErr w:type="spellStart"/>
            <w:r w:rsidRPr="00C77830">
              <w:rPr>
                <w:sz w:val="20"/>
                <w:szCs w:val="18"/>
                <w:lang w:val="en-GB"/>
              </w:rPr>
              <w:t>CultureValue</w:t>
            </w:r>
            <w:proofErr w:type="spellEnd"/>
          </w:p>
        </w:tc>
        <w:tc>
          <w:tcPr>
            <w:tcW w:w="1792" w:type="dxa"/>
            <w:tcBorders>
              <w:bottom w:val="single" w:sz="0" w:space="0" w:color="000000"/>
            </w:tcBorders>
          </w:tcPr>
          <w:p w14:paraId="09703906" w14:textId="77777777" w:rsidR="00C77830" w:rsidRPr="00C77830" w:rsidRDefault="00C77830" w:rsidP="00C77830">
            <w:pPr>
              <w:pStyle w:val="NoSpacing"/>
              <w:ind w:firstLine="0"/>
              <w:jc w:val="center"/>
              <w:rPr>
                <w:sz w:val="20"/>
                <w:szCs w:val="18"/>
                <w:lang w:val="en-GB"/>
              </w:rPr>
            </w:pPr>
            <w:proofErr w:type="spellStart"/>
            <w:r w:rsidRPr="00C77830">
              <w:rPr>
                <w:sz w:val="20"/>
                <w:szCs w:val="18"/>
                <w:lang w:val="en-GB"/>
              </w:rPr>
              <w:t>WorkLifeBalance</w:t>
            </w:r>
            <w:proofErr w:type="spellEnd"/>
          </w:p>
        </w:tc>
        <w:tc>
          <w:tcPr>
            <w:tcW w:w="2002" w:type="dxa"/>
            <w:tcBorders>
              <w:bottom w:val="single" w:sz="0" w:space="0" w:color="000000"/>
            </w:tcBorders>
          </w:tcPr>
          <w:p w14:paraId="31486091" w14:textId="77777777" w:rsidR="00C77830" w:rsidRPr="00C77830" w:rsidRDefault="00C77830" w:rsidP="00C77830">
            <w:pPr>
              <w:pStyle w:val="NoSpacing"/>
              <w:ind w:firstLine="0"/>
              <w:jc w:val="center"/>
              <w:rPr>
                <w:sz w:val="20"/>
                <w:szCs w:val="18"/>
                <w:lang w:val="en-GB"/>
              </w:rPr>
            </w:pPr>
            <w:proofErr w:type="spellStart"/>
            <w:r w:rsidRPr="00C77830">
              <w:rPr>
                <w:sz w:val="20"/>
                <w:szCs w:val="18"/>
                <w:lang w:val="en-GB"/>
              </w:rPr>
              <w:t>SeniorManagement</w:t>
            </w:r>
            <w:proofErr w:type="spellEnd"/>
          </w:p>
        </w:tc>
        <w:tc>
          <w:tcPr>
            <w:tcW w:w="2323" w:type="dxa"/>
            <w:tcBorders>
              <w:bottom w:val="single" w:sz="0" w:space="0" w:color="000000"/>
            </w:tcBorders>
          </w:tcPr>
          <w:p w14:paraId="40AD55CB" w14:textId="77777777" w:rsidR="00C77830" w:rsidRPr="00C77830" w:rsidRDefault="00C77830" w:rsidP="00C77830">
            <w:pPr>
              <w:pStyle w:val="NoSpacing"/>
              <w:ind w:firstLine="0"/>
              <w:jc w:val="center"/>
              <w:rPr>
                <w:sz w:val="20"/>
                <w:szCs w:val="18"/>
                <w:lang w:val="en-GB"/>
              </w:rPr>
            </w:pPr>
            <w:proofErr w:type="spellStart"/>
            <w:r w:rsidRPr="00C77830">
              <w:rPr>
                <w:sz w:val="20"/>
                <w:szCs w:val="18"/>
                <w:lang w:val="en-GB"/>
              </w:rPr>
              <w:t>CompensationBenefits</w:t>
            </w:r>
            <w:proofErr w:type="spellEnd"/>
          </w:p>
        </w:tc>
        <w:tc>
          <w:tcPr>
            <w:tcW w:w="2104" w:type="dxa"/>
            <w:tcBorders>
              <w:bottom w:val="single" w:sz="0" w:space="0" w:color="000000"/>
            </w:tcBorders>
          </w:tcPr>
          <w:p w14:paraId="54C132A6" w14:textId="77777777" w:rsidR="00C77830" w:rsidRPr="00C77830" w:rsidRDefault="00C77830" w:rsidP="00C77830">
            <w:pPr>
              <w:pStyle w:val="NoSpacing"/>
              <w:ind w:firstLine="0"/>
              <w:jc w:val="center"/>
              <w:rPr>
                <w:sz w:val="20"/>
                <w:szCs w:val="18"/>
                <w:lang w:val="en-GB"/>
              </w:rPr>
            </w:pPr>
            <w:proofErr w:type="spellStart"/>
            <w:r w:rsidRPr="00C77830">
              <w:rPr>
                <w:sz w:val="20"/>
                <w:szCs w:val="18"/>
                <w:lang w:val="en-GB"/>
              </w:rPr>
              <w:t>CareerOpportunities</w:t>
            </w:r>
            <w:proofErr w:type="spellEnd"/>
          </w:p>
        </w:tc>
      </w:tr>
      <w:tr w:rsidR="00C77830" w:rsidRPr="00C77830" w14:paraId="4B84D475" w14:textId="77777777" w:rsidTr="00C3611B">
        <w:trPr>
          <w:jc w:val="center"/>
        </w:trPr>
        <w:tc>
          <w:tcPr>
            <w:tcW w:w="1954" w:type="dxa"/>
            <w:tcBorders>
              <w:top w:val="single" w:sz="0" w:space="0" w:color="000000"/>
            </w:tcBorders>
          </w:tcPr>
          <w:p w14:paraId="0D2B2F0C" w14:textId="77777777" w:rsidR="00C77830" w:rsidRPr="00C77830" w:rsidRDefault="00C77830" w:rsidP="00C3611B">
            <w:pPr>
              <w:pStyle w:val="NoSpacing"/>
              <w:ind w:firstLine="0"/>
              <w:rPr>
                <w:sz w:val="20"/>
                <w:szCs w:val="18"/>
                <w:lang w:val="en-GB"/>
              </w:rPr>
            </w:pPr>
            <w:r w:rsidRPr="00C77830">
              <w:rPr>
                <w:sz w:val="20"/>
                <w:szCs w:val="18"/>
                <w:lang w:val="en-GB"/>
              </w:rPr>
              <w:t>DEI_ESG</w:t>
            </w:r>
          </w:p>
        </w:tc>
        <w:tc>
          <w:tcPr>
            <w:tcW w:w="1573" w:type="dxa"/>
            <w:tcBorders>
              <w:top w:val="single" w:sz="0" w:space="0" w:color="000000"/>
            </w:tcBorders>
          </w:tcPr>
          <w:p w14:paraId="4CB89D2D" w14:textId="77777777" w:rsidR="00C77830" w:rsidRPr="00C77830" w:rsidRDefault="00C77830" w:rsidP="00C77830">
            <w:pPr>
              <w:pStyle w:val="NoSpacing"/>
              <w:ind w:firstLine="0"/>
              <w:jc w:val="center"/>
              <w:rPr>
                <w:sz w:val="20"/>
                <w:szCs w:val="18"/>
                <w:lang w:val="en-GB"/>
              </w:rPr>
            </w:pPr>
            <w:r w:rsidRPr="00C77830">
              <w:rPr>
                <w:sz w:val="20"/>
                <w:szCs w:val="18"/>
                <w:lang w:val="en-GB"/>
              </w:rPr>
              <w:t>-0.008***</w:t>
            </w:r>
          </w:p>
        </w:tc>
        <w:tc>
          <w:tcPr>
            <w:tcW w:w="1428" w:type="dxa"/>
            <w:tcBorders>
              <w:top w:val="single" w:sz="0" w:space="0" w:color="000000"/>
            </w:tcBorders>
          </w:tcPr>
          <w:p w14:paraId="61729B91" w14:textId="77777777" w:rsidR="00C77830" w:rsidRPr="00C77830" w:rsidRDefault="00C77830" w:rsidP="00C77830">
            <w:pPr>
              <w:pStyle w:val="NoSpacing"/>
              <w:ind w:firstLine="0"/>
              <w:jc w:val="center"/>
              <w:rPr>
                <w:sz w:val="20"/>
                <w:szCs w:val="18"/>
                <w:lang w:val="en-GB"/>
              </w:rPr>
            </w:pPr>
            <w:r w:rsidRPr="00C77830">
              <w:rPr>
                <w:sz w:val="20"/>
                <w:szCs w:val="18"/>
                <w:lang w:val="en-GB"/>
              </w:rPr>
              <w:t>-0.009***</w:t>
            </w:r>
          </w:p>
        </w:tc>
        <w:tc>
          <w:tcPr>
            <w:tcW w:w="1792" w:type="dxa"/>
            <w:tcBorders>
              <w:top w:val="single" w:sz="0" w:space="0" w:color="000000"/>
            </w:tcBorders>
          </w:tcPr>
          <w:p w14:paraId="04C6E9D0" w14:textId="77777777" w:rsidR="00C77830" w:rsidRPr="00C77830" w:rsidRDefault="00C77830" w:rsidP="00C77830">
            <w:pPr>
              <w:pStyle w:val="NoSpacing"/>
              <w:ind w:firstLine="0"/>
              <w:jc w:val="center"/>
              <w:rPr>
                <w:sz w:val="20"/>
                <w:szCs w:val="18"/>
                <w:lang w:val="en-GB"/>
              </w:rPr>
            </w:pPr>
            <w:r w:rsidRPr="00C77830">
              <w:rPr>
                <w:sz w:val="20"/>
                <w:szCs w:val="18"/>
                <w:lang w:val="en-GB"/>
              </w:rPr>
              <w:t>0.001</w:t>
            </w:r>
          </w:p>
        </w:tc>
        <w:tc>
          <w:tcPr>
            <w:tcW w:w="2002" w:type="dxa"/>
            <w:tcBorders>
              <w:top w:val="single" w:sz="0" w:space="0" w:color="000000"/>
            </w:tcBorders>
          </w:tcPr>
          <w:p w14:paraId="5E0485C3" w14:textId="77777777" w:rsidR="00C77830" w:rsidRPr="00C77830" w:rsidRDefault="00C77830" w:rsidP="00C77830">
            <w:pPr>
              <w:pStyle w:val="NoSpacing"/>
              <w:ind w:firstLine="0"/>
              <w:jc w:val="center"/>
              <w:rPr>
                <w:sz w:val="20"/>
                <w:szCs w:val="18"/>
                <w:lang w:val="en-GB"/>
              </w:rPr>
            </w:pPr>
            <w:r w:rsidRPr="00C77830">
              <w:rPr>
                <w:sz w:val="20"/>
                <w:szCs w:val="18"/>
                <w:lang w:val="en-GB"/>
              </w:rPr>
              <w:t>-0.008***</w:t>
            </w:r>
          </w:p>
        </w:tc>
        <w:tc>
          <w:tcPr>
            <w:tcW w:w="2323" w:type="dxa"/>
            <w:tcBorders>
              <w:top w:val="single" w:sz="0" w:space="0" w:color="000000"/>
            </w:tcBorders>
          </w:tcPr>
          <w:p w14:paraId="6E8C6254" w14:textId="77777777" w:rsidR="00C77830" w:rsidRPr="00C77830" w:rsidRDefault="00C77830" w:rsidP="00C77830">
            <w:pPr>
              <w:pStyle w:val="NoSpacing"/>
              <w:ind w:firstLine="0"/>
              <w:jc w:val="center"/>
              <w:rPr>
                <w:sz w:val="20"/>
                <w:szCs w:val="18"/>
                <w:lang w:val="en-GB"/>
              </w:rPr>
            </w:pPr>
            <w:r w:rsidRPr="00C77830">
              <w:rPr>
                <w:sz w:val="20"/>
                <w:szCs w:val="18"/>
                <w:lang w:val="en-GB"/>
              </w:rPr>
              <w:t>0.000</w:t>
            </w:r>
          </w:p>
        </w:tc>
        <w:tc>
          <w:tcPr>
            <w:tcW w:w="2104" w:type="dxa"/>
            <w:tcBorders>
              <w:top w:val="single" w:sz="0" w:space="0" w:color="000000"/>
            </w:tcBorders>
          </w:tcPr>
          <w:p w14:paraId="1AA51E37" w14:textId="77777777" w:rsidR="00C77830" w:rsidRPr="00C77830" w:rsidRDefault="00C77830" w:rsidP="00C77830">
            <w:pPr>
              <w:pStyle w:val="NoSpacing"/>
              <w:ind w:firstLine="0"/>
              <w:jc w:val="center"/>
              <w:rPr>
                <w:sz w:val="20"/>
                <w:szCs w:val="18"/>
                <w:lang w:val="en-GB"/>
              </w:rPr>
            </w:pPr>
            <w:r w:rsidRPr="00C77830">
              <w:rPr>
                <w:sz w:val="20"/>
                <w:szCs w:val="18"/>
                <w:lang w:val="en-GB"/>
              </w:rPr>
              <w:t>-0.006**</w:t>
            </w:r>
          </w:p>
        </w:tc>
      </w:tr>
      <w:tr w:rsidR="00C77830" w:rsidRPr="00C77830" w14:paraId="3B0E436B" w14:textId="77777777" w:rsidTr="00C3611B">
        <w:trPr>
          <w:jc w:val="center"/>
        </w:trPr>
        <w:tc>
          <w:tcPr>
            <w:tcW w:w="1954" w:type="dxa"/>
          </w:tcPr>
          <w:p w14:paraId="41D77A59" w14:textId="77777777" w:rsidR="00C77830" w:rsidRPr="00C77830" w:rsidRDefault="00C77830" w:rsidP="00C3611B">
            <w:pPr>
              <w:pStyle w:val="NoSpacing"/>
              <w:ind w:firstLine="0"/>
              <w:rPr>
                <w:sz w:val="20"/>
                <w:szCs w:val="18"/>
                <w:lang w:val="en-GB"/>
              </w:rPr>
            </w:pPr>
          </w:p>
        </w:tc>
        <w:tc>
          <w:tcPr>
            <w:tcW w:w="1573" w:type="dxa"/>
          </w:tcPr>
          <w:p w14:paraId="027D8D1D" w14:textId="77777777" w:rsidR="00C77830" w:rsidRPr="00C77830" w:rsidRDefault="00C77830" w:rsidP="00C77830">
            <w:pPr>
              <w:pStyle w:val="NoSpacing"/>
              <w:ind w:firstLine="0"/>
              <w:jc w:val="center"/>
              <w:rPr>
                <w:sz w:val="20"/>
                <w:szCs w:val="18"/>
                <w:lang w:val="en-GB"/>
              </w:rPr>
            </w:pPr>
            <w:r w:rsidRPr="00C77830">
              <w:rPr>
                <w:sz w:val="20"/>
                <w:szCs w:val="18"/>
                <w:lang w:val="en-GB"/>
              </w:rPr>
              <w:t>(-3.10)</w:t>
            </w:r>
          </w:p>
        </w:tc>
        <w:tc>
          <w:tcPr>
            <w:tcW w:w="1428" w:type="dxa"/>
          </w:tcPr>
          <w:p w14:paraId="259B50C7" w14:textId="77777777" w:rsidR="00C77830" w:rsidRPr="00C77830" w:rsidRDefault="00C77830" w:rsidP="00C77830">
            <w:pPr>
              <w:pStyle w:val="NoSpacing"/>
              <w:ind w:firstLine="0"/>
              <w:jc w:val="center"/>
              <w:rPr>
                <w:sz w:val="20"/>
                <w:szCs w:val="18"/>
                <w:lang w:val="en-GB"/>
              </w:rPr>
            </w:pPr>
            <w:r w:rsidRPr="00C77830">
              <w:rPr>
                <w:sz w:val="20"/>
                <w:szCs w:val="18"/>
                <w:lang w:val="en-GB"/>
              </w:rPr>
              <w:t>(-3.30)</w:t>
            </w:r>
          </w:p>
        </w:tc>
        <w:tc>
          <w:tcPr>
            <w:tcW w:w="1792" w:type="dxa"/>
          </w:tcPr>
          <w:p w14:paraId="5276A176" w14:textId="77777777" w:rsidR="00C77830" w:rsidRPr="00C77830" w:rsidRDefault="00C77830" w:rsidP="00C77830">
            <w:pPr>
              <w:pStyle w:val="NoSpacing"/>
              <w:ind w:firstLine="0"/>
              <w:jc w:val="center"/>
              <w:rPr>
                <w:sz w:val="20"/>
                <w:szCs w:val="18"/>
                <w:lang w:val="en-GB"/>
              </w:rPr>
            </w:pPr>
            <w:r w:rsidRPr="00C77830">
              <w:rPr>
                <w:sz w:val="20"/>
                <w:szCs w:val="18"/>
                <w:lang w:val="en-GB"/>
              </w:rPr>
              <w:t>(0.42)</w:t>
            </w:r>
          </w:p>
        </w:tc>
        <w:tc>
          <w:tcPr>
            <w:tcW w:w="2002" w:type="dxa"/>
          </w:tcPr>
          <w:p w14:paraId="2C1CFB11" w14:textId="77777777" w:rsidR="00C77830" w:rsidRPr="00C77830" w:rsidRDefault="00C77830" w:rsidP="00C77830">
            <w:pPr>
              <w:pStyle w:val="NoSpacing"/>
              <w:ind w:firstLine="0"/>
              <w:jc w:val="center"/>
              <w:rPr>
                <w:sz w:val="20"/>
                <w:szCs w:val="18"/>
                <w:lang w:val="en-GB"/>
              </w:rPr>
            </w:pPr>
            <w:r w:rsidRPr="00C77830">
              <w:rPr>
                <w:sz w:val="20"/>
                <w:szCs w:val="18"/>
                <w:lang w:val="en-GB"/>
              </w:rPr>
              <w:t>(-3.02)</w:t>
            </w:r>
          </w:p>
        </w:tc>
        <w:tc>
          <w:tcPr>
            <w:tcW w:w="2323" w:type="dxa"/>
          </w:tcPr>
          <w:p w14:paraId="6ED894CA" w14:textId="77777777" w:rsidR="00C77830" w:rsidRPr="00C77830" w:rsidRDefault="00C77830" w:rsidP="00C77830">
            <w:pPr>
              <w:pStyle w:val="NoSpacing"/>
              <w:ind w:firstLine="0"/>
              <w:jc w:val="center"/>
              <w:rPr>
                <w:sz w:val="20"/>
                <w:szCs w:val="18"/>
                <w:lang w:val="en-GB"/>
              </w:rPr>
            </w:pPr>
            <w:r w:rsidRPr="00C77830">
              <w:rPr>
                <w:sz w:val="20"/>
                <w:szCs w:val="18"/>
                <w:lang w:val="en-GB"/>
              </w:rPr>
              <w:t>(0.08)</w:t>
            </w:r>
          </w:p>
        </w:tc>
        <w:tc>
          <w:tcPr>
            <w:tcW w:w="2104" w:type="dxa"/>
          </w:tcPr>
          <w:p w14:paraId="05D0EC84" w14:textId="77777777" w:rsidR="00C77830" w:rsidRPr="00C77830" w:rsidRDefault="00C77830" w:rsidP="00C77830">
            <w:pPr>
              <w:pStyle w:val="NoSpacing"/>
              <w:ind w:firstLine="0"/>
              <w:jc w:val="center"/>
              <w:rPr>
                <w:sz w:val="20"/>
                <w:szCs w:val="18"/>
                <w:lang w:val="en-GB"/>
              </w:rPr>
            </w:pPr>
            <w:r w:rsidRPr="00C77830">
              <w:rPr>
                <w:sz w:val="20"/>
                <w:szCs w:val="18"/>
                <w:lang w:val="en-GB"/>
              </w:rPr>
              <w:t>(-2.29)</w:t>
            </w:r>
          </w:p>
        </w:tc>
      </w:tr>
      <w:tr w:rsidR="00C77830" w:rsidRPr="00C77830" w14:paraId="16DD7B44" w14:textId="77777777" w:rsidTr="00C3611B">
        <w:trPr>
          <w:jc w:val="center"/>
        </w:trPr>
        <w:tc>
          <w:tcPr>
            <w:tcW w:w="1954" w:type="dxa"/>
          </w:tcPr>
          <w:p w14:paraId="2D3D33F1" w14:textId="77777777" w:rsidR="00C77830" w:rsidRPr="00C77830" w:rsidRDefault="00C77830" w:rsidP="00C3611B">
            <w:pPr>
              <w:pStyle w:val="NoSpacing"/>
              <w:ind w:firstLine="0"/>
              <w:rPr>
                <w:sz w:val="20"/>
                <w:szCs w:val="18"/>
                <w:lang w:val="en-GB"/>
              </w:rPr>
            </w:pPr>
            <w:r w:rsidRPr="00C77830">
              <w:rPr>
                <w:sz w:val="20"/>
                <w:szCs w:val="18"/>
                <w:lang w:val="en-GB"/>
              </w:rPr>
              <w:t>HRM_ESG</w:t>
            </w:r>
          </w:p>
        </w:tc>
        <w:tc>
          <w:tcPr>
            <w:tcW w:w="1573" w:type="dxa"/>
          </w:tcPr>
          <w:p w14:paraId="1FFE76C0" w14:textId="77777777" w:rsidR="00C77830" w:rsidRPr="00C77830" w:rsidRDefault="00C77830" w:rsidP="00C77830">
            <w:pPr>
              <w:pStyle w:val="NoSpacing"/>
              <w:ind w:firstLine="0"/>
              <w:jc w:val="center"/>
              <w:rPr>
                <w:sz w:val="20"/>
                <w:szCs w:val="18"/>
                <w:lang w:val="en-GB"/>
              </w:rPr>
            </w:pPr>
            <w:r w:rsidRPr="00C77830">
              <w:rPr>
                <w:sz w:val="20"/>
                <w:szCs w:val="18"/>
                <w:lang w:val="en-GB"/>
              </w:rPr>
              <w:t>0.005*</w:t>
            </w:r>
          </w:p>
        </w:tc>
        <w:tc>
          <w:tcPr>
            <w:tcW w:w="1428" w:type="dxa"/>
          </w:tcPr>
          <w:p w14:paraId="001E6132" w14:textId="77777777" w:rsidR="00C77830" w:rsidRPr="00C77830" w:rsidRDefault="00C77830" w:rsidP="00C77830">
            <w:pPr>
              <w:pStyle w:val="NoSpacing"/>
              <w:ind w:firstLine="0"/>
              <w:jc w:val="center"/>
              <w:rPr>
                <w:sz w:val="20"/>
                <w:szCs w:val="18"/>
                <w:lang w:val="en-GB"/>
              </w:rPr>
            </w:pPr>
            <w:r w:rsidRPr="00C77830">
              <w:rPr>
                <w:sz w:val="20"/>
                <w:szCs w:val="18"/>
                <w:lang w:val="en-GB"/>
              </w:rPr>
              <w:t>0.011***</w:t>
            </w:r>
          </w:p>
        </w:tc>
        <w:tc>
          <w:tcPr>
            <w:tcW w:w="1792" w:type="dxa"/>
          </w:tcPr>
          <w:p w14:paraId="28836C8B" w14:textId="77777777" w:rsidR="00C77830" w:rsidRPr="00C77830" w:rsidRDefault="00C77830" w:rsidP="00C77830">
            <w:pPr>
              <w:pStyle w:val="NoSpacing"/>
              <w:ind w:firstLine="0"/>
              <w:jc w:val="center"/>
              <w:rPr>
                <w:sz w:val="20"/>
                <w:szCs w:val="18"/>
                <w:lang w:val="en-GB"/>
              </w:rPr>
            </w:pPr>
            <w:r w:rsidRPr="00C77830">
              <w:rPr>
                <w:sz w:val="20"/>
                <w:szCs w:val="18"/>
                <w:lang w:val="en-GB"/>
              </w:rPr>
              <w:t>0.005*</w:t>
            </w:r>
          </w:p>
        </w:tc>
        <w:tc>
          <w:tcPr>
            <w:tcW w:w="2002" w:type="dxa"/>
          </w:tcPr>
          <w:p w14:paraId="54E7DEDF" w14:textId="77777777" w:rsidR="00C77830" w:rsidRPr="00C77830" w:rsidRDefault="00C77830" w:rsidP="00C77830">
            <w:pPr>
              <w:pStyle w:val="NoSpacing"/>
              <w:ind w:firstLine="0"/>
              <w:jc w:val="center"/>
              <w:rPr>
                <w:sz w:val="20"/>
                <w:szCs w:val="18"/>
                <w:lang w:val="en-GB"/>
              </w:rPr>
            </w:pPr>
            <w:r w:rsidRPr="00C77830">
              <w:rPr>
                <w:sz w:val="20"/>
                <w:szCs w:val="18"/>
                <w:lang w:val="en-GB"/>
              </w:rPr>
              <w:t>0.009***</w:t>
            </w:r>
          </w:p>
        </w:tc>
        <w:tc>
          <w:tcPr>
            <w:tcW w:w="2323" w:type="dxa"/>
          </w:tcPr>
          <w:p w14:paraId="5E5DF916" w14:textId="77777777" w:rsidR="00C77830" w:rsidRPr="00C77830" w:rsidRDefault="00C77830" w:rsidP="00C77830">
            <w:pPr>
              <w:pStyle w:val="NoSpacing"/>
              <w:ind w:firstLine="0"/>
              <w:jc w:val="center"/>
              <w:rPr>
                <w:sz w:val="20"/>
                <w:szCs w:val="18"/>
                <w:lang w:val="en-GB"/>
              </w:rPr>
            </w:pPr>
            <w:r w:rsidRPr="00C77830">
              <w:rPr>
                <w:sz w:val="20"/>
                <w:szCs w:val="18"/>
                <w:lang w:val="en-GB"/>
              </w:rPr>
              <w:t>0.003</w:t>
            </w:r>
          </w:p>
        </w:tc>
        <w:tc>
          <w:tcPr>
            <w:tcW w:w="2104" w:type="dxa"/>
          </w:tcPr>
          <w:p w14:paraId="5629A64B" w14:textId="77777777" w:rsidR="00C77830" w:rsidRPr="00C77830" w:rsidRDefault="00C77830" w:rsidP="00C77830">
            <w:pPr>
              <w:pStyle w:val="NoSpacing"/>
              <w:ind w:firstLine="0"/>
              <w:jc w:val="center"/>
              <w:rPr>
                <w:sz w:val="20"/>
                <w:szCs w:val="18"/>
                <w:lang w:val="en-GB"/>
              </w:rPr>
            </w:pPr>
            <w:r w:rsidRPr="00C77830">
              <w:rPr>
                <w:sz w:val="20"/>
                <w:szCs w:val="18"/>
                <w:lang w:val="en-GB"/>
              </w:rPr>
              <w:t>0.011***</w:t>
            </w:r>
          </w:p>
        </w:tc>
      </w:tr>
      <w:tr w:rsidR="00C77830" w:rsidRPr="00C77830" w14:paraId="16A19B6C" w14:textId="77777777" w:rsidTr="00C3611B">
        <w:trPr>
          <w:jc w:val="center"/>
        </w:trPr>
        <w:tc>
          <w:tcPr>
            <w:tcW w:w="1954" w:type="dxa"/>
          </w:tcPr>
          <w:p w14:paraId="49CEA862" w14:textId="77777777" w:rsidR="00C77830" w:rsidRPr="00C77830" w:rsidRDefault="00C77830" w:rsidP="00C3611B">
            <w:pPr>
              <w:pStyle w:val="NoSpacing"/>
              <w:ind w:firstLine="0"/>
              <w:rPr>
                <w:sz w:val="20"/>
                <w:szCs w:val="18"/>
                <w:lang w:val="en-GB"/>
              </w:rPr>
            </w:pPr>
          </w:p>
        </w:tc>
        <w:tc>
          <w:tcPr>
            <w:tcW w:w="1573" w:type="dxa"/>
          </w:tcPr>
          <w:p w14:paraId="181E98C9" w14:textId="77777777" w:rsidR="00C77830" w:rsidRPr="00C77830" w:rsidRDefault="00C77830" w:rsidP="00C77830">
            <w:pPr>
              <w:pStyle w:val="NoSpacing"/>
              <w:ind w:firstLine="0"/>
              <w:jc w:val="center"/>
              <w:rPr>
                <w:sz w:val="20"/>
                <w:szCs w:val="18"/>
                <w:lang w:val="en-GB"/>
              </w:rPr>
            </w:pPr>
            <w:r w:rsidRPr="00C77830">
              <w:rPr>
                <w:sz w:val="20"/>
                <w:szCs w:val="18"/>
                <w:lang w:val="en-GB"/>
              </w:rPr>
              <w:t>(1.74)</w:t>
            </w:r>
          </w:p>
        </w:tc>
        <w:tc>
          <w:tcPr>
            <w:tcW w:w="1428" w:type="dxa"/>
          </w:tcPr>
          <w:p w14:paraId="68D8210C" w14:textId="77777777" w:rsidR="00C77830" w:rsidRPr="00C77830" w:rsidRDefault="00C77830" w:rsidP="00C77830">
            <w:pPr>
              <w:pStyle w:val="NoSpacing"/>
              <w:ind w:firstLine="0"/>
              <w:jc w:val="center"/>
              <w:rPr>
                <w:sz w:val="20"/>
                <w:szCs w:val="18"/>
                <w:lang w:val="en-GB"/>
              </w:rPr>
            </w:pPr>
            <w:r w:rsidRPr="00C77830">
              <w:rPr>
                <w:sz w:val="20"/>
                <w:szCs w:val="18"/>
                <w:lang w:val="en-GB"/>
              </w:rPr>
              <w:t>(3.47)</w:t>
            </w:r>
          </w:p>
        </w:tc>
        <w:tc>
          <w:tcPr>
            <w:tcW w:w="1792" w:type="dxa"/>
          </w:tcPr>
          <w:p w14:paraId="4678B4E2" w14:textId="77777777" w:rsidR="00C77830" w:rsidRPr="00C77830" w:rsidRDefault="00C77830" w:rsidP="00C77830">
            <w:pPr>
              <w:pStyle w:val="NoSpacing"/>
              <w:ind w:firstLine="0"/>
              <w:jc w:val="center"/>
              <w:rPr>
                <w:sz w:val="20"/>
                <w:szCs w:val="18"/>
                <w:lang w:val="en-GB"/>
              </w:rPr>
            </w:pPr>
            <w:r w:rsidRPr="00C77830">
              <w:rPr>
                <w:sz w:val="20"/>
                <w:szCs w:val="18"/>
                <w:lang w:val="en-GB"/>
              </w:rPr>
              <w:t>(1.73)</w:t>
            </w:r>
          </w:p>
        </w:tc>
        <w:tc>
          <w:tcPr>
            <w:tcW w:w="2002" w:type="dxa"/>
          </w:tcPr>
          <w:p w14:paraId="1FC00EAE" w14:textId="77777777" w:rsidR="00C77830" w:rsidRPr="00C77830" w:rsidRDefault="00C77830" w:rsidP="00C77830">
            <w:pPr>
              <w:pStyle w:val="NoSpacing"/>
              <w:ind w:firstLine="0"/>
              <w:jc w:val="center"/>
              <w:rPr>
                <w:sz w:val="20"/>
                <w:szCs w:val="18"/>
                <w:lang w:val="en-GB"/>
              </w:rPr>
            </w:pPr>
            <w:r w:rsidRPr="00C77830">
              <w:rPr>
                <w:sz w:val="20"/>
                <w:szCs w:val="18"/>
                <w:lang w:val="en-GB"/>
              </w:rPr>
              <w:t>(2.98)</w:t>
            </w:r>
          </w:p>
        </w:tc>
        <w:tc>
          <w:tcPr>
            <w:tcW w:w="2323" w:type="dxa"/>
          </w:tcPr>
          <w:p w14:paraId="25FFF51D" w14:textId="77777777" w:rsidR="00C77830" w:rsidRPr="00C77830" w:rsidRDefault="00C77830" w:rsidP="00C77830">
            <w:pPr>
              <w:pStyle w:val="NoSpacing"/>
              <w:ind w:firstLine="0"/>
              <w:jc w:val="center"/>
              <w:rPr>
                <w:sz w:val="20"/>
                <w:szCs w:val="18"/>
                <w:lang w:val="en-GB"/>
              </w:rPr>
            </w:pPr>
            <w:r w:rsidRPr="00C77830">
              <w:rPr>
                <w:sz w:val="20"/>
                <w:szCs w:val="18"/>
                <w:lang w:val="en-GB"/>
              </w:rPr>
              <w:t>(0.87)</w:t>
            </w:r>
          </w:p>
        </w:tc>
        <w:tc>
          <w:tcPr>
            <w:tcW w:w="2104" w:type="dxa"/>
          </w:tcPr>
          <w:p w14:paraId="676B3372" w14:textId="77777777" w:rsidR="00C77830" w:rsidRPr="00C77830" w:rsidRDefault="00C77830" w:rsidP="00C77830">
            <w:pPr>
              <w:pStyle w:val="NoSpacing"/>
              <w:ind w:firstLine="0"/>
              <w:jc w:val="center"/>
              <w:rPr>
                <w:sz w:val="20"/>
                <w:szCs w:val="18"/>
                <w:lang w:val="en-GB"/>
              </w:rPr>
            </w:pPr>
            <w:r w:rsidRPr="00C77830">
              <w:rPr>
                <w:sz w:val="20"/>
                <w:szCs w:val="18"/>
                <w:lang w:val="en-GB"/>
              </w:rPr>
              <w:t>(3.39)</w:t>
            </w:r>
          </w:p>
        </w:tc>
      </w:tr>
      <w:tr w:rsidR="00C77830" w:rsidRPr="00C77830" w14:paraId="14F33707" w14:textId="77777777" w:rsidTr="00C3611B">
        <w:trPr>
          <w:jc w:val="center"/>
        </w:trPr>
        <w:tc>
          <w:tcPr>
            <w:tcW w:w="1954" w:type="dxa"/>
          </w:tcPr>
          <w:p w14:paraId="50D42D24" w14:textId="77777777" w:rsidR="00C77830" w:rsidRPr="00C77830" w:rsidRDefault="00C77830" w:rsidP="00C3611B">
            <w:pPr>
              <w:pStyle w:val="NoSpacing"/>
              <w:ind w:firstLine="0"/>
              <w:rPr>
                <w:sz w:val="20"/>
                <w:szCs w:val="18"/>
                <w:lang w:val="en-GB"/>
              </w:rPr>
            </w:pPr>
            <w:proofErr w:type="spellStart"/>
            <w:r w:rsidRPr="00C77830">
              <w:rPr>
                <w:sz w:val="20"/>
                <w:szCs w:val="18"/>
                <w:lang w:val="en-GB"/>
              </w:rPr>
              <w:t>MentalHealth_ESG</w:t>
            </w:r>
            <w:proofErr w:type="spellEnd"/>
          </w:p>
        </w:tc>
        <w:tc>
          <w:tcPr>
            <w:tcW w:w="1573" w:type="dxa"/>
          </w:tcPr>
          <w:p w14:paraId="76D48CAD" w14:textId="77777777" w:rsidR="00C77830" w:rsidRPr="00C77830" w:rsidRDefault="00C77830" w:rsidP="00C77830">
            <w:pPr>
              <w:pStyle w:val="NoSpacing"/>
              <w:ind w:firstLine="0"/>
              <w:jc w:val="center"/>
              <w:rPr>
                <w:sz w:val="20"/>
                <w:szCs w:val="18"/>
                <w:lang w:val="en-GB"/>
              </w:rPr>
            </w:pPr>
            <w:r w:rsidRPr="00C77830">
              <w:rPr>
                <w:sz w:val="20"/>
                <w:szCs w:val="18"/>
                <w:lang w:val="en-GB"/>
              </w:rPr>
              <w:t>0.001</w:t>
            </w:r>
          </w:p>
        </w:tc>
        <w:tc>
          <w:tcPr>
            <w:tcW w:w="1428" w:type="dxa"/>
          </w:tcPr>
          <w:p w14:paraId="5325B771" w14:textId="77777777" w:rsidR="00C77830" w:rsidRPr="00C77830" w:rsidRDefault="00C77830" w:rsidP="00C77830">
            <w:pPr>
              <w:pStyle w:val="NoSpacing"/>
              <w:ind w:firstLine="0"/>
              <w:jc w:val="center"/>
              <w:rPr>
                <w:sz w:val="20"/>
                <w:szCs w:val="18"/>
                <w:lang w:val="en-GB"/>
              </w:rPr>
            </w:pPr>
            <w:r w:rsidRPr="00C77830">
              <w:rPr>
                <w:sz w:val="20"/>
                <w:szCs w:val="18"/>
                <w:lang w:val="en-GB"/>
              </w:rPr>
              <w:t>-0.005</w:t>
            </w:r>
          </w:p>
        </w:tc>
        <w:tc>
          <w:tcPr>
            <w:tcW w:w="1792" w:type="dxa"/>
          </w:tcPr>
          <w:p w14:paraId="68FB47C9" w14:textId="77777777" w:rsidR="00C77830" w:rsidRPr="00C77830" w:rsidRDefault="00C77830" w:rsidP="00C77830">
            <w:pPr>
              <w:pStyle w:val="NoSpacing"/>
              <w:ind w:firstLine="0"/>
              <w:jc w:val="center"/>
              <w:rPr>
                <w:sz w:val="20"/>
                <w:szCs w:val="18"/>
                <w:lang w:val="en-GB"/>
              </w:rPr>
            </w:pPr>
            <w:r w:rsidRPr="00C77830">
              <w:rPr>
                <w:sz w:val="20"/>
                <w:szCs w:val="18"/>
                <w:lang w:val="en-GB"/>
              </w:rPr>
              <w:t>0.003</w:t>
            </w:r>
          </w:p>
        </w:tc>
        <w:tc>
          <w:tcPr>
            <w:tcW w:w="2002" w:type="dxa"/>
          </w:tcPr>
          <w:p w14:paraId="0AFDCCC7" w14:textId="77777777" w:rsidR="00C77830" w:rsidRPr="00C77830" w:rsidRDefault="00C77830" w:rsidP="00C77830">
            <w:pPr>
              <w:pStyle w:val="NoSpacing"/>
              <w:ind w:firstLine="0"/>
              <w:jc w:val="center"/>
              <w:rPr>
                <w:sz w:val="20"/>
                <w:szCs w:val="18"/>
                <w:lang w:val="en-GB"/>
              </w:rPr>
            </w:pPr>
            <w:r w:rsidRPr="00C77830">
              <w:rPr>
                <w:sz w:val="20"/>
                <w:szCs w:val="18"/>
                <w:lang w:val="en-GB"/>
              </w:rPr>
              <w:t>-0.002</w:t>
            </w:r>
          </w:p>
        </w:tc>
        <w:tc>
          <w:tcPr>
            <w:tcW w:w="2323" w:type="dxa"/>
          </w:tcPr>
          <w:p w14:paraId="45A5B134" w14:textId="77777777" w:rsidR="00C77830" w:rsidRPr="00C77830" w:rsidRDefault="00C77830" w:rsidP="00C77830">
            <w:pPr>
              <w:pStyle w:val="NoSpacing"/>
              <w:ind w:firstLine="0"/>
              <w:jc w:val="center"/>
              <w:rPr>
                <w:sz w:val="20"/>
                <w:szCs w:val="18"/>
                <w:lang w:val="en-GB"/>
              </w:rPr>
            </w:pPr>
            <w:r w:rsidRPr="00C77830">
              <w:rPr>
                <w:sz w:val="20"/>
                <w:szCs w:val="18"/>
                <w:lang w:val="en-GB"/>
              </w:rPr>
              <w:t>-0.007</w:t>
            </w:r>
          </w:p>
        </w:tc>
        <w:tc>
          <w:tcPr>
            <w:tcW w:w="2104" w:type="dxa"/>
          </w:tcPr>
          <w:p w14:paraId="008BF99A" w14:textId="77777777" w:rsidR="00C77830" w:rsidRPr="00C77830" w:rsidRDefault="00C77830" w:rsidP="00C77830">
            <w:pPr>
              <w:pStyle w:val="NoSpacing"/>
              <w:ind w:firstLine="0"/>
              <w:jc w:val="center"/>
              <w:rPr>
                <w:sz w:val="20"/>
                <w:szCs w:val="18"/>
                <w:lang w:val="en-GB"/>
              </w:rPr>
            </w:pPr>
            <w:r w:rsidRPr="00C77830">
              <w:rPr>
                <w:sz w:val="20"/>
                <w:szCs w:val="18"/>
                <w:lang w:val="en-GB"/>
              </w:rPr>
              <w:t>-0.000</w:t>
            </w:r>
          </w:p>
        </w:tc>
      </w:tr>
      <w:tr w:rsidR="00C77830" w:rsidRPr="00C77830" w14:paraId="02917BF1" w14:textId="77777777" w:rsidTr="00C3611B">
        <w:trPr>
          <w:jc w:val="center"/>
        </w:trPr>
        <w:tc>
          <w:tcPr>
            <w:tcW w:w="1954" w:type="dxa"/>
          </w:tcPr>
          <w:p w14:paraId="5192D638" w14:textId="77777777" w:rsidR="00C77830" w:rsidRPr="00C77830" w:rsidRDefault="00C77830" w:rsidP="00C3611B">
            <w:pPr>
              <w:pStyle w:val="NoSpacing"/>
              <w:ind w:firstLine="0"/>
              <w:rPr>
                <w:sz w:val="20"/>
                <w:szCs w:val="18"/>
                <w:lang w:val="en-GB"/>
              </w:rPr>
            </w:pPr>
          </w:p>
        </w:tc>
        <w:tc>
          <w:tcPr>
            <w:tcW w:w="1573" w:type="dxa"/>
          </w:tcPr>
          <w:p w14:paraId="0930FD0C" w14:textId="77777777" w:rsidR="00C77830" w:rsidRPr="00C77830" w:rsidRDefault="00C77830" w:rsidP="00C77830">
            <w:pPr>
              <w:pStyle w:val="NoSpacing"/>
              <w:ind w:firstLine="0"/>
              <w:jc w:val="center"/>
              <w:rPr>
                <w:sz w:val="20"/>
                <w:szCs w:val="18"/>
                <w:lang w:val="en-GB"/>
              </w:rPr>
            </w:pPr>
            <w:r w:rsidRPr="00C77830">
              <w:rPr>
                <w:sz w:val="20"/>
                <w:szCs w:val="18"/>
                <w:lang w:val="en-GB"/>
              </w:rPr>
              <w:t>(0.18)</w:t>
            </w:r>
          </w:p>
        </w:tc>
        <w:tc>
          <w:tcPr>
            <w:tcW w:w="1428" w:type="dxa"/>
          </w:tcPr>
          <w:p w14:paraId="3768774C" w14:textId="77777777" w:rsidR="00C77830" w:rsidRPr="00C77830" w:rsidRDefault="00C77830" w:rsidP="00C77830">
            <w:pPr>
              <w:pStyle w:val="NoSpacing"/>
              <w:ind w:firstLine="0"/>
              <w:jc w:val="center"/>
              <w:rPr>
                <w:sz w:val="20"/>
                <w:szCs w:val="18"/>
                <w:lang w:val="en-GB"/>
              </w:rPr>
            </w:pPr>
            <w:r w:rsidRPr="00C77830">
              <w:rPr>
                <w:sz w:val="20"/>
                <w:szCs w:val="18"/>
                <w:lang w:val="en-GB"/>
              </w:rPr>
              <w:t>(-0.87)</w:t>
            </w:r>
          </w:p>
        </w:tc>
        <w:tc>
          <w:tcPr>
            <w:tcW w:w="1792" w:type="dxa"/>
          </w:tcPr>
          <w:p w14:paraId="3DB57274" w14:textId="77777777" w:rsidR="00C77830" w:rsidRPr="00C77830" w:rsidRDefault="00C77830" w:rsidP="00C77830">
            <w:pPr>
              <w:pStyle w:val="NoSpacing"/>
              <w:ind w:firstLine="0"/>
              <w:jc w:val="center"/>
              <w:rPr>
                <w:sz w:val="20"/>
                <w:szCs w:val="18"/>
                <w:lang w:val="en-GB"/>
              </w:rPr>
            </w:pPr>
            <w:r w:rsidRPr="00C77830">
              <w:rPr>
                <w:sz w:val="20"/>
                <w:szCs w:val="18"/>
                <w:lang w:val="en-GB"/>
              </w:rPr>
              <w:t>(0.45)</w:t>
            </w:r>
          </w:p>
        </w:tc>
        <w:tc>
          <w:tcPr>
            <w:tcW w:w="2002" w:type="dxa"/>
          </w:tcPr>
          <w:p w14:paraId="74F4AFCB" w14:textId="77777777" w:rsidR="00C77830" w:rsidRPr="00C77830" w:rsidRDefault="00C77830" w:rsidP="00C77830">
            <w:pPr>
              <w:pStyle w:val="NoSpacing"/>
              <w:ind w:firstLine="0"/>
              <w:jc w:val="center"/>
              <w:rPr>
                <w:sz w:val="20"/>
                <w:szCs w:val="18"/>
                <w:lang w:val="en-GB"/>
              </w:rPr>
            </w:pPr>
            <w:r w:rsidRPr="00C77830">
              <w:rPr>
                <w:sz w:val="20"/>
                <w:szCs w:val="18"/>
                <w:lang w:val="en-GB"/>
              </w:rPr>
              <w:t>(-0.30)</w:t>
            </w:r>
          </w:p>
        </w:tc>
        <w:tc>
          <w:tcPr>
            <w:tcW w:w="2323" w:type="dxa"/>
          </w:tcPr>
          <w:p w14:paraId="6A08EEE9" w14:textId="77777777" w:rsidR="00C77830" w:rsidRPr="00C77830" w:rsidRDefault="00C77830" w:rsidP="00C77830">
            <w:pPr>
              <w:pStyle w:val="NoSpacing"/>
              <w:ind w:firstLine="0"/>
              <w:jc w:val="center"/>
              <w:rPr>
                <w:sz w:val="20"/>
                <w:szCs w:val="18"/>
                <w:lang w:val="en-GB"/>
              </w:rPr>
            </w:pPr>
            <w:r w:rsidRPr="00C77830">
              <w:rPr>
                <w:sz w:val="20"/>
                <w:szCs w:val="18"/>
                <w:lang w:val="en-GB"/>
              </w:rPr>
              <w:t>(-1.22)</w:t>
            </w:r>
          </w:p>
        </w:tc>
        <w:tc>
          <w:tcPr>
            <w:tcW w:w="2104" w:type="dxa"/>
          </w:tcPr>
          <w:p w14:paraId="73C25DB2" w14:textId="77777777" w:rsidR="00C77830" w:rsidRPr="00C77830" w:rsidRDefault="00C77830" w:rsidP="00C77830">
            <w:pPr>
              <w:pStyle w:val="NoSpacing"/>
              <w:ind w:firstLine="0"/>
              <w:jc w:val="center"/>
              <w:rPr>
                <w:sz w:val="20"/>
                <w:szCs w:val="18"/>
                <w:lang w:val="en-GB"/>
              </w:rPr>
            </w:pPr>
            <w:r w:rsidRPr="00C77830">
              <w:rPr>
                <w:sz w:val="20"/>
                <w:szCs w:val="18"/>
                <w:lang w:val="en-GB"/>
              </w:rPr>
              <w:t>(-0.06)</w:t>
            </w:r>
          </w:p>
        </w:tc>
      </w:tr>
      <w:tr w:rsidR="00C77830" w:rsidRPr="00C77830" w14:paraId="2B2E26F2" w14:textId="77777777" w:rsidTr="00C3611B">
        <w:trPr>
          <w:jc w:val="center"/>
        </w:trPr>
        <w:tc>
          <w:tcPr>
            <w:tcW w:w="1954" w:type="dxa"/>
          </w:tcPr>
          <w:p w14:paraId="224C6CD9" w14:textId="77777777" w:rsidR="00C77830" w:rsidRPr="00C77830" w:rsidRDefault="00C77830" w:rsidP="00C3611B">
            <w:pPr>
              <w:pStyle w:val="NoSpacing"/>
              <w:ind w:firstLine="0"/>
              <w:rPr>
                <w:sz w:val="20"/>
                <w:szCs w:val="18"/>
                <w:lang w:val="en-GB"/>
              </w:rPr>
            </w:pPr>
            <w:proofErr w:type="spellStart"/>
            <w:r w:rsidRPr="00C77830">
              <w:rPr>
                <w:sz w:val="20"/>
                <w:szCs w:val="18"/>
                <w:lang w:val="en-GB"/>
              </w:rPr>
              <w:t>Resources_ESG</w:t>
            </w:r>
            <w:proofErr w:type="spellEnd"/>
          </w:p>
        </w:tc>
        <w:tc>
          <w:tcPr>
            <w:tcW w:w="1573" w:type="dxa"/>
          </w:tcPr>
          <w:p w14:paraId="68F87F53" w14:textId="77777777" w:rsidR="00C77830" w:rsidRPr="00C77830" w:rsidRDefault="00C77830" w:rsidP="00C77830">
            <w:pPr>
              <w:pStyle w:val="NoSpacing"/>
              <w:ind w:firstLine="0"/>
              <w:jc w:val="center"/>
              <w:rPr>
                <w:sz w:val="20"/>
                <w:szCs w:val="18"/>
                <w:lang w:val="en-GB"/>
              </w:rPr>
            </w:pPr>
            <w:r w:rsidRPr="00C77830">
              <w:rPr>
                <w:sz w:val="20"/>
                <w:szCs w:val="18"/>
                <w:lang w:val="en-GB"/>
              </w:rPr>
              <w:t>-0.006*</w:t>
            </w:r>
          </w:p>
        </w:tc>
        <w:tc>
          <w:tcPr>
            <w:tcW w:w="1428" w:type="dxa"/>
          </w:tcPr>
          <w:p w14:paraId="2039705E" w14:textId="77777777" w:rsidR="00C77830" w:rsidRPr="00C77830" w:rsidRDefault="00C77830" w:rsidP="00C77830">
            <w:pPr>
              <w:pStyle w:val="NoSpacing"/>
              <w:ind w:firstLine="0"/>
              <w:jc w:val="center"/>
              <w:rPr>
                <w:sz w:val="20"/>
                <w:szCs w:val="18"/>
                <w:lang w:val="en-GB"/>
              </w:rPr>
            </w:pPr>
            <w:r w:rsidRPr="00C77830">
              <w:rPr>
                <w:sz w:val="20"/>
                <w:szCs w:val="18"/>
                <w:lang w:val="en-GB"/>
              </w:rPr>
              <w:t>-0.012***</w:t>
            </w:r>
          </w:p>
        </w:tc>
        <w:tc>
          <w:tcPr>
            <w:tcW w:w="1792" w:type="dxa"/>
          </w:tcPr>
          <w:p w14:paraId="56987820" w14:textId="77777777" w:rsidR="00C77830" w:rsidRPr="00C77830" w:rsidRDefault="00C77830" w:rsidP="00C77830">
            <w:pPr>
              <w:pStyle w:val="NoSpacing"/>
              <w:ind w:firstLine="0"/>
              <w:jc w:val="center"/>
              <w:rPr>
                <w:sz w:val="20"/>
                <w:szCs w:val="18"/>
                <w:lang w:val="en-GB"/>
              </w:rPr>
            </w:pPr>
            <w:r w:rsidRPr="00C77830">
              <w:rPr>
                <w:sz w:val="20"/>
                <w:szCs w:val="18"/>
                <w:lang w:val="en-GB"/>
              </w:rPr>
              <w:t>-0.009***</w:t>
            </w:r>
          </w:p>
        </w:tc>
        <w:tc>
          <w:tcPr>
            <w:tcW w:w="2002" w:type="dxa"/>
          </w:tcPr>
          <w:p w14:paraId="32454362" w14:textId="77777777" w:rsidR="00C77830" w:rsidRPr="00C77830" w:rsidRDefault="00C77830" w:rsidP="00C77830">
            <w:pPr>
              <w:pStyle w:val="NoSpacing"/>
              <w:ind w:firstLine="0"/>
              <w:jc w:val="center"/>
              <w:rPr>
                <w:sz w:val="20"/>
                <w:szCs w:val="18"/>
                <w:lang w:val="en-GB"/>
              </w:rPr>
            </w:pPr>
            <w:r w:rsidRPr="00C77830">
              <w:rPr>
                <w:sz w:val="20"/>
                <w:szCs w:val="18"/>
                <w:lang w:val="en-GB"/>
              </w:rPr>
              <w:t>-0.009***</w:t>
            </w:r>
          </w:p>
        </w:tc>
        <w:tc>
          <w:tcPr>
            <w:tcW w:w="2323" w:type="dxa"/>
          </w:tcPr>
          <w:p w14:paraId="2636E5B0" w14:textId="77777777" w:rsidR="00C77830" w:rsidRPr="00C77830" w:rsidRDefault="00C77830" w:rsidP="00C77830">
            <w:pPr>
              <w:pStyle w:val="NoSpacing"/>
              <w:ind w:firstLine="0"/>
              <w:jc w:val="center"/>
              <w:rPr>
                <w:sz w:val="20"/>
                <w:szCs w:val="18"/>
                <w:lang w:val="en-GB"/>
              </w:rPr>
            </w:pPr>
            <w:r w:rsidRPr="00C77830">
              <w:rPr>
                <w:sz w:val="20"/>
                <w:szCs w:val="18"/>
                <w:lang w:val="en-GB"/>
              </w:rPr>
              <w:t>-0.003</w:t>
            </w:r>
          </w:p>
        </w:tc>
        <w:tc>
          <w:tcPr>
            <w:tcW w:w="2104" w:type="dxa"/>
          </w:tcPr>
          <w:p w14:paraId="231657AC" w14:textId="77777777" w:rsidR="00C77830" w:rsidRPr="00C77830" w:rsidRDefault="00C77830" w:rsidP="00C77830">
            <w:pPr>
              <w:pStyle w:val="NoSpacing"/>
              <w:ind w:firstLine="0"/>
              <w:jc w:val="center"/>
              <w:rPr>
                <w:sz w:val="20"/>
                <w:szCs w:val="18"/>
                <w:lang w:val="en-GB"/>
              </w:rPr>
            </w:pPr>
            <w:r w:rsidRPr="00C77830">
              <w:rPr>
                <w:sz w:val="20"/>
                <w:szCs w:val="18"/>
                <w:lang w:val="en-GB"/>
              </w:rPr>
              <w:t>-0.001</w:t>
            </w:r>
          </w:p>
        </w:tc>
      </w:tr>
      <w:tr w:rsidR="00C77830" w:rsidRPr="00C77830" w14:paraId="6252F29D" w14:textId="77777777" w:rsidTr="00C3611B">
        <w:trPr>
          <w:jc w:val="center"/>
        </w:trPr>
        <w:tc>
          <w:tcPr>
            <w:tcW w:w="1954" w:type="dxa"/>
          </w:tcPr>
          <w:p w14:paraId="2498D401" w14:textId="77777777" w:rsidR="00C77830" w:rsidRPr="00C77830" w:rsidRDefault="00C77830" w:rsidP="00C3611B">
            <w:pPr>
              <w:pStyle w:val="NoSpacing"/>
              <w:ind w:firstLine="0"/>
              <w:rPr>
                <w:sz w:val="20"/>
                <w:szCs w:val="18"/>
                <w:lang w:val="en-GB"/>
              </w:rPr>
            </w:pPr>
          </w:p>
        </w:tc>
        <w:tc>
          <w:tcPr>
            <w:tcW w:w="1573" w:type="dxa"/>
          </w:tcPr>
          <w:p w14:paraId="1609E5C9" w14:textId="77777777" w:rsidR="00C77830" w:rsidRPr="00C77830" w:rsidRDefault="00C77830" w:rsidP="00C77830">
            <w:pPr>
              <w:pStyle w:val="NoSpacing"/>
              <w:ind w:firstLine="0"/>
              <w:jc w:val="center"/>
              <w:rPr>
                <w:sz w:val="20"/>
                <w:szCs w:val="18"/>
                <w:lang w:val="en-GB"/>
              </w:rPr>
            </w:pPr>
            <w:r w:rsidRPr="00C77830">
              <w:rPr>
                <w:sz w:val="20"/>
                <w:szCs w:val="18"/>
                <w:lang w:val="en-GB"/>
              </w:rPr>
              <w:t>(-1.94)</w:t>
            </w:r>
          </w:p>
        </w:tc>
        <w:tc>
          <w:tcPr>
            <w:tcW w:w="1428" w:type="dxa"/>
          </w:tcPr>
          <w:p w14:paraId="14C10512" w14:textId="77777777" w:rsidR="00C77830" w:rsidRPr="00C77830" w:rsidRDefault="00C77830" w:rsidP="00C77830">
            <w:pPr>
              <w:pStyle w:val="NoSpacing"/>
              <w:ind w:firstLine="0"/>
              <w:jc w:val="center"/>
              <w:rPr>
                <w:sz w:val="20"/>
                <w:szCs w:val="18"/>
                <w:lang w:val="en-GB"/>
              </w:rPr>
            </w:pPr>
            <w:r w:rsidRPr="00C77830">
              <w:rPr>
                <w:sz w:val="20"/>
                <w:szCs w:val="18"/>
                <w:lang w:val="en-GB"/>
              </w:rPr>
              <w:t>(-4.06)</w:t>
            </w:r>
          </w:p>
        </w:tc>
        <w:tc>
          <w:tcPr>
            <w:tcW w:w="1792" w:type="dxa"/>
          </w:tcPr>
          <w:p w14:paraId="4BEC4E18" w14:textId="77777777" w:rsidR="00C77830" w:rsidRPr="00C77830" w:rsidRDefault="00C77830" w:rsidP="00C77830">
            <w:pPr>
              <w:pStyle w:val="NoSpacing"/>
              <w:ind w:firstLine="0"/>
              <w:jc w:val="center"/>
              <w:rPr>
                <w:sz w:val="20"/>
                <w:szCs w:val="18"/>
                <w:lang w:val="en-GB"/>
              </w:rPr>
            </w:pPr>
            <w:r w:rsidRPr="00C77830">
              <w:rPr>
                <w:sz w:val="20"/>
                <w:szCs w:val="18"/>
                <w:lang w:val="en-GB"/>
              </w:rPr>
              <w:t>(-3.14)</w:t>
            </w:r>
          </w:p>
        </w:tc>
        <w:tc>
          <w:tcPr>
            <w:tcW w:w="2002" w:type="dxa"/>
          </w:tcPr>
          <w:p w14:paraId="437CBE4B" w14:textId="77777777" w:rsidR="00C77830" w:rsidRPr="00C77830" w:rsidRDefault="00C77830" w:rsidP="00C77830">
            <w:pPr>
              <w:pStyle w:val="NoSpacing"/>
              <w:ind w:firstLine="0"/>
              <w:jc w:val="center"/>
              <w:rPr>
                <w:sz w:val="20"/>
                <w:szCs w:val="18"/>
                <w:lang w:val="en-GB"/>
              </w:rPr>
            </w:pPr>
            <w:r w:rsidRPr="00C77830">
              <w:rPr>
                <w:sz w:val="20"/>
                <w:szCs w:val="18"/>
                <w:lang w:val="en-GB"/>
              </w:rPr>
              <w:t>(-2.87)</w:t>
            </w:r>
          </w:p>
        </w:tc>
        <w:tc>
          <w:tcPr>
            <w:tcW w:w="2323" w:type="dxa"/>
          </w:tcPr>
          <w:p w14:paraId="239D1957" w14:textId="77777777" w:rsidR="00C77830" w:rsidRPr="00C77830" w:rsidRDefault="00C77830" w:rsidP="00C77830">
            <w:pPr>
              <w:pStyle w:val="NoSpacing"/>
              <w:ind w:firstLine="0"/>
              <w:jc w:val="center"/>
              <w:rPr>
                <w:sz w:val="20"/>
                <w:szCs w:val="18"/>
                <w:lang w:val="en-GB"/>
              </w:rPr>
            </w:pPr>
            <w:r w:rsidRPr="00C77830">
              <w:rPr>
                <w:sz w:val="20"/>
                <w:szCs w:val="18"/>
                <w:lang w:val="en-GB"/>
              </w:rPr>
              <w:t>(-0.98)</w:t>
            </w:r>
          </w:p>
        </w:tc>
        <w:tc>
          <w:tcPr>
            <w:tcW w:w="2104" w:type="dxa"/>
          </w:tcPr>
          <w:p w14:paraId="5CE1ED21" w14:textId="77777777" w:rsidR="00C77830" w:rsidRPr="00C77830" w:rsidRDefault="00C77830" w:rsidP="00C77830">
            <w:pPr>
              <w:pStyle w:val="NoSpacing"/>
              <w:ind w:firstLine="0"/>
              <w:jc w:val="center"/>
              <w:rPr>
                <w:sz w:val="20"/>
                <w:szCs w:val="18"/>
                <w:lang w:val="en-GB"/>
              </w:rPr>
            </w:pPr>
            <w:r w:rsidRPr="00C77830">
              <w:rPr>
                <w:sz w:val="20"/>
                <w:szCs w:val="18"/>
                <w:lang w:val="en-GB"/>
              </w:rPr>
              <w:t>(-0.38)</w:t>
            </w:r>
          </w:p>
        </w:tc>
      </w:tr>
      <w:tr w:rsidR="00C77830" w:rsidRPr="00C77830" w14:paraId="750508C1" w14:textId="77777777" w:rsidTr="00C3611B">
        <w:trPr>
          <w:jc w:val="center"/>
        </w:trPr>
        <w:tc>
          <w:tcPr>
            <w:tcW w:w="1954" w:type="dxa"/>
          </w:tcPr>
          <w:p w14:paraId="233252E5" w14:textId="77777777" w:rsidR="00C77830" w:rsidRPr="00C77830" w:rsidRDefault="00C77830" w:rsidP="00C3611B">
            <w:pPr>
              <w:pStyle w:val="NoSpacing"/>
              <w:ind w:firstLine="0"/>
              <w:rPr>
                <w:sz w:val="20"/>
                <w:szCs w:val="18"/>
                <w:lang w:val="en-GB"/>
              </w:rPr>
            </w:pPr>
            <w:proofErr w:type="spellStart"/>
            <w:r w:rsidRPr="00C77830">
              <w:rPr>
                <w:sz w:val="20"/>
                <w:szCs w:val="18"/>
                <w:lang w:val="en-GB"/>
              </w:rPr>
              <w:t>Risk_ESG</w:t>
            </w:r>
            <w:proofErr w:type="spellEnd"/>
          </w:p>
        </w:tc>
        <w:tc>
          <w:tcPr>
            <w:tcW w:w="1573" w:type="dxa"/>
          </w:tcPr>
          <w:p w14:paraId="5CA2D735" w14:textId="77777777" w:rsidR="00C77830" w:rsidRPr="00C77830" w:rsidRDefault="00C77830" w:rsidP="00C77830">
            <w:pPr>
              <w:pStyle w:val="NoSpacing"/>
              <w:ind w:firstLine="0"/>
              <w:jc w:val="center"/>
              <w:rPr>
                <w:sz w:val="20"/>
                <w:szCs w:val="18"/>
                <w:lang w:val="en-GB"/>
              </w:rPr>
            </w:pPr>
            <w:r w:rsidRPr="00C77830">
              <w:rPr>
                <w:sz w:val="20"/>
                <w:szCs w:val="18"/>
                <w:lang w:val="en-GB"/>
              </w:rPr>
              <w:t>-0.004*</w:t>
            </w:r>
          </w:p>
        </w:tc>
        <w:tc>
          <w:tcPr>
            <w:tcW w:w="1428" w:type="dxa"/>
          </w:tcPr>
          <w:p w14:paraId="6E26F90C" w14:textId="77777777" w:rsidR="00C77830" w:rsidRPr="00C77830" w:rsidRDefault="00C77830" w:rsidP="00C77830">
            <w:pPr>
              <w:pStyle w:val="NoSpacing"/>
              <w:ind w:firstLine="0"/>
              <w:jc w:val="center"/>
              <w:rPr>
                <w:sz w:val="20"/>
                <w:szCs w:val="18"/>
                <w:lang w:val="en-GB"/>
              </w:rPr>
            </w:pPr>
            <w:r w:rsidRPr="00C77830">
              <w:rPr>
                <w:sz w:val="20"/>
                <w:szCs w:val="18"/>
                <w:lang w:val="en-GB"/>
              </w:rPr>
              <w:t>-0.007***</w:t>
            </w:r>
          </w:p>
        </w:tc>
        <w:tc>
          <w:tcPr>
            <w:tcW w:w="1792" w:type="dxa"/>
          </w:tcPr>
          <w:p w14:paraId="682D37AB" w14:textId="77777777" w:rsidR="00C77830" w:rsidRPr="00C77830" w:rsidRDefault="00C77830" w:rsidP="00C77830">
            <w:pPr>
              <w:pStyle w:val="NoSpacing"/>
              <w:ind w:firstLine="0"/>
              <w:jc w:val="center"/>
              <w:rPr>
                <w:sz w:val="20"/>
                <w:szCs w:val="18"/>
                <w:lang w:val="en-GB"/>
              </w:rPr>
            </w:pPr>
            <w:r w:rsidRPr="00C77830">
              <w:rPr>
                <w:sz w:val="20"/>
                <w:szCs w:val="18"/>
                <w:lang w:val="en-GB"/>
              </w:rPr>
              <w:t>-0.008***</w:t>
            </w:r>
          </w:p>
        </w:tc>
        <w:tc>
          <w:tcPr>
            <w:tcW w:w="2002" w:type="dxa"/>
          </w:tcPr>
          <w:p w14:paraId="29BD9422" w14:textId="77777777" w:rsidR="00C77830" w:rsidRPr="00C77830" w:rsidRDefault="00C77830" w:rsidP="00C77830">
            <w:pPr>
              <w:pStyle w:val="NoSpacing"/>
              <w:ind w:firstLine="0"/>
              <w:jc w:val="center"/>
              <w:rPr>
                <w:sz w:val="20"/>
                <w:szCs w:val="18"/>
                <w:lang w:val="en-GB"/>
              </w:rPr>
            </w:pPr>
            <w:r w:rsidRPr="00C77830">
              <w:rPr>
                <w:sz w:val="20"/>
                <w:szCs w:val="18"/>
                <w:lang w:val="en-GB"/>
              </w:rPr>
              <w:t>-0.009***</w:t>
            </w:r>
          </w:p>
        </w:tc>
        <w:tc>
          <w:tcPr>
            <w:tcW w:w="2323" w:type="dxa"/>
          </w:tcPr>
          <w:p w14:paraId="68E89D3D" w14:textId="77777777" w:rsidR="00C77830" w:rsidRPr="00C77830" w:rsidRDefault="00C77830" w:rsidP="00C77830">
            <w:pPr>
              <w:pStyle w:val="NoSpacing"/>
              <w:ind w:firstLine="0"/>
              <w:jc w:val="center"/>
              <w:rPr>
                <w:sz w:val="20"/>
                <w:szCs w:val="18"/>
                <w:lang w:val="en-GB"/>
              </w:rPr>
            </w:pPr>
            <w:r w:rsidRPr="00C77830">
              <w:rPr>
                <w:sz w:val="20"/>
                <w:szCs w:val="18"/>
                <w:lang w:val="en-GB"/>
              </w:rPr>
              <w:t>0.002</w:t>
            </w:r>
          </w:p>
        </w:tc>
        <w:tc>
          <w:tcPr>
            <w:tcW w:w="2104" w:type="dxa"/>
          </w:tcPr>
          <w:p w14:paraId="3EE5128A" w14:textId="77777777" w:rsidR="00C77830" w:rsidRPr="00C77830" w:rsidRDefault="00C77830" w:rsidP="00C77830">
            <w:pPr>
              <w:pStyle w:val="NoSpacing"/>
              <w:ind w:firstLine="0"/>
              <w:jc w:val="center"/>
              <w:rPr>
                <w:sz w:val="20"/>
                <w:szCs w:val="18"/>
                <w:lang w:val="en-GB"/>
              </w:rPr>
            </w:pPr>
            <w:r w:rsidRPr="00C77830">
              <w:rPr>
                <w:sz w:val="20"/>
                <w:szCs w:val="18"/>
                <w:lang w:val="en-GB"/>
              </w:rPr>
              <w:t>-0.011***</w:t>
            </w:r>
          </w:p>
        </w:tc>
      </w:tr>
      <w:tr w:rsidR="00C77830" w:rsidRPr="00C77830" w14:paraId="7DB4D13E" w14:textId="77777777" w:rsidTr="00C3611B">
        <w:trPr>
          <w:jc w:val="center"/>
        </w:trPr>
        <w:tc>
          <w:tcPr>
            <w:tcW w:w="1954" w:type="dxa"/>
          </w:tcPr>
          <w:p w14:paraId="5D2DBF09" w14:textId="77777777" w:rsidR="00C77830" w:rsidRPr="00C77830" w:rsidRDefault="00C77830" w:rsidP="00C3611B">
            <w:pPr>
              <w:pStyle w:val="NoSpacing"/>
              <w:ind w:firstLine="0"/>
              <w:rPr>
                <w:sz w:val="20"/>
                <w:szCs w:val="18"/>
                <w:lang w:val="en-GB"/>
              </w:rPr>
            </w:pPr>
          </w:p>
        </w:tc>
        <w:tc>
          <w:tcPr>
            <w:tcW w:w="1573" w:type="dxa"/>
          </w:tcPr>
          <w:p w14:paraId="3F069DE7" w14:textId="77777777" w:rsidR="00C77830" w:rsidRPr="00C77830" w:rsidRDefault="00C77830" w:rsidP="00C77830">
            <w:pPr>
              <w:pStyle w:val="NoSpacing"/>
              <w:ind w:firstLine="0"/>
              <w:jc w:val="center"/>
              <w:rPr>
                <w:sz w:val="20"/>
                <w:szCs w:val="18"/>
                <w:lang w:val="en-GB"/>
              </w:rPr>
            </w:pPr>
            <w:r w:rsidRPr="00C77830">
              <w:rPr>
                <w:sz w:val="20"/>
                <w:szCs w:val="18"/>
                <w:lang w:val="en-GB"/>
              </w:rPr>
              <w:t>(-1.67)</w:t>
            </w:r>
          </w:p>
        </w:tc>
        <w:tc>
          <w:tcPr>
            <w:tcW w:w="1428" w:type="dxa"/>
          </w:tcPr>
          <w:p w14:paraId="7BE47464" w14:textId="77777777" w:rsidR="00C77830" w:rsidRPr="00C77830" w:rsidRDefault="00C77830" w:rsidP="00C77830">
            <w:pPr>
              <w:pStyle w:val="NoSpacing"/>
              <w:ind w:firstLine="0"/>
              <w:jc w:val="center"/>
              <w:rPr>
                <w:sz w:val="20"/>
                <w:szCs w:val="18"/>
                <w:lang w:val="en-GB"/>
              </w:rPr>
            </w:pPr>
            <w:r w:rsidRPr="00C77830">
              <w:rPr>
                <w:sz w:val="20"/>
                <w:szCs w:val="18"/>
                <w:lang w:val="en-GB"/>
              </w:rPr>
              <w:t>(-2.59)</w:t>
            </w:r>
          </w:p>
        </w:tc>
        <w:tc>
          <w:tcPr>
            <w:tcW w:w="1792" w:type="dxa"/>
          </w:tcPr>
          <w:p w14:paraId="0652197E" w14:textId="77777777" w:rsidR="00C77830" w:rsidRPr="00C77830" w:rsidRDefault="00C77830" w:rsidP="00C77830">
            <w:pPr>
              <w:pStyle w:val="NoSpacing"/>
              <w:ind w:firstLine="0"/>
              <w:jc w:val="center"/>
              <w:rPr>
                <w:sz w:val="20"/>
                <w:szCs w:val="18"/>
                <w:lang w:val="en-GB"/>
              </w:rPr>
            </w:pPr>
            <w:r w:rsidRPr="00C77830">
              <w:rPr>
                <w:sz w:val="20"/>
                <w:szCs w:val="18"/>
                <w:lang w:val="en-GB"/>
              </w:rPr>
              <w:t>(-2.89)</w:t>
            </w:r>
          </w:p>
        </w:tc>
        <w:tc>
          <w:tcPr>
            <w:tcW w:w="2002" w:type="dxa"/>
          </w:tcPr>
          <w:p w14:paraId="16A89F50" w14:textId="77777777" w:rsidR="00C77830" w:rsidRPr="00C77830" w:rsidRDefault="00C77830" w:rsidP="00C77830">
            <w:pPr>
              <w:pStyle w:val="NoSpacing"/>
              <w:ind w:firstLine="0"/>
              <w:jc w:val="center"/>
              <w:rPr>
                <w:sz w:val="20"/>
                <w:szCs w:val="18"/>
                <w:lang w:val="en-GB"/>
              </w:rPr>
            </w:pPr>
            <w:r w:rsidRPr="00C77830">
              <w:rPr>
                <w:sz w:val="20"/>
                <w:szCs w:val="18"/>
                <w:lang w:val="en-GB"/>
              </w:rPr>
              <w:t>(-3.20)</w:t>
            </w:r>
          </w:p>
        </w:tc>
        <w:tc>
          <w:tcPr>
            <w:tcW w:w="2323" w:type="dxa"/>
          </w:tcPr>
          <w:p w14:paraId="5DF47DCD" w14:textId="77777777" w:rsidR="00C77830" w:rsidRPr="00C77830" w:rsidRDefault="00C77830" w:rsidP="00C77830">
            <w:pPr>
              <w:pStyle w:val="NoSpacing"/>
              <w:ind w:firstLine="0"/>
              <w:jc w:val="center"/>
              <w:rPr>
                <w:sz w:val="20"/>
                <w:szCs w:val="18"/>
                <w:lang w:val="en-GB"/>
              </w:rPr>
            </w:pPr>
            <w:r w:rsidRPr="00C77830">
              <w:rPr>
                <w:sz w:val="20"/>
                <w:szCs w:val="18"/>
                <w:lang w:val="en-GB"/>
              </w:rPr>
              <w:t>(0.72)</w:t>
            </w:r>
          </w:p>
        </w:tc>
        <w:tc>
          <w:tcPr>
            <w:tcW w:w="2104" w:type="dxa"/>
          </w:tcPr>
          <w:p w14:paraId="078B1517" w14:textId="77777777" w:rsidR="00C77830" w:rsidRPr="00C77830" w:rsidRDefault="00C77830" w:rsidP="00C77830">
            <w:pPr>
              <w:pStyle w:val="NoSpacing"/>
              <w:ind w:firstLine="0"/>
              <w:jc w:val="center"/>
              <w:rPr>
                <w:sz w:val="20"/>
                <w:szCs w:val="18"/>
                <w:lang w:val="en-GB"/>
              </w:rPr>
            </w:pPr>
            <w:r w:rsidRPr="00C77830">
              <w:rPr>
                <w:sz w:val="20"/>
                <w:szCs w:val="18"/>
                <w:lang w:val="en-GB"/>
              </w:rPr>
              <w:t>(-4.04)</w:t>
            </w:r>
          </w:p>
        </w:tc>
      </w:tr>
      <w:tr w:rsidR="00C77830" w:rsidRPr="00C77830" w14:paraId="25120E70" w14:textId="77777777" w:rsidTr="00C3611B">
        <w:trPr>
          <w:jc w:val="center"/>
        </w:trPr>
        <w:tc>
          <w:tcPr>
            <w:tcW w:w="1954" w:type="dxa"/>
          </w:tcPr>
          <w:p w14:paraId="1CCC3914" w14:textId="77777777" w:rsidR="00C77830" w:rsidRPr="00C77830" w:rsidRDefault="00C77830" w:rsidP="00C3611B">
            <w:pPr>
              <w:pStyle w:val="NoSpacing"/>
              <w:ind w:firstLine="0"/>
              <w:rPr>
                <w:sz w:val="20"/>
                <w:szCs w:val="18"/>
                <w:lang w:val="en-GB"/>
              </w:rPr>
            </w:pPr>
            <w:r w:rsidRPr="00C77830">
              <w:rPr>
                <w:sz w:val="20"/>
                <w:szCs w:val="18"/>
                <w:lang w:val="en-GB"/>
              </w:rPr>
              <w:t>Cash</w:t>
            </w:r>
          </w:p>
        </w:tc>
        <w:tc>
          <w:tcPr>
            <w:tcW w:w="1573" w:type="dxa"/>
          </w:tcPr>
          <w:p w14:paraId="61B669FD" w14:textId="77777777" w:rsidR="00C77830" w:rsidRPr="00C77830" w:rsidRDefault="00C77830" w:rsidP="00C77830">
            <w:pPr>
              <w:pStyle w:val="NoSpacing"/>
              <w:ind w:firstLine="0"/>
              <w:jc w:val="center"/>
              <w:rPr>
                <w:sz w:val="20"/>
                <w:szCs w:val="18"/>
                <w:lang w:val="en-GB"/>
              </w:rPr>
            </w:pPr>
            <w:r w:rsidRPr="00C77830">
              <w:rPr>
                <w:sz w:val="20"/>
                <w:szCs w:val="18"/>
                <w:lang w:val="en-GB"/>
              </w:rPr>
              <w:t>0.019***</w:t>
            </w:r>
          </w:p>
        </w:tc>
        <w:tc>
          <w:tcPr>
            <w:tcW w:w="1428" w:type="dxa"/>
          </w:tcPr>
          <w:p w14:paraId="2E0CF1D1" w14:textId="77777777" w:rsidR="00C77830" w:rsidRPr="00C77830" w:rsidRDefault="00C77830" w:rsidP="00C77830">
            <w:pPr>
              <w:pStyle w:val="NoSpacing"/>
              <w:ind w:firstLine="0"/>
              <w:jc w:val="center"/>
              <w:rPr>
                <w:sz w:val="20"/>
                <w:szCs w:val="18"/>
                <w:lang w:val="en-GB"/>
              </w:rPr>
            </w:pPr>
            <w:r w:rsidRPr="00C77830">
              <w:rPr>
                <w:sz w:val="20"/>
                <w:szCs w:val="18"/>
                <w:lang w:val="en-GB"/>
              </w:rPr>
              <w:t>0.004</w:t>
            </w:r>
          </w:p>
        </w:tc>
        <w:tc>
          <w:tcPr>
            <w:tcW w:w="1792" w:type="dxa"/>
          </w:tcPr>
          <w:p w14:paraId="41A5AFC6" w14:textId="77777777" w:rsidR="00C77830" w:rsidRPr="00C77830" w:rsidRDefault="00C77830" w:rsidP="00C77830">
            <w:pPr>
              <w:pStyle w:val="NoSpacing"/>
              <w:ind w:firstLine="0"/>
              <w:jc w:val="center"/>
              <w:rPr>
                <w:sz w:val="20"/>
                <w:szCs w:val="18"/>
                <w:lang w:val="en-GB"/>
              </w:rPr>
            </w:pPr>
            <w:r w:rsidRPr="00C77830">
              <w:rPr>
                <w:sz w:val="20"/>
                <w:szCs w:val="18"/>
                <w:lang w:val="en-GB"/>
              </w:rPr>
              <w:t>0.005</w:t>
            </w:r>
          </w:p>
        </w:tc>
        <w:tc>
          <w:tcPr>
            <w:tcW w:w="2002" w:type="dxa"/>
          </w:tcPr>
          <w:p w14:paraId="0C551866" w14:textId="77777777" w:rsidR="00C77830" w:rsidRPr="00C77830" w:rsidRDefault="00C77830" w:rsidP="00C77830">
            <w:pPr>
              <w:pStyle w:val="NoSpacing"/>
              <w:ind w:firstLine="0"/>
              <w:jc w:val="center"/>
              <w:rPr>
                <w:sz w:val="20"/>
                <w:szCs w:val="18"/>
                <w:lang w:val="en-GB"/>
              </w:rPr>
            </w:pPr>
            <w:r w:rsidRPr="00C77830">
              <w:rPr>
                <w:sz w:val="20"/>
                <w:szCs w:val="18"/>
                <w:lang w:val="en-GB"/>
              </w:rPr>
              <w:t>0.007</w:t>
            </w:r>
          </w:p>
        </w:tc>
        <w:tc>
          <w:tcPr>
            <w:tcW w:w="2323" w:type="dxa"/>
          </w:tcPr>
          <w:p w14:paraId="3795AFE3" w14:textId="77777777" w:rsidR="00C77830" w:rsidRPr="00C77830" w:rsidRDefault="00C77830" w:rsidP="00C77830">
            <w:pPr>
              <w:pStyle w:val="NoSpacing"/>
              <w:ind w:firstLine="0"/>
              <w:jc w:val="center"/>
              <w:rPr>
                <w:sz w:val="20"/>
                <w:szCs w:val="18"/>
                <w:lang w:val="en-GB"/>
              </w:rPr>
            </w:pPr>
            <w:r w:rsidRPr="00C77830">
              <w:rPr>
                <w:sz w:val="20"/>
                <w:szCs w:val="18"/>
                <w:lang w:val="en-GB"/>
              </w:rPr>
              <w:t>0.034***</w:t>
            </w:r>
          </w:p>
        </w:tc>
        <w:tc>
          <w:tcPr>
            <w:tcW w:w="2104" w:type="dxa"/>
          </w:tcPr>
          <w:p w14:paraId="04895F1A" w14:textId="77777777" w:rsidR="00C77830" w:rsidRPr="00C77830" w:rsidRDefault="00C77830" w:rsidP="00C77830">
            <w:pPr>
              <w:pStyle w:val="NoSpacing"/>
              <w:ind w:firstLine="0"/>
              <w:jc w:val="center"/>
              <w:rPr>
                <w:sz w:val="20"/>
                <w:szCs w:val="18"/>
                <w:lang w:val="en-GB"/>
              </w:rPr>
            </w:pPr>
            <w:r w:rsidRPr="00C77830">
              <w:rPr>
                <w:sz w:val="20"/>
                <w:szCs w:val="18"/>
                <w:lang w:val="en-GB"/>
              </w:rPr>
              <w:t>0.012**</w:t>
            </w:r>
          </w:p>
        </w:tc>
      </w:tr>
      <w:tr w:rsidR="00C77830" w:rsidRPr="00C77830" w14:paraId="3109F02F" w14:textId="77777777" w:rsidTr="00C3611B">
        <w:trPr>
          <w:jc w:val="center"/>
        </w:trPr>
        <w:tc>
          <w:tcPr>
            <w:tcW w:w="1954" w:type="dxa"/>
          </w:tcPr>
          <w:p w14:paraId="40C095AF" w14:textId="77777777" w:rsidR="00C77830" w:rsidRPr="00C77830" w:rsidRDefault="00C77830" w:rsidP="00C3611B">
            <w:pPr>
              <w:pStyle w:val="NoSpacing"/>
              <w:ind w:firstLine="0"/>
              <w:rPr>
                <w:sz w:val="20"/>
                <w:szCs w:val="18"/>
                <w:lang w:val="en-GB"/>
              </w:rPr>
            </w:pPr>
          </w:p>
        </w:tc>
        <w:tc>
          <w:tcPr>
            <w:tcW w:w="1573" w:type="dxa"/>
          </w:tcPr>
          <w:p w14:paraId="373B40DA" w14:textId="77777777" w:rsidR="00C77830" w:rsidRPr="00C77830" w:rsidRDefault="00C77830" w:rsidP="00C77830">
            <w:pPr>
              <w:pStyle w:val="NoSpacing"/>
              <w:ind w:firstLine="0"/>
              <w:jc w:val="center"/>
              <w:rPr>
                <w:sz w:val="20"/>
                <w:szCs w:val="18"/>
                <w:lang w:val="en-GB"/>
              </w:rPr>
            </w:pPr>
            <w:r w:rsidRPr="00C77830">
              <w:rPr>
                <w:sz w:val="20"/>
                <w:szCs w:val="18"/>
                <w:lang w:val="en-GB"/>
              </w:rPr>
              <w:t>(3.46)</w:t>
            </w:r>
          </w:p>
        </w:tc>
        <w:tc>
          <w:tcPr>
            <w:tcW w:w="1428" w:type="dxa"/>
          </w:tcPr>
          <w:p w14:paraId="7733C2B5" w14:textId="77777777" w:rsidR="00C77830" w:rsidRPr="00C77830" w:rsidRDefault="00C77830" w:rsidP="00C77830">
            <w:pPr>
              <w:pStyle w:val="NoSpacing"/>
              <w:ind w:firstLine="0"/>
              <w:jc w:val="center"/>
              <w:rPr>
                <w:sz w:val="20"/>
                <w:szCs w:val="18"/>
                <w:lang w:val="en-GB"/>
              </w:rPr>
            </w:pPr>
            <w:r w:rsidRPr="00C77830">
              <w:rPr>
                <w:sz w:val="20"/>
                <w:szCs w:val="18"/>
                <w:lang w:val="en-GB"/>
              </w:rPr>
              <w:t>(0.66)</w:t>
            </w:r>
          </w:p>
        </w:tc>
        <w:tc>
          <w:tcPr>
            <w:tcW w:w="1792" w:type="dxa"/>
          </w:tcPr>
          <w:p w14:paraId="17C19FF4" w14:textId="77777777" w:rsidR="00C77830" w:rsidRPr="00C77830" w:rsidRDefault="00C77830" w:rsidP="00C77830">
            <w:pPr>
              <w:pStyle w:val="NoSpacing"/>
              <w:ind w:firstLine="0"/>
              <w:jc w:val="center"/>
              <w:rPr>
                <w:sz w:val="20"/>
                <w:szCs w:val="18"/>
                <w:lang w:val="en-GB"/>
              </w:rPr>
            </w:pPr>
            <w:r w:rsidRPr="00C77830">
              <w:rPr>
                <w:sz w:val="20"/>
                <w:szCs w:val="18"/>
                <w:lang w:val="en-GB"/>
              </w:rPr>
              <w:t>(0.81)</w:t>
            </w:r>
          </w:p>
        </w:tc>
        <w:tc>
          <w:tcPr>
            <w:tcW w:w="2002" w:type="dxa"/>
          </w:tcPr>
          <w:p w14:paraId="7A221367" w14:textId="77777777" w:rsidR="00C77830" w:rsidRPr="00C77830" w:rsidRDefault="00C77830" w:rsidP="00C77830">
            <w:pPr>
              <w:pStyle w:val="NoSpacing"/>
              <w:ind w:firstLine="0"/>
              <w:jc w:val="center"/>
              <w:rPr>
                <w:sz w:val="20"/>
                <w:szCs w:val="18"/>
                <w:lang w:val="en-GB"/>
              </w:rPr>
            </w:pPr>
            <w:r w:rsidRPr="00C77830">
              <w:rPr>
                <w:sz w:val="20"/>
                <w:szCs w:val="18"/>
                <w:lang w:val="en-GB"/>
              </w:rPr>
              <w:t>(1.23)</w:t>
            </w:r>
          </w:p>
        </w:tc>
        <w:tc>
          <w:tcPr>
            <w:tcW w:w="2323" w:type="dxa"/>
          </w:tcPr>
          <w:p w14:paraId="084F465D" w14:textId="77777777" w:rsidR="00C77830" w:rsidRPr="00C77830" w:rsidRDefault="00C77830" w:rsidP="00C77830">
            <w:pPr>
              <w:pStyle w:val="NoSpacing"/>
              <w:ind w:firstLine="0"/>
              <w:jc w:val="center"/>
              <w:rPr>
                <w:sz w:val="20"/>
                <w:szCs w:val="18"/>
                <w:lang w:val="en-GB"/>
              </w:rPr>
            </w:pPr>
            <w:r w:rsidRPr="00C77830">
              <w:rPr>
                <w:sz w:val="20"/>
                <w:szCs w:val="18"/>
                <w:lang w:val="en-GB"/>
              </w:rPr>
              <w:t>(6.07)</w:t>
            </w:r>
          </w:p>
        </w:tc>
        <w:tc>
          <w:tcPr>
            <w:tcW w:w="2104" w:type="dxa"/>
          </w:tcPr>
          <w:p w14:paraId="644B1FA5" w14:textId="77777777" w:rsidR="00C77830" w:rsidRPr="00C77830" w:rsidRDefault="00C77830" w:rsidP="00C77830">
            <w:pPr>
              <w:pStyle w:val="NoSpacing"/>
              <w:ind w:firstLine="0"/>
              <w:jc w:val="center"/>
              <w:rPr>
                <w:sz w:val="20"/>
                <w:szCs w:val="18"/>
                <w:lang w:val="en-GB"/>
              </w:rPr>
            </w:pPr>
            <w:r w:rsidRPr="00C77830">
              <w:rPr>
                <w:sz w:val="20"/>
                <w:szCs w:val="18"/>
                <w:lang w:val="en-GB"/>
              </w:rPr>
              <w:t>(2.10)</w:t>
            </w:r>
          </w:p>
        </w:tc>
      </w:tr>
      <w:tr w:rsidR="00C77830" w:rsidRPr="00C77830" w14:paraId="38FFE5AC" w14:textId="77777777" w:rsidTr="00C3611B">
        <w:trPr>
          <w:jc w:val="center"/>
        </w:trPr>
        <w:tc>
          <w:tcPr>
            <w:tcW w:w="1954" w:type="dxa"/>
          </w:tcPr>
          <w:p w14:paraId="654FFC7C" w14:textId="77777777" w:rsidR="00C77830" w:rsidRPr="00C77830" w:rsidRDefault="00C77830" w:rsidP="00C3611B">
            <w:pPr>
              <w:pStyle w:val="NoSpacing"/>
              <w:ind w:firstLine="0"/>
              <w:rPr>
                <w:sz w:val="20"/>
                <w:szCs w:val="18"/>
                <w:lang w:val="en-GB"/>
              </w:rPr>
            </w:pPr>
            <w:r w:rsidRPr="00C77830">
              <w:rPr>
                <w:sz w:val="20"/>
                <w:szCs w:val="18"/>
                <w:lang w:val="en-GB"/>
              </w:rPr>
              <w:t>Lev</w:t>
            </w:r>
          </w:p>
        </w:tc>
        <w:tc>
          <w:tcPr>
            <w:tcW w:w="1573" w:type="dxa"/>
          </w:tcPr>
          <w:p w14:paraId="489610D7" w14:textId="77777777" w:rsidR="00C77830" w:rsidRPr="00C77830" w:rsidRDefault="00C77830" w:rsidP="00C77830">
            <w:pPr>
              <w:pStyle w:val="NoSpacing"/>
              <w:ind w:firstLine="0"/>
              <w:jc w:val="center"/>
              <w:rPr>
                <w:sz w:val="20"/>
                <w:szCs w:val="18"/>
                <w:lang w:val="en-GB"/>
              </w:rPr>
            </w:pPr>
            <w:r w:rsidRPr="00C77830">
              <w:rPr>
                <w:sz w:val="20"/>
                <w:szCs w:val="18"/>
                <w:lang w:val="en-GB"/>
              </w:rPr>
              <w:t>-0.033***</w:t>
            </w:r>
          </w:p>
        </w:tc>
        <w:tc>
          <w:tcPr>
            <w:tcW w:w="1428" w:type="dxa"/>
          </w:tcPr>
          <w:p w14:paraId="4010E23F" w14:textId="77777777" w:rsidR="00C77830" w:rsidRPr="00C77830" w:rsidRDefault="00C77830" w:rsidP="00C77830">
            <w:pPr>
              <w:pStyle w:val="NoSpacing"/>
              <w:ind w:firstLine="0"/>
              <w:jc w:val="center"/>
              <w:rPr>
                <w:sz w:val="20"/>
                <w:szCs w:val="18"/>
                <w:lang w:val="en-GB"/>
              </w:rPr>
            </w:pPr>
            <w:r w:rsidRPr="00C77830">
              <w:rPr>
                <w:sz w:val="20"/>
                <w:szCs w:val="18"/>
                <w:lang w:val="en-GB"/>
              </w:rPr>
              <w:t>-0.026***</w:t>
            </w:r>
          </w:p>
        </w:tc>
        <w:tc>
          <w:tcPr>
            <w:tcW w:w="1792" w:type="dxa"/>
          </w:tcPr>
          <w:p w14:paraId="62C45211" w14:textId="77777777" w:rsidR="00C77830" w:rsidRPr="00C77830" w:rsidRDefault="00C77830" w:rsidP="00C77830">
            <w:pPr>
              <w:pStyle w:val="NoSpacing"/>
              <w:ind w:firstLine="0"/>
              <w:jc w:val="center"/>
              <w:rPr>
                <w:sz w:val="20"/>
                <w:szCs w:val="18"/>
                <w:lang w:val="en-GB"/>
              </w:rPr>
            </w:pPr>
            <w:r w:rsidRPr="00C77830">
              <w:rPr>
                <w:sz w:val="20"/>
                <w:szCs w:val="18"/>
                <w:lang w:val="en-GB"/>
              </w:rPr>
              <w:t>-0.032***</w:t>
            </w:r>
          </w:p>
        </w:tc>
        <w:tc>
          <w:tcPr>
            <w:tcW w:w="2002" w:type="dxa"/>
          </w:tcPr>
          <w:p w14:paraId="208D4572" w14:textId="77777777" w:rsidR="00C77830" w:rsidRPr="00C77830" w:rsidRDefault="00C77830" w:rsidP="00C77830">
            <w:pPr>
              <w:pStyle w:val="NoSpacing"/>
              <w:ind w:firstLine="0"/>
              <w:jc w:val="center"/>
              <w:rPr>
                <w:sz w:val="20"/>
                <w:szCs w:val="18"/>
                <w:lang w:val="en-GB"/>
              </w:rPr>
            </w:pPr>
            <w:r w:rsidRPr="00C77830">
              <w:rPr>
                <w:sz w:val="20"/>
                <w:szCs w:val="18"/>
                <w:lang w:val="en-GB"/>
              </w:rPr>
              <w:t>-0.040***</w:t>
            </w:r>
          </w:p>
        </w:tc>
        <w:tc>
          <w:tcPr>
            <w:tcW w:w="2323" w:type="dxa"/>
          </w:tcPr>
          <w:p w14:paraId="66ADF623" w14:textId="77777777" w:rsidR="00C77830" w:rsidRPr="00C77830" w:rsidRDefault="00C77830" w:rsidP="00C77830">
            <w:pPr>
              <w:pStyle w:val="NoSpacing"/>
              <w:ind w:firstLine="0"/>
              <w:jc w:val="center"/>
              <w:rPr>
                <w:sz w:val="20"/>
                <w:szCs w:val="18"/>
                <w:lang w:val="en-GB"/>
              </w:rPr>
            </w:pPr>
            <w:r w:rsidRPr="00C77830">
              <w:rPr>
                <w:sz w:val="20"/>
                <w:szCs w:val="18"/>
                <w:lang w:val="en-GB"/>
              </w:rPr>
              <w:t>-0.043***</w:t>
            </w:r>
          </w:p>
        </w:tc>
        <w:tc>
          <w:tcPr>
            <w:tcW w:w="2104" w:type="dxa"/>
          </w:tcPr>
          <w:p w14:paraId="3AC880BF" w14:textId="77777777" w:rsidR="00C77830" w:rsidRPr="00C77830" w:rsidRDefault="00C77830" w:rsidP="00C77830">
            <w:pPr>
              <w:pStyle w:val="NoSpacing"/>
              <w:ind w:firstLine="0"/>
              <w:jc w:val="center"/>
              <w:rPr>
                <w:sz w:val="20"/>
                <w:szCs w:val="18"/>
                <w:lang w:val="en-GB"/>
              </w:rPr>
            </w:pPr>
            <w:r w:rsidRPr="00C77830">
              <w:rPr>
                <w:sz w:val="20"/>
                <w:szCs w:val="18"/>
                <w:lang w:val="en-GB"/>
              </w:rPr>
              <w:t>-0.024***</w:t>
            </w:r>
          </w:p>
        </w:tc>
      </w:tr>
      <w:tr w:rsidR="00C77830" w:rsidRPr="00C77830" w14:paraId="15C328BF" w14:textId="77777777" w:rsidTr="00C3611B">
        <w:trPr>
          <w:jc w:val="center"/>
        </w:trPr>
        <w:tc>
          <w:tcPr>
            <w:tcW w:w="1954" w:type="dxa"/>
          </w:tcPr>
          <w:p w14:paraId="4C1AB97F" w14:textId="77777777" w:rsidR="00C77830" w:rsidRPr="00C77830" w:rsidRDefault="00C77830" w:rsidP="00C3611B">
            <w:pPr>
              <w:pStyle w:val="NoSpacing"/>
              <w:ind w:firstLine="0"/>
              <w:rPr>
                <w:sz w:val="20"/>
                <w:szCs w:val="18"/>
                <w:lang w:val="en-GB"/>
              </w:rPr>
            </w:pPr>
          </w:p>
        </w:tc>
        <w:tc>
          <w:tcPr>
            <w:tcW w:w="1573" w:type="dxa"/>
          </w:tcPr>
          <w:p w14:paraId="384B17F3" w14:textId="77777777" w:rsidR="00C77830" w:rsidRPr="00C77830" w:rsidRDefault="00C77830" w:rsidP="00C77830">
            <w:pPr>
              <w:pStyle w:val="NoSpacing"/>
              <w:ind w:firstLine="0"/>
              <w:jc w:val="center"/>
              <w:rPr>
                <w:sz w:val="20"/>
                <w:szCs w:val="18"/>
                <w:lang w:val="en-GB"/>
              </w:rPr>
            </w:pPr>
            <w:r w:rsidRPr="00C77830">
              <w:rPr>
                <w:sz w:val="20"/>
                <w:szCs w:val="18"/>
                <w:lang w:val="en-GB"/>
              </w:rPr>
              <w:t>(-4.21)</w:t>
            </w:r>
          </w:p>
        </w:tc>
        <w:tc>
          <w:tcPr>
            <w:tcW w:w="1428" w:type="dxa"/>
          </w:tcPr>
          <w:p w14:paraId="33E2A4D0" w14:textId="77777777" w:rsidR="00C77830" w:rsidRPr="00C77830" w:rsidRDefault="00C77830" w:rsidP="00C77830">
            <w:pPr>
              <w:pStyle w:val="NoSpacing"/>
              <w:ind w:firstLine="0"/>
              <w:jc w:val="center"/>
              <w:rPr>
                <w:sz w:val="20"/>
                <w:szCs w:val="18"/>
                <w:lang w:val="en-GB"/>
              </w:rPr>
            </w:pPr>
            <w:r w:rsidRPr="00C77830">
              <w:rPr>
                <w:sz w:val="20"/>
                <w:szCs w:val="18"/>
                <w:lang w:val="en-GB"/>
              </w:rPr>
              <w:t>(-3.37)</w:t>
            </w:r>
          </w:p>
        </w:tc>
        <w:tc>
          <w:tcPr>
            <w:tcW w:w="1792" w:type="dxa"/>
          </w:tcPr>
          <w:p w14:paraId="18D989BF" w14:textId="77777777" w:rsidR="00C77830" w:rsidRPr="00C77830" w:rsidRDefault="00C77830" w:rsidP="00C77830">
            <w:pPr>
              <w:pStyle w:val="NoSpacing"/>
              <w:ind w:firstLine="0"/>
              <w:jc w:val="center"/>
              <w:rPr>
                <w:sz w:val="20"/>
                <w:szCs w:val="18"/>
                <w:lang w:val="en-GB"/>
              </w:rPr>
            </w:pPr>
            <w:r w:rsidRPr="00C77830">
              <w:rPr>
                <w:sz w:val="20"/>
                <w:szCs w:val="18"/>
                <w:lang w:val="en-GB"/>
              </w:rPr>
              <w:t>(-4.15)</w:t>
            </w:r>
          </w:p>
        </w:tc>
        <w:tc>
          <w:tcPr>
            <w:tcW w:w="2002" w:type="dxa"/>
          </w:tcPr>
          <w:p w14:paraId="6C86111E" w14:textId="77777777" w:rsidR="00C77830" w:rsidRPr="00C77830" w:rsidRDefault="00C77830" w:rsidP="00C77830">
            <w:pPr>
              <w:pStyle w:val="NoSpacing"/>
              <w:ind w:firstLine="0"/>
              <w:jc w:val="center"/>
              <w:rPr>
                <w:sz w:val="20"/>
                <w:szCs w:val="18"/>
                <w:lang w:val="en-GB"/>
              </w:rPr>
            </w:pPr>
            <w:r w:rsidRPr="00C77830">
              <w:rPr>
                <w:sz w:val="20"/>
                <w:szCs w:val="18"/>
                <w:lang w:val="en-GB"/>
              </w:rPr>
              <w:t>(-5.06)</w:t>
            </w:r>
          </w:p>
        </w:tc>
        <w:tc>
          <w:tcPr>
            <w:tcW w:w="2323" w:type="dxa"/>
          </w:tcPr>
          <w:p w14:paraId="6E4B9698" w14:textId="77777777" w:rsidR="00C77830" w:rsidRPr="00C77830" w:rsidRDefault="00C77830" w:rsidP="00C77830">
            <w:pPr>
              <w:pStyle w:val="NoSpacing"/>
              <w:ind w:firstLine="0"/>
              <w:jc w:val="center"/>
              <w:rPr>
                <w:sz w:val="20"/>
                <w:szCs w:val="18"/>
                <w:lang w:val="en-GB"/>
              </w:rPr>
            </w:pPr>
            <w:r w:rsidRPr="00C77830">
              <w:rPr>
                <w:sz w:val="20"/>
                <w:szCs w:val="18"/>
                <w:lang w:val="en-GB"/>
              </w:rPr>
              <w:t>(-5.62)</w:t>
            </w:r>
          </w:p>
        </w:tc>
        <w:tc>
          <w:tcPr>
            <w:tcW w:w="2104" w:type="dxa"/>
          </w:tcPr>
          <w:p w14:paraId="64DD383B" w14:textId="77777777" w:rsidR="00C77830" w:rsidRPr="00C77830" w:rsidRDefault="00C77830" w:rsidP="00C77830">
            <w:pPr>
              <w:pStyle w:val="NoSpacing"/>
              <w:ind w:firstLine="0"/>
              <w:jc w:val="center"/>
              <w:rPr>
                <w:sz w:val="20"/>
                <w:szCs w:val="18"/>
                <w:lang w:val="en-GB"/>
              </w:rPr>
            </w:pPr>
            <w:r w:rsidRPr="00C77830">
              <w:rPr>
                <w:sz w:val="20"/>
                <w:szCs w:val="18"/>
                <w:lang w:val="en-GB"/>
              </w:rPr>
              <w:t>(-3.01)</w:t>
            </w:r>
          </w:p>
        </w:tc>
      </w:tr>
      <w:tr w:rsidR="00C77830" w:rsidRPr="00C77830" w14:paraId="21ABEF72" w14:textId="77777777" w:rsidTr="00C3611B">
        <w:trPr>
          <w:jc w:val="center"/>
        </w:trPr>
        <w:tc>
          <w:tcPr>
            <w:tcW w:w="1954" w:type="dxa"/>
          </w:tcPr>
          <w:p w14:paraId="7AFEDDC8" w14:textId="77777777" w:rsidR="00C77830" w:rsidRPr="00C77830" w:rsidRDefault="00C77830" w:rsidP="00C3611B">
            <w:pPr>
              <w:pStyle w:val="NoSpacing"/>
              <w:ind w:firstLine="0"/>
              <w:rPr>
                <w:sz w:val="20"/>
                <w:szCs w:val="18"/>
                <w:lang w:val="en-GB"/>
              </w:rPr>
            </w:pPr>
            <w:proofErr w:type="spellStart"/>
            <w:r w:rsidRPr="00C77830">
              <w:rPr>
                <w:sz w:val="20"/>
                <w:szCs w:val="18"/>
                <w:lang w:val="en-GB"/>
              </w:rPr>
              <w:t>N_Reviews</w:t>
            </w:r>
            <w:proofErr w:type="spellEnd"/>
          </w:p>
        </w:tc>
        <w:tc>
          <w:tcPr>
            <w:tcW w:w="1573" w:type="dxa"/>
          </w:tcPr>
          <w:p w14:paraId="1E8F3CEA" w14:textId="77777777" w:rsidR="00C77830" w:rsidRPr="00C77830" w:rsidRDefault="00C77830" w:rsidP="00C77830">
            <w:pPr>
              <w:pStyle w:val="NoSpacing"/>
              <w:ind w:firstLine="0"/>
              <w:jc w:val="center"/>
              <w:rPr>
                <w:sz w:val="20"/>
                <w:szCs w:val="18"/>
                <w:lang w:val="en-GB"/>
              </w:rPr>
            </w:pPr>
            <w:r w:rsidRPr="00C77830">
              <w:rPr>
                <w:sz w:val="20"/>
                <w:szCs w:val="18"/>
                <w:lang w:val="en-GB"/>
              </w:rPr>
              <w:t>-0.075***</w:t>
            </w:r>
          </w:p>
        </w:tc>
        <w:tc>
          <w:tcPr>
            <w:tcW w:w="1428" w:type="dxa"/>
          </w:tcPr>
          <w:p w14:paraId="7820AF33" w14:textId="77777777" w:rsidR="00C77830" w:rsidRPr="00C77830" w:rsidRDefault="00C77830" w:rsidP="00C77830">
            <w:pPr>
              <w:pStyle w:val="NoSpacing"/>
              <w:ind w:firstLine="0"/>
              <w:jc w:val="center"/>
              <w:rPr>
                <w:sz w:val="20"/>
                <w:szCs w:val="18"/>
                <w:lang w:val="en-GB"/>
              </w:rPr>
            </w:pPr>
            <w:r w:rsidRPr="00C77830">
              <w:rPr>
                <w:sz w:val="20"/>
                <w:szCs w:val="18"/>
                <w:lang w:val="en-GB"/>
              </w:rPr>
              <w:t>-0.081***</w:t>
            </w:r>
          </w:p>
        </w:tc>
        <w:tc>
          <w:tcPr>
            <w:tcW w:w="1792" w:type="dxa"/>
          </w:tcPr>
          <w:p w14:paraId="18EE41B3" w14:textId="77777777" w:rsidR="00C77830" w:rsidRPr="00C77830" w:rsidRDefault="00C77830" w:rsidP="00C77830">
            <w:pPr>
              <w:pStyle w:val="NoSpacing"/>
              <w:ind w:firstLine="0"/>
              <w:jc w:val="center"/>
              <w:rPr>
                <w:sz w:val="20"/>
                <w:szCs w:val="18"/>
                <w:lang w:val="en-GB"/>
              </w:rPr>
            </w:pPr>
            <w:r w:rsidRPr="00C77830">
              <w:rPr>
                <w:sz w:val="20"/>
                <w:szCs w:val="18"/>
                <w:lang w:val="en-GB"/>
              </w:rPr>
              <w:t>-0.024</w:t>
            </w:r>
          </w:p>
        </w:tc>
        <w:tc>
          <w:tcPr>
            <w:tcW w:w="2002" w:type="dxa"/>
          </w:tcPr>
          <w:p w14:paraId="075B2169" w14:textId="77777777" w:rsidR="00C77830" w:rsidRPr="00C77830" w:rsidRDefault="00C77830" w:rsidP="00C77830">
            <w:pPr>
              <w:pStyle w:val="NoSpacing"/>
              <w:ind w:firstLine="0"/>
              <w:jc w:val="center"/>
              <w:rPr>
                <w:sz w:val="20"/>
                <w:szCs w:val="18"/>
                <w:lang w:val="en-GB"/>
              </w:rPr>
            </w:pPr>
            <w:r w:rsidRPr="00C77830">
              <w:rPr>
                <w:sz w:val="20"/>
                <w:szCs w:val="18"/>
                <w:lang w:val="en-GB"/>
              </w:rPr>
              <w:t>-0.042***</w:t>
            </w:r>
          </w:p>
        </w:tc>
        <w:tc>
          <w:tcPr>
            <w:tcW w:w="2323" w:type="dxa"/>
          </w:tcPr>
          <w:p w14:paraId="4E1D6128" w14:textId="77777777" w:rsidR="00C77830" w:rsidRPr="00C77830" w:rsidRDefault="00C77830" w:rsidP="00C77830">
            <w:pPr>
              <w:pStyle w:val="NoSpacing"/>
              <w:ind w:firstLine="0"/>
              <w:jc w:val="center"/>
              <w:rPr>
                <w:sz w:val="20"/>
                <w:szCs w:val="18"/>
                <w:lang w:val="en-GB"/>
              </w:rPr>
            </w:pPr>
            <w:r w:rsidRPr="00C77830">
              <w:rPr>
                <w:sz w:val="20"/>
                <w:szCs w:val="18"/>
                <w:lang w:val="en-GB"/>
              </w:rPr>
              <w:t>0.029*</w:t>
            </w:r>
          </w:p>
        </w:tc>
        <w:tc>
          <w:tcPr>
            <w:tcW w:w="2104" w:type="dxa"/>
          </w:tcPr>
          <w:p w14:paraId="58251538" w14:textId="77777777" w:rsidR="00C77830" w:rsidRPr="00C77830" w:rsidRDefault="00C77830" w:rsidP="00C77830">
            <w:pPr>
              <w:pStyle w:val="NoSpacing"/>
              <w:ind w:firstLine="0"/>
              <w:jc w:val="center"/>
              <w:rPr>
                <w:sz w:val="20"/>
                <w:szCs w:val="18"/>
                <w:lang w:val="en-GB"/>
              </w:rPr>
            </w:pPr>
            <w:r w:rsidRPr="00C77830">
              <w:rPr>
                <w:sz w:val="20"/>
                <w:szCs w:val="18"/>
                <w:lang w:val="en-GB"/>
              </w:rPr>
              <w:t>-0.062***</w:t>
            </w:r>
          </w:p>
        </w:tc>
      </w:tr>
      <w:tr w:rsidR="00C77830" w:rsidRPr="00C77830" w14:paraId="0E87931D" w14:textId="77777777" w:rsidTr="00C3611B">
        <w:trPr>
          <w:jc w:val="center"/>
        </w:trPr>
        <w:tc>
          <w:tcPr>
            <w:tcW w:w="1954" w:type="dxa"/>
          </w:tcPr>
          <w:p w14:paraId="5C0DA3AE" w14:textId="77777777" w:rsidR="00C77830" w:rsidRPr="00C77830" w:rsidRDefault="00C77830" w:rsidP="00C3611B">
            <w:pPr>
              <w:pStyle w:val="NoSpacing"/>
              <w:ind w:firstLine="0"/>
              <w:rPr>
                <w:sz w:val="20"/>
                <w:szCs w:val="18"/>
                <w:lang w:val="en-GB"/>
              </w:rPr>
            </w:pPr>
          </w:p>
        </w:tc>
        <w:tc>
          <w:tcPr>
            <w:tcW w:w="1573" w:type="dxa"/>
          </w:tcPr>
          <w:p w14:paraId="124D3E0E" w14:textId="77777777" w:rsidR="00C77830" w:rsidRPr="00C77830" w:rsidRDefault="00C77830" w:rsidP="00C77830">
            <w:pPr>
              <w:pStyle w:val="NoSpacing"/>
              <w:ind w:firstLine="0"/>
              <w:jc w:val="center"/>
              <w:rPr>
                <w:sz w:val="20"/>
                <w:szCs w:val="18"/>
                <w:lang w:val="en-GB"/>
              </w:rPr>
            </w:pPr>
            <w:r w:rsidRPr="00C77830">
              <w:rPr>
                <w:sz w:val="20"/>
                <w:szCs w:val="18"/>
                <w:lang w:val="en-GB"/>
              </w:rPr>
              <w:t>(-4.76)</w:t>
            </w:r>
          </w:p>
        </w:tc>
        <w:tc>
          <w:tcPr>
            <w:tcW w:w="1428" w:type="dxa"/>
          </w:tcPr>
          <w:p w14:paraId="38524B85" w14:textId="77777777" w:rsidR="00C77830" w:rsidRPr="00C77830" w:rsidRDefault="00C77830" w:rsidP="00C77830">
            <w:pPr>
              <w:pStyle w:val="NoSpacing"/>
              <w:ind w:firstLine="0"/>
              <w:jc w:val="center"/>
              <w:rPr>
                <w:sz w:val="20"/>
                <w:szCs w:val="18"/>
                <w:lang w:val="en-GB"/>
              </w:rPr>
            </w:pPr>
            <w:r w:rsidRPr="00C77830">
              <w:rPr>
                <w:sz w:val="20"/>
                <w:szCs w:val="18"/>
                <w:lang w:val="en-GB"/>
              </w:rPr>
              <w:t>(-5.08)</w:t>
            </w:r>
          </w:p>
        </w:tc>
        <w:tc>
          <w:tcPr>
            <w:tcW w:w="1792" w:type="dxa"/>
          </w:tcPr>
          <w:p w14:paraId="4827FC24" w14:textId="77777777" w:rsidR="00C77830" w:rsidRPr="00C77830" w:rsidRDefault="00C77830" w:rsidP="00C77830">
            <w:pPr>
              <w:pStyle w:val="NoSpacing"/>
              <w:ind w:firstLine="0"/>
              <w:jc w:val="center"/>
              <w:rPr>
                <w:sz w:val="20"/>
                <w:szCs w:val="18"/>
                <w:lang w:val="en-GB"/>
              </w:rPr>
            </w:pPr>
            <w:r w:rsidRPr="00C77830">
              <w:rPr>
                <w:sz w:val="20"/>
                <w:szCs w:val="18"/>
                <w:lang w:val="en-GB"/>
              </w:rPr>
              <w:t>(-1.53)</w:t>
            </w:r>
          </w:p>
        </w:tc>
        <w:tc>
          <w:tcPr>
            <w:tcW w:w="2002" w:type="dxa"/>
          </w:tcPr>
          <w:p w14:paraId="4100CE37" w14:textId="77777777" w:rsidR="00C77830" w:rsidRPr="00C77830" w:rsidRDefault="00C77830" w:rsidP="00C77830">
            <w:pPr>
              <w:pStyle w:val="NoSpacing"/>
              <w:ind w:firstLine="0"/>
              <w:jc w:val="center"/>
              <w:rPr>
                <w:sz w:val="20"/>
                <w:szCs w:val="18"/>
                <w:lang w:val="en-GB"/>
              </w:rPr>
            </w:pPr>
            <w:r w:rsidRPr="00C77830">
              <w:rPr>
                <w:sz w:val="20"/>
                <w:szCs w:val="18"/>
                <w:lang w:val="en-GB"/>
              </w:rPr>
              <w:t>(-2.71)</w:t>
            </w:r>
          </w:p>
        </w:tc>
        <w:tc>
          <w:tcPr>
            <w:tcW w:w="2323" w:type="dxa"/>
          </w:tcPr>
          <w:p w14:paraId="56F3E55A" w14:textId="77777777" w:rsidR="00C77830" w:rsidRPr="00C77830" w:rsidRDefault="00C77830" w:rsidP="00C77830">
            <w:pPr>
              <w:pStyle w:val="NoSpacing"/>
              <w:ind w:firstLine="0"/>
              <w:jc w:val="center"/>
              <w:rPr>
                <w:sz w:val="20"/>
                <w:szCs w:val="18"/>
                <w:lang w:val="en-GB"/>
              </w:rPr>
            </w:pPr>
            <w:r w:rsidRPr="00C77830">
              <w:rPr>
                <w:sz w:val="20"/>
                <w:szCs w:val="18"/>
                <w:lang w:val="en-GB"/>
              </w:rPr>
              <w:t>(1.89)</w:t>
            </w:r>
          </w:p>
        </w:tc>
        <w:tc>
          <w:tcPr>
            <w:tcW w:w="2104" w:type="dxa"/>
          </w:tcPr>
          <w:p w14:paraId="65B29193" w14:textId="77777777" w:rsidR="00C77830" w:rsidRPr="00C77830" w:rsidRDefault="00C77830" w:rsidP="00C77830">
            <w:pPr>
              <w:pStyle w:val="NoSpacing"/>
              <w:ind w:firstLine="0"/>
              <w:jc w:val="center"/>
              <w:rPr>
                <w:sz w:val="20"/>
                <w:szCs w:val="18"/>
                <w:lang w:val="en-GB"/>
              </w:rPr>
            </w:pPr>
            <w:r w:rsidRPr="00C77830">
              <w:rPr>
                <w:sz w:val="20"/>
                <w:szCs w:val="18"/>
                <w:lang w:val="en-GB"/>
              </w:rPr>
              <w:t>(-3.99)</w:t>
            </w:r>
          </w:p>
        </w:tc>
      </w:tr>
      <w:tr w:rsidR="00C77830" w:rsidRPr="00C77830" w14:paraId="5FB1DBB8" w14:textId="77777777" w:rsidTr="00C3611B">
        <w:trPr>
          <w:jc w:val="center"/>
        </w:trPr>
        <w:tc>
          <w:tcPr>
            <w:tcW w:w="1954" w:type="dxa"/>
          </w:tcPr>
          <w:p w14:paraId="022389CB" w14:textId="77777777" w:rsidR="00C77830" w:rsidRPr="00C77830" w:rsidRDefault="00C77830" w:rsidP="00C3611B">
            <w:pPr>
              <w:pStyle w:val="NoSpacing"/>
              <w:ind w:firstLine="0"/>
              <w:rPr>
                <w:sz w:val="20"/>
                <w:szCs w:val="18"/>
                <w:lang w:val="en-GB"/>
              </w:rPr>
            </w:pPr>
            <w:r w:rsidRPr="00C77830">
              <w:rPr>
                <w:sz w:val="20"/>
                <w:szCs w:val="18"/>
                <w:lang w:val="en-GB"/>
              </w:rPr>
              <w:t>ROA</w:t>
            </w:r>
          </w:p>
        </w:tc>
        <w:tc>
          <w:tcPr>
            <w:tcW w:w="1573" w:type="dxa"/>
          </w:tcPr>
          <w:p w14:paraId="2869E473" w14:textId="77777777" w:rsidR="00C77830" w:rsidRPr="00C77830" w:rsidRDefault="00C77830" w:rsidP="00C77830">
            <w:pPr>
              <w:pStyle w:val="NoSpacing"/>
              <w:ind w:firstLine="0"/>
              <w:jc w:val="center"/>
              <w:rPr>
                <w:sz w:val="20"/>
                <w:szCs w:val="18"/>
                <w:lang w:val="en-GB"/>
              </w:rPr>
            </w:pPr>
            <w:r w:rsidRPr="00C77830">
              <w:rPr>
                <w:sz w:val="20"/>
                <w:szCs w:val="18"/>
                <w:lang w:val="en-GB"/>
              </w:rPr>
              <w:t>-0.020***</w:t>
            </w:r>
          </w:p>
        </w:tc>
        <w:tc>
          <w:tcPr>
            <w:tcW w:w="1428" w:type="dxa"/>
          </w:tcPr>
          <w:p w14:paraId="016DCFFF" w14:textId="77777777" w:rsidR="00C77830" w:rsidRPr="00C77830" w:rsidRDefault="00C77830" w:rsidP="00C77830">
            <w:pPr>
              <w:pStyle w:val="NoSpacing"/>
              <w:ind w:firstLine="0"/>
              <w:jc w:val="center"/>
              <w:rPr>
                <w:sz w:val="20"/>
                <w:szCs w:val="18"/>
                <w:lang w:val="en-GB"/>
              </w:rPr>
            </w:pPr>
            <w:r w:rsidRPr="00C77830">
              <w:rPr>
                <w:sz w:val="20"/>
                <w:szCs w:val="18"/>
                <w:lang w:val="en-GB"/>
              </w:rPr>
              <w:t>-0.024***</w:t>
            </w:r>
          </w:p>
        </w:tc>
        <w:tc>
          <w:tcPr>
            <w:tcW w:w="1792" w:type="dxa"/>
          </w:tcPr>
          <w:p w14:paraId="6CD1274D" w14:textId="77777777" w:rsidR="00C77830" w:rsidRPr="00C77830" w:rsidRDefault="00C77830" w:rsidP="00C77830">
            <w:pPr>
              <w:pStyle w:val="NoSpacing"/>
              <w:ind w:firstLine="0"/>
              <w:jc w:val="center"/>
              <w:rPr>
                <w:sz w:val="20"/>
                <w:szCs w:val="18"/>
                <w:lang w:val="en-GB"/>
              </w:rPr>
            </w:pPr>
            <w:r w:rsidRPr="00C77830">
              <w:rPr>
                <w:sz w:val="20"/>
                <w:szCs w:val="18"/>
                <w:lang w:val="en-GB"/>
              </w:rPr>
              <w:t>-0.033***</w:t>
            </w:r>
          </w:p>
        </w:tc>
        <w:tc>
          <w:tcPr>
            <w:tcW w:w="2002" w:type="dxa"/>
          </w:tcPr>
          <w:p w14:paraId="2EDDA19F" w14:textId="77777777" w:rsidR="00C77830" w:rsidRPr="00C77830" w:rsidRDefault="00C77830" w:rsidP="00C77830">
            <w:pPr>
              <w:pStyle w:val="NoSpacing"/>
              <w:ind w:firstLine="0"/>
              <w:jc w:val="center"/>
              <w:rPr>
                <w:sz w:val="20"/>
                <w:szCs w:val="18"/>
                <w:lang w:val="en-GB"/>
              </w:rPr>
            </w:pPr>
            <w:r w:rsidRPr="00C77830">
              <w:rPr>
                <w:sz w:val="20"/>
                <w:szCs w:val="18"/>
                <w:lang w:val="en-GB"/>
              </w:rPr>
              <w:t>-0.018***</w:t>
            </w:r>
          </w:p>
        </w:tc>
        <w:tc>
          <w:tcPr>
            <w:tcW w:w="2323" w:type="dxa"/>
          </w:tcPr>
          <w:p w14:paraId="078E1E51" w14:textId="77777777" w:rsidR="00C77830" w:rsidRPr="00C77830" w:rsidRDefault="00C77830" w:rsidP="00C77830">
            <w:pPr>
              <w:pStyle w:val="NoSpacing"/>
              <w:ind w:firstLine="0"/>
              <w:jc w:val="center"/>
              <w:rPr>
                <w:sz w:val="20"/>
                <w:szCs w:val="18"/>
                <w:lang w:val="en-GB"/>
              </w:rPr>
            </w:pPr>
            <w:r w:rsidRPr="00C77830">
              <w:rPr>
                <w:sz w:val="20"/>
                <w:szCs w:val="18"/>
                <w:lang w:val="en-GB"/>
              </w:rPr>
              <w:t>-0.045***</w:t>
            </w:r>
          </w:p>
        </w:tc>
        <w:tc>
          <w:tcPr>
            <w:tcW w:w="2104" w:type="dxa"/>
          </w:tcPr>
          <w:p w14:paraId="722DBCD3" w14:textId="77777777" w:rsidR="00C77830" w:rsidRPr="00C77830" w:rsidRDefault="00C77830" w:rsidP="00C77830">
            <w:pPr>
              <w:pStyle w:val="NoSpacing"/>
              <w:ind w:firstLine="0"/>
              <w:jc w:val="center"/>
              <w:rPr>
                <w:sz w:val="20"/>
                <w:szCs w:val="18"/>
                <w:lang w:val="en-GB"/>
              </w:rPr>
            </w:pPr>
            <w:r w:rsidRPr="00C77830">
              <w:rPr>
                <w:sz w:val="20"/>
                <w:szCs w:val="18"/>
                <w:lang w:val="en-GB"/>
              </w:rPr>
              <w:t>-0.011**</w:t>
            </w:r>
          </w:p>
        </w:tc>
      </w:tr>
      <w:tr w:rsidR="00C77830" w:rsidRPr="00C77830" w14:paraId="664403CE" w14:textId="77777777" w:rsidTr="00C3611B">
        <w:trPr>
          <w:jc w:val="center"/>
        </w:trPr>
        <w:tc>
          <w:tcPr>
            <w:tcW w:w="1954" w:type="dxa"/>
          </w:tcPr>
          <w:p w14:paraId="4546FF6E" w14:textId="77777777" w:rsidR="00C77830" w:rsidRPr="00C77830" w:rsidRDefault="00C77830" w:rsidP="00C3611B">
            <w:pPr>
              <w:pStyle w:val="NoSpacing"/>
              <w:ind w:firstLine="0"/>
              <w:rPr>
                <w:sz w:val="20"/>
                <w:szCs w:val="18"/>
                <w:lang w:val="en-GB"/>
              </w:rPr>
            </w:pPr>
          </w:p>
        </w:tc>
        <w:tc>
          <w:tcPr>
            <w:tcW w:w="1573" w:type="dxa"/>
          </w:tcPr>
          <w:p w14:paraId="4FC1F3C7" w14:textId="77777777" w:rsidR="00C77830" w:rsidRPr="00C77830" w:rsidRDefault="00C77830" w:rsidP="00C77830">
            <w:pPr>
              <w:pStyle w:val="NoSpacing"/>
              <w:ind w:firstLine="0"/>
              <w:jc w:val="center"/>
              <w:rPr>
                <w:sz w:val="20"/>
                <w:szCs w:val="18"/>
                <w:lang w:val="en-GB"/>
              </w:rPr>
            </w:pPr>
            <w:r w:rsidRPr="00C77830">
              <w:rPr>
                <w:sz w:val="20"/>
                <w:szCs w:val="18"/>
                <w:lang w:val="en-GB"/>
              </w:rPr>
              <w:t>(-4.26)</w:t>
            </w:r>
          </w:p>
        </w:tc>
        <w:tc>
          <w:tcPr>
            <w:tcW w:w="1428" w:type="dxa"/>
          </w:tcPr>
          <w:p w14:paraId="5EB20ACF" w14:textId="77777777" w:rsidR="00C77830" w:rsidRPr="00C77830" w:rsidRDefault="00C77830" w:rsidP="00C77830">
            <w:pPr>
              <w:pStyle w:val="NoSpacing"/>
              <w:ind w:firstLine="0"/>
              <w:jc w:val="center"/>
              <w:rPr>
                <w:sz w:val="20"/>
                <w:szCs w:val="18"/>
                <w:lang w:val="en-GB"/>
              </w:rPr>
            </w:pPr>
            <w:r w:rsidRPr="00C77830">
              <w:rPr>
                <w:sz w:val="20"/>
                <w:szCs w:val="18"/>
                <w:lang w:val="en-GB"/>
              </w:rPr>
              <w:t>(-5.13)</w:t>
            </w:r>
          </w:p>
        </w:tc>
        <w:tc>
          <w:tcPr>
            <w:tcW w:w="1792" w:type="dxa"/>
          </w:tcPr>
          <w:p w14:paraId="6F558827" w14:textId="77777777" w:rsidR="00C77830" w:rsidRPr="00C77830" w:rsidRDefault="00C77830" w:rsidP="00C77830">
            <w:pPr>
              <w:pStyle w:val="NoSpacing"/>
              <w:ind w:firstLine="0"/>
              <w:jc w:val="center"/>
              <w:rPr>
                <w:sz w:val="20"/>
                <w:szCs w:val="18"/>
                <w:lang w:val="en-GB"/>
              </w:rPr>
            </w:pPr>
            <w:r w:rsidRPr="00C77830">
              <w:rPr>
                <w:sz w:val="20"/>
                <w:szCs w:val="18"/>
                <w:lang w:val="en-GB"/>
              </w:rPr>
              <w:t>(-7.07)</w:t>
            </w:r>
          </w:p>
        </w:tc>
        <w:tc>
          <w:tcPr>
            <w:tcW w:w="2002" w:type="dxa"/>
          </w:tcPr>
          <w:p w14:paraId="3F554205" w14:textId="77777777" w:rsidR="00C77830" w:rsidRPr="00C77830" w:rsidRDefault="00C77830" w:rsidP="00C77830">
            <w:pPr>
              <w:pStyle w:val="NoSpacing"/>
              <w:ind w:firstLine="0"/>
              <w:jc w:val="center"/>
              <w:rPr>
                <w:sz w:val="20"/>
                <w:szCs w:val="18"/>
                <w:lang w:val="en-GB"/>
              </w:rPr>
            </w:pPr>
            <w:r w:rsidRPr="00C77830">
              <w:rPr>
                <w:sz w:val="20"/>
                <w:szCs w:val="18"/>
                <w:lang w:val="en-GB"/>
              </w:rPr>
              <w:t>(-3.85)</w:t>
            </w:r>
          </w:p>
        </w:tc>
        <w:tc>
          <w:tcPr>
            <w:tcW w:w="2323" w:type="dxa"/>
          </w:tcPr>
          <w:p w14:paraId="44D28B6A" w14:textId="77777777" w:rsidR="00C77830" w:rsidRPr="00C77830" w:rsidRDefault="00C77830" w:rsidP="00C77830">
            <w:pPr>
              <w:pStyle w:val="NoSpacing"/>
              <w:ind w:firstLine="0"/>
              <w:jc w:val="center"/>
              <w:rPr>
                <w:sz w:val="20"/>
                <w:szCs w:val="18"/>
                <w:lang w:val="en-GB"/>
              </w:rPr>
            </w:pPr>
            <w:r w:rsidRPr="00C77830">
              <w:rPr>
                <w:sz w:val="20"/>
                <w:szCs w:val="18"/>
                <w:lang w:val="en-GB"/>
              </w:rPr>
              <w:t>(-9.62)</w:t>
            </w:r>
          </w:p>
        </w:tc>
        <w:tc>
          <w:tcPr>
            <w:tcW w:w="2104" w:type="dxa"/>
          </w:tcPr>
          <w:p w14:paraId="5C3B33ED" w14:textId="77777777" w:rsidR="00C77830" w:rsidRPr="00C77830" w:rsidRDefault="00C77830" w:rsidP="00C77830">
            <w:pPr>
              <w:pStyle w:val="NoSpacing"/>
              <w:ind w:firstLine="0"/>
              <w:jc w:val="center"/>
              <w:rPr>
                <w:sz w:val="20"/>
                <w:szCs w:val="18"/>
                <w:lang w:val="en-GB"/>
              </w:rPr>
            </w:pPr>
            <w:r w:rsidRPr="00C77830">
              <w:rPr>
                <w:sz w:val="20"/>
                <w:szCs w:val="18"/>
                <w:lang w:val="en-GB"/>
              </w:rPr>
              <w:t>(-2.42)</w:t>
            </w:r>
          </w:p>
        </w:tc>
      </w:tr>
      <w:tr w:rsidR="00C77830" w:rsidRPr="00C77830" w14:paraId="64DCF3F0" w14:textId="77777777" w:rsidTr="00C3611B">
        <w:trPr>
          <w:jc w:val="center"/>
        </w:trPr>
        <w:tc>
          <w:tcPr>
            <w:tcW w:w="1954" w:type="dxa"/>
          </w:tcPr>
          <w:p w14:paraId="5A52E793" w14:textId="77777777" w:rsidR="00C77830" w:rsidRPr="00C77830" w:rsidRDefault="00C77830" w:rsidP="00C3611B">
            <w:pPr>
              <w:pStyle w:val="NoSpacing"/>
              <w:ind w:firstLine="0"/>
              <w:rPr>
                <w:sz w:val="20"/>
                <w:szCs w:val="18"/>
                <w:lang w:val="en-GB"/>
              </w:rPr>
            </w:pPr>
            <w:r w:rsidRPr="00C77830">
              <w:rPr>
                <w:sz w:val="20"/>
                <w:szCs w:val="18"/>
                <w:lang w:val="en-GB"/>
              </w:rPr>
              <w:t>Size</w:t>
            </w:r>
          </w:p>
        </w:tc>
        <w:tc>
          <w:tcPr>
            <w:tcW w:w="1573" w:type="dxa"/>
          </w:tcPr>
          <w:p w14:paraId="398AE844" w14:textId="77777777" w:rsidR="00C77830" w:rsidRPr="00C77830" w:rsidRDefault="00C77830" w:rsidP="00C77830">
            <w:pPr>
              <w:pStyle w:val="NoSpacing"/>
              <w:ind w:firstLine="0"/>
              <w:jc w:val="center"/>
              <w:rPr>
                <w:sz w:val="20"/>
                <w:szCs w:val="18"/>
                <w:lang w:val="en-GB"/>
              </w:rPr>
            </w:pPr>
            <w:r w:rsidRPr="00C77830">
              <w:rPr>
                <w:sz w:val="20"/>
                <w:szCs w:val="18"/>
                <w:lang w:val="en-GB"/>
              </w:rPr>
              <w:t>-0.218***</w:t>
            </w:r>
          </w:p>
        </w:tc>
        <w:tc>
          <w:tcPr>
            <w:tcW w:w="1428" w:type="dxa"/>
          </w:tcPr>
          <w:p w14:paraId="20FD47D4" w14:textId="77777777" w:rsidR="00C77830" w:rsidRPr="00C77830" w:rsidRDefault="00C77830" w:rsidP="00C77830">
            <w:pPr>
              <w:pStyle w:val="NoSpacing"/>
              <w:ind w:firstLine="0"/>
              <w:jc w:val="center"/>
              <w:rPr>
                <w:sz w:val="20"/>
                <w:szCs w:val="18"/>
                <w:lang w:val="en-GB"/>
              </w:rPr>
            </w:pPr>
            <w:r w:rsidRPr="00C77830">
              <w:rPr>
                <w:sz w:val="20"/>
                <w:szCs w:val="18"/>
                <w:lang w:val="en-GB"/>
              </w:rPr>
              <w:t>-0.252***</w:t>
            </w:r>
          </w:p>
        </w:tc>
        <w:tc>
          <w:tcPr>
            <w:tcW w:w="1792" w:type="dxa"/>
          </w:tcPr>
          <w:p w14:paraId="2FB962AA" w14:textId="77777777" w:rsidR="00C77830" w:rsidRPr="00C77830" w:rsidRDefault="00C77830" w:rsidP="00C77830">
            <w:pPr>
              <w:pStyle w:val="NoSpacing"/>
              <w:ind w:firstLine="0"/>
              <w:jc w:val="center"/>
              <w:rPr>
                <w:sz w:val="20"/>
                <w:szCs w:val="18"/>
                <w:lang w:val="en-GB"/>
              </w:rPr>
            </w:pPr>
            <w:r w:rsidRPr="00C77830">
              <w:rPr>
                <w:sz w:val="20"/>
                <w:szCs w:val="18"/>
                <w:lang w:val="en-GB"/>
              </w:rPr>
              <w:t>-0.120***</w:t>
            </w:r>
          </w:p>
        </w:tc>
        <w:tc>
          <w:tcPr>
            <w:tcW w:w="2002" w:type="dxa"/>
          </w:tcPr>
          <w:p w14:paraId="760AD4A5" w14:textId="77777777" w:rsidR="00C77830" w:rsidRPr="00C77830" w:rsidRDefault="00C77830" w:rsidP="00C77830">
            <w:pPr>
              <w:pStyle w:val="NoSpacing"/>
              <w:ind w:firstLine="0"/>
              <w:jc w:val="center"/>
              <w:rPr>
                <w:sz w:val="20"/>
                <w:szCs w:val="18"/>
                <w:lang w:val="en-GB"/>
              </w:rPr>
            </w:pPr>
            <w:r w:rsidRPr="00C77830">
              <w:rPr>
                <w:sz w:val="20"/>
                <w:szCs w:val="18"/>
                <w:lang w:val="en-GB"/>
              </w:rPr>
              <w:t>-0.214***</w:t>
            </w:r>
          </w:p>
        </w:tc>
        <w:tc>
          <w:tcPr>
            <w:tcW w:w="2323" w:type="dxa"/>
          </w:tcPr>
          <w:p w14:paraId="188CA352" w14:textId="77777777" w:rsidR="00C77830" w:rsidRPr="00C77830" w:rsidRDefault="00C77830" w:rsidP="00C77830">
            <w:pPr>
              <w:pStyle w:val="NoSpacing"/>
              <w:ind w:firstLine="0"/>
              <w:jc w:val="center"/>
              <w:rPr>
                <w:sz w:val="20"/>
                <w:szCs w:val="18"/>
                <w:lang w:val="en-GB"/>
              </w:rPr>
            </w:pPr>
            <w:r w:rsidRPr="00C77830">
              <w:rPr>
                <w:sz w:val="20"/>
                <w:szCs w:val="18"/>
                <w:lang w:val="en-GB"/>
              </w:rPr>
              <w:t>-0.161***</w:t>
            </w:r>
          </w:p>
        </w:tc>
        <w:tc>
          <w:tcPr>
            <w:tcW w:w="2104" w:type="dxa"/>
          </w:tcPr>
          <w:p w14:paraId="6662517C" w14:textId="77777777" w:rsidR="00C77830" w:rsidRPr="00C77830" w:rsidRDefault="00C77830" w:rsidP="00C77830">
            <w:pPr>
              <w:pStyle w:val="NoSpacing"/>
              <w:ind w:firstLine="0"/>
              <w:jc w:val="center"/>
              <w:rPr>
                <w:sz w:val="20"/>
                <w:szCs w:val="18"/>
                <w:lang w:val="en-GB"/>
              </w:rPr>
            </w:pPr>
            <w:r w:rsidRPr="00C77830">
              <w:rPr>
                <w:sz w:val="20"/>
                <w:szCs w:val="18"/>
                <w:lang w:val="en-GB"/>
              </w:rPr>
              <w:t>-0.150***</w:t>
            </w:r>
          </w:p>
        </w:tc>
      </w:tr>
      <w:tr w:rsidR="00C77830" w:rsidRPr="00C77830" w14:paraId="31DFBB5D" w14:textId="77777777" w:rsidTr="00C3611B">
        <w:trPr>
          <w:jc w:val="center"/>
        </w:trPr>
        <w:tc>
          <w:tcPr>
            <w:tcW w:w="1954" w:type="dxa"/>
          </w:tcPr>
          <w:p w14:paraId="0B871BA0" w14:textId="77777777" w:rsidR="00C77830" w:rsidRPr="00C77830" w:rsidRDefault="00C77830" w:rsidP="00C3611B">
            <w:pPr>
              <w:pStyle w:val="NoSpacing"/>
              <w:ind w:firstLine="0"/>
              <w:rPr>
                <w:sz w:val="20"/>
                <w:szCs w:val="18"/>
                <w:lang w:val="en-GB"/>
              </w:rPr>
            </w:pPr>
          </w:p>
        </w:tc>
        <w:tc>
          <w:tcPr>
            <w:tcW w:w="1573" w:type="dxa"/>
          </w:tcPr>
          <w:p w14:paraId="593B9002" w14:textId="77777777" w:rsidR="00C77830" w:rsidRPr="00C77830" w:rsidRDefault="00C77830" w:rsidP="00C77830">
            <w:pPr>
              <w:pStyle w:val="NoSpacing"/>
              <w:ind w:firstLine="0"/>
              <w:jc w:val="center"/>
              <w:rPr>
                <w:sz w:val="20"/>
                <w:szCs w:val="18"/>
                <w:lang w:val="en-GB"/>
              </w:rPr>
            </w:pPr>
            <w:r w:rsidRPr="00C77830">
              <w:rPr>
                <w:sz w:val="20"/>
                <w:szCs w:val="18"/>
                <w:lang w:val="en-GB"/>
              </w:rPr>
              <w:t>(-15.40)</w:t>
            </w:r>
          </w:p>
        </w:tc>
        <w:tc>
          <w:tcPr>
            <w:tcW w:w="1428" w:type="dxa"/>
          </w:tcPr>
          <w:p w14:paraId="5D10701F" w14:textId="77777777" w:rsidR="00C77830" w:rsidRPr="00C77830" w:rsidRDefault="00C77830" w:rsidP="00C77830">
            <w:pPr>
              <w:pStyle w:val="NoSpacing"/>
              <w:ind w:firstLine="0"/>
              <w:jc w:val="center"/>
              <w:rPr>
                <w:sz w:val="20"/>
                <w:szCs w:val="18"/>
                <w:lang w:val="en-GB"/>
              </w:rPr>
            </w:pPr>
            <w:r w:rsidRPr="00C77830">
              <w:rPr>
                <w:sz w:val="20"/>
                <w:szCs w:val="18"/>
                <w:lang w:val="en-GB"/>
              </w:rPr>
              <w:t>(-17.69)</w:t>
            </w:r>
          </w:p>
        </w:tc>
        <w:tc>
          <w:tcPr>
            <w:tcW w:w="1792" w:type="dxa"/>
          </w:tcPr>
          <w:p w14:paraId="5AAA3578" w14:textId="77777777" w:rsidR="00C77830" w:rsidRPr="00C77830" w:rsidRDefault="00C77830" w:rsidP="00C77830">
            <w:pPr>
              <w:pStyle w:val="NoSpacing"/>
              <w:ind w:firstLine="0"/>
              <w:jc w:val="center"/>
              <w:rPr>
                <w:sz w:val="20"/>
                <w:szCs w:val="18"/>
                <w:lang w:val="en-GB"/>
              </w:rPr>
            </w:pPr>
            <w:r w:rsidRPr="00C77830">
              <w:rPr>
                <w:sz w:val="20"/>
                <w:szCs w:val="18"/>
                <w:lang w:val="en-GB"/>
              </w:rPr>
              <w:t>(-8.63)</w:t>
            </w:r>
          </w:p>
        </w:tc>
        <w:tc>
          <w:tcPr>
            <w:tcW w:w="2002" w:type="dxa"/>
          </w:tcPr>
          <w:p w14:paraId="4ED21F20" w14:textId="77777777" w:rsidR="00C77830" w:rsidRPr="00C77830" w:rsidRDefault="00C77830" w:rsidP="00C77830">
            <w:pPr>
              <w:pStyle w:val="NoSpacing"/>
              <w:ind w:firstLine="0"/>
              <w:jc w:val="center"/>
              <w:rPr>
                <w:sz w:val="20"/>
                <w:szCs w:val="18"/>
                <w:lang w:val="en-GB"/>
              </w:rPr>
            </w:pPr>
            <w:r w:rsidRPr="00C77830">
              <w:rPr>
                <w:sz w:val="20"/>
                <w:szCs w:val="18"/>
                <w:lang w:val="en-GB"/>
              </w:rPr>
              <w:t>(-15.18)</w:t>
            </w:r>
          </w:p>
        </w:tc>
        <w:tc>
          <w:tcPr>
            <w:tcW w:w="2323" w:type="dxa"/>
          </w:tcPr>
          <w:p w14:paraId="6E00E2FE" w14:textId="77777777" w:rsidR="00C77830" w:rsidRPr="00C77830" w:rsidRDefault="00C77830" w:rsidP="00C77830">
            <w:pPr>
              <w:pStyle w:val="NoSpacing"/>
              <w:ind w:firstLine="0"/>
              <w:jc w:val="center"/>
              <w:rPr>
                <w:sz w:val="20"/>
                <w:szCs w:val="18"/>
                <w:lang w:val="en-GB"/>
              </w:rPr>
            </w:pPr>
            <w:r w:rsidRPr="00C77830">
              <w:rPr>
                <w:sz w:val="20"/>
                <w:szCs w:val="18"/>
                <w:lang w:val="en-GB"/>
              </w:rPr>
              <w:t>(-11.67)</w:t>
            </w:r>
          </w:p>
        </w:tc>
        <w:tc>
          <w:tcPr>
            <w:tcW w:w="2104" w:type="dxa"/>
          </w:tcPr>
          <w:p w14:paraId="33111858" w14:textId="77777777" w:rsidR="00C77830" w:rsidRPr="00C77830" w:rsidRDefault="00C77830" w:rsidP="00C77830">
            <w:pPr>
              <w:pStyle w:val="NoSpacing"/>
              <w:ind w:firstLine="0"/>
              <w:jc w:val="center"/>
              <w:rPr>
                <w:sz w:val="20"/>
                <w:szCs w:val="18"/>
                <w:lang w:val="en-GB"/>
              </w:rPr>
            </w:pPr>
            <w:r w:rsidRPr="00C77830">
              <w:rPr>
                <w:sz w:val="20"/>
                <w:szCs w:val="18"/>
                <w:lang w:val="en-GB"/>
              </w:rPr>
              <w:t>(-10.71)</w:t>
            </w:r>
          </w:p>
        </w:tc>
      </w:tr>
      <w:tr w:rsidR="00C77830" w:rsidRPr="00C77830" w14:paraId="290B004F" w14:textId="77777777" w:rsidTr="00C3611B">
        <w:trPr>
          <w:jc w:val="center"/>
        </w:trPr>
        <w:tc>
          <w:tcPr>
            <w:tcW w:w="1954" w:type="dxa"/>
          </w:tcPr>
          <w:p w14:paraId="6F23BEFE" w14:textId="77777777" w:rsidR="00C77830" w:rsidRPr="00C77830" w:rsidRDefault="00C77830" w:rsidP="00C3611B">
            <w:pPr>
              <w:pStyle w:val="NoSpacing"/>
              <w:ind w:firstLine="0"/>
              <w:rPr>
                <w:sz w:val="20"/>
                <w:szCs w:val="18"/>
                <w:lang w:val="en-GB"/>
              </w:rPr>
            </w:pPr>
            <w:proofErr w:type="spellStart"/>
            <w:r w:rsidRPr="00C77830">
              <w:rPr>
                <w:sz w:val="20"/>
                <w:szCs w:val="18"/>
                <w:lang w:val="en-GB"/>
              </w:rPr>
              <w:t>Tobin_Q</w:t>
            </w:r>
            <w:proofErr w:type="spellEnd"/>
          </w:p>
        </w:tc>
        <w:tc>
          <w:tcPr>
            <w:tcW w:w="1573" w:type="dxa"/>
          </w:tcPr>
          <w:p w14:paraId="4962F8CE" w14:textId="77777777" w:rsidR="00C77830" w:rsidRPr="00C77830" w:rsidRDefault="00C77830" w:rsidP="00C77830">
            <w:pPr>
              <w:pStyle w:val="NoSpacing"/>
              <w:ind w:firstLine="0"/>
              <w:jc w:val="center"/>
              <w:rPr>
                <w:sz w:val="20"/>
                <w:szCs w:val="18"/>
                <w:lang w:val="en-GB"/>
              </w:rPr>
            </w:pPr>
            <w:r w:rsidRPr="00C77830">
              <w:rPr>
                <w:sz w:val="20"/>
                <w:szCs w:val="18"/>
                <w:lang w:val="en-GB"/>
              </w:rPr>
              <w:t>-0.027***</w:t>
            </w:r>
          </w:p>
        </w:tc>
        <w:tc>
          <w:tcPr>
            <w:tcW w:w="1428" w:type="dxa"/>
          </w:tcPr>
          <w:p w14:paraId="74EFCB47" w14:textId="77777777" w:rsidR="00C77830" w:rsidRPr="00C77830" w:rsidRDefault="00C77830" w:rsidP="00C77830">
            <w:pPr>
              <w:pStyle w:val="NoSpacing"/>
              <w:ind w:firstLine="0"/>
              <w:jc w:val="center"/>
              <w:rPr>
                <w:sz w:val="20"/>
                <w:szCs w:val="18"/>
                <w:lang w:val="en-GB"/>
              </w:rPr>
            </w:pPr>
            <w:r w:rsidRPr="00C77830">
              <w:rPr>
                <w:sz w:val="20"/>
                <w:szCs w:val="18"/>
                <w:lang w:val="en-GB"/>
              </w:rPr>
              <w:t>-0.040***</w:t>
            </w:r>
          </w:p>
        </w:tc>
        <w:tc>
          <w:tcPr>
            <w:tcW w:w="1792" w:type="dxa"/>
          </w:tcPr>
          <w:p w14:paraId="2E5657D5" w14:textId="77777777" w:rsidR="00C77830" w:rsidRPr="00C77830" w:rsidRDefault="00C77830" w:rsidP="00C77830">
            <w:pPr>
              <w:pStyle w:val="NoSpacing"/>
              <w:ind w:firstLine="0"/>
              <w:jc w:val="center"/>
              <w:rPr>
                <w:sz w:val="20"/>
                <w:szCs w:val="18"/>
                <w:lang w:val="en-GB"/>
              </w:rPr>
            </w:pPr>
            <w:r w:rsidRPr="00C77830">
              <w:rPr>
                <w:sz w:val="20"/>
                <w:szCs w:val="18"/>
                <w:lang w:val="en-GB"/>
              </w:rPr>
              <w:t>0.007</w:t>
            </w:r>
          </w:p>
        </w:tc>
        <w:tc>
          <w:tcPr>
            <w:tcW w:w="2002" w:type="dxa"/>
          </w:tcPr>
          <w:p w14:paraId="417455BA" w14:textId="77777777" w:rsidR="00C77830" w:rsidRPr="00C77830" w:rsidRDefault="00C77830" w:rsidP="00C77830">
            <w:pPr>
              <w:pStyle w:val="NoSpacing"/>
              <w:ind w:firstLine="0"/>
              <w:jc w:val="center"/>
              <w:rPr>
                <w:sz w:val="20"/>
                <w:szCs w:val="18"/>
                <w:lang w:val="en-GB"/>
              </w:rPr>
            </w:pPr>
            <w:r w:rsidRPr="00C77830">
              <w:rPr>
                <w:sz w:val="20"/>
                <w:szCs w:val="18"/>
                <w:lang w:val="en-GB"/>
              </w:rPr>
              <w:t>-0.034***</w:t>
            </w:r>
          </w:p>
        </w:tc>
        <w:tc>
          <w:tcPr>
            <w:tcW w:w="2323" w:type="dxa"/>
          </w:tcPr>
          <w:p w14:paraId="2709A820" w14:textId="77777777" w:rsidR="00C77830" w:rsidRPr="00C77830" w:rsidRDefault="00C77830" w:rsidP="00C77830">
            <w:pPr>
              <w:pStyle w:val="NoSpacing"/>
              <w:ind w:firstLine="0"/>
              <w:jc w:val="center"/>
              <w:rPr>
                <w:sz w:val="20"/>
                <w:szCs w:val="18"/>
                <w:lang w:val="en-GB"/>
              </w:rPr>
            </w:pPr>
            <w:r w:rsidRPr="00C77830">
              <w:rPr>
                <w:sz w:val="20"/>
                <w:szCs w:val="18"/>
                <w:lang w:val="en-GB"/>
              </w:rPr>
              <w:t>0.002</w:t>
            </w:r>
          </w:p>
        </w:tc>
        <w:tc>
          <w:tcPr>
            <w:tcW w:w="2104" w:type="dxa"/>
          </w:tcPr>
          <w:p w14:paraId="38838827" w14:textId="77777777" w:rsidR="00C77830" w:rsidRPr="00C77830" w:rsidRDefault="00C77830" w:rsidP="00C77830">
            <w:pPr>
              <w:pStyle w:val="NoSpacing"/>
              <w:ind w:firstLine="0"/>
              <w:jc w:val="center"/>
              <w:rPr>
                <w:sz w:val="20"/>
                <w:szCs w:val="18"/>
                <w:lang w:val="en-GB"/>
              </w:rPr>
            </w:pPr>
            <w:r w:rsidRPr="00C77830">
              <w:rPr>
                <w:sz w:val="20"/>
                <w:szCs w:val="18"/>
                <w:lang w:val="en-GB"/>
              </w:rPr>
              <w:t>-0.020***</w:t>
            </w:r>
          </w:p>
        </w:tc>
      </w:tr>
      <w:tr w:rsidR="00C77830" w:rsidRPr="00C77830" w14:paraId="4A1F1299" w14:textId="77777777" w:rsidTr="00C3611B">
        <w:trPr>
          <w:jc w:val="center"/>
        </w:trPr>
        <w:tc>
          <w:tcPr>
            <w:tcW w:w="1954" w:type="dxa"/>
          </w:tcPr>
          <w:p w14:paraId="26179CC2" w14:textId="77777777" w:rsidR="00C77830" w:rsidRPr="00C77830" w:rsidRDefault="00C77830" w:rsidP="00C3611B">
            <w:pPr>
              <w:pStyle w:val="NoSpacing"/>
              <w:ind w:firstLine="0"/>
              <w:rPr>
                <w:sz w:val="20"/>
                <w:szCs w:val="18"/>
                <w:lang w:val="en-GB"/>
              </w:rPr>
            </w:pPr>
          </w:p>
        </w:tc>
        <w:tc>
          <w:tcPr>
            <w:tcW w:w="1573" w:type="dxa"/>
          </w:tcPr>
          <w:p w14:paraId="72E591F2" w14:textId="77777777" w:rsidR="00C77830" w:rsidRPr="00C77830" w:rsidRDefault="00C77830" w:rsidP="00C77830">
            <w:pPr>
              <w:pStyle w:val="NoSpacing"/>
              <w:ind w:firstLine="0"/>
              <w:jc w:val="center"/>
              <w:rPr>
                <w:sz w:val="20"/>
                <w:szCs w:val="18"/>
                <w:lang w:val="en-GB"/>
              </w:rPr>
            </w:pPr>
            <w:r w:rsidRPr="00C77830">
              <w:rPr>
                <w:sz w:val="20"/>
                <w:szCs w:val="18"/>
                <w:lang w:val="en-GB"/>
              </w:rPr>
              <w:t>(-4.45)</w:t>
            </w:r>
          </w:p>
        </w:tc>
        <w:tc>
          <w:tcPr>
            <w:tcW w:w="1428" w:type="dxa"/>
          </w:tcPr>
          <w:p w14:paraId="6C1CD817" w14:textId="77777777" w:rsidR="00C77830" w:rsidRPr="00C77830" w:rsidRDefault="00C77830" w:rsidP="00C77830">
            <w:pPr>
              <w:pStyle w:val="NoSpacing"/>
              <w:ind w:firstLine="0"/>
              <w:jc w:val="center"/>
              <w:rPr>
                <w:sz w:val="20"/>
                <w:szCs w:val="18"/>
                <w:lang w:val="en-GB"/>
              </w:rPr>
            </w:pPr>
            <w:r w:rsidRPr="00C77830">
              <w:rPr>
                <w:sz w:val="20"/>
                <w:szCs w:val="18"/>
                <w:lang w:val="en-GB"/>
              </w:rPr>
              <w:t>(-6.49)</w:t>
            </w:r>
          </w:p>
        </w:tc>
        <w:tc>
          <w:tcPr>
            <w:tcW w:w="1792" w:type="dxa"/>
          </w:tcPr>
          <w:p w14:paraId="299AC8D7" w14:textId="77777777" w:rsidR="00C77830" w:rsidRPr="00C77830" w:rsidRDefault="00C77830" w:rsidP="00C77830">
            <w:pPr>
              <w:pStyle w:val="NoSpacing"/>
              <w:ind w:firstLine="0"/>
              <w:jc w:val="center"/>
              <w:rPr>
                <w:sz w:val="20"/>
                <w:szCs w:val="18"/>
                <w:lang w:val="en-GB"/>
              </w:rPr>
            </w:pPr>
            <w:r w:rsidRPr="00C77830">
              <w:rPr>
                <w:sz w:val="20"/>
                <w:szCs w:val="18"/>
                <w:lang w:val="en-GB"/>
              </w:rPr>
              <w:t>(1.15)</w:t>
            </w:r>
          </w:p>
        </w:tc>
        <w:tc>
          <w:tcPr>
            <w:tcW w:w="2002" w:type="dxa"/>
          </w:tcPr>
          <w:p w14:paraId="3217BBE5" w14:textId="77777777" w:rsidR="00C77830" w:rsidRPr="00C77830" w:rsidRDefault="00C77830" w:rsidP="00C77830">
            <w:pPr>
              <w:pStyle w:val="NoSpacing"/>
              <w:ind w:firstLine="0"/>
              <w:jc w:val="center"/>
              <w:rPr>
                <w:sz w:val="20"/>
                <w:szCs w:val="18"/>
                <w:lang w:val="en-GB"/>
              </w:rPr>
            </w:pPr>
            <w:r w:rsidRPr="00C77830">
              <w:rPr>
                <w:sz w:val="20"/>
                <w:szCs w:val="18"/>
                <w:lang w:val="en-GB"/>
              </w:rPr>
              <w:t>(-5.52)</w:t>
            </w:r>
          </w:p>
        </w:tc>
        <w:tc>
          <w:tcPr>
            <w:tcW w:w="2323" w:type="dxa"/>
          </w:tcPr>
          <w:p w14:paraId="53900739" w14:textId="77777777" w:rsidR="00C77830" w:rsidRPr="00C77830" w:rsidRDefault="00C77830" w:rsidP="00C77830">
            <w:pPr>
              <w:pStyle w:val="NoSpacing"/>
              <w:ind w:firstLine="0"/>
              <w:jc w:val="center"/>
              <w:rPr>
                <w:sz w:val="20"/>
                <w:szCs w:val="18"/>
                <w:lang w:val="en-GB"/>
              </w:rPr>
            </w:pPr>
            <w:r w:rsidRPr="00C77830">
              <w:rPr>
                <w:sz w:val="20"/>
                <w:szCs w:val="18"/>
                <w:lang w:val="en-GB"/>
              </w:rPr>
              <w:t>(0.35)</w:t>
            </w:r>
          </w:p>
        </w:tc>
        <w:tc>
          <w:tcPr>
            <w:tcW w:w="2104" w:type="dxa"/>
          </w:tcPr>
          <w:p w14:paraId="5771F70A" w14:textId="77777777" w:rsidR="00C77830" w:rsidRPr="00C77830" w:rsidRDefault="00C77830" w:rsidP="00C77830">
            <w:pPr>
              <w:pStyle w:val="NoSpacing"/>
              <w:ind w:firstLine="0"/>
              <w:jc w:val="center"/>
              <w:rPr>
                <w:sz w:val="20"/>
                <w:szCs w:val="18"/>
                <w:lang w:val="en-GB"/>
              </w:rPr>
            </w:pPr>
            <w:r w:rsidRPr="00C77830">
              <w:rPr>
                <w:sz w:val="20"/>
                <w:szCs w:val="18"/>
                <w:lang w:val="en-GB"/>
              </w:rPr>
              <w:t>(-3.24)</w:t>
            </w:r>
          </w:p>
        </w:tc>
      </w:tr>
      <w:tr w:rsidR="00C77830" w:rsidRPr="00C77830" w14:paraId="28DB4B94" w14:textId="77777777" w:rsidTr="00C3611B">
        <w:trPr>
          <w:jc w:val="center"/>
        </w:trPr>
        <w:tc>
          <w:tcPr>
            <w:tcW w:w="1954" w:type="dxa"/>
          </w:tcPr>
          <w:p w14:paraId="25195ADD" w14:textId="77777777" w:rsidR="00C77830" w:rsidRPr="00C77830" w:rsidRDefault="00C77830" w:rsidP="00C3611B">
            <w:pPr>
              <w:pStyle w:val="NoSpacing"/>
              <w:ind w:firstLine="0"/>
              <w:rPr>
                <w:sz w:val="20"/>
                <w:szCs w:val="18"/>
                <w:lang w:val="en-GB"/>
              </w:rPr>
            </w:pPr>
            <w:r w:rsidRPr="00C77830">
              <w:rPr>
                <w:sz w:val="20"/>
                <w:szCs w:val="18"/>
                <w:lang w:val="en-GB"/>
              </w:rPr>
              <w:t>_cons</w:t>
            </w:r>
          </w:p>
        </w:tc>
        <w:tc>
          <w:tcPr>
            <w:tcW w:w="1573" w:type="dxa"/>
          </w:tcPr>
          <w:p w14:paraId="58BF9D9C" w14:textId="77777777" w:rsidR="00C77830" w:rsidRPr="00C77830" w:rsidRDefault="00C77830" w:rsidP="00C77830">
            <w:pPr>
              <w:pStyle w:val="NoSpacing"/>
              <w:ind w:firstLine="0"/>
              <w:jc w:val="center"/>
              <w:rPr>
                <w:sz w:val="20"/>
                <w:szCs w:val="18"/>
                <w:lang w:val="en-GB"/>
              </w:rPr>
            </w:pPr>
            <w:r w:rsidRPr="00C77830">
              <w:rPr>
                <w:sz w:val="20"/>
                <w:szCs w:val="18"/>
                <w:lang w:val="en-GB"/>
              </w:rPr>
              <w:t>-0.366***</w:t>
            </w:r>
          </w:p>
        </w:tc>
        <w:tc>
          <w:tcPr>
            <w:tcW w:w="1428" w:type="dxa"/>
          </w:tcPr>
          <w:p w14:paraId="4A0E54E5" w14:textId="77777777" w:rsidR="00C77830" w:rsidRPr="00C77830" w:rsidRDefault="00C77830" w:rsidP="00C77830">
            <w:pPr>
              <w:pStyle w:val="NoSpacing"/>
              <w:ind w:firstLine="0"/>
              <w:jc w:val="center"/>
              <w:rPr>
                <w:sz w:val="20"/>
                <w:szCs w:val="18"/>
                <w:lang w:val="en-GB"/>
              </w:rPr>
            </w:pPr>
            <w:r w:rsidRPr="00C77830">
              <w:rPr>
                <w:sz w:val="20"/>
                <w:szCs w:val="18"/>
                <w:lang w:val="en-GB"/>
              </w:rPr>
              <w:t>-0.384***</w:t>
            </w:r>
          </w:p>
        </w:tc>
        <w:tc>
          <w:tcPr>
            <w:tcW w:w="1792" w:type="dxa"/>
          </w:tcPr>
          <w:p w14:paraId="22DBAC43" w14:textId="77777777" w:rsidR="00C77830" w:rsidRPr="00C77830" w:rsidRDefault="00C77830" w:rsidP="00C77830">
            <w:pPr>
              <w:pStyle w:val="NoSpacing"/>
              <w:ind w:firstLine="0"/>
              <w:jc w:val="center"/>
              <w:rPr>
                <w:sz w:val="20"/>
                <w:szCs w:val="18"/>
                <w:lang w:val="en-GB"/>
              </w:rPr>
            </w:pPr>
            <w:r w:rsidRPr="00C77830">
              <w:rPr>
                <w:sz w:val="20"/>
                <w:szCs w:val="18"/>
                <w:lang w:val="en-GB"/>
              </w:rPr>
              <w:t>-0.140***</w:t>
            </w:r>
          </w:p>
        </w:tc>
        <w:tc>
          <w:tcPr>
            <w:tcW w:w="2002" w:type="dxa"/>
          </w:tcPr>
          <w:p w14:paraId="606C3C5D" w14:textId="77777777" w:rsidR="00C77830" w:rsidRPr="00C77830" w:rsidRDefault="00C77830" w:rsidP="00C77830">
            <w:pPr>
              <w:pStyle w:val="NoSpacing"/>
              <w:ind w:firstLine="0"/>
              <w:jc w:val="center"/>
              <w:rPr>
                <w:sz w:val="20"/>
                <w:szCs w:val="18"/>
                <w:lang w:val="en-GB"/>
              </w:rPr>
            </w:pPr>
            <w:r w:rsidRPr="00C77830">
              <w:rPr>
                <w:sz w:val="20"/>
                <w:szCs w:val="18"/>
                <w:lang w:val="en-GB"/>
              </w:rPr>
              <w:t>-0.362***</w:t>
            </w:r>
          </w:p>
        </w:tc>
        <w:tc>
          <w:tcPr>
            <w:tcW w:w="2323" w:type="dxa"/>
          </w:tcPr>
          <w:p w14:paraId="33549434" w14:textId="77777777" w:rsidR="00C77830" w:rsidRPr="00C77830" w:rsidRDefault="00C77830" w:rsidP="00C77830">
            <w:pPr>
              <w:pStyle w:val="NoSpacing"/>
              <w:ind w:firstLine="0"/>
              <w:jc w:val="center"/>
              <w:rPr>
                <w:sz w:val="20"/>
                <w:szCs w:val="18"/>
                <w:lang w:val="en-GB"/>
              </w:rPr>
            </w:pPr>
            <w:r w:rsidRPr="00C77830">
              <w:rPr>
                <w:sz w:val="20"/>
                <w:szCs w:val="18"/>
                <w:lang w:val="en-GB"/>
              </w:rPr>
              <w:t>-0.076**</w:t>
            </w:r>
          </w:p>
        </w:tc>
        <w:tc>
          <w:tcPr>
            <w:tcW w:w="2104" w:type="dxa"/>
          </w:tcPr>
          <w:p w14:paraId="4EC64F41" w14:textId="77777777" w:rsidR="00C77830" w:rsidRPr="00C77830" w:rsidRDefault="00C77830" w:rsidP="00C77830">
            <w:pPr>
              <w:pStyle w:val="NoSpacing"/>
              <w:ind w:firstLine="0"/>
              <w:jc w:val="center"/>
              <w:rPr>
                <w:sz w:val="20"/>
                <w:szCs w:val="18"/>
                <w:lang w:val="en-GB"/>
              </w:rPr>
            </w:pPr>
            <w:r w:rsidRPr="00C77830">
              <w:rPr>
                <w:sz w:val="20"/>
                <w:szCs w:val="18"/>
                <w:lang w:val="en-GB"/>
              </w:rPr>
              <w:t>-0.377***</w:t>
            </w:r>
          </w:p>
        </w:tc>
      </w:tr>
      <w:tr w:rsidR="00C77830" w:rsidRPr="00C77830" w14:paraId="0C96AB14" w14:textId="77777777" w:rsidTr="00C3611B">
        <w:trPr>
          <w:jc w:val="center"/>
        </w:trPr>
        <w:tc>
          <w:tcPr>
            <w:tcW w:w="1954" w:type="dxa"/>
            <w:tcBorders>
              <w:bottom w:val="single" w:sz="0" w:space="0" w:color="000000"/>
            </w:tcBorders>
          </w:tcPr>
          <w:p w14:paraId="7FEF33DE" w14:textId="77777777" w:rsidR="00C77830" w:rsidRPr="00C77830" w:rsidRDefault="00C77830" w:rsidP="00C3611B">
            <w:pPr>
              <w:pStyle w:val="NoSpacing"/>
              <w:ind w:firstLine="0"/>
              <w:rPr>
                <w:sz w:val="20"/>
                <w:szCs w:val="18"/>
                <w:lang w:val="en-GB"/>
              </w:rPr>
            </w:pPr>
          </w:p>
        </w:tc>
        <w:tc>
          <w:tcPr>
            <w:tcW w:w="1573" w:type="dxa"/>
            <w:tcBorders>
              <w:bottom w:val="single" w:sz="0" w:space="0" w:color="000000"/>
            </w:tcBorders>
          </w:tcPr>
          <w:p w14:paraId="16A5DA51" w14:textId="77777777" w:rsidR="00C77830" w:rsidRPr="00C77830" w:rsidRDefault="00C77830" w:rsidP="00C77830">
            <w:pPr>
              <w:pStyle w:val="NoSpacing"/>
              <w:ind w:firstLine="0"/>
              <w:jc w:val="center"/>
              <w:rPr>
                <w:sz w:val="20"/>
                <w:szCs w:val="18"/>
                <w:lang w:val="en-GB"/>
              </w:rPr>
            </w:pPr>
            <w:r w:rsidRPr="00C77830">
              <w:rPr>
                <w:sz w:val="20"/>
                <w:szCs w:val="18"/>
                <w:lang w:val="en-GB"/>
              </w:rPr>
              <w:t>(-8.40)</w:t>
            </w:r>
          </w:p>
        </w:tc>
        <w:tc>
          <w:tcPr>
            <w:tcW w:w="1428" w:type="dxa"/>
            <w:tcBorders>
              <w:bottom w:val="single" w:sz="0" w:space="0" w:color="000000"/>
            </w:tcBorders>
          </w:tcPr>
          <w:p w14:paraId="73B502E8" w14:textId="77777777" w:rsidR="00C77830" w:rsidRPr="00C77830" w:rsidRDefault="00C77830" w:rsidP="00C77830">
            <w:pPr>
              <w:pStyle w:val="NoSpacing"/>
              <w:ind w:firstLine="0"/>
              <w:jc w:val="center"/>
              <w:rPr>
                <w:sz w:val="20"/>
                <w:szCs w:val="18"/>
                <w:lang w:val="en-GB"/>
              </w:rPr>
            </w:pPr>
            <w:r w:rsidRPr="00C77830">
              <w:rPr>
                <w:sz w:val="20"/>
                <w:szCs w:val="18"/>
                <w:lang w:val="en-GB"/>
              </w:rPr>
              <w:t>(-8.00)</w:t>
            </w:r>
          </w:p>
        </w:tc>
        <w:tc>
          <w:tcPr>
            <w:tcW w:w="1792" w:type="dxa"/>
            <w:tcBorders>
              <w:bottom w:val="single" w:sz="0" w:space="0" w:color="000000"/>
            </w:tcBorders>
          </w:tcPr>
          <w:p w14:paraId="023D61F1" w14:textId="77777777" w:rsidR="00C77830" w:rsidRPr="00C77830" w:rsidRDefault="00C77830" w:rsidP="00C77830">
            <w:pPr>
              <w:pStyle w:val="NoSpacing"/>
              <w:ind w:firstLine="0"/>
              <w:jc w:val="center"/>
              <w:rPr>
                <w:sz w:val="20"/>
                <w:szCs w:val="18"/>
                <w:lang w:val="en-GB"/>
              </w:rPr>
            </w:pPr>
            <w:r w:rsidRPr="00C77830">
              <w:rPr>
                <w:sz w:val="20"/>
                <w:szCs w:val="18"/>
                <w:lang w:val="en-GB"/>
              </w:rPr>
              <w:t>(-3.53)</w:t>
            </w:r>
          </w:p>
        </w:tc>
        <w:tc>
          <w:tcPr>
            <w:tcW w:w="2002" w:type="dxa"/>
            <w:tcBorders>
              <w:bottom w:val="single" w:sz="0" w:space="0" w:color="000000"/>
            </w:tcBorders>
          </w:tcPr>
          <w:p w14:paraId="07E2FE25" w14:textId="77777777" w:rsidR="00C77830" w:rsidRPr="00C77830" w:rsidRDefault="00C77830" w:rsidP="00C77830">
            <w:pPr>
              <w:pStyle w:val="NoSpacing"/>
              <w:ind w:firstLine="0"/>
              <w:jc w:val="center"/>
              <w:rPr>
                <w:sz w:val="20"/>
                <w:szCs w:val="18"/>
                <w:lang w:val="en-GB"/>
              </w:rPr>
            </w:pPr>
            <w:r w:rsidRPr="00C77830">
              <w:rPr>
                <w:sz w:val="20"/>
                <w:szCs w:val="18"/>
                <w:lang w:val="en-GB"/>
              </w:rPr>
              <w:t>(-8.84)</w:t>
            </w:r>
          </w:p>
        </w:tc>
        <w:tc>
          <w:tcPr>
            <w:tcW w:w="2323" w:type="dxa"/>
            <w:tcBorders>
              <w:bottom w:val="single" w:sz="0" w:space="0" w:color="000000"/>
            </w:tcBorders>
          </w:tcPr>
          <w:p w14:paraId="2A3C8FA3" w14:textId="77777777" w:rsidR="00C77830" w:rsidRPr="00C77830" w:rsidRDefault="00C77830" w:rsidP="00C77830">
            <w:pPr>
              <w:pStyle w:val="NoSpacing"/>
              <w:ind w:firstLine="0"/>
              <w:jc w:val="center"/>
              <w:rPr>
                <w:sz w:val="20"/>
                <w:szCs w:val="18"/>
                <w:lang w:val="en-GB"/>
              </w:rPr>
            </w:pPr>
            <w:r w:rsidRPr="00C77830">
              <w:rPr>
                <w:sz w:val="20"/>
                <w:szCs w:val="18"/>
                <w:lang w:val="en-GB"/>
              </w:rPr>
              <w:t>(-1.98)</w:t>
            </w:r>
          </w:p>
        </w:tc>
        <w:tc>
          <w:tcPr>
            <w:tcW w:w="2104" w:type="dxa"/>
            <w:tcBorders>
              <w:bottom w:val="single" w:sz="0" w:space="0" w:color="000000"/>
            </w:tcBorders>
          </w:tcPr>
          <w:p w14:paraId="705F218A" w14:textId="77777777" w:rsidR="00C77830" w:rsidRPr="00C77830" w:rsidRDefault="00C77830" w:rsidP="00C77830">
            <w:pPr>
              <w:pStyle w:val="NoSpacing"/>
              <w:ind w:firstLine="0"/>
              <w:jc w:val="center"/>
              <w:rPr>
                <w:sz w:val="20"/>
                <w:szCs w:val="18"/>
                <w:lang w:val="en-GB"/>
              </w:rPr>
            </w:pPr>
            <w:r w:rsidRPr="00C77830">
              <w:rPr>
                <w:sz w:val="20"/>
                <w:szCs w:val="18"/>
                <w:lang w:val="en-GB"/>
              </w:rPr>
              <w:t>(-9.50)</w:t>
            </w:r>
          </w:p>
        </w:tc>
      </w:tr>
      <w:tr w:rsidR="00C77830" w:rsidRPr="00C77830" w14:paraId="0E78AEFF" w14:textId="77777777" w:rsidTr="00C3611B">
        <w:trPr>
          <w:jc w:val="center"/>
        </w:trPr>
        <w:tc>
          <w:tcPr>
            <w:tcW w:w="1954" w:type="dxa"/>
            <w:tcBorders>
              <w:top w:val="single" w:sz="0" w:space="0" w:color="000000"/>
            </w:tcBorders>
          </w:tcPr>
          <w:p w14:paraId="0B2DC468" w14:textId="77777777" w:rsidR="00C77830" w:rsidRPr="00C77830" w:rsidRDefault="00C77830" w:rsidP="00C3611B">
            <w:pPr>
              <w:pStyle w:val="NoSpacing"/>
              <w:ind w:firstLine="0"/>
              <w:rPr>
                <w:sz w:val="20"/>
                <w:szCs w:val="18"/>
                <w:lang w:val="en-GB"/>
              </w:rPr>
            </w:pPr>
            <w:r w:rsidRPr="00C77830">
              <w:rPr>
                <w:rFonts w:eastAsia="Calibri"/>
                <w:sz w:val="20"/>
                <w:szCs w:val="18"/>
                <w:lang w:val="en-GB"/>
              </w:rPr>
              <w:t>var (_cons)</w:t>
            </w:r>
          </w:p>
        </w:tc>
        <w:tc>
          <w:tcPr>
            <w:tcW w:w="1573" w:type="dxa"/>
            <w:tcBorders>
              <w:top w:val="single" w:sz="0" w:space="0" w:color="000000"/>
            </w:tcBorders>
          </w:tcPr>
          <w:p w14:paraId="75D48EB6" w14:textId="77777777" w:rsidR="00C77830" w:rsidRPr="00C77830" w:rsidRDefault="00C77830" w:rsidP="00C77830">
            <w:pPr>
              <w:pStyle w:val="NoSpacing"/>
              <w:ind w:firstLine="0"/>
              <w:jc w:val="center"/>
              <w:rPr>
                <w:sz w:val="20"/>
                <w:szCs w:val="18"/>
                <w:lang w:val="en-GB"/>
              </w:rPr>
            </w:pPr>
            <w:r w:rsidRPr="00C77830">
              <w:rPr>
                <w:rFonts w:eastAsia="Calibri"/>
                <w:sz w:val="20"/>
                <w:szCs w:val="18"/>
                <w:lang w:val="en-GB"/>
              </w:rPr>
              <w:t>0.129</w:t>
            </w:r>
          </w:p>
        </w:tc>
        <w:tc>
          <w:tcPr>
            <w:tcW w:w="1428" w:type="dxa"/>
            <w:tcBorders>
              <w:top w:val="single" w:sz="0" w:space="0" w:color="000000"/>
            </w:tcBorders>
          </w:tcPr>
          <w:p w14:paraId="7673E083" w14:textId="77777777" w:rsidR="00C77830" w:rsidRPr="00C77830" w:rsidRDefault="00C77830" w:rsidP="00C77830">
            <w:pPr>
              <w:pStyle w:val="NoSpacing"/>
              <w:ind w:firstLine="0"/>
              <w:jc w:val="center"/>
              <w:rPr>
                <w:sz w:val="20"/>
                <w:szCs w:val="18"/>
                <w:lang w:val="en-GB"/>
              </w:rPr>
            </w:pPr>
            <w:r w:rsidRPr="00C77830">
              <w:rPr>
                <w:rFonts w:eastAsia="Calibri"/>
                <w:sz w:val="20"/>
                <w:szCs w:val="18"/>
                <w:lang w:val="en-GB"/>
              </w:rPr>
              <w:t>0.168</w:t>
            </w:r>
          </w:p>
        </w:tc>
        <w:tc>
          <w:tcPr>
            <w:tcW w:w="1792" w:type="dxa"/>
            <w:tcBorders>
              <w:top w:val="single" w:sz="0" w:space="0" w:color="000000"/>
            </w:tcBorders>
          </w:tcPr>
          <w:p w14:paraId="5679004B" w14:textId="77777777" w:rsidR="00C77830" w:rsidRPr="00C77830" w:rsidRDefault="00C77830" w:rsidP="00C77830">
            <w:pPr>
              <w:pStyle w:val="NoSpacing"/>
              <w:ind w:firstLine="0"/>
              <w:jc w:val="center"/>
              <w:rPr>
                <w:sz w:val="20"/>
                <w:szCs w:val="18"/>
                <w:lang w:val="en-GB"/>
              </w:rPr>
            </w:pPr>
            <w:r w:rsidRPr="00C77830">
              <w:rPr>
                <w:rFonts w:eastAsia="Calibri"/>
                <w:sz w:val="20"/>
                <w:szCs w:val="18"/>
                <w:lang w:val="en-GB"/>
              </w:rPr>
              <w:t>0.099</w:t>
            </w:r>
          </w:p>
        </w:tc>
        <w:tc>
          <w:tcPr>
            <w:tcW w:w="2002" w:type="dxa"/>
            <w:tcBorders>
              <w:top w:val="single" w:sz="0" w:space="0" w:color="000000"/>
            </w:tcBorders>
          </w:tcPr>
          <w:p w14:paraId="7B0D1D13" w14:textId="77777777" w:rsidR="00C77830" w:rsidRPr="00C77830" w:rsidRDefault="00C77830" w:rsidP="00C77830">
            <w:pPr>
              <w:pStyle w:val="NoSpacing"/>
              <w:ind w:firstLine="0"/>
              <w:jc w:val="center"/>
              <w:rPr>
                <w:sz w:val="20"/>
                <w:szCs w:val="18"/>
                <w:lang w:val="en-GB"/>
              </w:rPr>
            </w:pPr>
            <w:r w:rsidRPr="00C77830">
              <w:rPr>
                <w:rFonts w:eastAsia="Calibri"/>
                <w:sz w:val="20"/>
                <w:szCs w:val="18"/>
                <w:lang w:val="en-GB"/>
              </w:rPr>
              <w:t>0.108</w:t>
            </w:r>
          </w:p>
        </w:tc>
        <w:tc>
          <w:tcPr>
            <w:tcW w:w="2323" w:type="dxa"/>
            <w:tcBorders>
              <w:top w:val="single" w:sz="0" w:space="0" w:color="000000"/>
            </w:tcBorders>
          </w:tcPr>
          <w:p w14:paraId="41216E51" w14:textId="77777777" w:rsidR="00C77830" w:rsidRPr="00C77830" w:rsidRDefault="00C77830" w:rsidP="00C77830">
            <w:pPr>
              <w:pStyle w:val="NoSpacing"/>
              <w:ind w:firstLine="0"/>
              <w:jc w:val="center"/>
              <w:rPr>
                <w:sz w:val="20"/>
                <w:szCs w:val="18"/>
                <w:lang w:val="en-GB"/>
              </w:rPr>
            </w:pPr>
            <w:r w:rsidRPr="00C77830">
              <w:rPr>
                <w:rFonts w:eastAsia="Calibri"/>
                <w:sz w:val="20"/>
                <w:szCs w:val="18"/>
                <w:lang w:val="en-GB"/>
              </w:rPr>
              <w:t>0.090</w:t>
            </w:r>
          </w:p>
        </w:tc>
        <w:tc>
          <w:tcPr>
            <w:tcW w:w="2104" w:type="dxa"/>
            <w:tcBorders>
              <w:top w:val="single" w:sz="0" w:space="0" w:color="000000"/>
            </w:tcBorders>
          </w:tcPr>
          <w:p w14:paraId="3A92028D" w14:textId="77777777" w:rsidR="00C77830" w:rsidRPr="00C77830" w:rsidRDefault="00C77830" w:rsidP="00C77830">
            <w:pPr>
              <w:pStyle w:val="NoSpacing"/>
              <w:ind w:firstLine="0"/>
              <w:jc w:val="center"/>
              <w:rPr>
                <w:sz w:val="20"/>
                <w:szCs w:val="18"/>
                <w:lang w:val="en-GB"/>
              </w:rPr>
            </w:pPr>
            <w:r w:rsidRPr="00C77830">
              <w:rPr>
                <w:rFonts w:eastAsia="Calibri"/>
                <w:sz w:val="20"/>
                <w:szCs w:val="18"/>
                <w:lang w:val="en-GB"/>
              </w:rPr>
              <w:t>0.098</w:t>
            </w:r>
          </w:p>
        </w:tc>
      </w:tr>
      <w:tr w:rsidR="00C77830" w:rsidRPr="00C77830" w14:paraId="0DE56DDE" w14:textId="77777777" w:rsidTr="00C3611B">
        <w:trPr>
          <w:jc w:val="center"/>
        </w:trPr>
        <w:tc>
          <w:tcPr>
            <w:tcW w:w="1954" w:type="dxa"/>
          </w:tcPr>
          <w:p w14:paraId="46DE22F6" w14:textId="77777777" w:rsidR="00C77830" w:rsidRPr="00C77830" w:rsidRDefault="00C77830" w:rsidP="00C3611B">
            <w:pPr>
              <w:pStyle w:val="NoSpacing"/>
              <w:ind w:firstLine="0"/>
              <w:rPr>
                <w:sz w:val="20"/>
                <w:szCs w:val="18"/>
                <w:lang w:val="en-GB"/>
              </w:rPr>
            </w:pPr>
            <w:r w:rsidRPr="00C77830">
              <w:rPr>
                <w:rFonts w:eastAsia="Calibri"/>
                <w:sz w:val="20"/>
                <w:szCs w:val="18"/>
                <w:lang w:val="en-GB"/>
              </w:rPr>
              <w:t>var (Residual)</w:t>
            </w:r>
          </w:p>
        </w:tc>
        <w:tc>
          <w:tcPr>
            <w:tcW w:w="1573" w:type="dxa"/>
          </w:tcPr>
          <w:p w14:paraId="52F0054B" w14:textId="77777777" w:rsidR="00C77830" w:rsidRPr="00C77830" w:rsidRDefault="00C77830" w:rsidP="00C77830">
            <w:pPr>
              <w:pStyle w:val="NoSpacing"/>
              <w:ind w:firstLine="0"/>
              <w:jc w:val="center"/>
              <w:rPr>
                <w:sz w:val="20"/>
                <w:szCs w:val="18"/>
                <w:lang w:val="en-GB"/>
              </w:rPr>
            </w:pPr>
            <w:r w:rsidRPr="00C77830">
              <w:rPr>
                <w:rFonts w:eastAsia="Calibri"/>
                <w:sz w:val="20"/>
                <w:szCs w:val="18"/>
                <w:lang w:val="en-GB"/>
              </w:rPr>
              <w:t>0.923</w:t>
            </w:r>
          </w:p>
        </w:tc>
        <w:tc>
          <w:tcPr>
            <w:tcW w:w="1428" w:type="dxa"/>
          </w:tcPr>
          <w:p w14:paraId="5D07E47D" w14:textId="77777777" w:rsidR="00C77830" w:rsidRPr="00C77830" w:rsidRDefault="00C77830" w:rsidP="00C77830">
            <w:pPr>
              <w:pStyle w:val="NoSpacing"/>
              <w:ind w:firstLine="0"/>
              <w:jc w:val="center"/>
              <w:rPr>
                <w:sz w:val="20"/>
                <w:szCs w:val="18"/>
                <w:lang w:val="en-GB"/>
              </w:rPr>
            </w:pPr>
            <w:r w:rsidRPr="00C77830">
              <w:rPr>
                <w:rFonts w:eastAsia="Calibri"/>
                <w:sz w:val="20"/>
                <w:szCs w:val="18"/>
                <w:lang w:val="en-GB"/>
              </w:rPr>
              <w:t>0.909</w:t>
            </w:r>
          </w:p>
        </w:tc>
        <w:tc>
          <w:tcPr>
            <w:tcW w:w="1792" w:type="dxa"/>
          </w:tcPr>
          <w:p w14:paraId="12D56BE0" w14:textId="77777777" w:rsidR="00C77830" w:rsidRPr="00C77830" w:rsidRDefault="00C77830" w:rsidP="00C77830">
            <w:pPr>
              <w:pStyle w:val="NoSpacing"/>
              <w:ind w:firstLine="0"/>
              <w:jc w:val="center"/>
              <w:rPr>
                <w:sz w:val="20"/>
                <w:szCs w:val="18"/>
                <w:lang w:val="en-GB"/>
              </w:rPr>
            </w:pPr>
            <w:r w:rsidRPr="00C77830">
              <w:rPr>
                <w:rFonts w:eastAsia="Calibri"/>
                <w:sz w:val="20"/>
                <w:szCs w:val="18"/>
                <w:lang w:val="en-GB"/>
              </w:rPr>
              <w:t>0.917</w:t>
            </w:r>
          </w:p>
        </w:tc>
        <w:tc>
          <w:tcPr>
            <w:tcW w:w="2002" w:type="dxa"/>
          </w:tcPr>
          <w:p w14:paraId="20982966" w14:textId="77777777" w:rsidR="00C77830" w:rsidRPr="00C77830" w:rsidRDefault="00C77830" w:rsidP="00C77830">
            <w:pPr>
              <w:pStyle w:val="NoSpacing"/>
              <w:ind w:firstLine="0"/>
              <w:jc w:val="center"/>
              <w:rPr>
                <w:sz w:val="20"/>
                <w:szCs w:val="18"/>
                <w:lang w:val="en-GB"/>
              </w:rPr>
            </w:pPr>
            <w:r w:rsidRPr="00C77830">
              <w:rPr>
                <w:rFonts w:eastAsia="Calibri"/>
                <w:sz w:val="20"/>
                <w:szCs w:val="18"/>
                <w:lang w:val="en-GB"/>
              </w:rPr>
              <w:t>0.933</w:t>
            </w:r>
          </w:p>
        </w:tc>
        <w:tc>
          <w:tcPr>
            <w:tcW w:w="2323" w:type="dxa"/>
          </w:tcPr>
          <w:p w14:paraId="0878EA4D" w14:textId="77777777" w:rsidR="00C77830" w:rsidRPr="00C77830" w:rsidRDefault="00C77830" w:rsidP="00C77830">
            <w:pPr>
              <w:pStyle w:val="NoSpacing"/>
              <w:ind w:firstLine="0"/>
              <w:jc w:val="center"/>
              <w:rPr>
                <w:sz w:val="20"/>
                <w:szCs w:val="18"/>
                <w:lang w:val="en-GB"/>
              </w:rPr>
            </w:pPr>
            <w:r w:rsidRPr="00C77830">
              <w:rPr>
                <w:rFonts w:eastAsia="Calibri"/>
                <w:sz w:val="20"/>
                <w:szCs w:val="18"/>
                <w:lang w:val="en-GB"/>
              </w:rPr>
              <w:t>0.911</w:t>
            </w:r>
          </w:p>
        </w:tc>
        <w:tc>
          <w:tcPr>
            <w:tcW w:w="2104" w:type="dxa"/>
          </w:tcPr>
          <w:p w14:paraId="21C140F3" w14:textId="77777777" w:rsidR="00C77830" w:rsidRPr="00C77830" w:rsidRDefault="00C77830" w:rsidP="00C77830">
            <w:pPr>
              <w:pStyle w:val="NoSpacing"/>
              <w:ind w:firstLine="0"/>
              <w:jc w:val="center"/>
              <w:rPr>
                <w:sz w:val="20"/>
                <w:szCs w:val="18"/>
                <w:lang w:val="en-GB"/>
              </w:rPr>
            </w:pPr>
            <w:r w:rsidRPr="00C77830">
              <w:rPr>
                <w:rFonts w:eastAsia="Calibri"/>
                <w:sz w:val="20"/>
                <w:szCs w:val="18"/>
                <w:lang w:val="en-GB"/>
              </w:rPr>
              <w:t>0.939</w:t>
            </w:r>
          </w:p>
        </w:tc>
      </w:tr>
      <w:tr w:rsidR="00C77830" w:rsidRPr="00C77830" w14:paraId="22F609A3" w14:textId="77777777" w:rsidTr="00C3611B">
        <w:trPr>
          <w:jc w:val="center"/>
        </w:trPr>
        <w:tc>
          <w:tcPr>
            <w:tcW w:w="1954" w:type="dxa"/>
            <w:tcBorders>
              <w:bottom w:val="single" w:sz="0" w:space="0" w:color="000000"/>
            </w:tcBorders>
          </w:tcPr>
          <w:p w14:paraId="35B48AFB" w14:textId="77777777" w:rsidR="00C77830" w:rsidRPr="00C77830" w:rsidRDefault="00C77830" w:rsidP="00C3611B">
            <w:pPr>
              <w:pStyle w:val="NoSpacing"/>
              <w:ind w:firstLine="0"/>
              <w:rPr>
                <w:sz w:val="20"/>
                <w:szCs w:val="18"/>
                <w:lang w:val="en-GB"/>
              </w:rPr>
            </w:pPr>
            <w:r w:rsidRPr="00C77830">
              <w:rPr>
                <w:rFonts w:eastAsia="Calibri"/>
                <w:i/>
                <w:iCs/>
                <w:sz w:val="20"/>
                <w:szCs w:val="18"/>
                <w:lang w:val="en-GB"/>
              </w:rPr>
              <w:t>N</w:t>
            </w:r>
          </w:p>
        </w:tc>
        <w:tc>
          <w:tcPr>
            <w:tcW w:w="1573" w:type="dxa"/>
            <w:tcBorders>
              <w:bottom w:val="single" w:sz="0" w:space="0" w:color="000000"/>
            </w:tcBorders>
          </w:tcPr>
          <w:p w14:paraId="6A4494E6" w14:textId="77777777" w:rsidR="00C77830" w:rsidRPr="00C77830" w:rsidRDefault="00C77830" w:rsidP="00C77830">
            <w:pPr>
              <w:pStyle w:val="NoSpacing"/>
              <w:ind w:firstLine="0"/>
              <w:jc w:val="center"/>
              <w:rPr>
                <w:sz w:val="20"/>
                <w:szCs w:val="18"/>
                <w:lang w:val="en-GB"/>
              </w:rPr>
            </w:pPr>
            <w:r w:rsidRPr="00C77830">
              <w:rPr>
                <w:rFonts w:eastAsia="Calibri"/>
                <w:sz w:val="20"/>
                <w:szCs w:val="18"/>
                <w:lang w:val="en-GB"/>
              </w:rPr>
              <w:t>338,556</w:t>
            </w:r>
          </w:p>
        </w:tc>
        <w:tc>
          <w:tcPr>
            <w:tcW w:w="1428" w:type="dxa"/>
            <w:tcBorders>
              <w:bottom w:val="single" w:sz="0" w:space="0" w:color="000000"/>
            </w:tcBorders>
          </w:tcPr>
          <w:p w14:paraId="641133F6" w14:textId="77777777" w:rsidR="00C77830" w:rsidRPr="00C77830" w:rsidRDefault="00C77830" w:rsidP="00C77830">
            <w:pPr>
              <w:pStyle w:val="NoSpacing"/>
              <w:ind w:firstLine="0"/>
              <w:jc w:val="center"/>
              <w:rPr>
                <w:sz w:val="20"/>
                <w:szCs w:val="18"/>
                <w:lang w:val="en-GB"/>
              </w:rPr>
            </w:pPr>
            <w:r w:rsidRPr="00C77830">
              <w:rPr>
                <w:rFonts w:eastAsia="Calibri"/>
                <w:sz w:val="20"/>
                <w:szCs w:val="18"/>
                <w:lang w:val="en-GB"/>
              </w:rPr>
              <w:t>338,556</w:t>
            </w:r>
          </w:p>
        </w:tc>
        <w:tc>
          <w:tcPr>
            <w:tcW w:w="1792" w:type="dxa"/>
            <w:tcBorders>
              <w:bottom w:val="single" w:sz="0" w:space="0" w:color="000000"/>
            </w:tcBorders>
          </w:tcPr>
          <w:p w14:paraId="0303609A" w14:textId="77777777" w:rsidR="00C77830" w:rsidRPr="00C77830" w:rsidRDefault="00C77830" w:rsidP="00C77830">
            <w:pPr>
              <w:pStyle w:val="NoSpacing"/>
              <w:ind w:firstLine="0"/>
              <w:jc w:val="center"/>
              <w:rPr>
                <w:sz w:val="20"/>
                <w:szCs w:val="18"/>
                <w:lang w:val="en-GB"/>
              </w:rPr>
            </w:pPr>
            <w:r w:rsidRPr="00C77830">
              <w:rPr>
                <w:rFonts w:eastAsia="Calibri"/>
                <w:sz w:val="20"/>
                <w:szCs w:val="18"/>
                <w:lang w:val="en-GB"/>
              </w:rPr>
              <w:t>338,556</w:t>
            </w:r>
          </w:p>
        </w:tc>
        <w:tc>
          <w:tcPr>
            <w:tcW w:w="2002" w:type="dxa"/>
            <w:tcBorders>
              <w:bottom w:val="single" w:sz="0" w:space="0" w:color="000000"/>
            </w:tcBorders>
          </w:tcPr>
          <w:p w14:paraId="339DAD91" w14:textId="77777777" w:rsidR="00C77830" w:rsidRPr="00C77830" w:rsidRDefault="00C77830" w:rsidP="00C77830">
            <w:pPr>
              <w:pStyle w:val="NoSpacing"/>
              <w:ind w:firstLine="0"/>
              <w:jc w:val="center"/>
              <w:rPr>
                <w:sz w:val="20"/>
                <w:szCs w:val="18"/>
                <w:lang w:val="en-GB"/>
              </w:rPr>
            </w:pPr>
            <w:r w:rsidRPr="00C77830">
              <w:rPr>
                <w:rFonts w:eastAsia="Calibri"/>
                <w:sz w:val="20"/>
                <w:szCs w:val="18"/>
                <w:lang w:val="en-GB"/>
              </w:rPr>
              <w:t>338,556</w:t>
            </w:r>
          </w:p>
        </w:tc>
        <w:tc>
          <w:tcPr>
            <w:tcW w:w="2323" w:type="dxa"/>
            <w:tcBorders>
              <w:bottom w:val="single" w:sz="0" w:space="0" w:color="000000"/>
            </w:tcBorders>
          </w:tcPr>
          <w:p w14:paraId="4318614E" w14:textId="77777777" w:rsidR="00C77830" w:rsidRPr="00C77830" w:rsidRDefault="00C77830" w:rsidP="00C77830">
            <w:pPr>
              <w:pStyle w:val="NoSpacing"/>
              <w:ind w:firstLine="0"/>
              <w:jc w:val="center"/>
              <w:rPr>
                <w:sz w:val="20"/>
                <w:szCs w:val="18"/>
                <w:lang w:val="en-GB"/>
              </w:rPr>
            </w:pPr>
            <w:r w:rsidRPr="00C77830">
              <w:rPr>
                <w:rFonts w:eastAsia="Calibri"/>
                <w:sz w:val="20"/>
                <w:szCs w:val="18"/>
                <w:lang w:val="en-GB"/>
              </w:rPr>
              <w:t>338,556</w:t>
            </w:r>
          </w:p>
        </w:tc>
        <w:tc>
          <w:tcPr>
            <w:tcW w:w="2104" w:type="dxa"/>
            <w:tcBorders>
              <w:bottom w:val="single" w:sz="0" w:space="0" w:color="000000"/>
            </w:tcBorders>
          </w:tcPr>
          <w:p w14:paraId="1959BEB6" w14:textId="77777777" w:rsidR="00C77830" w:rsidRPr="00C77830" w:rsidRDefault="00C77830" w:rsidP="00C77830">
            <w:pPr>
              <w:pStyle w:val="NoSpacing"/>
              <w:ind w:firstLine="0"/>
              <w:jc w:val="center"/>
              <w:rPr>
                <w:sz w:val="20"/>
                <w:szCs w:val="18"/>
                <w:lang w:val="en-GB"/>
              </w:rPr>
            </w:pPr>
            <w:r w:rsidRPr="00C77830">
              <w:rPr>
                <w:rFonts w:eastAsia="Calibri"/>
                <w:sz w:val="20"/>
                <w:szCs w:val="18"/>
                <w:lang w:val="en-GB"/>
              </w:rPr>
              <w:t>338,556</w:t>
            </w:r>
          </w:p>
        </w:tc>
      </w:tr>
      <w:tr w:rsidR="00C77830" w:rsidRPr="00C77830" w14:paraId="7EE10BEC" w14:textId="77777777" w:rsidTr="00C3611B">
        <w:trPr>
          <w:jc w:val="center"/>
        </w:trPr>
        <w:tc>
          <w:tcPr>
            <w:tcW w:w="1954" w:type="dxa"/>
            <w:tcBorders>
              <w:top w:val="single" w:sz="0" w:space="0" w:color="000000"/>
            </w:tcBorders>
          </w:tcPr>
          <w:p w14:paraId="53DC6A8F" w14:textId="77777777" w:rsidR="00C77830" w:rsidRPr="00C77830" w:rsidRDefault="00C77830" w:rsidP="00C3611B">
            <w:pPr>
              <w:pStyle w:val="NoSpacing"/>
              <w:ind w:firstLine="0"/>
              <w:rPr>
                <w:sz w:val="20"/>
                <w:szCs w:val="18"/>
                <w:lang w:val="en-GB"/>
              </w:rPr>
            </w:pPr>
            <w:r w:rsidRPr="00C77830">
              <w:rPr>
                <w:rFonts w:eastAsia="Calibri"/>
                <w:sz w:val="20"/>
                <w:szCs w:val="18"/>
                <w:lang w:val="en-GB"/>
              </w:rPr>
              <w:t>ICC</w:t>
            </w:r>
          </w:p>
        </w:tc>
        <w:tc>
          <w:tcPr>
            <w:tcW w:w="1573" w:type="dxa"/>
            <w:tcBorders>
              <w:top w:val="single" w:sz="0" w:space="0" w:color="000000"/>
            </w:tcBorders>
          </w:tcPr>
          <w:p w14:paraId="49F0E091" w14:textId="77777777" w:rsidR="00C77830" w:rsidRPr="00C77830" w:rsidRDefault="00C77830" w:rsidP="00C77830">
            <w:pPr>
              <w:pStyle w:val="NoSpacing"/>
              <w:ind w:firstLine="0"/>
              <w:jc w:val="center"/>
              <w:rPr>
                <w:sz w:val="20"/>
                <w:szCs w:val="18"/>
                <w:lang w:val="en-GB"/>
              </w:rPr>
            </w:pPr>
            <w:r w:rsidRPr="00C77830">
              <w:rPr>
                <w:rFonts w:eastAsia="Calibri"/>
                <w:sz w:val="20"/>
                <w:szCs w:val="18"/>
                <w:lang w:val="en-GB"/>
              </w:rPr>
              <w:t>0.123</w:t>
            </w:r>
          </w:p>
        </w:tc>
        <w:tc>
          <w:tcPr>
            <w:tcW w:w="1428" w:type="dxa"/>
            <w:tcBorders>
              <w:top w:val="single" w:sz="0" w:space="0" w:color="000000"/>
            </w:tcBorders>
          </w:tcPr>
          <w:p w14:paraId="38E3F4BE" w14:textId="77777777" w:rsidR="00C77830" w:rsidRPr="00C77830" w:rsidRDefault="00C77830" w:rsidP="00C77830">
            <w:pPr>
              <w:pStyle w:val="NoSpacing"/>
              <w:ind w:firstLine="0"/>
              <w:jc w:val="center"/>
              <w:rPr>
                <w:sz w:val="20"/>
                <w:szCs w:val="18"/>
                <w:lang w:val="en-GB"/>
              </w:rPr>
            </w:pPr>
            <w:r w:rsidRPr="00C77830">
              <w:rPr>
                <w:rFonts w:eastAsia="Calibri"/>
                <w:sz w:val="20"/>
                <w:szCs w:val="18"/>
                <w:lang w:val="en-GB"/>
              </w:rPr>
              <w:t>0.156</w:t>
            </w:r>
          </w:p>
        </w:tc>
        <w:tc>
          <w:tcPr>
            <w:tcW w:w="1792" w:type="dxa"/>
            <w:tcBorders>
              <w:top w:val="single" w:sz="0" w:space="0" w:color="000000"/>
            </w:tcBorders>
          </w:tcPr>
          <w:p w14:paraId="1C30DD3D" w14:textId="77777777" w:rsidR="00C77830" w:rsidRPr="00C77830" w:rsidRDefault="00C77830" w:rsidP="00C77830">
            <w:pPr>
              <w:pStyle w:val="NoSpacing"/>
              <w:ind w:firstLine="0"/>
              <w:jc w:val="center"/>
              <w:rPr>
                <w:sz w:val="20"/>
                <w:szCs w:val="18"/>
                <w:lang w:val="en-GB"/>
              </w:rPr>
            </w:pPr>
            <w:r w:rsidRPr="00C77830">
              <w:rPr>
                <w:rFonts w:eastAsia="Calibri"/>
                <w:sz w:val="20"/>
                <w:szCs w:val="18"/>
                <w:lang w:val="en-GB"/>
              </w:rPr>
              <w:t>0.098</w:t>
            </w:r>
          </w:p>
        </w:tc>
        <w:tc>
          <w:tcPr>
            <w:tcW w:w="2002" w:type="dxa"/>
            <w:tcBorders>
              <w:top w:val="single" w:sz="0" w:space="0" w:color="000000"/>
            </w:tcBorders>
          </w:tcPr>
          <w:p w14:paraId="19A43A30" w14:textId="77777777" w:rsidR="00C77830" w:rsidRPr="00C77830" w:rsidRDefault="00C77830" w:rsidP="00C77830">
            <w:pPr>
              <w:pStyle w:val="NoSpacing"/>
              <w:ind w:firstLine="0"/>
              <w:jc w:val="center"/>
              <w:rPr>
                <w:sz w:val="20"/>
                <w:szCs w:val="18"/>
                <w:lang w:val="en-GB"/>
              </w:rPr>
            </w:pPr>
            <w:r w:rsidRPr="00C77830">
              <w:rPr>
                <w:rFonts w:eastAsia="Calibri"/>
                <w:sz w:val="20"/>
                <w:szCs w:val="18"/>
                <w:lang w:val="en-GB"/>
              </w:rPr>
              <w:t>0.104</w:t>
            </w:r>
          </w:p>
        </w:tc>
        <w:tc>
          <w:tcPr>
            <w:tcW w:w="2323" w:type="dxa"/>
            <w:tcBorders>
              <w:top w:val="single" w:sz="0" w:space="0" w:color="000000"/>
            </w:tcBorders>
          </w:tcPr>
          <w:p w14:paraId="4C5912C9" w14:textId="77777777" w:rsidR="00C77830" w:rsidRPr="00C77830" w:rsidRDefault="00C77830" w:rsidP="00C77830">
            <w:pPr>
              <w:pStyle w:val="NoSpacing"/>
              <w:ind w:firstLine="0"/>
              <w:jc w:val="center"/>
              <w:rPr>
                <w:sz w:val="20"/>
                <w:szCs w:val="18"/>
                <w:lang w:val="en-GB"/>
              </w:rPr>
            </w:pPr>
            <w:r w:rsidRPr="00C77830">
              <w:rPr>
                <w:rFonts w:eastAsia="Calibri"/>
                <w:sz w:val="20"/>
                <w:szCs w:val="18"/>
                <w:lang w:val="en-GB"/>
              </w:rPr>
              <w:t>0.090</w:t>
            </w:r>
          </w:p>
        </w:tc>
        <w:tc>
          <w:tcPr>
            <w:tcW w:w="2104" w:type="dxa"/>
            <w:tcBorders>
              <w:top w:val="single" w:sz="0" w:space="0" w:color="000000"/>
            </w:tcBorders>
          </w:tcPr>
          <w:p w14:paraId="10329093" w14:textId="77777777" w:rsidR="00C77830" w:rsidRPr="00C77830" w:rsidRDefault="00C77830" w:rsidP="00C77830">
            <w:pPr>
              <w:pStyle w:val="NoSpacing"/>
              <w:ind w:firstLine="0"/>
              <w:jc w:val="center"/>
              <w:rPr>
                <w:sz w:val="20"/>
                <w:szCs w:val="18"/>
                <w:lang w:val="en-GB"/>
              </w:rPr>
            </w:pPr>
            <w:r w:rsidRPr="00C77830">
              <w:rPr>
                <w:rFonts w:eastAsia="Calibri"/>
                <w:sz w:val="20"/>
                <w:szCs w:val="18"/>
                <w:lang w:val="en-GB"/>
              </w:rPr>
              <w:t>0.094</w:t>
            </w:r>
          </w:p>
        </w:tc>
      </w:tr>
      <w:tr w:rsidR="00C77830" w:rsidRPr="00C77830" w14:paraId="7A807D64" w14:textId="77777777" w:rsidTr="00C3611B">
        <w:trPr>
          <w:jc w:val="center"/>
        </w:trPr>
        <w:tc>
          <w:tcPr>
            <w:tcW w:w="1954" w:type="dxa"/>
            <w:tcBorders>
              <w:bottom w:val="single" w:sz="4" w:space="0" w:color="auto"/>
            </w:tcBorders>
          </w:tcPr>
          <w:p w14:paraId="1A93699A" w14:textId="77777777" w:rsidR="00C77830" w:rsidRPr="00C77830" w:rsidRDefault="00C77830" w:rsidP="00C3611B">
            <w:pPr>
              <w:pStyle w:val="NoSpacing"/>
              <w:ind w:firstLine="0"/>
              <w:rPr>
                <w:sz w:val="20"/>
                <w:szCs w:val="18"/>
                <w:lang w:val="en-GB"/>
              </w:rPr>
            </w:pPr>
            <w:r w:rsidRPr="00C77830">
              <w:rPr>
                <w:rFonts w:eastAsia="Calibri"/>
                <w:sz w:val="20"/>
                <w:szCs w:val="18"/>
                <w:lang w:val="en-GB"/>
              </w:rPr>
              <w:t>Prob &gt; chi2</w:t>
            </w:r>
          </w:p>
        </w:tc>
        <w:tc>
          <w:tcPr>
            <w:tcW w:w="1573" w:type="dxa"/>
            <w:tcBorders>
              <w:bottom w:val="single" w:sz="4" w:space="0" w:color="auto"/>
            </w:tcBorders>
          </w:tcPr>
          <w:p w14:paraId="2446FF01" w14:textId="77777777" w:rsidR="00C77830" w:rsidRPr="00C77830" w:rsidRDefault="00C77830" w:rsidP="00C77830">
            <w:pPr>
              <w:pStyle w:val="NoSpacing"/>
              <w:ind w:firstLine="0"/>
              <w:jc w:val="center"/>
              <w:rPr>
                <w:sz w:val="20"/>
                <w:szCs w:val="18"/>
                <w:lang w:val="en-GB"/>
              </w:rPr>
            </w:pPr>
            <w:r w:rsidRPr="00C77830">
              <w:rPr>
                <w:rFonts w:eastAsia="Calibri"/>
                <w:sz w:val="20"/>
                <w:szCs w:val="18"/>
                <w:lang w:val="en-GB"/>
              </w:rPr>
              <w:t>0.000</w:t>
            </w:r>
          </w:p>
        </w:tc>
        <w:tc>
          <w:tcPr>
            <w:tcW w:w="1428" w:type="dxa"/>
            <w:tcBorders>
              <w:bottom w:val="single" w:sz="4" w:space="0" w:color="auto"/>
            </w:tcBorders>
          </w:tcPr>
          <w:p w14:paraId="52B19CD5" w14:textId="77777777" w:rsidR="00C77830" w:rsidRPr="00C77830" w:rsidRDefault="00C77830" w:rsidP="00C77830">
            <w:pPr>
              <w:pStyle w:val="NoSpacing"/>
              <w:ind w:firstLine="0"/>
              <w:jc w:val="center"/>
              <w:rPr>
                <w:sz w:val="20"/>
                <w:szCs w:val="18"/>
                <w:lang w:val="en-GB"/>
              </w:rPr>
            </w:pPr>
            <w:r w:rsidRPr="00C77830">
              <w:rPr>
                <w:rFonts w:eastAsia="Calibri"/>
                <w:sz w:val="20"/>
                <w:szCs w:val="18"/>
                <w:lang w:val="en-GB"/>
              </w:rPr>
              <w:t>0.000</w:t>
            </w:r>
          </w:p>
        </w:tc>
        <w:tc>
          <w:tcPr>
            <w:tcW w:w="1792" w:type="dxa"/>
            <w:tcBorders>
              <w:bottom w:val="single" w:sz="4" w:space="0" w:color="auto"/>
            </w:tcBorders>
          </w:tcPr>
          <w:p w14:paraId="02DA7E8F" w14:textId="77777777" w:rsidR="00C77830" w:rsidRPr="00C77830" w:rsidRDefault="00C77830" w:rsidP="00C77830">
            <w:pPr>
              <w:pStyle w:val="NoSpacing"/>
              <w:ind w:firstLine="0"/>
              <w:jc w:val="center"/>
              <w:rPr>
                <w:sz w:val="20"/>
                <w:szCs w:val="18"/>
                <w:lang w:val="en-GB"/>
              </w:rPr>
            </w:pPr>
            <w:r w:rsidRPr="00C77830">
              <w:rPr>
                <w:rFonts w:eastAsia="Calibri"/>
                <w:sz w:val="20"/>
                <w:szCs w:val="18"/>
                <w:lang w:val="en-GB"/>
              </w:rPr>
              <w:t>0.000</w:t>
            </w:r>
          </w:p>
        </w:tc>
        <w:tc>
          <w:tcPr>
            <w:tcW w:w="2002" w:type="dxa"/>
            <w:tcBorders>
              <w:bottom w:val="single" w:sz="4" w:space="0" w:color="auto"/>
            </w:tcBorders>
          </w:tcPr>
          <w:p w14:paraId="1335EC00" w14:textId="77777777" w:rsidR="00C77830" w:rsidRPr="00C77830" w:rsidRDefault="00C77830" w:rsidP="00C77830">
            <w:pPr>
              <w:pStyle w:val="NoSpacing"/>
              <w:ind w:firstLine="0"/>
              <w:jc w:val="center"/>
              <w:rPr>
                <w:sz w:val="20"/>
                <w:szCs w:val="18"/>
                <w:lang w:val="en-GB"/>
              </w:rPr>
            </w:pPr>
            <w:r w:rsidRPr="00C77830">
              <w:rPr>
                <w:rFonts w:eastAsia="Calibri"/>
                <w:sz w:val="20"/>
                <w:szCs w:val="18"/>
                <w:lang w:val="en-GB"/>
              </w:rPr>
              <w:t>0.000</w:t>
            </w:r>
          </w:p>
        </w:tc>
        <w:tc>
          <w:tcPr>
            <w:tcW w:w="2323" w:type="dxa"/>
            <w:tcBorders>
              <w:bottom w:val="single" w:sz="4" w:space="0" w:color="auto"/>
            </w:tcBorders>
          </w:tcPr>
          <w:p w14:paraId="16AB6A63" w14:textId="77777777" w:rsidR="00C77830" w:rsidRPr="00C77830" w:rsidRDefault="00C77830" w:rsidP="00C77830">
            <w:pPr>
              <w:pStyle w:val="NoSpacing"/>
              <w:ind w:firstLine="0"/>
              <w:jc w:val="center"/>
              <w:rPr>
                <w:sz w:val="20"/>
                <w:szCs w:val="18"/>
                <w:lang w:val="en-GB"/>
              </w:rPr>
            </w:pPr>
            <w:r w:rsidRPr="00C77830">
              <w:rPr>
                <w:rFonts w:eastAsia="Calibri"/>
                <w:sz w:val="20"/>
                <w:szCs w:val="18"/>
                <w:lang w:val="en-GB"/>
              </w:rPr>
              <w:t>0.000</w:t>
            </w:r>
          </w:p>
        </w:tc>
        <w:tc>
          <w:tcPr>
            <w:tcW w:w="2104" w:type="dxa"/>
            <w:tcBorders>
              <w:bottom w:val="single" w:sz="4" w:space="0" w:color="auto"/>
            </w:tcBorders>
          </w:tcPr>
          <w:p w14:paraId="491D0CCA" w14:textId="77777777" w:rsidR="00C77830" w:rsidRPr="00C77830" w:rsidRDefault="00C77830" w:rsidP="00C77830">
            <w:pPr>
              <w:pStyle w:val="NoSpacing"/>
              <w:ind w:firstLine="0"/>
              <w:jc w:val="center"/>
              <w:rPr>
                <w:sz w:val="20"/>
                <w:szCs w:val="18"/>
                <w:lang w:val="en-GB"/>
              </w:rPr>
            </w:pPr>
            <w:r w:rsidRPr="00C77830">
              <w:rPr>
                <w:rFonts w:eastAsia="Calibri"/>
                <w:sz w:val="20"/>
                <w:szCs w:val="18"/>
                <w:lang w:val="en-GB"/>
              </w:rPr>
              <w:t>0.000</w:t>
            </w:r>
          </w:p>
        </w:tc>
      </w:tr>
    </w:tbl>
    <w:p w14:paraId="6A2F6088" w14:textId="4C542E09" w:rsidR="00C77830" w:rsidRDefault="00C77830" w:rsidP="002E5390">
      <w:pPr>
        <w:spacing w:line="240" w:lineRule="auto"/>
        <w:ind w:firstLine="0"/>
        <w:jc w:val="both"/>
        <w:rPr>
          <w:rFonts w:eastAsia="Times New Roman" w:cs="Times New Roman"/>
          <w:sz w:val="20"/>
          <w:szCs w:val="20"/>
          <w:lang w:eastAsia="en-GB"/>
        </w:rPr>
      </w:pPr>
      <w:r w:rsidRPr="009232AD">
        <w:rPr>
          <w:rFonts w:eastAsia="Times New Roman" w:cs="Times New Roman"/>
          <w:sz w:val="20"/>
          <w:szCs w:val="20"/>
          <w:lang w:eastAsia="en-GB"/>
        </w:rPr>
        <w:t>The regressions are estimated using multilevel model regression for the coefficient estimates where employees are level one, and firms are level two. Standardized Coefficients are reported first, followed by z-statistics in parenthesis.</w:t>
      </w:r>
      <w:r w:rsidRPr="009232AD">
        <w:rPr>
          <w:rFonts w:ascii="Calibri" w:eastAsia="Times New Roman" w:hAnsi="Calibri" w:cs="Arial"/>
          <w:lang w:eastAsia="en-GB"/>
        </w:rPr>
        <w:t xml:space="preserve"> </w:t>
      </w:r>
      <w:r w:rsidRPr="009232AD">
        <w:rPr>
          <w:rFonts w:eastAsia="Times New Roman" w:cs="Times New Roman"/>
          <w:sz w:val="20"/>
          <w:szCs w:val="20"/>
          <w:lang w:eastAsia="en-GB"/>
        </w:rPr>
        <w:t>Var (cons) shows the random intercept or the between-group variance of the (Level 2) variable, which is firms. var(Residual) shows the between-employees reviews within-group (Level 1) variance. The Intraclass Correlation Coefficient (ICC) Shows the proportion of the total variance due to the between-firms or between-cluster (the observations of employee rating) variance.* p&lt;0.1, ** p&lt;0.05, *** p&lt;0.01.</w:t>
      </w:r>
      <w:r w:rsidRPr="009232AD">
        <w:rPr>
          <w:rFonts w:ascii="Calibri" w:eastAsia="Times New Roman" w:hAnsi="Calibri" w:cs="Arial"/>
          <w:lang w:eastAsia="en-GB"/>
        </w:rPr>
        <w:t xml:space="preserve"> </w:t>
      </w:r>
      <w:r w:rsidRPr="009232AD">
        <w:rPr>
          <w:rFonts w:eastAsia="Times New Roman" w:cs="Times New Roman"/>
          <w:sz w:val="20"/>
          <w:szCs w:val="20"/>
          <w:lang w:eastAsia="en-GB"/>
        </w:rPr>
        <w:t xml:space="preserve">See the definition of the variables in </w:t>
      </w:r>
      <w:r w:rsidR="003F5D45">
        <w:rPr>
          <w:rFonts w:eastAsia="Times New Roman" w:cs="Times New Roman"/>
          <w:sz w:val="20"/>
          <w:szCs w:val="20"/>
          <w:lang w:eastAsia="en-GB"/>
        </w:rPr>
        <w:t>A</w:t>
      </w:r>
      <w:r w:rsidRPr="009232AD">
        <w:rPr>
          <w:rFonts w:eastAsia="Times New Roman" w:cs="Times New Roman"/>
          <w:sz w:val="20"/>
          <w:szCs w:val="20"/>
          <w:lang w:eastAsia="en-GB"/>
        </w:rPr>
        <w:t>ppendix 1.</w:t>
      </w:r>
    </w:p>
    <w:p w14:paraId="0AC97A00" w14:textId="77777777" w:rsidR="00C77830" w:rsidRDefault="00C77830" w:rsidP="00C77830">
      <w:pPr>
        <w:pStyle w:val="Heading1"/>
        <w:sectPr w:rsidR="00C77830" w:rsidSect="00C77830">
          <w:pgSz w:w="16838" w:h="11906" w:orient="landscape" w:code="9"/>
          <w:pgMar w:top="1440" w:right="1440" w:bottom="1440" w:left="1440" w:header="709" w:footer="709" w:gutter="0"/>
          <w:cols w:space="720"/>
          <w:docGrid w:linePitch="360"/>
        </w:sectPr>
      </w:pPr>
    </w:p>
    <w:p w14:paraId="6D486DC9" w14:textId="5F63AB90" w:rsidR="003F5D45" w:rsidRDefault="003F5D45" w:rsidP="00FA5E92">
      <w:pPr>
        <w:pStyle w:val="Heading2"/>
      </w:pPr>
      <w:r w:rsidRPr="00DE067E">
        <w:lastRenderedPageBreak/>
        <w:t xml:space="preserve">Table </w:t>
      </w:r>
      <w:r>
        <w:t>3</w:t>
      </w:r>
      <w:r w:rsidRPr="00DE067E">
        <w:t xml:space="preserve">: The Association Between Standardized </w:t>
      </w:r>
      <w:proofErr w:type="spellStart"/>
      <w:r w:rsidRPr="00DE067E">
        <w:t>Tobin's_Q</w:t>
      </w:r>
      <w:proofErr w:type="spellEnd"/>
      <w:r w:rsidRPr="00DE067E">
        <w:t xml:space="preserve"> and High Low ESG Wellbeing Disclosures and </w:t>
      </w:r>
      <w:r w:rsidR="004848DD">
        <w:t>Organisation</w:t>
      </w:r>
      <w:r w:rsidR="005C20C2">
        <w:t>s</w:t>
      </w:r>
      <w:r w:rsidR="005C20C2">
        <w:rPr>
          <w:rFonts w:eastAsia="Times New Roman" w:cs="Times New Roman"/>
          <w:sz w:val="20"/>
          <w:szCs w:val="20"/>
        </w:rPr>
        <w:t xml:space="preserve">’ </w:t>
      </w:r>
      <w:r w:rsidRPr="00DE067E">
        <w:t xml:space="preserve"> Rating in Glassdoor</w:t>
      </w:r>
    </w:p>
    <w:tbl>
      <w:tblPr>
        <w:tblStyle w:val="TableGrid"/>
        <w:tblW w:w="6637" w:type="dxa"/>
        <w:jc w:val="center"/>
        <w:tblBorders>
          <w:top w:val="single" w:sz="0" w:space="0" w:color="000000"/>
          <w:left w:val="nil"/>
          <w:bottom w:val="nil"/>
          <w:right w:val="nil"/>
          <w:insideH w:val="nil"/>
          <w:insideV w:val="nil"/>
        </w:tblBorders>
        <w:tblLook w:val="04A0" w:firstRow="1" w:lastRow="0" w:firstColumn="1" w:lastColumn="0" w:noHBand="0" w:noVBand="1"/>
      </w:tblPr>
      <w:tblGrid>
        <w:gridCol w:w="2460"/>
        <w:gridCol w:w="1788"/>
        <w:gridCol w:w="2389"/>
      </w:tblGrid>
      <w:tr w:rsidR="0011561E" w:rsidRPr="00DC5802" w14:paraId="640A7119" w14:textId="77777777" w:rsidTr="00FA5E92">
        <w:trPr>
          <w:trHeight w:hRule="exact" w:val="276"/>
          <w:jc w:val="center"/>
        </w:trPr>
        <w:tc>
          <w:tcPr>
            <w:tcW w:w="2460" w:type="dxa"/>
          </w:tcPr>
          <w:p w14:paraId="1B425027" w14:textId="77777777" w:rsidR="0011561E" w:rsidRPr="00DC5802" w:rsidRDefault="0011561E" w:rsidP="00B163C9">
            <w:pPr>
              <w:ind w:left="-57"/>
              <w:rPr>
                <w:rFonts w:asciiTheme="majorBidi" w:hAnsiTheme="majorBidi" w:cstheme="majorBidi"/>
                <w:sz w:val="20"/>
                <w:szCs w:val="20"/>
              </w:rPr>
            </w:pPr>
            <w:r w:rsidRPr="00DC5802">
              <w:rPr>
                <w:rFonts w:eastAsia="Calibri" w:cs="Times New Roman"/>
                <w:b/>
                <w:bCs/>
                <w:sz w:val="20"/>
                <w:szCs w:val="20"/>
              </w:rPr>
              <w:t xml:space="preserve">Dependent </w:t>
            </w:r>
          </w:p>
        </w:tc>
        <w:tc>
          <w:tcPr>
            <w:tcW w:w="1788" w:type="dxa"/>
          </w:tcPr>
          <w:p w14:paraId="4347036F" w14:textId="27CB0949" w:rsidR="0011561E" w:rsidRPr="00DC5802" w:rsidRDefault="0011561E" w:rsidP="00B163C9">
            <w:pPr>
              <w:ind w:left="-57"/>
              <w:jc w:val="center"/>
              <w:rPr>
                <w:rFonts w:asciiTheme="majorBidi" w:hAnsiTheme="majorBidi" w:cstheme="majorBidi"/>
                <w:b/>
                <w:bCs/>
                <w:sz w:val="20"/>
                <w:szCs w:val="20"/>
              </w:rPr>
            </w:pPr>
            <w:r w:rsidRPr="00DC5802">
              <w:rPr>
                <w:rFonts w:asciiTheme="majorBidi" w:hAnsiTheme="majorBidi" w:cstheme="majorBidi"/>
                <w:b/>
                <w:bCs/>
                <w:sz w:val="20"/>
                <w:szCs w:val="20"/>
              </w:rPr>
              <w:t>(</w:t>
            </w:r>
            <w:r>
              <w:rPr>
                <w:rFonts w:asciiTheme="majorBidi" w:hAnsiTheme="majorBidi" w:cstheme="majorBidi"/>
                <w:b/>
                <w:bCs/>
                <w:sz w:val="20"/>
                <w:szCs w:val="20"/>
              </w:rPr>
              <w:t>1</w:t>
            </w:r>
            <w:r w:rsidRPr="00DC5802">
              <w:rPr>
                <w:rFonts w:asciiTheme="majorBidi" w:hAnsiTheme="majorBidi" w:cstheme="majorBidi"/>
                <w:b/>
                <w:bCs/>
                <w:sz w:val="20"/>
                <w:szCs w:val="20"/>
              </w:rPr>
              <w:t>)</w:t>
            </w:r>
          </w:p>
        </w:tc>
        <w:tc>
          <w:tcPr>
            <w:tcW w:w="2389" w:type="dxa"/>
          </w:tcPr>
          <w:p w14:paraId="5A09A23D" w14:textId="5476F432" w:rsidR="0011561E" w:rsidRPr="00DC5802" w:rsidRDefault="0011561E" w:rsidP="00B163C9">
            <w:pPr>
              <w:ind w:left="-57"/>
              <w:jc w:val="center"/>
              <w:rPr>
                <w:rFonts w:asciiTheme="majorBidi" w:hAnsiTheme="majorBidi" w:cstheme="majorBidi"/>
                <w:b/>
                <w:bCs/>
                <w:sz w:val="20"/>
                <w:szCs w:val="20"/>
              </w:rPr>
            </w:pPr>
            <w:r w:rsidRPr="00DC5802">
              <w:rPr>
                <w:rFonts w:asciiTheme="majorBidi" w:hAnsiTheme="majorBidi" w:cstheme="majorBidi"/>
                <w:b/>
                <w:bCs/>
                <w:sz w:val="20"/>
                <w:szCs w:val="20"/>
              </w:rPr>
              <w:t>(</w:t>
            </w:r>
            <w:r>
              <w:rPr>
                <w:rFonts w:asciiTheme="majorBidi" w:hAnsiTheme="majorBidi" w:cstheme="majorBidi"/>
                <w:b/>
                <w:bCs/>
                <w:sz w:val="20"/>
                <w:szCs w:val="20"/>
              </w:rPr>
              <w:t>2</w:t>
            </w:r>
            <w:r w:rsidRPr="00DC5802">
              <w:rPr>
                <w:rFonts w:asciiTheme="majorBidi" w:hAnsiTheme="majorBidi" w:cstheme="majorBidi"/>
                <w:b/>
                <w:bCs/>
                <w:sz w:val="20"/>
                <w:szCs w:val="20"/>
              </w:rPr>
              <w:t>)</w:t>
            </w:r>
          </w:p>
        </w:tc>
      </w:tr>
      <w:tr w:rsidR="0011561E" w:rsidRPr="00DC5802" w14:paraId="3FBC550C" w14:textId="77777777" w:rsidTr="00FA5E92">
        <w:trPr>
          <w:trHeight w:hRule="exact" w:val="276"/>
          <w:jc w:val="center"/>
        </w:trPr>
        <w:tc>
          <w:tcPr>
            <w:tcW w:w="2460" w:type="dxa"/>
            <w:tcBorders>
              <w:bottom w:val="single" w:sz="0" w:space="0" w:color="000000"/>
            </w:tcBorders>
          </w:tcPr>
          <w:p w14:paraId="7FA1BC19" w14:textId="77777777" w:rsidR="0011561E" w:rsidRPr="00DC5802" w:rsidRDefault="0011561E" w:rsidP="00B163C9">
            <w:pPr>
              <w:ind w:left="-57"/>
              <w:rPr>
                <w:rFonts w:asciiTheme="majorBidi" w:hAnsiTheme="majorBidi" w:cstheme="majorBidi"/>
                <w:sz w:val="20"/>
                <w:szCs w:val="20"/>
              </w:rPr>
            </w:pPr>
            <w:r w:rsidRPr="00DC5802">
              <w:rPr>
                <w:rFonts w:eastAsia="Calibri" w:cs="Times New Roman"/>
                <w:b/>
                <w:bCs/>
                <w:sz w:val="20"/>
                <w:szCs w:val="20"/>
              </w:rPr>
              <w:t>Variables&gt;</w:t>
            </w:r>
          </w:p>
        </w:tc>
        <w:tc>
          <w:tcPr>
            <w:tcW w:w="1788" w:type="dxa"/>
            <w:tcBorders>
              <w:bottom w:val="single" w:sz="0" w:space="0" w:color="000000"/>
            </w:tcBorders>
          </w:tcPr>
          <w:p w14:paraId="02CFEA98" w14:textId="5D3078BE" w:rsidR="0011561E" w:rsidRPr="00DC5802" w:rsidRDefault="0011561E" w:rsidP="00B163C9">
            <w:pPr>
              <w:ind w:left="-57"/>
              <w:jc w:val="center"/>
              <w:rPr>
                <w:rFonts w:asciiTheme="majorBidi" w:hAnsiTheme="majorBidi" w:cstheme="majorBidi"/>
                <w:b/>
                <w:bCs/>
                <w:sz w:val="20"/>
                <w:szCs w:val="20"/>
              </w:rPr>
            </w:pPr>
            <w:proofErr w:type="spellStart"/>
            <w:r w:rsidRPr="00DC5802">
              <w:rPr>
                <w:rFonts w:asciiTheme="majorBidi" w:hAnsiTheme="majorBidi" w:cstheme="majorBidi"/>
                <w:b/>
                <w:bCs/>
                <w:sz w:val="20"/>
                <w:szCs w:val="20"/>
              </w:rPr>
              <w:t>Tobin_Q</w:t>
            </w:r>
            <w:proofErr w:type="spellEnd"/>
          </w:p>
        </w:tc>
        <w:tc>
          <w:tcPr>
            <w:tcW w:w="2389" w:type="dxa"/>
            <w:tcBorders>
              <w:bottom w:val="single" w:sz="0" w:space="0" w:color="000000"/>
            </w:tcBorders>
          </w:tcPr>
          <w:p w14:paraId="7AB9FA1F" w14:textId="28192560" w:rsidR="0011561E" w:rsidRPr="00DC5802" w:rsidRDefault="0011561E" w:rsidP="00B163C9">
            <w:pPr>
              <w:ind w:left="-57"/>
              <w:jc w:val="center"/>
              <w:rPr>
                <w:rFonts w:asciiTheme="majorBidi" w:hAnsiTheme="majorBidi" w:cstheme="majorBidi"/>
                <w:b/>
                <w:bCs/>
                <w:sz w:val="20"/>
                <w:szCs w:val="20"/>
              </w:rPr>
            </w:pPr>
            <w:proofErr w:type="spellStart"/>
            <w:r w:rsidRPr="00DC5802">
              <w:rPr>
                <w:rFonts w:asciiTheme="majorBidi" w:hAnsiTheme="majorBidi" w:cstheme="majorBidi"/>
                <w:b/>
                <w:bCs/>
                <w:sz w:val="20"/>
                <w:szCs w:val="20"/>
              </w:rPr>
              <w:t>Tobin_Q</w:t>
            </w:r>
            <w:proofErr w:type="spellEnd"/>
          </w:p>
        </w:tc>
      </w:tr>
      <w:tr w:rsidR="0011561E" w:rsidRPr="00DC5802" w14:paraId="57F3EC2F" w14:textId="77777777" w:rsidTr="00FA5E92">
        <w:trPr>
          <w:trHeight w:hRule="exact" w:val="276"/>
          <w:jc w:val="center"/>
        </w:trPr>
        <w:tc>
          <w:tcPr>
            <w:tcW w:w="2460" w:type="dxa"/>
            <w:tcBorders>
              <w:top w:val="single" w:sz="0" w:space="0" w:color="000000"/>
            </w:tcBorders>
          </w:tcPr>
          <w:p w14:paraId="3717713F" w14:textId="77777777" w:rsidR="0011561E" w:rsidRPr="00DC5802" w:rsidRDefault="0011561E" w:rsidP="00B163C9">
            <w:pPr>
              <w:ind w:left="-57"/>
              <w:jc w:val="center"/>
              <w:rPr>
                <w:rFonts w:asciiTheme="majorBidi" w:hAnsiTheme="majorBidi" w:cstheme="majorBidi"/>
                <w:sz w:val="20"/>
                <w:szCs w:val="20"/>
              </w:rPr>
            </w:pPr>
            <w:r w:rsidRPr="00DC5802">
              <w:rPr>
                <w:rFonts w:asciiTheme="majorBidi" w:hAnsiTheme="majorBidi" w:cstheme="majorBidi"/>
                <w:sz w:val="20"/>
                <w:szCs w:val="20"/>
              </w:rPr>
              <w:t>LL</w:t>
            </w:r>
          </w:p>
        </w:tc>
        <w:tc>
          <w:tcPr>
            <w:tcW w:w="1788" w:type="dxa"/>
            <w:tcBorders>
              <w:top w:val="single" w:sz="0" w:space="0" w:color="000000"/>
            </w:tcBorders>
          </w:tcPr>
          <w:p w14:paraId="6E3A9D87" w14:textId="77777777" w:rsidR="0011561E" w:rsidRPr="00DC5802" w:rsidRDefault="0011561E" w:rsidP="00B163C9">
            <w:pPr>
              <w:ind w:left="-57"/>
              <w:jc w:val="center"/>
              <w:rPr>
                <w:rFonts w:asciiTheme="majorBidi" w:hAnsiTheme="majorBidi" w:cstheme="majorBidi"/>
                <w:sz w:val="20"/>
                <w:szCs w:val="20"/>
              </w:rPr>
            </w:pPr>
          </w:p>
        </w:tc>
        <w:tc>
          <w:tcPr>
            <w:tcW w:w="2389" w:type="dxa"/>
            <w:tcBorders>
              <w:top w:val="single" w:sz="0" w:space="0" w:color="000000"/>
            </w:tcBorders>
          </w:tcPr>
          <w:p w14:paraId="19604718" w14:textId="16FB0E68" w:rsidR="0011561E" w:rsidRPr="00DC5802" w:rsidRDefault="0011561E" w:rsidP="00B163C9">
            <w:pPr>
              <w:ind w:left="-57"/>
              <w:jc w:val="center"/>
              <w:rPr>
                <w:rFonts w:asciiTheme="majorBidi" w:hAnsiTheme="majorBidi" w:cstheme="majorBidi"/>
                <w:sz w:val="20"/>
                <w:szCs w:val="20"/>
              </w:rPr>
            </w:pPr>
            <w:r w:rsidRPr="00DC5802">
              <w:rPr>
                <w:rFonts w:asciiTheme="majorBidi" w:hAnsiTheme="majorBidi" w:cstheme="majorBidi"/>
                <w:sz w:val="20"/>
                <w:szCs w:val="20"/>
              </w:rPr>
              <w:t>-0.015***</w:t>
            </w:r>
          </w:p>
        </w:tc>
      </w:tr>
      <w:tr w:rsidR="0011561E" w:rsidRPr="00DC5802" w14:paraId="7D26171E" w14:textId="77777777" w:rsidTr="00FA5E92">
        <w:trPr>
          <w:trHeight w:hRule="exact" w:val="276"/>
          <w:jc w:val="center"/>
        </w:trPr>
        <w:tc>
          <w:tcPr>
            <w:tcW w:w="2460" w:type="dxa"/>
          </w:tcPr>
          <w:p w14:paraId="43B8B538" w14:textId="77777777" w:rsidR="0011561E" w:rsidRPr="00DC5802" w:rsidRDefault="0011561E" w:rsidP="00B163C9">
            <w:pPr>
              <w:ind w:left="-57"/>
              <w:rPr>
                <w:rFonts w:asciiTheme="majorBidi" w:hAnsiTheme="majorBidi" w:cstheme="majorBidi"/>
                <w:sz w:val="20"/>
                <w:szCs w:val="20"/>
              </w:rPr>
            </w:pPr>
          </w:p>
        </w:tc>
        <w:tc>
          <w:tcPr>
            <w:tcW w:w="1788" w:type="dxa"/>
          </w:tcPr>
          <w:p w14:paraId="01B71F43" w14:textId="77777777" w:rsidR="0011561E" w:rsidRPr="00DC5802" w:rsidRDefault="0011561E" w:rsidP="00B163C9">
            <w:pPr>
              <w:ind w:left="-57"/>
              <w:jc w:val="center"/>
              <w:rPr>
                <w:rFonts w:asciiTheme="majorBidi" w:hAnsiTheme="majorBidi" w:cstheme="majorBidi"/>
                <w:sz w:val="20"/>
                <w:szCs w:val="20"/>
              </w:rPr>
            </w:pPr>
          </w:p>
        </w:tc>
        <w:tc>
          <w:tcPr>
            <w:tcW w:w="2389" w:type="dxa"/>
          </w:tcPr>
          <w:p w14:paraId="200CFFA2" w14:textId="0AD3C043" w:rsidR="0011561E" w:rsidRPr="00DC5802" w:rsidRDefault="0011561E" w:rsidP="00B163C9">
            <w:pPr>
              <w:ind w:left="-57"/>
              <w:jc w:val="center"/>
              <w:rPr>
                <w:rFonts w:asciiTheme="majorBidi" w:hAnsiTheme="majorBidi" w:cstheme="majorBidi"/>
                <w:sz w:val="20"/>
                <w:szCs w:val="20"/>
              </w:rPr>
            </w:pPr>
            <w:r w:rsidRPr="00DC5802">
              <w:rPr>
                <w:rFonts w:asciiTheme="majorBidi" w:hAnsiTheme="majorBidi" w:cstheme="majorBidi"/>
                <w:sz w:val="20"/>
                <w:szCs w:val="20"/>
              </w:rPr>
              <w:t>(-16.95)</w:t>
            </w:r>
          </w:p>
        </w:tc>
      </w:tr>
      <w:tr w:rsidR="0011561E" w:rsidRPr="00DC5802" w14:paraId="22E2788C" w14:textId="77777777" w:rsidTr="00FA5E92">
        <w:trPr>
          <w:trHeight w:hRule="exact" w:val="276"/>
          <w:jc w:val="center"/>
        </w:trPr>
        <w:tc>
          <w:tcPr>
            <w:tcW w:w="2460" w:type="dxa"/>
          </w:tcPr>
          <w:p w14:paraId="3951D0BC" w14:textId="77777777" w:rsidR="0011561E" w:rsidRPr="00DC5802" w:rsidRDefault="0011561E" w:rsidP="00B163C9">
            <w:pPr>
              <w:ind w:left="-57"/>
              <w:jc w:val="center"/>
              <w:rPr>
                <w:rFonts w:asciiTheme="majorBidi" w:hAnsiTheme="majorBidi" w:cstheme="majorBidi"/>
                <w:sz w:val="20"/>
                <w:szCs w:val="20"/>
              </w:rPr>
            </w:pPr>
            <w:r w:rsidRPr="00DC5802">
              <w:rPr>
                <w:rFonts w:asciiTheme="majorBidi" w:hAnsiTheme="majorBidi" w:cstheme="majorBidi"/>
                <w:sz w:val="20"/>
                <w:szCs w:val="20"/>
              </w:rPr>
              <w:t>LH</w:t>
            </w:r>
          </w:p>
        </w:tc>
        <w:tc>
          <w:tcPr>
            <w:tcW w:w="1788" w:type="dxa"/>
          </w:tcPr>
          <w:p w14:paraId="406D977C" w14:textId="279508FC" w:rsidR="0011561E" w:rsidRPr="00DC5802" w:rsidRDefault="0011561E" w:rsidP="00B163C9">
            <w:pPr>
              <w:ind w:left="-57"/>
              <w:jc w:val="center"/>
              <w:rPr>
                <w:rFonts w:asciiTheme="majorBidi" w:hAnsiTheme="majorBidi" w:cstheme="majorBidi"/>
                <w:sz w:val="20"/>
                <w:szCs w:val="20"/>
              </w:rPr>
            </w:pPr>
            <w:r w:rsidRPr="00DC5802">
              <w:rPr>
                <w:rFonts w:asciiTheme="majorBidi" w:hAnsiTheme="majorBidi" w:cstheme="majorBidi"/>
                <w:sz w:val="20"/>
                <w:szCs w:val="20"/>
              </w:rPr>
              <w:t>-0.003***</w:t>
            </w:r>
          </w:p>
        </w:tc>
        <w:tc>
          <w:tcPr>
            <w:tcW w:w="2389" w:type="dxa"/>
          </w:tcPr>
          <w:p w14:paraId="12C19970" w14:textId="2235F357" w:rsidR="0011561E" w:rsidRPr="00DC5802" w:rsidRDefault="0011561E" w:rsidP="00B163C9">
            <w:pPr>
              <w:ind w:left="-57"/>
              <w:jc w:val="center"/>
              <w:rPr>
                <w:rFonts w:asciiTheme="majorBidi" w:hAnsiTheme="majorBidi" w:cstheme="majorBidi"/>
                <w:sz w:val="20"/>
                <w:szCs w:val="20"/>
              </w:rPr>
            </w:pPr>
            <w:r w:rsidRPr="00DC5802">
              <w:rPr>
                <w:rFonts w:asciiTheme="majorBidi" w:hAnsiTheme="majorBidi" w:cstheme="majorBidi"/>
                <w:sz w:val="20"/>
                <w:szCs w:val="20"/>
              </w:rPr>
              <w:t>-0.016***</w:t>
            </w:r>
          </w:p>
        </w:tc>
      </w:tr>
      <w:tr w:rsidR="0011561E" w:rsidRPr="00DC5802" w14:paraId="56772875" w14:textId="77777777" w:rsidTr="00FA5E92">
        <w:trPr>
          <w:trHeight w:hRule="exact" w:val="276"/>
          <w:jc w:val="center"/>
        </w:trPr>
        <w:tc>
          <w:tcPr>
            <w:tcW w:w="2460" w:type="dxa"/>
          </w:tcPr>
          <w:p w14:paraId="65374B34" w14:textId="77777777" w:rsidR="0011561E" w:rsidRPr="00DC5802" w:rsidRDefault="0011561E" w:rsidP="00B163C9">
            <w:pPr>
              <w:ind w:left="-57"/>
              <w:rPr>
                <w:rFonts w:asciiTheme="majorBidi" w:hAnsiTheme="majorBidi" w:cstheme="majorBidi"/>
                <w:sz w:val="20"/>
                <w:szCs w:val="20"/>
              </w:rPr>
            </w:pPr>
          </w:p>
        </w:tc>
        <w:tc>
          <w:tcPr>
            <w:tcW w:w="1788" w:type="dxa"/>
          </w:tcPr>
          <w:p w14:paraId="61615BA6" w14:textId="1B867DF8" w:rsidR="0011561E" w:rsidRPr="00DC5802" w:rsidRDefault="0011561E" w:rsidP="00B163C9">
            <w:pPr>
              <w:ind w:left="-57"/>
              <w:jc w:val="center"/>
              <w:rPr>
                <w:rFonts w:asciiTheme="majorBidi" w:hAnsiTheme="majorBidi" w:cstheme="majorBidi"/>
                <w:sz w:val="20"/>
                <w:szCs w:val="20"/>
              </w:rPr>
            </w:pPr>
            <w:r w:rsidRPr="00DC5802">
              <w:rPr>
                <w:rFonts w:asciiTheme="majorBidi" w:hAnsiTheme="majorBidi" w:cstheme="majorBidi"/>
                <w:sz w:val="20"/>
                <w:szCs w:val="20"/>
              </w:rPr>
              <w:t>(-5.12)</w:t>
            </w:r>
          </w:p>
        </w:tc>
        <w:tc>
          <w:tcPr>
            <w:tcW w:w="2389" w:type="dxa"/>
          </w:tcPr>
          <w:p w14:paraId="154CFA83" w14:textId="585EC83B" w:rsidR="0011561E" w:rsidRPr="00DC5802" w:rsidRDefault="0011561E" w:rsidP="00B163C9">
            <w:pPr>
              <w:ind w:left="-57"/>
              <w:jc w:val="center"/>
              <w:rPr>
                <w:rFonts w:asciiTheme="majorBidi" w:hAnsiTheme="majorBidi" w:cstheme="majorBidi"/>
                <w:sz w:val="20"/>
                <w:szCs w:val="20"/>
              </w:rPr>
            </w:pPr>
            <w:r w:rsidRPr="00DC5802">
              <w:rPr>
                <w:rFonts w:asciiTheme="majorBidi" w:hAnsiTheme="majorBidi" w:cstheme="majorBidi"/>
                <w:sz w:val="20"/>
                <w:szCs w:val="20"/>
              </w:rPr>
              <w:t>(-19.38)</w:t>
            </w:r>
          </w:p>
        </w:tc>
      </w:tr>
      <w:tr w:rsidR="0011561E" w:rsidRPr="00DC5802" w14:paraId="36286477" w14:textId="77777777" w:rsidTr="00FA5E92">
        <w:trPr>
          <w:trHeight w:hRule="exact" w:val="276"/>
          <w:jc w:val="center"/>
        </w:trPr>
        <w:tc>
          <w:tcPr>
            <w:tcW w:w="2460" w:type="dxa"/>
          </w:tcPr>
          <w:p w14:paraId="345803E5" w14:textId="77777777" w:rsidR="0011561E" w:rsidRPr="00DC5802" w:rsidRDefault="0011561E" w:rsidP="00B163C9">
            <w:pPr>
              <w:ind w:left="-57"/>
              <w:jc w:val="center"/>
              <w:rPr>
                <w:rFonts w:asciiTheme="majorBidi" w:hAnsiTheme="majorBidi" w:cstheme="majorBidi"/>
                <w:sz w:val="20"/>
                <w:szCs w:val="20"/>
              </w:rPr>
            </w:pPr>
            <w:r w:rsidRPr="00DC5802">
              <w:rPr>
                <w:rFonts w:asciiTheme="majorBidi" w:hAnsiTheme="majorBidi" w:cstheme="majorBidi"/>
                <w:sz w:val="20"/>
                <w:szCs w:val="20"/>
              </w:rPr>
              <w:t>HL</w:t>
            </w:r>
          </w:p>
        </w:tc>
        <w:tc>
          <w:tcPr>
            <w:tcW w:w="1788" w:type="dxa"/>
          </w:tcPr>
          <w:p w14:paraId="178870FF" w14:textId="119B6571" w:rsidR="0011561E" w:rsidRPr="00DC5802" w:rsidRDefault="0011561E" w:rsidP="00B163C9">
            <w:pPr>
              <w:ind w:left="-57"/>
              <w:jc w:val="center"/>
              <w:rPr>
                <w:rFonts w:asciiTheme="majorBidi" w:hAnsiTheme="majorBidi" w:cstheme="majorBidi"/>
                <w:sz w:val="20"/>
                <w:szCs w:val="20"/>
              </w:rPr>
            </w:pPr>
            <w:r w:rsidRPr="00DC5802">
              <w:rPr>
                <w:rFonts w:asciiTheme="majorBidi" w:hAnsiTheme="majorBidi" w:cstheme="majorBidi"/>
                <w:sz w:val="20"/>
                <w:szCs w:val="20"/>
              </w:rPr>
              <w:t>0.015***</w:t>
            </w:r>
          </w:p>
        </w:tc>
        <w:tc>
          <w:tcPr>
            <w:tcW w:w="2389" w:type="dxa"/>
          </w:tcPr>
          <w:p w14:paraId="2F9A378B" w14:textId="64C207FA" w:rsidR="0011561E" w:rsidRPr="00DC5802" w:rsidRDefault="0011561E" w:rsidP="00B163C9">
            <w:pPr>
              <w:ind w:left="-57"/>
              <w:jc w:val="center"/>
              <w:rPr>
                <w:rFonts w:asciiTheme="majorBidi" w:hAnsiTheme="majorBidi" w:cstheme="majorBidi"/>
                <w:sz w:val="20"/>
                <w:szCs w:val="20"/>
              </w:rPr>
            </w:pPr>
            <w:r w:rsidRPr="00DC5802">
              <w:rPr>
                <w:rFonts w:asciiTheme="majorBidi" w:hAnsiTheme="majorBidi" w:cstheme="majorBidi"/>
                <w:sz w:val="20"/>
                <w:szCs w:val="20"/>
              </w:rPr>
              <w:t>0.000</w:t>
            </w:r>
          </w:p>
        </w:tc>
      </w:tr>
      <w:tr w:rsidR="0011561E" w:rsidRPr="00DC5802" w14:paraId="0658E58E" w14:textId="77777777" w:rsidTr="00FA5E92">
        <w:trPr>
          <w:trHeight w:hRule="exact" w:val="276"/>
          <w:jc w:val="center"/>
        </w:trPr>
        <w:tc>
          <w:tcPr>
            <w:tcW w:w="2460" w:type="dxa"/>
          </w:tcPr>
          <w:p w14:paraId="46A2E95E" w14:textId="77777777" w:rsidR="0011561E" w:rsidRPr="00DC5802" w:rsidRDefault="0011561E" w:rsidP="00B163C9">
            <w:pPr>
              <w:ind w:left="-57"/>
              <w:rPr>
                <w:rFonts w:asciiTheme="majorBidi" w:hAnsiTheme="majorBidi" w:cstheme="majorBidi"/>
                <w:sz w:val="20"/>
                <w:szCs w:val="20"/>
              </w:rPr>
            </w:pPr>
          </w:p>
        </w:tc>
        <w:tc>
          <w:tcPr>
            <w:tcW w:w="1788" w:type="dxa"/>
          </w:tcPr>
          <w:p w14:paraId="4F36324B" w14:textId="118F6B6F" w:rsidR="0011561E" w:rsidRPr="00DC5802" w:rsidRDefault="0011561E" w:rsidP="00B163C9">
            <w:pPr>
              <w:ind w:left="-57"/>
              <w:jc w:val="center"/>
              <w:rPr>
                <w:rFonts w:asciiTheme="majorBidi" w:hAnsiTheme="majorBidi" w:cstheme="majorBidi"/>
                <w:sz w:val="20"/>
                <w:szCs w:val="20"/>
              </w:rPr>
            </w:pPr>
            <w:r w:rsidRPr="00DC5802">
              <w:rPr>
                <w:rFonts w:asciiTheme="majorBidi" w:hAnsiTheme="majorBidi" w:cstheme="majorBidi"/>
                <w:sz w:val="20"/>
                <w:szCs w:val="20"/>
              </w:rPr>
              <w:t>(18.89)</w:t>
            </w:r>
          </w:p>
        </w:tc>
        <w:tc>
          <w:tcPr>
            <w:tcW w:w="2389" w:type="dxa"/>
          </w:tcPr>
          <w:p w14:paraId="72DFA791" w14:textId="16D829C4" w:rsidR="0011561E" w:rsidRPr="00DC5802" w:rsidRDefault="0011561E" w:rsidP="00B163C9">
            <w:pPr>
              <w:ind w:left="-57"/>
              <w:jc w:val="center"/>
              <w:rPr>
                <w:rFonts w:asciiTheme="majorBidi" w:hAnsiTheme="majorBidi" w:cstheme="majorBidi"/>
                <w:sz w:val="20"/>
                <w:szCs w:val="20"/>
              </w:rPr>
            </w:pPr>
            <w:r w:rsidRPr="00DC5802">
              <w:rPr>
                <w:rFonts w:asciiTheme="majorBidi" w:hAnsiTheme="majorBidi" w:cstheme="majorBidi"/>
                <w:sz w:val="20"/>
                <w:szCs w:val="20"/>
              </w:rPr>
              <w:t>(0.55)</w:t>
            </w:r>
          </w:p>
        </w:tc>
      </w:tr>
      <w:tr w:rsidR="0011561E" w:rsidRPr="00DC5802" w14:paraId="5982F9FF" w14:textId="77777777" w:rsidTr="00FA5E92">
        <w:trPr>
          <w:trHeight w:hRule="exact" w:val="276"/>
          <w:jc w:val="center"/>
        </w:trPr>
        <w:tc>
          <w:tcPr>
            <w:tcW w:w="2460" w:type="dxa"/>
          </w:tcPr>
          <w:p w14:paraId="1B6B3E92" w14:textId="77777777" w:rsidR="0011561E" w:rsidRPr="00DC5802" w:rsidRDefault="0011561E" w:rsidP="00B163C9">
            <w:pPr>
              <w:ind w:left="-57"/>
              <w:jc w:val="center"/>
              <w:rPr>
                <w:rFonts w:asciiTheme="majorBidi" w:hAnsiTheme="majorBidi" w:cstheme="majorBidi"/>
                <w:sz w:val="20"/>
                <w:szCs w:val="20"/>
              </w:rPr>
            </w:pPr>
            <w:r w:rsidRPr="00DC5802">
              <w:rPr>
                <w:rFonts w:asciiTheme="majorBidi" w:hAnsiTheme="majorBidi" w:cstheme="majorBidi"/>
                <w:sz w:val="20"/>
                <w:szCs w:val="20"/>
              </w:rPr>
              <w:t>Cash</w:t>
            </w:r>
          </w:p>
        </w:tc>
        <w:tc>
          <w:tcPr>
            <w:tcW w:w="1788" w:type="dxa"/>
          </w:tcPr>
          <w:p w14:paraId="1E2A9253" w14:textId="46192A76" w:rsidR="0011561E" w:rsidRPr="00DC5802" w:rsidRDefault="0011561E" w:rsidP="00B163C9">
            <w:pPr>
              <w:ind w:left="-57"/>
              <w:jc w:val="center"/>
              <w:rPr>
                <w:rFonts w:asciiTheme="majorBidi" w:hAnsiTheme="majorBidi" w:cstheme="majorBidi"/>
                <w:sz w:val="20"/>
                <w:szCs w:val="20"/>
              </w:rPr>
            </w:pPr>
            <w:r w:rsidRPr="00DC5802">
              <w:rPr>
                <w:rFonts w:asciiTheme="majorBidi" w:hAnsiTheme="majorBidi" w:cstheme="majorBidi"/>
                <w:sz w:val="20"/>
                <w:szCs w:val="20"/>
              </w:rPr>
              <w:t>-0.255***</w:t>
            </w:r>
          </w:p>
        </w:tc>
        <w:tc>
          <w:tcPr>
            <w:tcW w:w="2389" w:type="dxa"/>
          </w:tcPr>
          <w:p w14:paraId="7C4C338A" w14:textId="31FF2CA7" w:rsidR="0011561E" w:rsidRPr="00DC5802" w:rsidRDefault="0011561E" w:rsidP="00B163C9">
            <w:pPr>
              <w:ind w:left="-57"/>
              <w:jc w:val="center"/>
              <w:rPr>
                <w:rFonts w:asciiTheme="majorBidi" w:hAnsiTheme="majorBidi" w:cstheme="majorBidi"/>
                <w:sz w:val="20"/>
                <w:szCs w:val="20"/>
              </w:rPr>
            </w:pPr>
            <w:r w:rsidRPr="00DC5802">
              <w:rPr>
                <w:rFonts w:asciiTheme="majorBidi" w:hAnsiTheme="majorBidi" w:cstheme="majorBidi"/>
                <w:sz w:val="20"/>
                <w:szCs w:val="20"/>
              </w:rPr>
              <w:t>-0.255***</w:t>
            </w:r>
          </w:p>
        </w:tc>
      </w:tr>
      <w:tr w:rsidR="0011561E" w:rsidRPr="00DC5802" w14:paraId="307392BA" w14:textId="77777777" w:rsidTr="00FA5E92">
        <w:trPr>
          <w:trHeight w:hRule="exact" w:val="276"/>
          <w:jc w:val="center"/>
        </w:trPr>
        <w:tc>
          <w:tcPr>
            <w:tcW w:w="2460" w:type="dxa"/>
          </w:tcPr>
          <w:p w14:paraId="10BD83E8" w14:textId="77777777" w:rsidR="0011561E" w:rsidRPr="00DC5802" w:rsidRDefault="0011561E" w:rsidP="00B163C9">
            <w:pPr>
              <w:ind w:left="-57"/>
              <w:rPr>
                <w:rFonts w:asciiTheme="majorBidi" w:hAnsiTheme="majorBidi" w:cstheme="majorBidi"/>
                <w:sz w:val="20"/>
                <w:szCs w:val="20"/>
              </w:rPr>
            </w:pPr>
          </w:p>
        </w:tc>
        <w:tc>
          <w:tcPr>
            <w:tcW w:w="1788" w:type="dxa"/>
          </w:tcPr>
          <w:p w14:paraId="6A06CF73" w14:textId="4E7EBFFE" w:rsidR="0011561E" w:rsidRPr="00DC5802" w:rsidRDefault="0011561E" w:rsidP="00B163C9">
            <w:pPr>
              <w:ind w:left="-57"/>
              <w:jc w:val="center"/>
              <w:rPr>
                <w:rFonts w:asciiTheme="majorBidi" w:hAnsiTheme="majorBidi" w:cstheme="majorBidi"/>
                <w:sz w:val="20"/>
                <w:szCs w:val="20"/>
              </w:rPr>
            </w:pPr>
            <w:r w:rsidRPr="00DC5802">
              <w:rPr>
                <w:rFonts w:asciiTheme="majorBidi" w:hAnsiTheme="majorBidi" w:cstheme="majorBidi"/>
                <w:sz w:val="20"/>
                <w:szCs w:val="20"/>
              </w:rPr>
              <w:t>(-171.06)</w:t>
            </w:r>
          </w:p>
        </w:tc>
        <w:tc>
          <w:tcPr>
            <w:tcW w:w="2389" w:type="dxa"/>
          </w:tcPr>
          <w:p w14:paraId="517A0DB5" w14:textId="591F767D" w:rsidR="0011561E" w:rsidRPr="00DC5802" w:rsidRDefault="0011561E" w:rsidP="00B163C9">
            <w:pPr>
              <w:ind w:left="-57"/>
              <w:jc w:val="center"/>
              <w:rPr>
                <w:rFonts w:asciiTheme="majorBidi" w:hAnsiTheme="majorBidi" w:cstheme="majorBidi"/>
                <w:sz w:val="20"/>
                <w:szCs w:val="20"/>
              </w:rPr>
            </w:pPr>
            <w:r w:rsidRPr="00DC5802">
              <w:rPr>
                <w:rFonts w:asciiTheme="majorBidi" w:hAnsiTheme="majorBidi" w:cstheme="majorBidi"/>
                <w:sz w:val="20"/>
                <w:szCs w:val="20"/>
              </w:rPr>
              <w:t>(-171.06)</w:t>
            </w:r>
          </w:p>
        </w:tc>
      </w:tr>
      <w:tr w:rsidR="0011561E" w:rsidRPr="00DC5802" w14:paraId="54639707" w14:textId="77777777" w:rsidTr="00FA5E92">
        <w:trPr>
          <w:trHeight w:hRule="exact" w:val="276"/>
          <w:jc w:val="center"/>
        </w:trPr>
        <w:tc>
          <w:tcPr>
            <w:tcW w:w="2460" w:type="dxa"/>
          </w:tcPr>
          <w:p w14:paraId="5CD0B28D" w14:textId="77777777" w:rsidR="0011561E" w:rsidRPr="00DC5802" w:rsidRDefault="0011561E" w:rsidP="00B163C9">
            <w:pPr>
              <w:ind w:left="-57"/>
              <w:jc w:val="center"/>
              <w:rPr>
                <w:rFonts w:asciiTheme="majorBidi" w:hAnsiTheme="majorBidi" w:cstheme="majorBidi"/>
                <w:sz w:val="20"/>
                <w:szCs w:val="20"/>
              </w:rPr>
            </w:pPr>
            <w:r w:rsidRPr="00DC5802">
              <w:rPr>
                <w:rFonts w:asciiTheme="majorBidi" w:hAnsiTheme="majorBidi" w:cstheme="majorBidi"/>
                <w:sz w:val="20"/>
                <w:szCs w:val="20"/>
              </w:rPr>
              <w:t>Lev</w:t>
            </w:r>
          </w:p>
        </w:tc>
        <w:tc>
          <w:tcPr>
            <w:tcW w:w="1788" w:type="dxa"/>
          </w:tcPr>
          <w:p w14:paraId="3F60E619" w14:textId="6F9845EB" w:rsidR="0011561E" w:rsidRPr="00DC5802" w:rsidRDefault="0011561E" w:rsidP="00B163C9">
            <w:pPr>
              <w:ind w:left="-57"/>
              <w:jc w:val="center"/>
              <w:rPr>
                <w:rFonts w:asciiTheme="majorBidi" w:hAnsiTheme="majorBidi" w:cstheme="majorBidi"/>
                <w:sz w:val="20"/>
                <w:szCs w:val="20"/>
              </w:rPr>
            </w:pPr>
            <w:r w:rsidRPr="00DC5802">
              <w:rPr>
                <w:rFonts w:asciiTheme="majorBidi" w:hAnsiTheme="majorBidi" w:cstheme="majorBidi"/>
                <w:sz w:val="20"/>
                <w:szCs w:val="20"/>
              </w:rPr>
              <w:t>0.203***</w:t>
            </w:r>
          </w:p>
        </w:tc>
        <w:tc>
          <w:tcPr>
            <w:tcW w:w="2389" w:type="dxa"/>
          </w:tcPr>
          <w:p w14:paraId="4D5EA1EA" w14:textId="216CD9DD" w:rsidR="0011561E" w:rsidRPr="00DC5802" w:rsidRDefault="0011561E" w:rsidP="00B163C9">
            <w:pPr>
              <w:ind w:left="-57"/>
              <w:jc w:val="center"/>
              <w:rPr>
                <w:rFonts w:asciiTheme="majorBidi" w:hAnsiTheme="majorBidi" w:cstheme="majorBidi"/>
                <w:sz w:val="20"/>
                <w:szCs w:val="20"/>
              </w:rPr>
            </w:pPr>
            <w:r w:rsidRPr="00DC5802">
              <w:rPr>
                <w:rFonts w:asciiTheme="majorBidi" w:hAnsiTheme="majorBidi" w:cstheme="majorBidi"/>
                <w:sz w:val="20"/>
                <w:szCs w:val="20"/>
              </w:rPr>
              <w:t>0.203***</w:t>
            </w:r>
          </w:p>
        </w:tc>
      </w:tr>
      <w:tr w:rsidR="0011561E" w:rsidRPr="00DC5802" w14:paraId="7016A051" w14:textId="77777777" w:rsidTr="00FA5E92">
        <w:trPr>
          <w:trHeight w:hRule="exact" w:val="276"/>
          <w:jc w:val="center"/>
        </w:trPr>
        <w:tc>
          <w:tcPr>
            <w:tcW w:w="2460" w:type="dxa"/>
          </w:tcPr>
          <w:p w14:paraId="0BA5CC66" w14:textId="77777777" w:rsidR="0011561E" w:rsidRPr="00DC5802" w:rsidRDefault="0011561E" w:rsidP="00B163C9">
            <w:pPr>
              <w:ind w:left="-57"/>
              <w:rPr>
                <w:rFonts w:asciiTheme="majorBidi" w:hAnsiTheme="majorBidi" w:cstheme="majorBidi"/>
                <w:sz w:val="20"/>
                <w:szCs w:val="20"/>
              </w:rPr>
            </w:pPr>
          </w:p>
        </w:tc>
        <w:tc>
          <w:tcPr>
            <w:tcW w:w="1788" w:type="dxa"/>
          </w:tcPr>
          <w:p w14:paraId="25AB3A86" w14:textId="3FBF2F9F" w:rsidR="0011561E" w:rsidRPr="00DC5802" w:rsidRDefault="0011561E" w:rsidP="00B163C9">
            <w:pPr>
              <w:ind w:left="-57"/>
              <w:jc w:val="center"/>
              <w:rPr>
                <w:rFonts w:asciiTheme="majorBidi" w:hAnsiTheme="majorBidi" w:cstheme="majorBidi"/>
                <w:sz w:val="20"/>
                <w:szCs w:val="20"/>
              </w:rPr>
            </w:pPr>
            <w:r w:rsidRPr="00DC5802">
              <w:rPr>
                <w:rFonts w:asciiTheme="majorBidi" w:hAnsiTheme="majorBidi" w:cstheme="majorBidi"/>
                <w:sz w:val="20"/>
                <w:szCs w:val="20"/>
              </w:rPr>
              <w:t>(93.08)</w:t>
            </w:r>
          </w:p>
        </w:tc>
        <w:tc>
          <w:tcPr>
            <w:tcW w:w="2389" w:type="dxa"/>
          </w:tcPr>
          <w:p w14:paraId="729F2B42" w14:textId="35FF5A47" w:rsidR="0011561E" w:rsidRPr="00DC5802" w:rsidRDefault="0011561E" w:rsidP="00B163C9">
            <w:pPr>
              <w:ind w:left="-57"/>
              <w:jc w:val="center"/>
              <w:rPr>
                <w:rFonts w:asciiTheme="majorBidi" w:hAnsiTheme="majorBidi" w:cstheme="majorBidi"/>
                <w:sz w:val="20"/>
                <w:szCs w:val="20"/>
              </w:rPr>
            </w:pPr>
            <w:r w:rsidRPr="00DC5802">
              <w:rPr>
                <w:rFonts w:asciiTheme="majorBidi" w:hAnsiTheme="majorBidi" w:cstheme="majorBidi"/>
                <w:sz w:val="20"/>
                <w:szCs w:val="20"/>
              </w:rPr>
              <w:t>(93.08)</w:t>
            </w:r>
          </w:p>
        </w:tc>
      </w:tr>
      <w:tr w:rsidR="0011561E" w:rsidRPr="00DC5802" w14:paraId="4EC367EC" w14:textId="77777777" w:rsidTr="00FA5E92">
        <w:trPr>
          <w:trHeight w:hRule="exact" w:val="276"/>
          <w:jc w:val="center"/>
        </w:trPr>
        <w:tc>
          <w:tcPr>
            <w:tcW w:w="2460" w:type="dxa"/>
          </w:tcPr>
          <w:p w14:paraId="2F1148F3" w14:textId="77777777" w:rsidR="0011561E" w:rsidRPr="00DC5802" w:rsidRDefault="0011561E" w:rsidP="00B163C9">
            <w:pPr>
              <w:ind w:left="-57"/>
              <w:jc w:val="center"/>
              <w:rPr>
                <w:rFonts w:asciiTheme="majorBidi" w:hAnsiTheme="majorBidi" w:cstheme="majorBidi"/>
                <w:sz w:val="20"/>
                <w:szCs w:val="20"/>
              </w:rPr>
            </w:pPr>
            <w:proofErr w:type="spellStart"/>
            <w:r w:rsidRPr="00DC5802">
              <w:rPr>
                <w:rFonts w:asciiTheme="majorBidi" w:hAnsiTheme="majorBidi" w:cstheme="majorBidi"/>
                <w:sz w:val="20"/>
                <w:szCs w:val="20"/>
              </w:rPr>
              <w:t>N_Reviews</w:t>
            </w:r>
            <w:proofErr w:type="spellEnd"/>
          </w:p>
        </w:tc>
        <w:tc>
          <w:tcPr>
            <w:tcW w:w="1788" w:type="dxa"/>
          </w:tcPr>
          <w:p w14:paraId="6CB7504C" w14:textId="2492CC4B" w:rsidR="0011561E" w:rsidRPr="00DC5802" w:rsidRDefault="0011561E" w:rsidP="00B163C9">
            <w:pPr>
              <w:ind w:left="-57"/>
              <w:jc w:val="center"/>
              <w:rPr>
                <w:rFonts w:asciiTheme="majorBidi" w:hAnsiTheme="majorBidi" w:cstheme="majorBidi"/>
                <w:sz w:val="20"/>
                <w:szCs w:val="20"/>
              </w:rPr>
            </w:pPr>
            <w:r w:rsidRPr="00DC5802">
              <w:rPr>
                <w:rFonts w:asciiTheme="majorBidi" w:hAnsiTheme="majorBidi" w:cstheme="majorBidi"/>
                <w:sz w:val="20"/>
                <w:szCs w:val="20"/>
              </w:rPr>
              <w:t>0.082***</w:t>
            </w:r>
          </w:p>
        </w:tc>
        <w:tc>
          <w:tcPr>
            <w:tcW w:w="2389" w:type="dxa"/>
          </w:tcPr>
          <w:p w14:paraId="45286021" w14:textId="2BF23EA2" w:rsidR="0011561E" w:rsidRPr="00DC5802" w:rsidRDefault="0011561E" w:rsidP="00B163C9">
            <w:pPr>
              <w:ind w:left="-57"/>
              <w:jc w:val="center"/>
              <w:rPr>
                <w:rFonts w:asciiTheme="majorBidi" w:hAnsiTheme="majorBidi" w:cstheme="majorBidi"/>
                <w:sz w:val="20"/>
                <w:szCs w:val="20"/>
              </w:rPr>
            </w:pPr>
            <w:r w:rsidRPr="00DC5802">
              <w:rPr>
                <w:rFonts w:asciiTheme="majorBidi" w:hAnsiTheme="majorBidi" w:cstheme="majorBidi"/>
                <w:sz w:val="20"/>
                <w:szCs w:val="20"/>
              </w:rPr>
              <w:t>0.082***</w:t>
            </w:r>
          </w:p>
        </w:tc>
      </w:tr>
      <w:tr w:rsidR="0011561E" w:rsidRPr="00DC5802" w14:paraId="6B3BDE76" w14:textId="77777777" w:rsidTr="00FA5E92">
        <w:trPr>
          <w:trHeight w:hRule="exact" w:val="276"/>
          <w:jc w:val="center"/>
        </w:trPr>
        <w:tc>
          <w:tcPr>
            <w:tcW w:w="2460" w:type="dxa"/>
          </w:tcPr>
          <w:p w14:paraId="3976A7BF" w14:textId="77777777" w:rsidR="0011561E" w:rsidRPr="00DC5802" w:rsidRDefault="0011561E" w:rsidP="00B163C9">
            <w:pPr>
              <w:ind w:left="-57"/>
              <w:rPr>
                <w:rFonts w:asciiTheme="majorBidi" w:hAnsiTheme="majorBidi" w:cstheme="majorBidi"/>
                <w:sz w:val="20"/>
                <w:szCs w:val="20"/>
              </w:rPr>
            </w:pPr>
          </w:p>
        </w:tc>
        <w:tc>
          <w:tcPr>
            <w:tcW w:w="1788" w:type="dxa"/>
          </w:tcPr>
          <w:p w14:paraId="6407B9A9" w14:textId="2EB41172" w:rsidR="0011561E" w:rsidRPr="00DC5802" w:rsidRDefault="0011561E" w:rsidP="00B163C9">
            <w:pPr>
              <w:ind w:left="-57"/>
              <w:jc w:val="center"/>
              <w:rPr>
                <w:rFonts w:asciiTheme="majorBidi" w:hAnsiTheme="majorBidi" w:cstheme="majorBidi"/>
                <w:sz w:val="20"/>
                <w:szCs w:val="20"/>
              </w:rPr>
            </w:pPr>
            <w:r w:rsidRPr="00DC5802">
              <w:rPr>
                <w:rFonts w:asciiTheme="majorBidi" w:hAnsiTheme="majorBidi" w:cstheme="majorBidi"/>
                <w:sz w:val="20"/>
                <w:szCs w:val="20"/>
              </w:rPr>
              <w:t>(17.54)</w:t>
            </w:r>
          </w:p>
        </w:tc>
        <w:tc>
          <w:tcPr>
            <w:tcW w:w="2389" w:type="dxa"/>
          </w:tcPr>
          <w:p w14:paraId="180E0A27" w14:textId="31E9AD85" w:rsidR="0011561E" w:rsidRPr="00DC5802" w:rsidRDefault="0011561E" w:rsidP="00B163C9">
            <w:pPr>
              <w:ind w:left="-57"/>
              <w:jc w:val="center"/>
              <w:rPr>
                <w:rFonts w:asciiTheme="majorBidi" w:hAnsiTheme="majorBidi" w:cstheme="majorBidi"/>
                <w:sz w:val="20"/>
                <w:szCs w:val="20"/>
              </w:rPr>
            </w:pPr>
            <w:r w:rsidRPr="00DC5802">
              <w:rPr>
                <w:rFonts w:asciiTheme="majorBidi" w:hAnsiTheme="majorBidi" w:cstheme="majorBidi"/>
                <w:sz w:val="20"/>
                <w:szCs w:val="20"/>
              </w:rPr>
              <w:t>(17.54)</w:t>
            </w:r>
          </w:p>
        </w:tc>
      </w:tr>
      <w:tr w:rsidR="0011561E" w:rsidRPr="00DC5802" w14:paraId="2E261620" w14:textId="77777777" w:rsidTr="00FA5E92">
        <w:trPr>
          <w:trHeight w:hRule="exact" w:val="276"/>
          <w:jc w:val="center"/>
        </w:trPr>
        <w:tc>
          <w:tcPr>
            <w:tcW w:w="2460" w:type="dxa"/>
          </w:tcPr>
          <w:p w14:paraId="72D23A3E" w14:textId="77777777" w:rsidR="0011561E" w:rsidRPr="00DC5802" w:rsidRDefault="0011561E" w:rsidP="00B163C9">
            <w:pPr>
              <w:ind w:left="-57"/>
              <w:jc w:val="center"/>
              <w:rPr>
                <w:rFonts w:asciiTheme="majorBidi" w:hAnsiTheme="majorBidi" w:cstheme="majorBidi"/>
                <w:sz w:val="20"/>
                <w:szCs w:val="20"/>
              </w:rPr>
            </w:pPr>
            <w:r w:rsidRPr="00DC5802">
              <w:rPr>
                <w:rFonts w:asciiTheme="majorBidi" w:hAnsiTheme="majorBidi" w:cstheme="majorBidi"/>
                <w:sz w:val="20"/>
                <w:szCs w:val="20"/>
              </w:rPr>
              <w:t>ROA</w:t>
            </w:r>
          </w:p>
        </w:tc>
        <w:tc>
          <w:tcPr>
            <w:tcW w:w="1788" w:type="dxa"/>
          </w:tcPr>
          <w:p w14:paraId="31F4E668" w14:textId="4D0DFEBB" w:rsidR="0011561E" w:rsidRPr="00DC5802" w:rsidRDefault="0011561E" w:rsidP="00B163C9">
            <w:pPr>
              <w:ind w:left="-57"/>
              <w:jc w:val="center"/>
              <w:rPr>
                <w:rFonts w:asciiTheme="majorBidi" w:hAnsiTheme="majorBidi" w:cstheme="majorBidi"/>
                <w:sz w:val="20"/>
                <w:szCs w:val="20"/>
              </w:rPr>
            </w:pPr>
            <w:r w:rsidRPr="00DC5802">
              <w:rPr>
                <w:rFonts w:asciiTheme="majorBidi" w:hAnsiTheme="majorBidi" w:cstheme="majorBidi"/>
                <w:sz w:val="20"/>
                <w:szCs w:val="20"/>
              </w:rPr>
              <w:t>0.372***</w:t>
            </w:r>
          </w:p>
        </w:tc>
        <w:tc>
          <w:tcPr>
            <w:tcW w:w="2389" w:type="dxa"/>
          </w:tcPr>
          <w:p w14:paraId="06115397" w14:textId="234DA0CB" w:rsidR="0011561E" w:rsidRPr="00DC5802" w:rsidRDefault="0011561E" w:rsidP="00B163C9">
            <w:pPr>
              <w:ind w:left="-57"/>
              <w:jc w:val="center"/>
              <w:rPr>
                <w:rFonts w:asciiTheme="majorBidi" w:hAnsiTheme="majorBidi" w:cstheme="majorBidi"/>
                <w:sz w:val="20"/>
                <w:szCs w:val="20"/>
              </w:rPr>
            </w:pPr>
            <w:r w:rsidRPr="00DC5802">
              <w:rPr>
                <w:rFonts w:asciiTheme="majorBidi" w:hAnsiTheme="majorBidi" w:cstheme="majorBidi"/>
                <w:sz w:val="20"/>
                <w:szCs w:val="20"/>
              </w:rPr>
              <w:t>0.372***</w:t>
            </w:r>
          </w:p>
        </w:tc>
      </w:tr>
      <w:tr w:rsidR="0011561E" w:rsidRPr="00DC5802" w14:paraId="6400E678" w14:textId="77777777" w:rsidTr="00FA5E92">
        <w:trPr>
          <w:trHeight w:hRule="exact" w:val="276"/>
          <w:jc w:val="center"/>
        </w:trPr>
        <w:tc>
          <w:tcPr>
            <w:tcW w:w="2460" w:type="dxa"/>
          </w:tcPr>
          <w:p w14:paraId="062B8C64" w14:textId="77777777" w:rsidR="0011561E" w:rsidRPr="00DC5802" w:rsidRDefault="0011561E" w:rsidP="00B163C9">
            <w:pPr>
              <w:ind w:left="-57"/>
              <w:rPr>
                <w:rFonts w:asciiTheme="majorBidi" w:hAnsiTheme="majorBidi" w:cstheme="majorBidi"/>
                <w:sz w:val="20"/>
                <w:szCs w:val="20"/>
              </w:rPr>
            </w:pPr>
          </w:p>
        </w:tc>
        <w:tc>
          <w:tcPr>
            <w:tcW w:w="1788" w:type="dxa"/>
          </w:tcPr>
          <w:p w14:paraId="11882056" w14:textId="2CF22E3E" w:rsidR="0011561E" w:rsidRPr="00DC5802" w:rsidRDefault="0011561E" w:rsidP="00B163C9">
            <w:pPr>
              <w:ind w:left="-57"/>
              <w:jc w:val="center"/>
              <w:rPr>
                <w:rFonts w:asciiTheme="majorBidi" w:hAnsiTheme="majorBidi" w:cstheme="majorBidi"/>
                <w:sz w:val="20"/>
                <w:szCs w:val="20"/>
              </w:rPr>
            </w:pPr>
            <w:r w:rsidRPr="00DC5802">
              <w:rPr>
                <w:rFonts w:asciiTheme="majorBidi" w:hAnsiTheme="majorBidi" w:cstheme="majorBidi"/>
                <w:sz w:val="20"/>
                <w:szCs w:val="20"/>
              </w:rPr>
              <w:t>(321.94)</w:t>
            </w:r>
          </w:p>
        </w:tc>
        <w:tc>
          <w:tcPr>
            <w:tcW w:w="2389" w:type="dxa"/>
          </w:tcPr>
          <w:p w14:paraId="4FB585BC" w14:textId="15168FFA" w:rsidR="0011561E" w:rsidRPr="00DC5802" w:rsidRDefault="0011561E" w:rsidP="00B163C9">
            <w:pPr>
              <w:ind w:left="-57"/>
              <w:jc w:val="center"/>
              <w:rPr>
                <w:rFonts w:asciiTheme="majorBidi" w:hAnsiTheme="majorBidi" w:cstheme="majorBidi"/>
                <w:sz w:val="20"/>
                <w:szCs w:val="20"/>
              </w:rPr>
            </w:pPr>
            <w:r w:rsidRPr="00DC5802">
              <w:rPr>
                <w:rFonts w:asciiTheme="majorBidi" w:hAnsiTheme="majorBidi" w:cstheme="majorBidi"/>
                <w:sz w:val="20"/>
                <w:szCs w:val="20"/>
              </w:rPr>
              <w:t>(321.94)</w:t>
            </w:r>
          </w:p>
        </w:tc>
      </w:tr>
      <w:tr w:rsidR="0011561E" w:rsidRPr="00DC5802" w14:paraId="0D0B3F4A" w14:textId="77777777" w:rsidTr="00FA5E92">
        <w:trPr>
          <w:trHeight w:hRule="exact" w:val="276"/>
          <w:jc w:val="center"/>
        </w:trPr>
        <w:tc>
          <w:tcPr>
            <w:tcW w:w="2460" w:type="dxa"/>
          </w:tcPr>
          <w:p w14:paraId="11968634" w14:textId="77777777" w:rsidR="0011561E" w:rsidRPr="00DC5802" w:rsidRDefault="0011561E" w:rsidP="00B163C9">
            <w:pPr>
              <w:ind w:left="-57"/>
              <w:jc w:val="center"/>
              <w:rPr>
                <w:rFonts w:asciiTheme="majorBidi" w:hAnsiTheme="majorBidi" w:cstheme="majorBidi"/>
                <w:sz w:val="20"/>
                <w:szCs w:val="20"/>
              </w:rPr>
            </w:pPr>
            <w:r w:rsidRPr="00DC5802">
              <w:rPr>
                <w:rFonts w:asciiTheme="majorBidi" w:hAnsiTheme="majorBidi" w:cstheme="majorBidi"/>
                <w:sz w:val="20"/>
                <w:szCs w:val="20"/>
              </w:rPr>
              <w:t>Size</w:t>
            </w:r>
          </w:p>
        </w:tc>
        <w:tc>
          <w:tcPr>
            <w:tcW w:w="1788" w:type="dxa"/>
          </w:tcPr>
          <w:p w14:paraId="6DBE4784" w14:textId="61E4BFFC" w:rsidR="0011561E" w:rsidRPr="00DC5802" w:rsidRDefault="0011561E" w:rsidP="00B163C9">
            <w:pPr>
              <w:ind w:left="-57"/>
              <w:jc w:val="center"/>
              <w:rPr>
                <w:rFonts w:asciiTheme="majorBidi" w:hAnsiTheme="majorBidi" w:cstheme="majorBidi"/>
                <w:sz w:val="20"/>
                <w:szCs w:val="20"/>
              </w:rPr>
            </w:pPr>
            <w:r w:rsidRPr="00DC5802">
              <w:rPr>
                <w:rFonts w:asciiTheme="majorBidi" w:hAnsiTheme="majorBidi" w:cstheme="majorBidi"/>
                <w:sz w:val="20"/>
                <w:szCs w:val="20"/>
              </w:rPr>
              <w:t>0.060***</w:t>
            </w:r>
          </w:p>
        </w:tc>
        <w:tc>
          <w:tcPr>
            <w:tcW w:w="2389" w:type="dxa"/>
          </w:tcPr>
          <w:p w14:paraId="56A745FE" w14:textId="3C00B7C8" w:rsidR="0011561E" w:rsidRPr="00DC5802" w:rsidRDefault="0011561E" w:rsidP="00B163C9">
            <w:pPr>
              <w:ind w:left="-57"/>
              <w:jc w:val="center"/>
              <w:rPr>
                <w:rFonts w:asciiTheme="majorBidi" w:hAnsiTheme="majorBidi" w:cstheme="majorBidi"/>
                <w:sz w:val="20"/>
                <w:szCs w:val="20"/>
              </w:rPr>
            </w:pPr>
            <w:r w:rsidRPr="00DC5802">
              <w:rPr>
                <w:rFonts w:asciiTheme="majorBidi" w:hAnsiTheme="majorBidi" w:cstheme="majorBidi"/>
                <w:sz w:val="20"/>
                <w:szCs w:val="20"/>
              </w:rPr>
              <w:t>0.060***</w:t>
            </w:r>
          </w:p>
        </w:tc>
      </w:tr>
      <w:tr w:rsidR="0011561E" w:rsidRPr="00DC5802" w14:paraId="58C17240" w14:textId="77777777" w:rsidTr="00FA5E92">
        <w:trPr>
          <w:trHeight w:hRule="exact" w:val="276"/>
          <w:jc w:val="center"/>
        </w:trPr>
        <w:tc>
          <w:tcPr>
            <w:tcW w:w="2460" w:type="dxa"/>
          </w:tcPr>
          <w:p w14:paraId="0387AEC9" w14:textId="77777777" w:rsidR="0011561E" w:rsidRPr="00DC5802" w:rsidRDefault="0011561E" w:rsidP="00B163C9">
            <w:pPr>
              <w:ind w:left="-57"/>
              <w:rPr>
                <w:rFonts w:asciiTheme="majorBidi" w:hAnsiTheme="majorBidi" w:cstheme="majorBidi"/>
                <w:sz w:val="20"/>
                <w:szCs w:val="20"/>
              </w:rPr>
            </w:pPr>
          </w:p>
        </w:tc>
        <w:tc>
          <w:tcPr>
            <w:tcW w:w="1788" w:type="dxa"/>
          </w:tcPr>
          <w:p w14:paraId="06B7F2B2" w14:textId="1FA620FB" w:rsidR="0011561E" w:rsidRPr="00DC5802" w:rsidRDefault="0011561E" w:rsidP="00B163C9">
            <w:pPr>
              <w:ind w:left="-57"/>
              <w:jc w:val="center"/>
              <w:rPr>
                <w:rFonts w:asciiTheme="majorBidi" w:hAnsiTheme="majorBidi" w:cstheme="majorBidi"/>
                <w:sz w:val="20"/>
                <w:szCs w:val="20"/>
              </w:rPr>
            </w:pPr>
            <w:r w:rsidRPr="00DC5802">
              <w:rPr>
                <w:rFonts w:asciiTheme="majorBidi" w:hAnsiTheme="majorBidi" w:cstheme="majorBidi"/>
                <w:sz w:val="20"/>
                <w:szCs w:val="20"/>
              </w:rPr>
              <w:t>(14.88)</w:t>
            </w:r>
          </w:p>
        </w:tc>
        <w:tc>
          <w:tcPr>
            <w:tcW w:w="2389" w:type="dxa"/>
          </w:tcPr>
          <w:p w14:paraId="074911A4" w14:textId="2436D21B" w:rsidR="0011561E" w:rsidRPr="00DC5802" w:rsidRDefault="0011561E" w:rsidP="00B163C9">
            <w:pPr>
              <w:ind w:left="-57"/>
              <w:jc w:val="center"/>
              <w:rPr>
                <w:rFonts w:asciiTheme="majorBidi" w:hAnsiTheme="majorBidi" w:cstheme="majorBidi"/>
                <w:sz w:val="20"/>
                <w:szCs w:val="20"/>
              </w:rPr>
            </w:pPr>
            <w:r w:rsidRPr="00DC5802">
              <w:rPr>
                <w:rFonts w:asciiTheme="majorBidi" w:hAnsiTheme="majorBidi" w:cstheme="majorBidi"/>
                <w:sz w:val="20"/>
                <w:szCs w:val="20"/>
              </w:rPr>
              <w:t>(14.88)</w:t>
            </w:r>
          </w:p>
        </w:tc>
      </w:tr>
      <w:tr w:rsidR="0011561E" w:rsidRPr="00DC5802" w14:paraId="7EBA9F7D" w14:textId="77777777" w:rsidTr="00FA5E92">
        <w:trPr>
          <w:trHeight w:hRule="exact" w:val="276"/>
          <w:jc w:val="center"/>
        </w:trPr>
        <w:tc>
          <w:tcPr>
            <w:tcW w:w="2460" w:type="dxa"/>
          </w:tcPr>
          <w:p w14:paraId="1048D6D2" w14:textId="77777777" w:rsidR="0011561E" w:rsidRPr="00DC5802" w:rsidRDefault="0011561E" w:rsidP="00B163C9">
            <w:pPr>
              <w:ind w:left="-57"/>
              <w:jc w:val="center"/>
              <w:rPr>
                <w:rFonts w:asciiTheme="majorBidi" w:hAnsiTheme="majorBidi" w:cstheme="majorBidi"/>
                <w:sz w:val="20"/>
                <w:szCs w:val="20"/>
              </w:rPr>
            </w:pPr>
            <w:r w:rsidRPr="00DC5802">
              <w:rPr>
                <w:rFonts w:asciiTheme="majorBidi" w:hAnsiTheme="majorBidi" w:cstheme="majorBidi"/>
                <w:sz w:val="20"/>
                <w:szCs w:val="20"/>
              </w:rPr>
              <w:t>HH</w:t>
            </w:r>
          </w:p>
        </w:tc>
        <w:tc>
          <w:tcPr>
            <w:tcW w:w="1788" w:type="dxa"/>
          </w:tcPr>
          <w:p w14:paraId="54526DF4" w14:textId="434C0F61" w:rsidR="0011561E" w:rsidRPr="00DC5802" w:rsidRDefault="0011561E" w:rsidP="00B163C9">
            <w:pPr>
              <w:ind w:left="-57"/>
              <w:rPr>
                <w:rFonts w:asciiTheme="majorBidi" w:hAnsiTheme="majorBidi" w:cstheme="majorBidi"/>
                <w:sz w:val="20"/>
                <w:szCs w:val="20"/>
              </w:rPr>
            </w:pPr>
            <w:r w:rsidRPr="00DC5802">
              <w:rPr>
                <w:rFonts w:asciiTheme="majorBidi" w:hAnsiTheme="majorBidi" w:cstheme="majorBidi"/>
                <w:sz w:val="20"/>
                <w:szCs w:val="20"/>
              </w:rPr>
              <w:t>0.012***</w:t>
            </w:r>
          </w:p>
        </w:tc>
        <w:tc>
          <w:tcPr>
            <w:tcW w:w="2389" w:type="dxa"/>
          </w:tcPr>
          <w:p w14:paraId="5565FA66" w14:textId="577F18EC" w:rsidR="0011561E" w:rsidRPr="00DC5802" w:rsidRDefault="0011561E" w:rsidP="00B163C9">
            <w:pPr>
              <w:ind w:left="-57"/>
              <w:rPr>
                <w:rFonts w:asciiTheme="majorBidi" w:hAnsiTheme="majorBidi" w:cstheme="majorBidi"/>
                <w:sz w:val="20"/>
                <w:szCs w:val="20"/>
              </w:rPr>
            </w:pPr>
          </w:p>
        </w:tc>
      </w:tr>
      <w:tr w:rsidR="0011561E" w:rsidRPr="00DC5802" w14:paraId="0C159276" w14:textId="77777777" w:rsidTr="00FA5E92">
        <w:trPr>
          <w:trHeight w:hRule="exact" w:val="276"/>
          <w:jc w:val="center"/>
        </w:trPr>
        <w:tc>
          <w:tcPr>
            <w:tcW w:w="2460" w:type="dxa"/>
          </w:tcPr>
          <w:p w14:paraId="58857971" w14:textId="77777777" w:rsidR="0011561E" w:rsidRPr="00DC5802" w:rsidRDefault="0011561E" w:rsidP="00B163C9">
            <w:pPr>
              <w:ind w:left="-57"/>
              <w:rPr>
                <w:rFonts w:asciiTheme="majorBidi" w:hAnsiTheme="majorBidi" w:cstheme="majorBidi"/>
                <w:sz w:val="20"/>
                <w:szCs w:val="20"/>
              </w:rPr>
            </w:pPr>
          </w:p>
        </w:tc>
        <w:tc>
          <w:tcPr>
            <w:tcW w:w="1788" w:type="dxa"/>
          </w:tcPr>
          <w:p w14:paraId="081BFB2A" w14:textId="57F6E00B" w:rsidR="0011561E" w:rsidRPr="00DC5802" w:rsidRDefault="0011561E" w:rsidP="00B163C9">
            <w:pPr>
              <w:ind w:left="-57"/>
              <w:rPr>
                <w:rFonts w:asciiTheme="majorBidi" w:hAnsiTheme="majorBidi" w:cstheme="majorBidi"/>
                <w:sz w:val="20"/>
                <w:szCs w:val="20"/>
              </w:rPr>
            </w:pPr>
            <w:r w:rsidRPr="00DC5802">
              <w:rPr>
                <w:rFonts w:asciiTheme="majorBidi" w:hAnsiTheme="majorBidi" w:cstheme="majorBidi"/>
                <w:sz w:val="20"/>
                <w:szCs w:val="20"/>
              </w:rPr>
              <w:t>(16.95)</w:t>
            </w:r>
          </w:p>
        </w:tc>
        <w:tc>
          <w:tcPr>
            <w:tcW w:w="2389" w:type="dxa"/>
          </w:tcPr>
          <w:p w14:paraId="1390C7C9" w14:textId="091A9D08" w:rsidR="0011561E" w:rsidRPr="00DC5802" w:rsidRDefault="0011561E" w:rsidP="00B163C9">
            <w:pPr>
              <w:ind w:left="-57"/>
              <w:rPr>
                <w:rFonts w:asciiTheme="majorBidi" w:hAnsiTheme="majorBidi" w:cstheme="majorBidi"/>
                <w:sz w:val="20"/>
                <w:szCs w:val="20"/>
              </w:rPr>
            </w:pPr>
          </w:p>
        </w:tc>
      </w:tr>
      <w:tr w:rsidR="0011561E" w:rsidRPr="00DC5802" w14:paraId="7D65E7E5" w14:textId="77777777" w:rsidTr="00FA5E92">
        <w:trPr>
          <w:trHeight w:hRule="exact" w:val="276"/>
          <w:jc w:val="center"/>
        </w:trPr>
        <w:tc>
          <w:tcPr>
            <w:tcW w:w="2460" w:type="dxa"/>
          </w:tcPr>
          <w:p w14:paraId="32A06BD2" w14:textId="77777777" w:rsidR="0011561E" w:rsidRPr="00DC5802" w:rsidRDefault="0011561E" w:rsidP="00B163C9">
            <w:pPr>
              <w:ind w:left="-57"/>
              <w:jc w:val="center"/>
              <w:rPr>
                <w:rFonts w:asciiTheme="majorBidi" w:hAnsiTheme="majorBidi" w:cstheme="majorBidi"/>
                <w:sz w:val="20"/>
                <w:szCs w:val="20"/>
              </w:rPr>
            </w:pPr>
            <w:r w:rsidRPr="00DC5802">
              <w:rPr>
                <w:rFonts w:asciiTheme="majorBidi" w:hAnsiTheme="majorBidi" w:cstheme="majorBidi"/>
                <w:sz w:val="20"/>
                <w:szCs w:val="20"/>
              </w:rPr>
              <w:t>_cons</w:t>
            </w:r>
          </w:p>
        </w:tc>
        <w:tc>
          <w:tcPr>
            <w:tcW w:w="1788" w:type="dxa"/>
          </w:tcPr>
          <w:p w14:paraId="1D749F05" w14:textId="34FDDDBD" w:rsidR="0011561E" w:rsidRPr="00DC5802" w:rsidRDefault="0011561E" w:rsidP="00B163C9">
            <w:pPr>
              <w:ind w:left="-57"/>
              <w:jc w:val="center"/>
              <w:rPr>
                <w:rFonts w:asciiTheme="majorBidi" w:hAnsiTheme="majorBidi" w:cstheme="majorBidi"/>
                <w:sz w:val="20"/>
                <w:szCs w:val="20"/>
              </w:rPr>
            </w:pPr>
            <w:r w:rsidRPr="00DC5802">
              <w:rPr>
                <w:rFonts w:asciiTheme="majorBidi" w:hAnsiTheme="majorBidi" w:cstheme="majorBidi"/>
                <w:sz w:val="20"/>
                <w:szCs w:val="20"/>
              </w:rPr>
              <w:t>-0.216**</w:t>
            </w:r>
          </w:p>
        </w:tc>
        <w:tc>
          <w:tcPr>
            <w:tcW w:w="2389" w:type="dxa"/>
          </w:tcPr>
          <w:p w14:paraId="4F551E8C" w14:textId="1F83025C" w:rsidR="0011561E" w:rsidRPr="00DC5802" w:rsidRDefault="0011561E" w:rsidP="00B163C9">
            <w:pPr>
              <w:ind w:left="-57"/>
              <w:jc w:val="center"/>
              <w:rPr>
                <w:rFonts w:asciiTheme="majorBidi" w:hAnsiTheme="majorBidi" w:cstheme="majorBidi"/>
                <w:sz w:val="20"/>
                <w:szCs w:val="20"/>
              </w:rPr>
            </w:pPr>
            <w:r w:rsidRPr="00DC5802">
              <w:rPr>
                <w:rFonts w:asciiTheme="majorBidi" w:hAnsiTheme="majorBidi" w:cstheme="majorBidi"/>
                <w:sz w:val="20"/>
                <w:szCs w:val="20"/>
              </w:rPr>
              <w:t>-0.216**</w:t>
            </w:r>
          </w:p>
        </w:tc>
      </w:tr>
      <w:tr w:rsidR="0011561E" w:rsidRPr="00DC5802" w14:paraId="391A7E2A" w14:textId="77777777" w:rsidTr="00FA5E92">
        <w:trPr>
          <w:trHeight w:hRule="exact" w:val="276"/>
          <w:jc w:val="center"/>
        </w:trPr>
        <w:tc>
          <w:tcPr>
            <w:tcW w:w="2460" w:type="dxa"/>
            <w:tcBorders>
              <w:bottom w:val="single" w:sz="0" w:space="0" w:color="000000"/>
            </w:tcBorders>
          </w:tcPr>
          <w:p w14:paraId="497E46F5" w14:textId="77777777" w:rsidR="0011561E" w:rsidRPr="00DC5802" w:rsidRDefault="0011561E" w:rsidP="00B163C9">
            <w:pPr>
              <w:ind w:left="-57"/>
              <w:rPr>
                <w:rFonts w:asciiTheme="majorBidi" w:hAnsiTheme="majorBidi" w:cstheme="majorBidi"/>
                <w:sz w:val="20"/>
                <w:szCs w:val="20"/>
              </w:rPr>
            </w:pPr>
          </w:p>
        </w:tc>
        <w:tc>
          <w:tcPr>
            <w:tcW w:w="1788" w:type="dxa"/>
            <w:tcBorders>
              <w:bottom w:val="single" w:sz="0" w:space="0" w:color="000000"/>
            </w:tcBorders>
          </w:tcPr>
          <w:p w14:paraId="4B712A70" w14:textId="0A306A0A" w:rsidR="0011561E" w:rsidRPr="00DC5802" w:rsidRDefault="0011561E" w:rsidP="00B163C9">
            <w:pPr>
              <w:ind w:left="-57"/>
              <w:jc w:val="center"/>
              <w:rPr>
                <w:rFonts w:asciiTheme="majorBidi" w:hAnsiTheme="majorBidi" w:cstheme="majorBidi"/>
                <w:sz w:val="20"/>
                <w:szCs w:val="20"/>
              </w:rPr>
            </w:pPr>
            <w:r w:rsidRPr="00DC5802">
              <w:rPr>
                <w:rFonts w:asciiTheme="majorBidi" w:hAnsiTheme="majorBidi" w:cstheme="majorBidi"/>
                <w:sz w:val="20"/>
                <w:szCs w:val="20"/>
              </w:rPr>
              <w:t>(-2.34)</w:t>
            </w:r>
          </w:p>
        </w:tc>
        <w:tc>
          <w:tcPr>
            <w:tcW w:w="2389" w:type="dxa"/>
            <w:tcBorders>
              <w:bottom w:val="single" w:sz="0" w:space="0" w:color="000000"/>
            </w:tcBorders>
          </w:tcPr>
          <w:p w14:paraId="0C750E22" w14:textId="6FA1EBD7" w:rsidR="0011561E" w:rsidRPr="00DC5802" w:rsidRDefault="0011561E" w:rsidP="00B163C9">
            <w:pPr>
              <w:ind w:left="-57"/>
              <w:jc w:val="center"/>
              <w:rPr>
                <w:rFonts w:asciiTheme="majorBidi" w:hAnsiTheme="majorBidi" w:cstheme="majorBidi"/>
                <w:sz w:val="20"/>
                <w:szCs w:val="20"/>
              </w:rPr>
            </w:pPr>
            <w:r w:rsidRPr="00DC5802">
              <w:rPr>
                <w:rFonts w:asciiTheme="majorBidi" w:hAnsiTheme="majorBidi" w:cstheme="majorBidi"/>
                <w:sz w:val="20"/>
                <w:szCs w:val="20"/>
              </w:rPr>
              <w:t>(-2.34)</w:t>
            </w:r>
          </w:p>
        </w:tc>
      </w:tr>
      <w:tr w:rsidR="0011561E" w:rsidRPr="00DC5802" w14:paraId="4B818748" w14:textId="77777777" w:rsidTr="00FA5E92">
        <w:trPr>
          <w:trHeight w:hRule="exact" w:val="276"/>
          <w:jc w:val="center"/>
        </w:trPr>
        <w:tc>
          <w:tcPr>
            <w:tcW w:w="2460" w:type="dxa"/>
            <w:tcBorders>
              <w:top w:val="single" w:sz="0" w:space="0" w:color="000000"/>
            </w:tcBorders>
          </w:tcPr>
          <w:p w14:paraId="4866DF2F" w14:textId="77777777" w:rsidR="0011561E" w:rsidRPr="00DC5802" w:rsidRDefault="0011561E" w:rsidP="00B163C9">
            <w:pPr>
              <w:ind w:left="-57"/>
              <w:jc w:val="center"/>
              <w:rPr>
                <w:rFonts w:asciiTheme="majorBidi" w:hAnsiTheme="majorBidi" w:cstheme="majorBidi"/>
                <w:sz w:val="20"/>
                <w:szCs w:val="20"/>
              </w:rPr>
            </w:pPr>
            <w:r w:rsidRPr="00DC5802">
              <w:rPr>
                <w:rFonts w:asciiTheme="majorBidi" w:eastAsia="Calibri" w:hAnsiTheme="majorBidi" w:cstheme="majorBidi"/>
                <w:sz w:val="20"/>
                <w:szCs w:val="20"/>
              </w:rPr>
              <w:t>var (_cons)</w:t>
            </w:r>
          </w:p>
        </w:tc>
        <w:tc>
          <w:tcPr>
            <w:tcW w:w="1788" w:type="dxa"/>
            <w:tcBorders>
              <w:top w:val="single" w:sz="0" w:space="0" w:color="000000"/>
            </w:tcBorders>
          </w:tcPr>
          <w:p w14:paraId="4A2C8B91" w14:textId="7E60B4F5" w:rsidR="0011561E" w:rsidRPr="00DC5802" w:rsidRDefault="0011561E" w:rsidP="00B163C9">
            <w:pPr>
              <w:ind w:left="-57"/>
              <w:jc w:val="center"/>
              <w:rPr>
                <w:rFonts w:asciiTheme="majorBidi" w:eastAsia="Calibri" w:hAnsiTheme="majorBidi" w:cstheme="majorBidi"/>
                <w:sz w:val="20"/>
                <w:szCs w:val="20"/>
              </w:rPr>
            </w:pPr>
            <w:r w:rsidRPr="00DC5802">
              <w:rPr>
                <w:rFonts w:asciiTheme="majorBidi" w:eastAsia="Calibri" w:hAnsiTheme="majorBidi" w:cstheme="majorBidi"/>
                <w:sz w:val="20"/>
                <w:szCs w:val="20"/>
              </w:rPr>
              <w:t>0.851</w:t>
            </w:r>
          </w:p>
        </w:tc>
        <w:tc>
          <w:tcPr>
            <w:tcW w:w="2389" w:type="dxa"/>
            <w:tcBorders>
              <w:top w:val="single" w:sz="0" w:space="0" w:color="000000"/>
            </w:tcBorders>
          </w:tcPr>
          <w:p w14:paraId="2D8CFB52" w14:textId="0DC21478" w:rsidR="0011561E" w:rsidRPr="00DC5802" w:rsidRDefault="0011561E" w:rsidP="00B163C9">
            <w:pPr>
              <w:ind w:left="-57"/>
              <w:jc w:val="center"/>
              <w:rPr>
                <w:rFonts w:asciiTheme="majorBidi" w:hAnsiTheme="majorBidi" w:cstheme="majorBidi"/>
                <w:sz w:val="20"/>
                <w:szCs w:val="20"/>
              </w:rPr>
            </w:pPr>
            <w:r w:rsidRPr="00DC5802">
              <w:rPr>
                <w:rFonts w:asciiTheme="majorBidi" w:eastAsia="Calibri" w:hAnsiTheme="majorBidi" w:cstheme="majorBidi"/>
                <w:sz w:val="20"/>
                <w:szCs w:val="20"/>
              </w:rPr>
              <w:t>0.851</w:t>
            </w:r>
          </w:p>
        </w:tc>
      </w:tr>
      <w:tr w:rsidR="0011561E" w:rsidRPr="00DC5802" w14:paraId="1594361B" w14:textId="77777777" w:rsidTr="00FA5E92">
        <w:trPr>
          <w:trHeight w:hRule="exact" w:val="276"/>
          <w:jc w:val="center"/>
        </w:trPr>
        <w:tc>
          <w:tcPr>
            <w:tcW w:w="2460" w:type="dxa"/>
          </w:tcPr>
          <w:p w14:paraId="432FB7B0" w14:textId="77777777" w:rsidR="0011561E" w:rsidRPr="00DC5802" w:rsidRDefault="0011561E" w:rsidP="00B163C9">
            <w:pPr>
              <w:ind w:left="-57"/>
              <w:jc w:val="center"/>
              <w:rPr>
                <w:rFonts w:asciiTheme="majorBidi" w:hAnsiTheme="majorBidi" w:cstheme="majorBidi"/>
                <w:sz w:val="20"/>
                <w:szCs w:val="20"/>
              </w:rPr>
            </w:pPr>
            <w:r w:rsidRPr="00DC5802">
              <w:rPr>
                <w:rFonts w:asciiTheme="majorBidi" w:eastAsia="Calibri" w:hAnsiTheme="majorBidi" w:cstheme="majorBidi"/>
                <w:sz w:val="20"/>
                <w:szCs w:val="20"/>
              </w:rPr>
              <w:t>var (Residual)</w:t>
            </w:r>
          </w:p>
        </w:tc>
        <w:tc>
          <w:tcPr>
            <w:tcW w:w="1788" w:type="dxa"/>
          </w:tcPr>
          <w:p w14:paraId="3F4D3463" w14:textId="5F0B051A" w:rsidR="0011561E" w:rsidRPr="00DC5802" w:rsidRDefault="0011561E" w:rsidP="00B163C9">
            <w:pPr>
              <w:ind w:left="-57"/>
              <w:jc w:val="center"/>
              <w:rPr>
                <w:rFonts w:asciiTheme="majorBidi" w:eastAsia="Calibri" w:hAnsiTheme="majorBidi" w:cstheme="majorBidi"/>
                <w:sz w:val="20"/>
                <w:szCs w:val="20"/>
              </w:rPr>
            </w:pPr>
            <w:r w:rsidRPr="00DC5802">
              <w:rPr>
                <w:rFonts w:asciiTheme="majorBidi" w:eastAsia="Calibri" w:hAnsiTheme="majorBidi" w:cstheme="majorBidi"/>
                <w:sz w:val="20"/>
                <w:szCs w:val="20"/>
              </w:rPr>
              <w:t>0.072</w:t>
            </w:r>
          </w:p>
        </w:tc>
        <w:tc>
          <w:tcPr>
            <w:tcW w:w="2389" w:type="dxa"/>
          </w:tcPr>
          <w:p w14:paraId="18A6AF4F" w14:textId="5D73D31E" w:rsidR="0011561E" w:rsidRPr="00DC5802" w:rsidRDefault="0011561E" w:rsidP="00B163C9">
            <w:pPr>
              <w:ind w:left="-57"/>
              <w:jc w:val="center"/>
              <w:rPr>
                <w:rFonts w:asciiTheme="majorBidi" w:hAnsiTheme="majorBidi" w:cstheme="majorBidi"/>
                <w:sz w:val="20"/>
                <w:szCs w:val="20"/>
              </w:rPr>
            </w:pPr>
            <w:r w:rsidRPr="00DC5802">
              <w:rPr>
                <w:rFonts w:asciiTheme="majorBidi" w:eastAsia="Calibri" w:hAnsiTheme="majorBidi" w:cstheme="majorBidi"/>
                <w:sz w:val="20"/>
                <w:szCs w:val="20"/>
              </w:rPr>
              <w:t>0.072</w:t>
            </w:r>
          </w:p>
        </w:tc>
      </w:tr>
      <w:tr w:rsidR="0011561E" w:rsidRPr="00DC5802" w14:paraId="6D7A5425" w14:textId="77777777" w:rsidTr="00FA5E92">
        <w:trPr>
          <w:trHeight w:hRule="exact" w:val="276"/>
          <w:jc w:val="center"/>
        </w:trPr>
        <w:tc>
          <w:tcPr>
            <w:tcW w:w="2460" w:type="dxa"/>
            <w:tcBorders>
              <w:bottom w:val="single" w:sz="0" w:space="0" w:color="000000"/>
            </w:tcBorders>
          </w:tcPr>
          <w:p w14:paraId="71EC5CAF" w14:textId="77777777" w:rsidR="0011561E" w:rsidRPr="00DC5802" w:rsidRDefault="0011561E" w:rsidP="00B163C9">
            <w:pPr>
              <w:ind w:left="-57"/>
              <w:jc w:val="center"/>
              <w:rPr>
                <w:rFonts w:asciiTheme="majorBidi" w:hAnsiTheme="majorBidi" w:cstheme="majorBidi"/>
                <w:sz w:val="20"/>
                <w:szCs w:val="20"/>
              </w:rPr>
            </w:pPr>
            <w:r w:rsidRPr="00DC5802">
              <w:rPr>
                <w:rFonts w:asciiTheme="majorBidi" w:eastAsia="Calibri" w:hAnsiTheme="majorBidi" w:cstheme="majorBidi"/>
                <w:i/>
                <w:iCs/>
                <w:sz w:val="20"/>
                <w:szCs w:val="20"/>
              </w:rPr>
              <w:t>N</w:t>
            </w:r>
          </w:p>
        </w:tc>
        <w:tc>
          <w:tcPr>
            <w:tcW w:w="1788" w:type="dxa"/>
            <w:tcBorders>
              <w:bottom w:val="single" w:sz="0" w:space="0" w:color="000000"/>
            </w:tcBorders>
          </w:tcPr>
          <w:p w14:paraId="30A01C6E" w14:textId="44CF9814" w:rsidR="0011561E" w:rsidRPr="00DC5802" w:rsidRDefault="0011561E" w:rsidP="00B163C9">
            <w:pPr>
              <w:ind w:left="-57"/>
              <w:jc w:val="center"/>
              <w:rPr>
                <w:rFonts w:asciiTheme="majorBidi" w:eastAsia="Calibri" w:hAnsiTheme="majorBidi" w:cstheme="majorBidi"/>
                <w:sz w:val="20"/>
                <w:szCs w:val="20"/>
              </w:rPr>
            </w:pPr>
            <w:r w:rsidRPr="00DC5802">
              <w:rPr>
                <w:rFonts w:asciiTheme="majorBidi" w:eastAsia="Calibri" w:hAnsiTheme="majorBidi" w:cstheme="majorBidi"/>
                <w:sz w:val="20"/>
                <w:szCs w:val="20"/>
              </w:rPr>
              <w:t>338,556</w:t>
            </w:r>
          </w:p>
        </w:tc>
        <w:tc>
          <w:tcPr>
            <w:tcW w:w="2389" w:type="dxa"/>
            <w:tcBorders>
              <w:bottom w:val="single" w:sz="0" w:space="0" w:color="000000"/>
            </w:tcBorders>
          </w:tcPr>
          <w:p w14:paraId="13AC8C3B" w14:textId="0DAC17CA" w:rsidR="0011561E" w:rsidRPr="00DC5802" w:rsidRDefault="0011561E" w:rsidP="00B163C9">
            <w:pPr>
              <w:ind w:left="-57"/>
              <w:jc w:val="center"/>
              <w:rPr>
                <w:rFonts w:asciiTheme="majorBidi" w:hAnsiTheme="majorBidi" w:cstheme="majorBidi"/>
                <w:sz w:val="20"/>
                <w:szCs w:val="20"/>
              </w:rPr>
            </w:pPr>
            <w:r w:rsidRPr="00DC5802">
              <w:rPr>
                <w:rFonts w:asciiTheme="majorBidi" w:eastAsia="Calibri" w:hAnsiTheme="majorBidi" w:cstheme="majorBidi"/>
                <w:sz w:val="20"/>
                <w:szCs w:val="20"/>
              </w:rPr>
              <w:t>338,556</w:t>
            </w:r>
          </w:p>
        </w:tc>
      </w:tr>
      <w:tr w:rsidR="0011561E" w:rsidRPr="00DC5802" w14:paraId="1F32E3B7" w14:textId="77777777" w:rsidTr="00FA5E92">
        <w:trPr>
          <w:trHeight w:hRule="exact" w:val="276"/>
          <w:jc w:val="center"/>
        </w:trPr>
        <w:tc>
          <w:tcPr>
            <w:tcW w:w="2460" w:type="dxa"/>
            <w:tcBorders>
              <w:top w:val="single" w:sz="0" w:space="0" w:color="000000"/>
            </w:tcBorders>
          </w:tcPr>
          <w:p w14:paraId="08FAEF21" w14:textId="77777777" w:rsidR="0011561E" w:rsidRPr="00DC5802" w:rsidRDefault="0011561E" w:rsidP="00B163C9">
            <w:pPr>
              <w:ind w:left="-57"/>
              <w:jc w:val="center"/>
              <w:rPr>
                <w:rFonts w:asciiTheme="majorBidi" w:hAnsiTheme="majorBidi" w:cstheme="majorBidi"/>
                <w:sz w:val="20"/>
                <w:szCs w:val="20"/>
              </w:rPr>
            </w:pPr>
            <w:r w:rsidRPr="00DC5802">
              <w:rPr>
                <w:rFonts w:asciiTheme="majorBidi" w:eastAsia="Calibri" w:hAnsiTheme="majorBidi" w:cstheme="majorBidi"/>
                <w:sz w:val="20"/>
                <w:szCs w:val="20"/>
              </w:rPr>
              <w:t>ICC</w:t>
            </w:r>
          </w:p>
        </w:tc>
        <w:tc>
          <w:tcPr>
            <w:tcW w:w="1788" w:type="dxa"/>
            <w:tcBorders>
              <w:top w:val="single" w:sz="0" w:space="0" w:color="000000"/>
            </w:tcBorders>
          </w:tcPr>
          <w:p w14:paraId="28307B34" w14:textId="6B0A04BD" w:rsidR="0011561E" w:rsidRPr="00DC5802" w:rsidRDefault="0011561E" w:rsidP="00B163C9">
            <w:pPr>
              <w:ind w:left="-57"/>
              <w:jc w:val="center"/>
              <w:rPr>
                <w:rFonts w:asciiTheme="majorBidi" w:eastAsia="Calibri" w:hAnsiTheme="majorBidi" w:cstheme="majorBidi"/>
                <w:sz w:val="20"/>
                <w:szCs w:val="20"/>
              </w:rPr>
            </w:pPr>
            <w:r w:rsidRPr="00DC5802">
              <w:rPr>
                <w:rFonts w:asciiTheme="majorBidi" w:eastAsia="Calibri" w:hAnsiTheme="majorBidi" w:cstheme="majorBidi"/>
                <w:sz w:val="20"/>
                <w:szCs w:val="20"/>
              </w:rPr>
              <w:t>0.922</w:t>
            </w:r>
          </w:p>
        </w:tc>
        <w:tc>
          <w:tcPr>
            <w:tcW w:w="2389" w:type="dxa"/>
            <w:tcBorders>
              <w:top w:val="single" w:sz="0" w:space="0" w:color="000000"/>
            </w:tcBorders>
          </w:tcPr>
          <w:p w14:paraId="1DB476D1" w14:textId="7F9C14C1" w:rsidR="0011561E" w:rsidRPr="00DC5802" w:rsidRDefault="0011561E" w:rsidP="00B163C9">
            <w:pPr>
              <w:ind w:left="-57"/>
              <w:jc w:val="center"/>
              <w:rPr>
                <w:rFonts w:asciiTheme="majorBidi" w:hAnsiTheme="majorBidi" w:cstheme="majorBidi"/>
                <w:sz w:val="20"/>
                <w:szCs w:val="20"/>
              </w:rPr>
            </w:pPr>
            <w:r w:rsidRPr="00DC5802">
              <w:rPr>
                <w:rFonts w:asciiTheme="majorBidi" w:eastAsia="Calibri" w:hAnsiTheme="majorBidi" w:cstheme="majorBidi"/>
                <w:sz w:val="20"/>
                <w:szCs w:val="20"/>
              </w:rPr>
              <w:t>0.922</w:t>
            </w:r>
          </w:p>
        </w:tc>
      </w:tr>
      <w:tr w:rsidR="0011561E" w:rsidRPr="00DC5802" w14:paraId="0A60D858" w14:textId="77777777" w:rsidTr="00FA5E92">
        <w:trPr>
          <w:trHeight w:hRule="exact" w:val="276"/>
          <w:jc w:val="center"/>
        </w:trPr>
        <w:tc>
          <w:tcPr>
            <w:tcW w:w="2460" w:type="dxa"/>
            <w:tcBorders>
              <w:bottom w:val="single" w:sz="0" w:space="0" w:color="000000"/>
            </w:tcBorders>
          </w:tcPr>
          <w:p w14:paraId="7E56A976" w14:textId="77777777" w:rsidR="0011561E" w:rsidRPr="00DC5802" w:rsidRDefault="0011561E" w:rsidP="00B163C9">
            <w:pPr>
              <w:ind w:left="-57"/>
              <w:jc w:val="center"/>
              <w:rPr>
                <w:rFonts w:asciiTheme="majorBidi" w:hAnsiTheme="majorBidi" w:cstheme="majorBidi"/>
                <w:sz w:val="20"/>
                <w:szCs w:val="20"/>
              </w:rPr>
            </w:pPr>
            <w:r w:rsidRPr="00DC5802">
              <w:rPr>
                <w:rFonts w:asciiTheme="majorBidi" w:eastAsia="Calibri" w:hAnsiTheme="majorBidi" w:cstheme="majorBidi"/>
                <w:sz w:val="20"/>
                <w:szCs w:val="20"/>
              </w:rPr>
              <w:t>Prob &gt; chi2</w:t>
            </w:r>
          </w:p>
        </w:tc>
        <w:tc>
          <w:tcPr>
            <w:tcW w:w="1788" w:type="dxa"/>
            <w:tcBorders>
              <w:bottom w:val="single" w:sz="0" w:space="0" w:color="000000"/>
            </w:tcBorders>
          </w:tcPr>
          <w:p w14:paraId="610CB8AF" w14:textId="7A64BFD1" w:rsidR="0011561E" w:rsidRPr="00DC5802" w:rsidRDefault="0011561E" w:rsidP="00B163C9">
            <w:pPr>
              <w:ind w:left="-57"/>
              <w:jc w:val="center"/>
              <w:rPr>
                <w:rFonts w:asciiTheme="majorBidi" w:eastAsia="Calibri" w:hAnsiTheme="majorBidi" w:cstheme="majorBidi"/>
                <w:sz w:val="20"/>
                <w:szCs w:val="20"/>
              </w:rPr>
            </w:pPr>
            <w:r w:rsidRPr="00DC5802">
              <w:rPr>
                <w:rFonts w:asciiTheme="majorBidi" w:eastAsia="Calibri" w:hAnsiTheme="majorBidi" w:cstheme="majorBidi"/>
                <w:sz w:val="20"/>
                <w:szCs w:val="20"/>
              </w:rPr>
              <w:t>0.000</w:t>
            </w:r>
          </w:p>
        </w:tc>
        <w:tc>
          <w:tcPr>
            <w:tcW w:w="2389" w:type="dxa"/>
            <w:tcBorders>
              <w:bottom w:val="single" w:sz="0" w:space="0" w:color="000000"/>
            </w:tcBorders>
          </w:tcPr>
          <w:p w14:paraId="5DB006BB" w14:textId="18B43699" w:rsidR="0011561E" w:rsidRPr="00DC5802" w:rsidRDefault="0011561E" w:rsidP="00B163C9">
            <w:pPr>
              <w:ind w:left="-57"/>
              <w:jc w:val="center"/>
              <w:rPr>
                <w:rFonts w:asciiTheme="majorBidi" w:hAnsiTheme="majorBidi" w:cstheme="majorBidi"/>
                <w:sz w:val="20"/>
                <w:szCs w:val="20"/>
              </w:rPr>
            </w:pPr>
            <w:r w:rsidRPr="00DC5802">
              <w:rPr>
                <w:rFonts w:asciiTheme="majorBidi" w:eastAsia="Calibri" w:hAnsiTheme="majorBidi" w:cstheme="majorBidi"/>
                <w:sz w:val="20"/>
                <w:szCs w:val="20"/>
              </w:rPr>
              <w:t>0.000</w:t>
            </w:r>
          </w:p>
        </w:tc>
      </w:tr>
    </w:tbl>
    <w:p w14:paraId="755A142F" w14:textId="728315B3" w:rsidR="003F5D45" w:rsidRPr="00FA5E92" w:rsidRDefault="004A7881" w:rsidP="002E5390">
      <w:pPr>
        <w:spacing w:after="160" w:line="259" w:lineRule="auto"/>
        <w:ind w:firstLine="0"/>
        <w:jc w:val="both"/>
        <w:rPr>
          <w:sz w:val="20"/>
          <w:szCs w:val="18"/>
        </w:rPr>
      </w:pPr>
      <w:r w:rsidRPr="00FA5E92">
        <w:rPr>
          <w:sz w:val="20"/>
          <w:szCs w:val="18"/>
        </w:rPr>
        <w:t xml:space="preserve">The regressions are estimated using multilevel model regression for the coefficient estimates where employees are level one, and firms are level two. </w:t>
      </w:r>
      <w:r w:rsidRPr="004A7881">
        <w:rPr>
          <w:sz w:val="20"/>
          <w:szCs w:val="18"/>
        </w:rPr>
        <w:t>Standardi</w:t>
      </w:r>
      <w:r>
        <w:rPr>
          <w:sz w:val="20"/>
          <w:szCs w:val="18"/>
        </w:rPr>
        <w:t>s</w:t>
      </w:r>
      <w:r w:rsidRPr="004A7881">
        <w:rPr>
          <w:sz w:val="20"/>
          <w:szCs w:val="18"/>
        </w:rPr>
        <w:t>ed</w:t>
      </w:r>
      <w:r w:rsidRPr="00FA5E92">
        <w:rPr>
          <w:sz w:val="20"/>
          <w:szCs w:val="18"/>
        </w:rPr>
        <w:t xml:space="preserve"> </w:t>
      </w:r>
      <w:r>
        <w:rPr>
          <w:sz w:val="20"/>
          <w:szCs w:val="18"/>
        </w:rPr>
        <w:t>c</w:t>
      </w:r>
      <w:r w:rsidRPr="004A7881">
        <w:rPr>
          <w:sz w:val="20"/>
          <w:szCs w:val="18"/>
        </w:rPr>
        <w:t>oefficients</w:t>
      </w:r>
      <w:r w:rsidRPr="00FA5E92">
        <w:rPr>
          <w:sz w:val="20"/>
          <w:szCs w:val="18"/>
        </w:rPr>
        <w:t xml:space="preserve"> are reported first, followed by z-statistics in parenthesis. HH: High wellbeing disclosure and High overall rating, HL: High wellbeing disclosure and Low overall rating, LH: Low wellbeing disclosure, and High overall rating LL: Low wellbeing disclosure and Low overall </w:t>
      </w:r>
      <w:proofErr w:type="spellStart"/>
      <w:r w:rsidRPr="00FA5E92">
        <w:rPr>
          <w:sz w:val="20"/>
          <w:szCs w:val="18"/>
        </w:rPr>
        <w:t>rating.Var</w:t>
      </w:r>
      <w:proofErr w:type="spellEnd"/>
      <w:r w:rsidRPr="00FA5E92">
        <w:rPr>
          <w:sz w:val="20"/>
          <w:szCs w:val="18"/>
        </w:rPr>
        <w:t xml:space="preserve"> (cons) shows the random intercept or the between-group variance of the (Level 2) variable, which is firms. var(Residual) shows the between-employees reviews within-group (Level 1) variance. The Intraclass Correlation Coefficient (ICC) Shows the proportion of the total variance due to the between-firms or between-cluster (the observations of employee rating) variance.* p&lt;0.1, ** p&lt;0.05, *** p&lt;0.01. See the definition of the variables in </w:t>
      </w:r>
      <w:r w:rsidR="00035C0A">
        <w:rPr>
          <w:sz w:val="20"/>
          <w:szCs w:val="18"/>
        </w:rPr>
        <w:t>Appendix</w:t>
      </w:r>
      <w:r w:rsidRPr="00FA5E92">
        <w:rPr>
          <w:sz w:val="20"/>
          <w:szCs w:val="18"/>
        </w:rPr>
        <w:t xml:space="preserve"> 1.</w:t>
      </w:r>
    </w:p>
    <w:p w14:paraId="06ED4678" w14:textId="30623684" w:rsidR="005862D0" w:rsidRPr="0049425C" w:rsidRDefault="005862D0" w:rsidP="0049425C">
      <w:pPr>
        <w:spacing w:after="160" w:line="259" w:lineRule="auto"/>
        <w:ind w:firstLine="0"/>
        <w:rPr>
          <w:rFonts w:eastAsiaTheme="majorEastAsia" w:cstheme="majorBidi"/>
          <w:b/>
          <w:color w:val="000000" w:themeColor="text1"/>
          <w:szCs w:val="40"/>
        </w:rPr>
      </w:pPr>
    </w:p>
    <w:sectPr w:rsidR="005862D0" w:rsidRPr="0049425C" w:rsidSect="00485217">
      <w:pgSz w:w="11906" w:h="16838" w:code="9"/>
      <w:pgMar w:top="1440" w:right="1440" w:bottom="1440"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EC6458" w14:textId="77777777" w:rsidR="00D33454" w:rsidRDefault="00D33454" w:rsidP="00DC1DD5">
      <w:pPr>
        <w:spacing w:line="240" w:lineRule="auto"/>
      </w:pPr>
      <w:r>
        <w:separator/>
      </w:r>
    </w:p>
  </w:endnote>
  <w:endnote w:type="continuationSeparator" w:id="0">
    <w:p w14:paraId="0F281218" w14:textId="77777777" w:rsidR="00D33454" w:rsidRDefault="00D33454" w:rsidP="00DC1D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TimesNewRomanMTStd">
    <w:altName w:val="Times New Roman"/>
    <w:panose1 w:val="00000000000000000000"/>
    <w:charset w:val="00"/>
    <w:family w:val="roman"/>
    <w:notTrueType/>
    <w:pitch w:val="default"/>
  </w:font>
  <w:font w:name="MTSYB">
    <w:altName w:val="Cambria"/>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TimesNewRomanMTStd-Italic">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imesNewRomanPSMT">
    <w:altName w:val="Times New Roman"/>
    <w:charset w:val="00"/>
    <w:family w:val="roman"/>
    <w:pitch w:val="default"/>
    <w:sig w:usb0="00000003" w:usb1="00000000" w:usb2="00000000" w:usb3="00000000" w:csb0="00000001" w:csb1="00000000"/>
  </w:font>
  <w:font w:name="MTSY">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D18E9C" w14:textId="550F4A0C" w:rsidR="00166248" w:rsidRDefault="00166248" w:rsidP="00166248">
    <w:pPr>
      <w:pStyle w:val="Footer"/>
      <w:jc w:val="center"/>
    </w:pPr>
  </w:p>
  <w:p w14:paraId="3F3540D7" w14:textId="76BFBC2B" w:rsidR="007A58A3" w:rsidRDefault="007A58A3" w:rsidP="00B3183C">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49179409"/>
      <w:docPartObj>
        <w:docPartGallery w:val="Page Numbers (Bottom of Page)"/>
        <w:docPartUnique/>
      </w:docPartObj>
    </w:sdtPr>
    <w:sdtEndPr/>
    <w:sdtContent>
      <w:p w14:paraId="26758843" w14:textId="1A92F8A1" w:rsidR="00166248" w:rsidRDefault="00166248">
        <w:pPr>
          <w:pStyle w:val="Footer"/>
          <w:jc w:val="center"/>
        </w:pPr>
        <w:r>
          <w:fldChar w:fldCharType="begin"/>
        </w:r>
        <w:r>
          <w:instrText>PAGE   \* MERGEFORMAT</w:instrText>
        </w:r>
        <w:r>
          <w:fldChar w:fldCharType="separate"/>
        </w:r>
        <w:r>
          <w:t>2</w:t>
        </w:r>
        <w:r>
          <w:fldChar w:fldCharType="end"/>
        </w:r>
      </w:p>
    </w:sdtContent>
  </w:sdt>
  <w:p w14:paraId="13FC0E4D" w14:textId="77777777" w:rsidR="00166248" w:rsidRDefault="00166248" w:rsidP="00B3183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8F656C" w14:textId="77777777" w:rsidR="00D33454" w:rsidRDefault="00D33454" w:rsidP="00DC1DD5">
      <w:pPr>
        <w:spacing w:line="240" w:lineRule="auto"/>
      </w:pPr>
      <w:r>
        <w:separator/>
      </w:r>
    </w:p>
  </w:footnote>
  <w:footnote w:type="continuationSeparator" w:id="0">
    <w:p w14:paraId="3D78C659" w14:textId="77777777" w:rsidR="00D33454" w:rsidRDefault="00D33454" w:rsidP="00DC1DD5">
      <w:pPr>
        <w:spacing w:line="240" w:lineRule="auto"/>
      </w:pPr>
      <w:r>
        <w:continuationSeparator/>
      </w:r>
    </w:p>
  </w:footnote>
  <w:footnote w:id="1">
    <w:p w14:paraId="774C392E" w14:textId="77777777" w:rsidR="006227A1" w:rsidRDefault="006227A1" w:rsidP="006227A1">
      <w:pPr>
        <w:pStyle w:val="FootnoteText"/>
      </w:pPr>
      <w:r>
        <w:rPr>
          <w:rStyle w:val="FootnoteReference"/>
        </w:rPr>
        <w:footnoteRef/>
      </w:r>
      <w:r>
        <w:t xml:space="preserve"> </w:t>
      </w:r>
      <w:r w:rsidRPr="009D7D20">
        <w:rPr>
          <w:rFonts w:asciiTheme="majorBidi" w:hAnsiTheme="majorBidi" w:cstheme="majorBidi"/>
          <w:color w:val="0D0D0D" w:themeColor="text1" w:themeTint="F2"/>
          <w:sz w:val="18"/>
          <w:szCs w:val="18"/>
          <w:shd w:val="clear" w:color="auto" w:fill="FFFFFF"/>
        </w:rPr>
        <w:t>The Centre of Audit Quality (CAQ) is an impartial public policy organisation that represents the interests of auditors of public companies and addresses issues related to the audits of these firms.</w:t>
      </w:r>
    </w:p>
  </w:footnote>
  <w:footnote w:id="2">
    <w:p w14:paraId="79FA2E62" w14:textId="6DBAF1B7" w:rsidR="00203DC7" w:rsidRDefault="00203DC7" w:rsidP="00203DC7">
      <w:pPr>
        <w:pStyle w:val="FootnoteText"/>
        <w:jc w:val="both"/>
      </w:pPr>
      <w:r>
        <w:rPr>
          <w:rStyle w:val="FootnoteReference"/>
        </w:rPr>
        <w:footnoteRef/>
      </w:r>
      <w:r>
        <w:t xml:space="preserve"> </w:t>
      </w:r>
      <w:r w:rsidRPr="008F069E">
        <w:rPr>
          <w:rFonts w:asciiTheme="majorBidi" w:hAnsiTheme="majorBidi" w:cstheme="majorBidi"/>
        </w:rPr>
        <w:t>ESG refers to environment, social, and governance. Disclosure related to employees is under the social pillar of ESG</w:t>
      </w:r>
      <w:r w:rsidR="00DF1B17">
        <w:rPr>
          <w:rFonts w:asciiTheme="majorBidi" w:hAnsiTheme="majorBidi" w:cstheme="majorBidi"/>
        </w:rPr>
        <w:t xml:space="preserve"> (</w:t>
      </w:r>
      <w:r w:rsidR="00DF1B17" w:rsidRPr="00DF1B17">
        <w:rPr>
          <w:rFonts w:asciiTheme="majorBidi" w:hAnsiTheme="majorBidi" w:cstheme="majorBidi"/>
        </w:rPr>
        <w:t>Deloitte</w:t>
      </w:r>
      <w:r w:rsidR="00DF1B17">
        <w:rPr>
          <w:rFonts w:asciiTheme="majorBidi" w:hAnsiTheme="majorBidi" w:cstheme="majorBidi"/>
        </w:rPr>
        <w:t xml:space="preserve">, </w:t>
      </w:r>
      <w:r w:rsidR="00DF1B17" w:rsidRPr="00DF1B17">
        <w:rPr>
          <w:rFonts w:asciiTheme="majorBidi" w:hAnsiTheme="majorBidi" w:cstheme="majorBidi"/>
        </w:rPr>
        <w:t xml:space="preserve">2021). </w:t>
      </w:r>
    </w:p>
  </w:footnote>
  <w:footnote w:id="3">
    <w:p w14:paraId="4260ECC7" w14:textId="77777777" w:rsidR="008B486F" w:rsidRPr="006173F7" w:rsidRDefault="008B486F" w:rsidP="008B486F">
      <w:pPr>
        <w:spacing w:line="240" w:lineRule="auto"/>
        <w:jc w:val="both"/>
        <w:rPr>
          <w:rFonts w:ascii="TimesNewRomanPS-BoldMT" w:hAnsi="TimesNewRomanPS-BoldMT"/>
          <w:color w:val="000000"/>
          <w:sz w:val="18"/>
          <w:szCs w:val="18"/>
        </w:rPr>
      </w:pPr>
      <w:r>
        <w:rPr>
          <w:rStyle w:val="FootnoteReference"/>
        </w:rPr>
        <w:footnoteRef/>
      </w:r>
      <w:r>
        <w:t xml:space="preserve"> </w:t>
      </w:r>
      <w:r w:rsidRPr="006D51B8">
        <w:rPr>
          <w:rFonts w:ascii="TimesNewRomanPS-BoldMT" w:hAnsi="TimesNewRomanPS-BoldMT"/>
          <w:color w:val="000000"/>
          <w:sz w:val="18"/>
          <w:szCs w:val="18"/>
        </w:rPr>
        <w:t xml:space="preserve">Responsibility Reports is an internet-based archive comprising a comprehensive collection of 18,941 reports pertaining to corporate responsibility, sustainability, corporate social responsibility, and environmental, social, and governance (ESG) practises. These reports have been sourced from a diverse range of 3,923 multinational corporations operating worldwide. Available at: </w:t>
      </w:r>
      <w:hyperlink r:id="rId1" w:history="1">
        <w:r w:rsidRPr="006D51B8">
          <w:rPr>
            <w:rStyle w:val="Hyperlink"/>
            <w:rFonts w:ascii="TimesNewRomanPS-BoldMT" w:hAnsi="TimesNewRomanPS-BoldMT"/>
            <w:sz w:val="18"/>
            <w:szCs w:val="18"/>
          </w:rPr>
          <w:t>https://www.responsibilityreports.com/</w:t>
        </w:r>
      </w:hyperlink>
    </w:p>
  </w:footnote>
  <w:footnote w:id="4">
    <w:p w14:paraId="1B686C8E" w14:textId="2E5A1C05" w:rsidR="008B486F" w:rsidRPr="006D51B8" w:rsidRDefault="008B486F" w:rsidP="008B486F">
      <w:pPr>
        <w:spacing w:line="240" w:lineRule="auto"/>
        <w:jc w:val="both"/>
        <w:rPr>
          <w:rFonts w:ascii="TimesNewRomanPS-BoldMT" w:hAnsi="TimesNewRomanPS-BoldMT"/>
          <w:color w:val="000000"/>
          <w:sz w:val="18"/>
          <w:szCs w:val="18"/>
        </w:rPr>
      </w:pPr>
      <w:r>
        <w:rPr>
          <w:rStyle w:val="FootnoteReference"/>
        </w:rPr>
        <w:footnoteRef/>
      </w:r>
      <w:r>
        <w:t xml:space="preserve"> </w:t>
      </w:r>
      <w:r w:rsidRPr="006D51B8">
        <w:rPr>
          <w:rFonts w:ascii="TimesNewRomanPS-BoldMT" w:hAnsi="TimesNewRomanPS-BoldMT"/>
          <w:color w:val="000000"/>
          <w:sz w:val="18"/>
          <w:szCs w:val="18"/>
        </w:rPr>
        <w:t>Corporate Register is a comprehensive online directory that encompasses corporate responsibility (CR) reports from various companies, both historical and current.</w:t>
      </w:r>
      <w:r w:rsidR="004A5A47">
        <w:rPr>
          <w:rFonts w:ascii="TimesNewRomanPS-BoldMT" w:hAnsi="TimesNewRomanPS-BoldMT"/>
          <w:color w:val="000000"/>
          <w:sz w:val="18"/>
          <w:szCs w:val="18"/>
        </w:rPr>
        <w:t xml:space="preserve"> </w:t>
      </w:r>
      <w:r w:rsidR="00FB1330">
        <w:rPr>
          <w:rFonts w:ascii="TimesNewRomanPS-BoldMT" w:hAnsi="TimesNewRomanPS-BoldMT"/>
          <w:color w:val="000000"/>
          <w:sz w:val="18"/>
          <w:szCs w:val="18"/>
        </w:rPr>
        <w:t xml:space="preserve"> </w:t>
      </w:r>
      <w:r w:rsidRPr="006D51B8">
        <w:rPr>
          <w:rFonts w:ascii="TimesNewRomanPS-BoldMT" w:hAnsi="TimesNewRomanPS-BoldMT"/>
          <w:color w:val="000000"/>
          <w:sz w:val="18"/>
          <w:szCs w:val="18"/>
        </w:rPr>
        <w:t>Available at:</w:t>
      </w:r>
      <w:r>
        <w:rPr>
          <w:rFonts w:ascii="TimesNewRomanPS-BoldMT" w:hAnsi="TimesNewRomanPS-BoldMT"/>
          <w:color w:val="000000"/>
          <w:sz w:val="18"/>
          <w:szCs w:val="18"/>
        </w:rPr>
        <w:t xml:space="preserve"> </w:t>
      </w:r>
      <w:hyperlink r:id="rId2" w:history="1">
        <w:r w:rsidRPr="008D5A9F">
          <w:rPr>
            <w:rStyle w:val="Hyperlink"/>
            <w:rFonts w:ascii="TimesNewRomanPS-BoldMT" w:hAnsi="TimesNewRomanPS-BoldMT"/>
            <w:sz w:val="18"/>
            <w:szCs w:val="18"/>
          </w:rPr>
          <w:t>https://www.corporateregister.com/</w:t>
        </w:r>
      </w:hyperlink>
      <w:r w:rsidRPr="006D51B8">
        <w:rPr>
          <w:rFonts w:ascii="TimesNewRomanPS-BoldMT" w:hAnsi="TimesNewRomanPS-BoldMT"/>
          <w:color w:val="000000"/>
          <w:sz w:val="18"/>
          <w:szCs w:val="18"/>
        </w:rPr>
        <w:t xml:space="preserve">. </w:t>
      </w:r>
    </w:p>
    <w:p w14:paraId="10194A65" w14:textId="77777777" w:rsidR="008B486F" w:rsidRDefault="008B486F" w:rsidP="008B486F">
      <w:pPr>
        <w:pStyle w:val="FootnoteText"/>
      </w:pPr>
    </w:p>
  </w:footnote>
  <w:footnote w:id="5">
    <w:p w14:paraId="7D0FC77F" w14:textId="782214BD" w:rsidR="00381C0D" w:rsidRDefault="00381C0D" w:rsidP="00381C0D">
      <w:pPr>
        <w:pStyle w:val="ListParagraph"/>
        <w:spacing w:line="240" w:lineRule="auto"/>
        <w:ind w:left="360"/>
        <w:jc w:val="both"/>
        <w:rPr>
          <w:rFonts w:asciiTheme="majorBidi" w:hAnsiTheme="majorBidi" w:cstheme="majorBidi"/>
          <w:szCs w:val="24"/>
        </w:rPr>
      </w:pPr>
      <w:r>
        <w:rPr>
          <w:rStyle w:val="FootnoteReference"/>
        </w:rPr>
        <w:footnoteRef/>
      </w:r>
      <w:r>
        <w:t xml:space="preserve"> </w:t>
      </w:r>
      <w:r w:rsidRPr="00920E3A">
        <w:rPr>
          <w:rFonts w:asciiTheme="majorBidi" w:hAnsiTheme="majorBidi" w:cstheme="majorBidi"/>
          <w:sz w:val="19"/>
          <w:szCs w:val="19"/>
        </w:rPr>
        <w:t>Collectively, we decide</w:t>
      </w:r>
      <w:r w:rsidR="00FC2492">
        <w:rPr>
          <w:rFonts w:asciiTheme="majorBidi" w:hAnsiTheme="majorBidi" w:cstheme="majorBidi"/>
          <w:sz w:val="19"/>
          <w:szCs w:val="19"/>
        </w:rPr>
        <w:t>d</w:t>
      </w:r>
      <w:r w:rsidRPr="00920E3A">
        <w:rPr>
          <w:rFonts w:asciiTheme="majorBidi" w:hAnsiTheme="majorBidi" w:cstheme="majorBidi"/>
          <w:sz w:val="19"/>
          <w:szCs w:val="19"/>
        </w:rPr>
        <w:t xml:space="preserve"> to classify dictionary terms into wellbeing categories based on the definitions provided in this research. We independently designated each word to a specific category and then conduct a comparison of our individual classifications. The objective is to determine the level of alignment among us regarding the classification of words. In instances where inconsistencies arose, we engaged in discussions to reach an agreement on the correct category for the terms in question.</w:t>
      </w:r>
    </w:p>
    <w:p w14:paraId="61655044" w14:textId="77777777" w:rsidR="00381C0D" w:rsidRDefault="00381C0D" w:rsidP="00381C0D">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9B6C7" w14:textId="390AE574" w:rsidR="00C77830" w:rsidRDefault="00C77830" w:rsidP="007A58A3">
    <w:pPr>
      <w:pStyle w:val="Header"/>
      <w:jc w:val="center"/>
    </w:pPr>
  </w:p>
  <w:p w14:paraId="69F8BE43" w14:textId="77777777" w:rsidR="00C77830" w:rsidRDefault="00C778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49806F0"/>
    <w:multiLevelType w:val="hybridMultilevel"/>
    <w:tmpl w:val="68BA0A96"/>
    <w:lvl w:ilvl="0" w:tplc="7AD0FD62">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02915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IztTQwMLK0MDcHEko6SsGpxcWZ+XkgBYaGtQD+jloILQAAAA=="/>
  </w:docVars>
  <w:rsids>
    <w:rsidRoot w:val="00A9444B"/>
    <w:rsid w:val="00006DB7"/>
    <w:rsid w:val="0001215D"/>
    <w:rsid w:val="000133F5"/>
    <w:rsid w:val="00020855"/>
    <w:rsid w:val="00020F51"/>
    <w:rsid w:val="00023BF3"/>
    <w:rsid w:val="000332F9"/>
    <w:rsid w:val="000339A0"/>
    <w:rsid w:val="00035C0A"/>
    <w:rsid w:val="000373FF"/>
    <w:rsid w:val="00040A49"/>
    <w:rsid w:val="00041A71"/>
    <w:rsid w:val="00042888"/>
    <w:rsid w:val="0004512D"/>
    <w:rsid w:val="000476B0"/>
    <w:rsid w:val="00047F29"/>
    <w:rsid w:val="00050036"/>
    <w:rsid w:val="000510C3"/>
    <w:rsid w:val="00051CFF"/>
    <w:rsid w:val="0006045A"/>
    <w:rsid w:val="00062067"/>
    <w:rsid w:val="00062ABF"/>
    <w:rsid w:val="00063ABF"/>
    <w:rsid w:val="00065BFC"/>
    <w:rsid w:val="00065FAE"/>
    <w:rsid w:val="00074494"/>
    <w:rsid w:val="00075326"/>
    <w:rsid w:val="00075503"/>
    <w:rsid w:val="00076B07"/>
    <w:rsid w:val="00081933"/>
    <w:rsid w:val="00083D54"/>
    <w:rsid w:val="000872B9"/>
    <w:rsid w:val="00087D8B"/>
    <w:rsid w:val="0009080D"/>
    <w:rsid w:val="000A0B98"/>
    <w:rsid w:val="000A1C67"/>
    <w:rsid w:val="000A2FD2"/>
    <w:rsid w:val="000A77F7"/>
    <w:rsid w:val="000B7344"/>
    <w:rsid w:val="000C045D"/>
    <w:rsid w:val="000C3285"/>
    <w:rsid w:val="000D0C49"/>
    <w:rsid w:val="000D65AB"/>
    <w:rsid w:val="000E1C63"/>
    <w:rsid w:val="000E2375"/>
    <w:rsid w:val="000E41DD"/>
    <w:rsid w:val="000E65DA"/>
    <w:rsid w:val="000F0C76"/>
    <w:rsid w:val="000F2652"/>
    <w:rsid w:val="000F7483"/>
    <w:rsid w:val="0010003B"/>
    <w:rsid w:val="00102793"/>
    <w:rsid w:val="001030B5"/>
    <w:rsid w:val="0010753E"/>
    <w:rsid w:val="00110AFC"/>
    <w:rsid w:val="0011272A"/>
    <w:rsid w:val="001141CE"/>
    <w:rsid w:val="0011561E"/>
    <w:rsid w:val="001168E5"/>
    <w:rsid w:val="001174ED"/>
    <w:rsid w:val="001267B2"/>
    <w:rsid w:val="001268E4"/>
    <w:rsid w:val="00126FCC"/>
    <w:rsid w:val="001363ED"/>
    <w:rsid w:val="00143255"/>
    <w:rsid w:val="00144474"/>
    <w:rsid w:val="001463BE"/>
    <w:rsid w:val="001471F5"/>
    <w:rsid w:val="001511F6"/>
    <w:rsid w:val="00154491"/>
    <w:rsid w:val="001570C4"/>
    <w:rsid w:val="001606B7"/>
    <w:rsid w:val="00163F08"/>
    <w:rsid w:val="00165F89"/>
    <w:rsid w:val="00166248"/>
    <w:rsid w:val="0017227C"/>
    <w:rsid w:val="0017599B"/>
    <w:rsid w:val="001837C0"/>
    <w:rsid w:val="0019217D"/>
    <w:rsid w:val="0019235D"/>
    <w:rsid w:val="001944A6"/>
    <w:rsid w:val="00195632"/>
    <w:rsid w:val="001969B9"/>
    <w:rsid w:val="001A156D"/>
    <w:rsid w:val="001A2CC6"/>
    <w:rsid w:val="001A4624"/>
    <w:rsid w:val="001B3A51"/>
    <w:rsid w:val="001B60E7"/>
    <w:rsid w:val="001C0360"/>
    <w:rsid w:val="001C201E"/>
    <w:rsid w:val="001C443F"/>
    <w:rsid w:val="001C6AFD"/>
    <w:rsid w:val="001D2805"/>
    <w:rsid w:val="001E1887"/>
    <w:rsid w:val="001F0C3D"/>
    <w:rsid w:val="001F25CB"/>
    <w:rsid w:val="001F3AA0"/>
    <w:rsid w:val="001F4CA2"/>
    <w:rsid w:val="001F5EFA"/>
    <w:rsid w:val="002003FE"/>
    <w:rsid w:val="00200B77"/>
    <w:rsid w:val="002024F7"/>
    <w:rsid w:val="00203777"/>
    <w:rsid w:val="00203DC7"/>
    <w:rsid w:val="002105DF"/>
    <w:rsid w:val="00220977"/>
    <w:rsid w:val="0022178B"/>
    <w:rsid w:val="002346AF"/>
    <w:rsid w:val="00243419"/>
    <w:rsid w:val="002473B9"/>
    <w:rsid w:val="002479D8"/>
    <w:rsid w:val="002517D6"/>
    <w:rsid w:val="00271161"/>
    <w:rsid w:val="002717EC"/>
    <w:rsid w:val="002833FD"/>
    <w:rsid w:val="00287910"/>
    <w:rsid w:val="00287DD5"/>
    <w:rsid w:val="00295711"/>
    <w:rsid w:val="002A472B"/>
    <w:rsid w:val="002A4ED6"/>
    <w:rsid w:val="002B509A"/>
    <w:rsid w:val="002B51D7"/>
    <w:rsid w:val="002B5DC6"/>
    <w:rsid w:val="002B6786"/>
    <w:rsid w:val="002C117F"/>
    <w:rsid w:val="002C17FA"/>
    <w:rsid w:val="002C6063"/>
    <w:rsid w:val="002D3536"/>
    <w:rsid w:val="002D42A3"/>
    <w:rsid w:val="002E4638"/>
    <w:rsid w:val="002E4931"/>
    <w:rsid w:val="002E5215"/>
    <w:rsid w:val="002E5390"/>
    <w:rsid w:val="002F0438"/>
    <w:rsid w:val="002F2702"/>
    <w:rsid w:val="002F5883"/>
    <w:rsid w:val="002F70A3"/>
    <w:rsid w:val="002F7978"/>
    <w:rsid w:val="00304F29"/>
    <w:rsid w:val="00304FC4"/>
    <w:rsid w:val="00307D38"/>
    <w:rsid w:val="003124BB"/>
    <w:rsid w:val="00313770"/>
    <w:rsid w:val="003214B6"/>
    <w:rsid w:val="00323C4E"/>
    <w:rsid w:val="0032495D"/>
    <w:rsid w:val="00324ABF"/>
    <w:rsid w:val="00325D1D"/>
    <w:rsid w:val="00330D6C"/>
    <w:rsid w:val="003332C3"/>
    <w:rsid w:val="00334121"/>
    <w:rsid w:val="00341533"/>
    <w:rsid w:val="00344AFE"/>
    <w:rsid w:val="00347298"/>
    <w:rsid w:val="00347869"/>
    <w:rsid w:val="00351948"/>
    <w:rsid w:val="00352367"/>
    <w:rsid w:val="00352849"/>
    <w:rsid w:val="003615E7"/>
    <w:rsid w:val="0036225F"/>
    <w:rsid w:val="00363383"/>
    <w:rsid w:val="00364567"/>
    <w:rsid w:val="003646DC"/>
    <w:rsid w:val="00367136"/>
    <w:rsid w:val="00370D1F"/>
    <w:rsid w:val="00371641"/>
    <w:rsid w:val="00372D28"/>
    <w:rsid w:val="0037650A"/>
    <w:rsid w:val="00377414"/>
    <w:rsid w:val="00377DD1"/>
    <w:rsid w:val="00381C0D"/>
    <w:rsid w:val="00381D3C"/>
    <w:rsid w:val="0038416C"/>
    <w:rsid w:val="00391F2D"/>
    <w:rsid w:val="00392B10"/>
    <w:rsid w:val="00395851"/>
    <w:rsid w:val="003A42F9"/>
    <w:rsid w:val="003A58D7"/>
    <w:rsid w:val="003B0EFE"/>
    <w:rsid w:val="003B1365"/>
    <w:rsid w:val="003B6E5F"/>
    <w:rsid w:val="003B7879"/>
    <w:rsid w:val="003B7F42"/>
    <w:rsid w:val="003C0EA7"/>
    <w:rsid w:val="003C1AFF"/>
    <w:rsid w:val="003C3B2D"/>
    <w:rsid w:val="003C5D74"/>
    <w:rsid w:val="003C66BF"/>
    <w:rsid w:val="003D1F95"/>
    <w:rsid w:val="003D3806"/>
    <w:rsid w:val="003F27DC"/>
    <w:rsid w:val="003F4166"/>
    <w:rsid w:val="003F4378"/>
    <w:rsid w:val="003F5D45"/>
    <w:rsid w:val="00401551"/>
    <w:rsid w:val="004046BA"/>
    <w:rsid w:val="00405FFB"/>
    <w:rsid w:val="004078EB"/>
    <w:rsid w:val="00410D11"/>
    <w:rsid w:val="00411490"/>
    <w:rsid w:val="00414A53"/>
    <w:rsid w:val="00414EB4"/>
    <w:rsid w:val="00415E06"/>
    <w:rsid w:val="00417DFA"/>
    <w:rsid w:val="00417E73"/>
    <w:rsid w:val="00422BDF"/>
    <w:rsid w:val="00423ED4"/>
    <w:rsid w:val="0043192D"/>
    <w:rsid w:val="00431AD2"/>
    <w:rsid w:val="0043283F"/>
    <w:rsid w:val="00432E07"/>
    <w:rsid w:val="00434342"/>
    <w:rsid w:val="0044362B"/>
    <w:rsid w:val="00444470"/>
    <w:rsid w:val="004518D9"/>
    <w:rsid w:val="004539B6"/>
    <w:rsid w:val="004626BA"/>
    <w:rsid w:val="00471DE1"/>
    <w:rsid w:val="0047268D"/>
    <w:rsid w:val="00472C59"/>
    <w:rsid w:val="00475364"/>
    <w:rsid w:val="004761A4"/>
    <w:rsid w:val="004848DD"/>
    <w:rsid w:val="00485217"/>
    <w:rsid w:val="004937C0"/>
    <w:rsid w:val="0049425C"/>
    <w:rsid w:val="004950B0"/>
    <w:rsid w:val="0049704A"/>
    <w:rsid w:val="00497B0B"/>
    <w:rsid w:val="004A2BCA"/>
    <w:rsid w:val="004A464B"/>
    <w:rsid w:val="004A5A2E"/>
    <w:rsid w:val="004A5A47"/>
    <w:rsid w:val="004A7881"/>
    <w:rsid w:val="004B19D2"/>
    <w:rsid w:val="004C3143"/>
    <w:rsid w:val="004C3885"/>
    <w:rsid w:val="004C4D97"/>
    <w:rsid w:val="004D022D"/>
    <w:rsid w:val="004D7296"/>
    <w:rsid w:val="004E248B"/>
    <w:rsid w:val="004E3066"/>
    <w:rsid w:val="004E31F5"/>
    <w:rsid w:val="004E3F52"/>
    <w:rsid w:val="004E7FDE"/>
    <w:rsid w:val="004F0680"/>
    <w:rsid w:val="004F079B"/>
    <w:rsid w:val="004F1C31"/>
    <w:rsid w:val="004F2C04"/>
    <w:rsid w:val="004F443E"/>
    <w:rsid w:val="004F76A5"/>
    <w:rsid w:val="00504348"/>
    <w:rsid w:val="00504C05"/>
    <w:rsid w:val="00505333"/>
    <w:rsid w:val="0050740B"/>
    <w:rsid w:val="0051322D"/>
    <w:rsid w:val="005220F2"/>
    <w:rsid w:val="00522B08"/>
    <w:rsid w:val="00524959"/>
    <w:rsid w:val="00524B8B"/>
    <w:rsid w:val="00525FB4"/>
    <w:rsid w:val="00532825"/>
    <w:rsid w:val="005358F4"/>
    <w:rsid w:val="005361E7"/>
    <w:rsid w:val="00536C84"/>
    <w:rsid w:val="0054087D"/>
    <w:rsid w:val="00540E4D"/>
    <w:rsid w:val="00541809"/>
    <w:rsid w:val="0054235F"/>
    <w:rsid w:val="00551682"/>
    <w:rsid w:val="00554239"/>
    <w:rsid w:val="00555F86"/>
    <w:rsid w:val="00556371"/>
    <w:rsid w:val="005710AA"/>
    <w:rsid w:val="0057173E"/>
    <w:rsid w:val="005768EE"/>
    <w:rsid w:val="0058462F"/>
    <w:rsid w:val="00584D11"/>
    <w:rsid w:val="00584E31"/>
    <w:rsid w:val="005862D0"/>
    <w:rsid w:val="00586DA5"/>
    <w:rsid w:val="00593B12"/>
    <w:rsid w:val="00593B50"/>
    <w:rsid w:val="005B2095"/>
    <w:rsid w:val="005B376E"/>
    <w:rsid w:val="005B7626"/>
    <w:rsid w:val="005C0396"/>
    <w:rsid w:val="005C08BF"/>
    <w:rsid w:val="005C20C2"/>
    <w:rsid w:val="005C25D4"/>
    <w:rsid w:val="005C2EB3"/>
    <w:rsid w:val="005C661E"/>
    <w:rsid w:val="005C7B3B"/>
    <w:rsid w:val="005C7C05"/>
    <w:rsid w:val="005D0A23"/>
    <w:rsid w:val="005D21DF"/>
    <w:rsid w:val="005D6E92"/>
    <w:rsid w:val="005E644F"/>
    <w:rsid w:val="005E7D1E"/>
    <w:rsid w:val="005F3915"/>
    <w:rsid w:val="005F3D5C"/>
    <w:rsid w:val="005F6D27"/>
    <w:rsid w:val="00600461"/>
    <w:rsid w:val="00600FE0"/>
    <w:rsid w:val="00603AD3"/>
    <w:rsid w:val="00606DA1"/>
    <w:rsid w:val="00614DEA"/>
    <w:rsid w:val="006173B8"/>
    <w:rsid w:val="00617EC7"/>
    <w:rsid w:val="00620DDD"/>
    <w:rsid w:val="006224E0"/>
    <w:rsid w:val="006227A1"/>
    <w:rsid w:val="00631D29"/>
    <w:rsid w:val="00632853"/>
    <w:rsid w:val="0064446E"/>
    <w:rsid w:val="006502C5"/>
    <w:rsid w:val="00651389"/>
    <w:rsid w:val="0065377B"/>
    <w:rsid w:val="00653889"/>
    <w:rsid w:val="00662678"/>
    <w:rsid w:val="006638B6"/>
    <w:rsid w:val="006639CF"/>
    <w:rsid w:val="00664E71"/>
    <w:rsid w:val="0067079E"/>
    <w:rsid w:val="006709E7"/>
    <w:rsid w:val="006803B9"/>
    <w:rsid w:val="00683BA4"/>
    <w:rsid w:val="00685283"/>
    <w:rsid w:val="006928A0"/>
    <w:rsid w:val="00692A97"/>
    <w:rsid w:val="006939D8"/>
    <w:rsid w:val="00694A7D"/>
    <w:rsid w:val="00694A92"/>
    <w:rsid w:val="006A1B8B"/>
    <w:rsid w:val="006A474D"/>
    <w:rsid w:val="006B24BC"/>
    <w:rsid w:val="006B6AC3"/>
    <w:rsid w:val="006C50B9"/>
    <w:rsid w:val="006D0479"/>
    <w:rsid w:val="006D26A0"/>
    <w:rsid w:val="006E0B2F"/>
    <w:rsid w:val="006E218E"/>
    <w:rsid w:val="006E40C2"/>
    <w:rsid w:val="006F7C2E"/>
    <w:rsid w:val="006F7CB0"/>
    <w:rsid w:val="0070359C"/>
    <w:rsid w:val="0070770B"/>
    <w:rsid w:val="00712254"/>
    <w:rsid w:val="007127E6"/>
    <w:rsid w:val="0071501A"/>
    <w:rsid w:val="00720608"/>
    <w:rsid w:val="007221C5"/>
    <w:rsid w:val="00722825"/>
    <w:rsid w:val="007255E9"/>
    <w:rsid w:val="00734C12"/>
    <w:rsid w:val="007427B8"/>
    <w:rsid w:val="00743A7C"/>
    <w:rsid w:val="00747B96"/>
    <w:rsid w:val="0075167D"/>
    <w:rsid w:val="00755931"/>
    <w:rsid w:val="00755A41"/>
    <w:rsid w:val="00757CD3"/>
    <w:rsid w:val="0076022C"/>
    <w:rsid w:val="00774F5D"/>
    <w:rsid w:val="00776995"/>
    <w:rsid w:val="00780F5B"/>
    <w:rsid w:val="00782DEB"/>
    <w:rsid w:val="00783CDC"/>
    <w:rsid w:val="00787B0B"/>
    <w:rsid w:val="00787F66"/>
    <w:rsid w:val="007954A0"/>
    <w:rsid w:val="007A58A3"/>
    <w:rsid w:val="007A7FE5"/>
    <w:rsid w:val="007B30A6"/>
    <w:rsid w:val="007B3262"/>
    <w:rsid w:val="007B37E0"/>
    <w:rsid w:val="007B7447"/>
    <w:rsid w:val="007C5F0E"/>
    <w:rsid w:val="007D15E2"/>
    <w:rsid w:val="007D53E9"/>
    <w:rsid w:val="007E234A"/>
    <w:rsid w:val="007F34D1"/>
    <w:rsid w:val="007F7218"/>
    <w:rsid w:val="00806F2E"/>
    <w:rsid w:val="008147A4"/>
    <w:rsid w:val="00815B9E"/>
    <w:rsid w:val="008257F8"/>
    <w:rsid w:val="00825D8A"/>
    <w:rsid w:val="00826C42"/>
    <w:rsid w:val="008315C0"/>
    <w:rsid w:val="00833798"/>
    <w:rsid w:val="00833AF6"/>
    <w:rsid w:val="00843A5E"/>
    <w:rsid w:val="0084598B"/>
    <w:rsid w:val="00845B7F"/>
    <w:rsid w:val="00846B71"/>
    <w:rsid w:val="0085476F"/>
    <w:rsid w:val="00856366"/>
    <w:rsid w:val="00860C8A"/>
    <w:rsid w:val="0086197D"/>
    <w:rsid w:val="00865615"/>
    <w:rsid w:val="008808EB"/>
    <w:rsid w:val="008823A0"/>
    <w:rsid w:val="00885D4B"/>
    <w:rsid w:val="00892703"/>
    <w:rsid w:val="008950F2"/>
    <w:rsid w:val="00897877"/>
    <w:rsid w:val="008A1AB7"/>
    <w:rsid w:val="008A1DFF"/>
    <w:rsid w:val="008A6441"/>
    <w:rsid w:val="008A655B"/>
    <w:rsid w:val="008B486F"/>
    <w:rsid w:val="008B4E60"/>
    <w:rsid w:val="008C1EAE"/>
    <w:rsid w:val="008C56A2"/>
    <w:rsid w:val="008C5789"/>
    <w:rsid w:val="008D0CC4"/>
    <w:rsid w:val="008D1485"/>
    <w:rsid w:val="008D3086"/>
    <w:rsid w:val="008D356F"/>
    <w:rsid w:val="008D4C52"/>
    <w:rsid w:val="008D584D"/>
    <w:rsid w:val="008E6E7C"/>
    <w:rsid w:val="008F05C5"/>
    <w:rsid w:val="008F069E"/>
    <w:rsid w:val="008F0E9D"/>
    <w:rsid w:val="008F2652"/>
    <w:rsid w:val="008F362A"/>
    <w:rsid w:val="008F4BCA"/>
    <w:rsid w:val="008F76DE"/>
    <w:rsid w:val="00906E94"/>
    <w:rsid w:val="00911105"/>
    <w:rsid w:val="00914DFB"/>
    <w:rsid w:val="009169E4"/>
    <w:rsid w:val="00921180"/>
    <w:rsid w:val="009211CE"/>
    <w:rsid w:val="00921F24"/>
    <w:rsid w:val="009232AD"/>
    <w:rsid w:val="009410FD"/>
    <w:rsid w:val="0094382C"/>
    <w:rsid w:val="00943956"/>
    <w:rsid w:val="00943BE6"/>
    <w:rsid w:val="00945BDB"/>
    <w:rsid w:val="00951832"/>
    <w:rsid w:val="00953C4C"/>
    <w:rsid w:val="009569BA"/>
    <w:rsid w:val="0096250D"/>
    <w:rsid w:val="009626D0"/>
    <w:rsid w:val="00966759"/>
    <w:rsid w:val="00966857"/>
    <w:rsid w:val="009674F1"/>
    <w:rsid w:val="009750C7"/>
    <w:rsid w:val="009807F6"/>
    <w:rsid w:val="009872C1"/>
    <w:rsid w:val="0099376E"/>
    <w:rsid w:val="009A0FE1"/>
    <w:rsid w:val="009A3145"/>
    <w:rsid w:val="009A51DC"/>
    <w:rsid w:val="009B3A9B"/>
    <w:rsid w:val="009B53B3"/>
    <w:rsid w:val="009B7368"/>
    <w:rsid w:val="009C08DD"/>
    <w:rsid w:val="009C221C"/>
    <w:rsid w:val="009C4586"/>
    <w:rsid w:val="009C582F"/>
    <w:rsid w:val="009C700F"/>
    <w:rsid w:val="009D2738"/>
    <w:rsid w:val="009D3101"/>
    <w:rsid w:val="009E395B"/>
    <w:rsid w:val="009E5E7A"/>
    <w:rsid w:val="009F0789"/>
    <w:rsid w:val="009F5F50"/>
    <w:rsid w:val="009F6148"/>
    <w:rsid w:val="009F74CF"/>
    <w:rsid w:val="009F79E1"/>
    <w:rsid w:val="00A028B2"/>
    <w:rsid w:val="00A11099"/>
    <w:rsid w:val="00A1420D"/>
    <w:rsid w:val="00A17A50"/>
    <w:rsid w:val="00A17D0C"/>
    <w:rsid w:val="00A255F3"/>
    <w:rsid w:val="00A269A1"/>
    <w:rsid w:val="00A275C1"/>
    <w:rsid w:val="00A33CE3"/>
    <w:rsid w:val="00A36306"/>
    <w:rsid w:val="00A40502"/>
    <w:rsid w:val="00A43093"/>
    <w:rsid w:val="00A445A1"/>
    <w:rsid w:val="00A45140"/>
    <w:rsid w:val="00A45B87"/>
    <w:rsid w:val="00A507D7"/>
    <w:rsid w:val="00A5630E"/>
    <w:rsid w:val="00A60837"/>
    <w:rsid w:val="00A669D8"/>
    <w:rsid w:val="00A7180E"/>
    <w:rsid w:val="00A74AC9"/>
    <w:rsid w:val="00A75CF8"/>
    <w:rsid w:val="00A763BD"/>
    <w:rsid w:val="00A806E1"/>
    <w:rsid w:val="00A81434"/>
    <w:rsid w:val="00A83602"/>
    <w:rsid w:val="00A84893"/>
    <w:rsid w:val="00A9377B"/>
    <w:rsid w:val="00A9444B"/>
    <w:rsid w:val="00AA1F52"/>
    <w:rsid w:val="00AA3F94"/>
    <w:rsid w:val="00AA44A6"/>
    <w:rsid w:val="00AB1738"/>
    <w:rsid w:val="00AB3B5A"/>
    <w:rsid w:val="00AB6C78"/>
    <w:rsid w:val="00AC14B0"/>
    <w:rsid w:val="00AC2CB9"/>
    <w:rsid w:val="00AC31B0"/>
    <w:rsid w:val="00AC3ED1"/>
    <w:rsid w:val="00AC4334"/>
    <w:rsid w:val="00AC6250"/>
    <w:rsid w:val="00AD5334"/>
    <w:rsid w:val="00AE01D5"/>
    <w:rsid w:val="00AE3AB3"/>
    <w:rsid w:val="00AE42D5"/>
    <w:rsid w:val="00AF4C83"/>
    <w:rsid w:val="00AF4FD8"/>
    <w:rsid w:val="00AF5841"/>
    <w:rsid w:val="00AF62D7"/>
    <w:rsid w:val="00B03486"/>
    <w:rsid w:val="00B105AA"/>
    <w:rsid w:val="00B13329"/>
    <w:rsid w:val="00B1352B"/>
    <w:rsid w:val="00B1372D"/>
    <w:rsid w:val="00B14628"/>
    <w:rsid w:val="00B163C9"/>
    <w:rsid w:val="00B16F7F"/>
    <w:rsid w:val="00B22558"/>
    <w:rsid w:val="00B2298F"/>
    <w:rsid w:val="00B23442"/>
    <w:rsid w:val="00B26AED"/>
    <w:rsid w:val="00B3183C"/>
    <w:rsid w:val="00B3395B"/>
    <w:rsid w:val="00B34130"/>
    <w:rsid w:val="00B35643"/>
    <w:rsid w:val="00B3736C"/>
    <w:rsid w:val="00B37BED"/>
    <w:rsid w:val="00B40288"/>
    <w:rsid w:val="00B523B8"/>
    <w:rsid w:val="00B54A8F"/>
    <w:rsid w:val="00B57E1B"/>
    <w:rsid w:val="00B65600"/>
    <w:rsid w:val="00B70CE7"/>
    <w:rsid w:val="00B710AF"/>
    <w:rsid w:val="00B71828"/>
    <w:rsid w:val="00B75B71"/>
    <w:rsid w:val="00B764B2"/>
    <w:rsid w:val="00B80AAE"/>
    <w:rsid w:val="00B84428"/>
    <w:rsid w:val="00B84DEE"/>
    <w:rsid w:val="00B8648F"/>
    <w:rsid w:val="00B90C28"/>
    <w:rsid w:val="00B94E1E"/>
    <w:rsid w:val="00BA5574"/>
    <w:rsid w:val="00BA7DDF"/>
    <w:rsid w:val="00BB177F"/>
    <w:rsid w:val="00BC25AD"/>
    <w:rsid w:val="00BC2754"/>
    <w:rsid w:val="00BC5EB1"/>
    <w:rsid w:val="00BD2D1F"/>
    <w:rsid w:val="00BD3061"/>
    <w:rsid w:val="00BE0463"/>
    <w:rsid w:val="00BE28BB"/>
    <w:rsid w:val="00BE375E"/>
    <w:rsid w:val="00BE6D8A"/>
    <w:rsid w:val="00BF362D"/>
    <w:rsid w:val="00BF49ED"/>
    <w:rsid w:val="00C03937"/>
    <w:rsid w:val="00C03FA7"/>
    <w:rsid w:val="00C04FEC"/>
    <w:rsid w:val="00C07413"/>
    <w:rsid w:val="00C1152F"/>
    <w:rsid w:val="00C13CCB"/>
    <w:rsid w:val="00C16E11"/>
    <w:rsid w:val="00C227F4"/>
    <w:rsid w:val="00C37833"/>
    <w:rsid w:val="00C4038E"/>
    <w:rsid w:val="00C413DC"/>
    <w:rsid w:val="00C42635"/>
    <w:rsid w:val="00C438F3"/>
    <w:rsid w:val="00C43EC3"/>
    <w:rsid w:val="00C5054F"/>
    <w:rsid w:val="00C57B47"/>
    <w:rsid w:val="00C57C63"/>
    <w:rsid w:val="00C627A1"/>
    <w:rsid w:val="00C636E0"/>
    <w:rsid w:val="00C64CF8"/>
    <w:rsid w:val="00C71746"/>
    <w:rsid w:val="00C77830"/>
    <w:rsid w:val="00C82B4B"/>
    <w:rsid w:val="00C9224E"/>
    <w:rsid w:val="00CB5A54"/>
    <w:rsid w:val="00CD3D0E"/>
    <w:rsid w:val="00CD3FA5"/>
    <w:rsid w:val="00CD7804"/>
    <w:rsid w:val="00CE12F7"/>
    <w:rsid w:val="00CE28F4"/>
    <w:rsid w:val="00CE53A6"/>
    <w:rsid w:val="00CF2E8D"/>
    <w:rsid w:val="00CF3D63"/>
    <w:rsid w:val="00CF5215"/>
    <w:rsid w:val="00CF5B0F"/>
    <w:rsid w:val="00CF6A05"/>
    <w:rsid w:val="00D00CB5"/>
    <w:rsid w:val="00D04377"/>
    <w:rsid w:val="00D04BF0"/>
    <w:rsid w:val="00D056F1"/>
    <w:rsid w:val="00D062D0"/>
    <w:rsid w:val="00D07197"/>
    <w:rsid w:val="00D102DA"/>
    <w:rsid w:val="00D12A5C"/>
    <w:rsid w:val="00D147A0"/>
    <w:rsid w:val="00D15E38"/>
    <w:rsid w:val="00D2231C"/>
    <w:rsid w:val="00D223FC"/>
    <w:rsid w:val="00D26192"/>
    <w:rsid w:val="00D26CA1"/>
    <w:rsid w:val="00D27288"/>
    <w:rsid w:val="00D33454"/>
    <w:rsid w:val="00D345F6"/>
    <w:rsid w:val="00D34C3C"/>
    <w:rsid w:val="00D351A0"/>
    <w:rsid w:val="00D35352"/>
    <w:rsid w:val="00D35EA1"/>
    <w:rsid w:val="00D37F8E"/>
    <w:rsid w:val="00D4006E"/>
    <w:rsid w:val="00D428E8"/>
    <w:rsid w:val="00D44736"/>
    <w:rsid w:val="00D55E48"/>
    <w:rsid w:val="00D56D1E"/>
    <w:rsid w:val="00D642F0"/>
    <w:rsid w:val="00D74A54"/>
    <w:rsid w:val="00D7796E"/>
    <w:rsid w:val="00D87535"/>
    <w:rsid w:val="00D93CDD"/>
    <w:rsid w:val="00D942E1"/>
    <w:rsid w:val="00DA1485"/>
    <w:rsid w:val="00DB0880"/>
    <w:rsid w:val="00DB302C"/>
    <w:rsid w:val="00DB7667"/>
    <w:rsid w:val="00DC1C7F"/>
    <w:rsid w:val="00DC1DD5"/>
    <w:rsid w:val="00DC26CD"/>
    <w:rsid w:val="00DD20AB"/>
    <w:rsid w:val="00DD2B4F"/>
    <w:rsid w:val="00DD3BC9"/>
    <w:rsid w:val="00DD4F0B"/>
    <w:rsid w:val="00DD730F"/>
    <w:rsid w:val="00DE3FE9"/>
    <w:rsid w:val="00DE5285"/>
    <w:rsid w:val="00DE71EF"/>
    <w:rsid w:val="00DF1B17"/>
    <w:rsid w:val="00DF67D3"/>
    <w:rsid w:val="00E00D2E"/>
    <w:rsid w:val="00E01137"/>
    <w:rsid w:val="00E06939"/>
    <w:rsid w:val="00E074DC"/>
    <w:rsid w:val="00E10393"/>
    <w:rsid w:val="00E12169"/>
    <w:rsid w:val="00E15D1D"/>
    <w:rsid w:val="00E1673B"/>
    <w:rsid w:val="00E172AB"/>
    <w:rsid w:val="00E22CDE"/>
    <w:rsid w:val="00E26055"/>
    <w:rsid w:val="00E2781C"/>
    <w:rsid w:val="00E31567"/>
    <w:rsid w:val="00E31646"/>
    <w:rsid w:val="00E3690B"/>
    <w:rsid w:val="00E43754"/>
    <w:rsid w:val="00E45D93"/>
    <w:rsid w:val="00E46B8F"/>
    <w:rsid w:val="00E519F4"/>
    <w:rsid w:val="00E634CC"/>
    <w:rsid w:val="00E63665"/>
    <w:rsid w:val="00E67144"/>
    <w:rsid w:val="00E717D8"/>
    <w:rsid w:val="00E73C4D"/>
    <w:rsid w:val="00E770AE"/>
    <w:rsid w:val="00E833C9"/>
    <w:rsid w:val="00E92766"/>
    <w:rsid w:val="00E92969"/>
    <w:rsid w:val="00E930AA"/>
    <w:rsid w:val="00E962CB"/>
    <w:rsid w:val="00EA548F"/>
    <w:rsid w:val="00EA6EC4"/>
    <w:rsid w:val="00EA7140"/>
    <w:rsid w:val="00EB56AC"/>
    <w:rsid w:val="00EC2BAA"/>
    <w:rsid w:val="00EC5AA4"/>
    <w:rsid w:val="00ED00AA"/>
    <w:rsid w:val="00ED0613"/>
    <w:rsid w:val="00ED0C08"/>
    <w:rsid w:val="00ED386D"/>
    <w:rsid w:val="00ED4F19"/>
    <w:rsid w:val="00ED70F5"/>
    <w:rsid w:val="00EE3FF3"/>
    <w:rsid w:val="00EE604A"/>
    <w:rsid w:val="00EE64EF"/>
    <w:rsid w:val="00EF40BD"/>
    <w:rsid w:val="00EF712A"/>
    <w:rsid w:val="00F02FAC"/>
    <w:rsid w:val="00F04302"/>
    <w:rsid w:val="00F046DC"/>
    <w:rsid w:val="00F068C4"/>
    <w:rsid w:val="00F07BC4"/>
    <w:rsid w:val="00F1414C"/>
    <w:rsid w:val="00F14609"/>
    <w:rsid w:val="00F15497"/>
    <w:rsid w:val="00F17BF5"/>
    <w:rsid w:val="00F20CC3"/>
    <w:rsid w:val="00F2448B"/>
    <w:rsid w:val="00F26006"/>
    <w:rsid w:val="00F30172"/>
    <w:rsid w:val="00F336AE"/>
    <w:rsid w:val="00F40F96"/>
    <w:rsid w:val="00F4343D"/>
    <w:rsid w:val="00F5011E"/>
    <w:rsid w:val="00F56C5D"/>
    <w:rsid w:val="00F64DA4"/>
    <w:rsid w:val="00F71D74"/>
    <w:rsid w:val="00F728F3"/>
    <w:rsid w:val="00F866B1"/>
    <w:rsid w:val="00F901AB"/>
    <w:rsid w:val="00F91B0C"/>
    <w:rsid w:val="00FA006B"/>
    <w:rsid w:val="00FA5E92"/>
    <w:rsid w:val="00FB0884"/>
    <w:rsid w:val="00FB1330"/>
    <w:rsid w:val="00FC2492"/>
    <w:rsid w:val="00FC4B33"/>
    <w:rsid w:val="00FC5523"/>
    <w:rsid w:val="00FD0C21"/>
    <w:rsid w:val="00FD1C15"/>
    <w:rsid w:val="00FE0AC9"/>
    <w:rsid w:val="00FE40C9"/>
    <w:rsid w:val="00FE6538"/>
    <w:rsid w:val="00FE67DB"/>
    <w:rsid w:val="00FE6971"/>
    <w:rsid w:val="00FF15AA"/>
    <w:rsid w:val="00FF609C"/>
    <w:rsid w:val="00FF787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8216DB"/>
  <w15:chartTrackingRefBased/>
  <w15:docId w15:val="{C7DCA79C-946E-4B04-8C11-2AFA92F4C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7136"/>
    <w:pPr>
      <w:spacing w:after="0" w:line="480" w:lineRule="auto"/>
      <w:ind w:firstLine="720"/>
    </w:pPr>
    <w:rPr>
      <w:rFonts w:ascii="Times New Roman" w:hAnsi="Times New Roman"/>
      <w:sz w:val="24"/>
    </w:rPr>
  </w:style>
  <w:style w:type="paragraph" w:styleId="Heading1">
    <w:name w:val="heading 1"/>
    <w:basedOn w:val="Normal"/>
    <w:next w:val="Normal"/>
    <w:link w:val="Heading1Char"/>
    <w:uiPriority w:val="9"/>
    <w:qFormat/>
    <w:rsid w:val="00367136"/>
    <w:pPr>
      <w:keepNext/>
      <w:keepLines/>
      <w:ind w:firstLine="0"/>
      <w:jc w:val="center"/>
      <w:outlineLvl w:val="0"/>
    </w:pPr>
    <w:rPr>
      <w:rFonts w:eastAsiaTheme="majorEastAsia" w:cstheme="majorBidi"/>
      <w:b/>
      <w:color w:val="000000" w:themeColor="text1"/>
      <w:szCs w:val="40"/>
    </w:rPr>
  </w:style>
  <w:style w:type="paragraph" w:styleId="Heading2">
    <w:name w:val="heading 2"/>
    <w:basedOn w:val="Normal"/>
    <w:next w:val="Normal"/>
    <w:link w:val="Heading2Char"/>
    <w:uiPriority w:val="9"/>
    <w:unhideWhenUsed/>
    <w:qFormat/>
    <w:rsid w:val="00FB1330"/>
    <w:pPr>
      <w:keepNext/>
      <w:keepLines/>
      <w:ind w:firstLine="0"/>
      <w:outlineLvl w:val="1"/>
    </w:pPr>
    <w:rPr>
      <w:rFonts w:eastAsiaTheme="majorEastAsia" w:cstheme="majorBidi"/>
      <w:b/>
      <w:color w:val="000000" w:themeColor="text1"/>
      <w:szCs w:val="32"/>
    </w:rPr>
  </w:style>
  <w:style w:type="paragraph" w:styleId="Heading3">
    <w:name w:val="heading 3"/>
    <w:basedOn w:val="Normal"/>
    <w:next w:val="Normal"/>
    <w:link w:val="Heading3Char"/>
    <w:uiPriority w:val="9"/>
    <w:unhideWhenUsed/>
    <w:qFormat/>
    <w:rsid w:val="00AE42D5"/>
    <w:pPr>
      <w:keepNext/>
      <w:keepLines/>
      <w:ind w:firstLine="0"/>
      <w:outlineLvl w:val="2"/>
    </w:pPr>
    <w:rPr>
      <w:rFonts w:eastAsiaTheme="majorEastAsia" w:cstheme="majorBidi"/>
      <w:b/>
      <w:i/>
      <w:color w:val="000000" w:themeColor="text1"/>
      <w:szCs w:val="28"/>
    </w:rPr>
  </w:style>
  <w:style w:type="paragraph" w:styleId="Heading4">
    <w:name w:val="heading 4"/>
    <w:basedOn w:val="Normal"/>
    <w:next w:val="Normal"/>
    <w:link w:val="Heading4Char"/>
    <w:uiPriority w:val="9"/>
    <w:semiHidden/>
    <w:unhideWhenUsed/>
    <w:qFormat/>
    <w:rsid w:val="00A944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44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444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444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444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444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7136"/>
    <w:rPr>
      <w:rFonts w:ascii="Times New Roman" w:eastAsiaTheme="majorEastAsia" w:hAnsi="Times New Roman" w:cstheme="majorBidi"/>
      <w:b/>
      <w:color w:val="000000" w:themeColor="text1"/>
      <w:sz w:val="24"/>
      <w:szCs w:val="40"/>
    </w:rPr>
  </w:style>
  <w:style w:type="character" w:customStyle="1" w:styleId="Heading2Char">
    <w:name w:val="Heading 2 Char"/>
    <w:basedOn w:val="DefaultParagraphFont"/>
    <w:link w:val="Heading2"/>
    <w:uiPriority w:val="9"/>
    <w:rsid w:val="00FB1330"/>
    <w:rPr>
      <w:rFonts w:ascii="Times New Roman" w:eastAsiaTheme="majorEastAsia" w:hAnsi="Times New Roman" w:cstheme="majorBidi"/>
      <w:b/>
      <w:color w:val="000000" w:themeColor="text1"/>
      <w:sz w:val="24"/>
      <w:szCs w:val="32"/>
    </w:rPr>
  </w:style>
  <w:style w:type="character" w:customStyle="1" w:styleId="Heading3Char">
    <w:name w:val="Heading 3 Char"/>
    <w:basedOn w:val="DefaultParagraphFont"/>
    <w:link w:val="Heading3"/>
    <w:uiPriority w:val="9"/>
    <w:rsid w:val="00AE42D5"/>
    <w:rPr>
      <w:rFonts w:ascii="Times New Roman" w:eastAsiaTheme="majorEastAsia" w:hAnsi="Times New Roman" w:cstheme="majorBidi"/>
      <w:b/>
      <w:i/>
      <w:color w:val="000000" w:themeColor="text1"/>
      <w:sz w:val="24"/>
      <w:szCs w:val="28"/>
    </w:rPr>
  </w:style>
  <w:style w:type="character" w:customStyle="1" w:styleId="Heading4Char">
    <w:name w:val="Heading 4 Char"/>
    <w:basedOn w:val="DefaultParagraphFont"/>
    <w:link w:val="Heading4"/>
    <w:uiPriority w:val="9"/>
    <w:semiHidden/>
    <w:rsid w:val="00A944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44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44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44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44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444B"/>
    <w:rPr>
      <w:rFonts w:eastAsiaTheme="majorEastAsia" w:cstheme="majorBidi"/>
      <w:color w:val="272727" w:themeColor="text1" w:themeTint="D8"/>
    </w:rPr>
  </w:style>
  <w:style w:type="paragraph" w:styleId="Title">
    <w:name w:val="Title"/>
    <w:basedOn w:val="Normal"/>
    <w:next w:val="Normal"/>
    <w:link w:val="TitleChar"/>
    <w:uiPriority w:val="10"/>
    <w:qFormat/>
    <w:rsid w:val="00A944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44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444B"/>
    <w:pPr>
      <w:numPr>
        <w:ilvl w:val="1"/>
      </w:numPr>
      <w:ind w:firstLine="72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44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444B"/>
    <w:pPr>
      <w:spacing w:before="160"/>
      <w:jc w:val="center"/>
    </w:pPr>
    <w:rPr>
      <w:i/>
      <w:iCs/>
      <w:color w:val="404040" w:themeColor="text1" w:themeTint="BF"/>
    </w:rPr>
  </w:style>
  <w:style w:type="character" w:customStyle="1" w:styleId="QuoteChar">
    <w:name w:val="Quote Char"/>
    <w:basedOn w:val="DefaultParagraphFont"/>
    <w:link w:val="Quote"/>
    <w:uiPriority w:val="29"/>
    <w:rsid w:val="00A9444B"/>
    <w:rPr>
      <w:i/>
      <w:iCs/>
      <w:color w:val="404040" w:themeColor="text1" w:themeTint="BF"/>
    </w:rPr>
  </w:style>
  <w:style w:type="paragraph" w:styleId="ListParagraph">
    <w:name w:val="List Paragraph"/>
    <w:basedOn w:val="Normal"/>
    <w:link w:val="ListParagraphChar"/>
    <w:uiPriority w:val="34"/>
    <w:qFormat/>
    <w:rsid w:val="00A9444B"/>
    <w:pPr>
      <w:ind w:left="720"/>
      <w:contextualSpacing/>
    </w:pPr>
  </w:style>
  <w:style w:type="character" w:styleId="IntenseEmphasis">
    <w:name w:val="Intense Emphasis"/>
    <w:basedOn w:val="DefaultParagraphFont"/>
    <w:uiPriority w:val="21"/>
    <w:qFormat/>
    <w:rsid w:val="00A9444B"/>
    <w:rPr>
      <w:i/>
      <w:iCs/>
      <w:color w:val="0F4761" w:themeColor="accent1" w:themeShade="BF"/>
    </w:rPr>
  </w:style>
  <w:style w:type="paragraph" w:styleId="IntenseQuote">
    <w:name w:val="Intense Quote"/>
    <w:basedOn w:val="Normal"/>
    <w:next w:val="Normal"/>
    <w:link w:val="IntenseQuoteChar"/>
    <w:uiPriority w:val="30"/>
    <w:qFormat/>
    <w:rsid w:val="00A944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444B"/>
    <w:rPr>
      <w:i/>
      <w:iCs/>
      <w:color w:val="0F4761" w:themeColor="accent1" w:themeShade="BF"/>
    </w:rPr>
  </w:style>
  <w:style w:type="character" w:styleId="IntenseReference">
    <w:name w:val="Intense Reference"/>
    <w:basedOn w:val="DefaultParagraphFont"/>
    <w:uiPriority w:val="32"/>
    <w:qFormat/>
    <w:rsid w:val="00A9444B"/>
    <w:rPr>
      <w:b/>
      <w:bCs/>
      <w:smallCaps/>
      <w:color w:val="0F4761" w:themeColor="accent1" w:themeShade="BF"/>
      <w:spacing w:val="5"/>
    </w:rPr>
  </w:style>
  <w:style w:type="character" w:customStyle="1" w:styleId="fontstyle01">
    <w:name w:val="fontstyle01"/>
    <w:basedOn w:val="DefaultParagraphFont"/>
    <w:rsid w:val="00B105AA"/>
    <w:rPr>
      <w:rFonts w:ascii="TimesNewRomanMTStd" w:hAnsi="TimesNewRomanMTStd" w:hint="default"/>
      <w:b w:val="0"/>
      <w:bCs w:val="0"/>
      <w:i w:val="0"/>
      <w:iCs w:val="0"/>
      <w:color w:val="000000"/>
      <w:sz w:val="20"/>
      <w:szCs w:val="20"/>
    </w:rPr>
  </w:style>
  <w:style w:type="character" w:styleId="Hyperlink">
    <w:name w:val="Hyperlink"/>
    <w:basedOn w:val="DefaultParagraphFont"/>
    <w:uiPriority w:val="99"/>
    <w:unhideWhenUsed/>
    <w:rsid w:val="00593B12"/>
    <w:rPr>
      <w:color w:val="467886" w:themeColor="hyperlink"/>
      <w:u w:val="single"/>
    </w:rPr>
  </w:style>
  <w:style w:type="character" w:styleId="UnresolvedMention">
    <w:name w:val="Unresolved Mention"/>
    <w:basedOn w:val="DefaultParagraphFont"/>
    <w:uiPriority w:val="99"/>
    <w:semiHidden/>
    <w:unhideWhenUsed/>
    <w:rsid w:val="00593B12"/>
    <w:rPr>
      <w:color w:val="605E5C"/>
      <w:shd w:val="clear" w:color="auto" w:fill="E1DFDD"/>
    </w:rPr>
  </w:style>
  <w:style w:type="character" w:customStyle="1" w:styleId="fontstyle21">
    <w:name w:val="fontstyle21"/>
    <w:basedOn w:val="DefaultParagraphFont"/>
    <w:rsid w:val="00593B12"/>
    <w:rPr>
      <w:rFonts w:ascii="MTSYB" w:hAnsi="MTSYB" w:hint="default"/>
      <w:b/>
      <w:bCs/>
      <w:i w:val="0"/>
      <w:iCs w:val="0"/>
      <w:color w:val="000000"/>
      <w:sz w:val="18"/>
      <w:szCs w:val="18"/>
    </w:rPr>
  </w:style>
  <w:style w:type="paragraph" w:styleId="FootnoteText">
    <w:name w:val="footnote text"/>
    <w:basedOn w:val="Normal"/>
    <w:link w:val="FootnoteTextChar"/>
    <w:uiPriority w:val="99"/>
    <w:semiHidden/>
    <w:unhideWhenUsed/>
    <w:rsid w:val="00DC1DD5"/>
    <w:pPr>
      <w:spacing w:line="240" w:lineRule="auto"/>
    </w:pPr>
    <w:rPr>
      <w:sz w:val="20"/>
      <w:szCs w:val="20"/>
    </w:rPr>
  </w:style>
  <w:style w:type="character" w:customStyle="1" w:styleId="FootnoteTextChar">
    <w:name w:val="Footnote Text Char"/>
    <w:basedOn w:val="DefaultParagraphFont"/>
    <w:link w:val="FootnoteText"/>
    <w:uiPriority w:val="99"/>
    <w:semiHidden/>
    <w:rsid w:val="00DC1DD5"/>
    <w:rPr>
      <w:sz w:val="20"/>
      <w:szCs w:val="20"/>
    </w:rPr>
  </w:style>
  <w:style w:type="character" w:styleId="FootnoteReference">
    <w:name w:val="footnote reference"/>
    <w:basedOn w:val="DefaultParagraphFont"/>
    <w:uiPriority w:val="99"/>
    <w:semiHidden/>
    <w:unhideWhenUsed/>
    <w:rsid w:val="00DC1DD5"/>
    <w:rPr>
      <w:vertAlign w:val="superscript"/>
    </w:rPr>
  </w:style>
  <w:style w:type="character" w:styleId="FollowedHyperlink">
    <w:name w:val="FollowedHyperlink"/>
    <w:basedOn w:val="DefaultParagraphFont"/>
    <w:uiPriority w:val="99"/>
    <w:semiHidden/>
    <w:unhideWhenUsed/>
    <w:rsid w:val="005D0A23"/>
    <w:rPr>
      <w:color w:val="96607D" w:themeColor="followedHyperlink"/>
      <w:u w:val="single"/>
    </w:rPr>
  </w:style>
  <w:style w:type="character" w:customStyle="1" w:styleId="ListParagraphChar">
    <w:name w:val="List Paragraph Char"/>
    <w:basedOn w:val="DefaultParagraphFont"/>
    <w:link w:val="ListParagraph"/>
    <w:uiPriority w:val="34"/>
    <w:rsid w:val="00381C0D"/>
  </w:style>
  <w:style w:type="character" w:styleId="Emphasis">
    <w:name w:val="Emphasis"/>
    <w:basedOn w:val="DefaultParagraphFont"/>
    <w:uiPriority w:val="20"/>
    <w:qFormat/>
    <w:rsid w:val="00C03937"/>
    <w:rPr>
      <w:i/>
      <w:iCs/>
    </w:rPr>
  </w:style>
  <w:style w:type="paragraph" w:styleId="NormalWeb">
    <w:name w:val="Normal (Web)"/>
    <w:basedOn w:val="Normal"/>
    <w:uiPriority w:val="99"/>
    <w:unhideWhenUsed/>
    <w:rsid w:val="00497B0B"/>
    <w:pPr>
      <w:spacing w:before="100" w:beforeAutospacing="1" w:after="100" w:afterAutospacing="1" w:line="240" w:lineRule="auto"/>
    </w:pPr>
    <w:rPr>
      <w:rFonts w:eastAsia="Times New Roman" w:cs="Times New Roman"/>
      <w:kern w:val="0"/>
      <w:szCs w:val="24"/>
      <w:lang w:eastAsia="en-GB"/>
      <w14:ligatures w14:val="none"/>
    </w:rPr>
  </w:style>
  <w:style w:type="character" w:customStyle="1" w:styleId="persname">
    <w:name w:val="persname"/>
    <w:basedOn w:val="DefaultParagraphFont"/>
    <w:rsid w:val="00497B0B"/>
  </w:style>
  <w:style w:type="character" w:customStyle="1" w:styleId="surname">
    <w:name w:val="surname"/>
    <w:basedOn w:val="DefaultParagraphFont"/>
    <w:rsid w:val="00497B0B"/>
  </w:style>
  <w:style w:type="character" w:customStyle="1" w:styleId="forename">
    <w:name w:val="forename"/>
    <w:basedOn w:val="DefaultParagraphFont"/>
    <w:rsid w:val="00497B0B"/>
  </w:style>
  <w:style w:type="character" w:customStyle="1" w:styleId="biblscope">
    <w:name w:val="biblscope"/>
    <w:basedOn w:val="DefaultParagraphFont"/>
    <w:rsid w:val="00497B0B"/>
  </w:style>
  <w:style w:type="character" w:customStyle="1" w:styleId="Title1">
    <w:name w:val="Title1"/>
    <w:basedOn w:val="DefaultParagraphFont"/>
    <w:rsid w:val="00497B0B"/>
  </w:style>
  <w:style w:type="table" w:styleId="TableGrid">
    <w:name w:val="Table Grid"/>
    <w:basedOn w:val="TableNormal"/>
    <w:uiPriority w:val="59"/>
    <w:rsid w:val="00ED0613"/>
    <w:pPr>
      <w:spacing w:after="0" w:line="240" w:lineRule="auto"/>
    </w:pPr>
    <w:rPr>
      <w:kern w:val="0"/>
      <w:lang w:val="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er">
    <w:name w:val="footer"/>
    <w:basedOn w:val="Normal"/>
    <w:link w:val="FooterChar"/>
    <w:uiPriority w:val="99"/>
    <w:unhideWhenUsed/>
    <w:rsid w:val="00ED0613"/>
    <w:pPr>
      <w:tabs>
        <w:tab w:val="center" w:pos="4513"/>
        <w:tab w:val="right" w:pos="9026"/>
      </w:tabs>
      <w:spacing w:line="240" w:lineRule="auto"/>
    </w:pPr>
    <w:rPr>
      <w:rFonts w:eastAsiaTheme="minorEastAsia"/>
      <w:kern w:val="0"/>
      <w14:ligatures w14:val="none"/>
    </w:rPr>
  </w:style>
  <w:style w:type="character" w:customStyle="1" w:styleId="FooterChar">
    <w:name w:val="Footer Char"/>
    <w:basedOn w:val="DefaultParagraphFont"/>
    <w:link w:val="Footer"/>
    <w:uiPriority w:val="99"/>
    <w:rsid w:val="00ED0613"/>
    <w:rPr>
      <w:rFonts w:eastAsiaTheme="minorEastAsia"/>
      <w:kern w:val="0"/>
      <w14:ligatures w14:val="none"/>
    </w:rPr>
  </w:style>
  <w:style w:type="paragraph" w:styleId="Header">
    <w:name w:val="header"/>
    <w:basedOn w:val="Normal"/>
    <w:link w:val="HeaderChar"/>
    <w:uiPriority w:val="99"/>
    <w:unhideWhenUsed/>
    <w:rsid w:val="00347869"/>
    <w:pPr>
      <w:tabs>
        <w:tab w:val="center" w:pos="4513"/>
        <w:tab w:val="right" w:pos="9026"/>
      </w:tabs>
      <w:spacing w:line="240" w:lineRule="auto"/>
    </w:pPr>
  </w:style>
  <w:style w:type="character" w:customStyle="1" w:styleId="HeaderChar">
    <w:name w:val="Header Char"/>
    <w:basedOn w:val="DefaultParagraphFont"/>
    <w:link w:val="Header"/>
    <w:uiPriority w:val="99"/>
    <w:rsid w:val="00347869"/>
  </w:style>
  <w:style w:type="paragraph" w:styleId="Revision">
    <w:name w:val="Revision"/>
    <w:hidden/>
    <w:uiPriority w:val="99"/>
    <w:semiHidden/>
    <w:rsid w:val="00D87535"/>
    <w:pPr>
      <w:spacing w:after="0" w:line="240" w:lineRule="auto"/>
    </w:pPr>
  </w:style>
  <w:style w:type="character" w:styleId="CommentReference">
    <w:name w:val="annotation reference"/>
    <w:basedOn w:val="DefaultParagraphFont"/>
    <w:uiPriority w:val="99"/>
    <w:semiHidden/>
    <w:unhideWhenUsed/>
    <w:rsid w:val="00D87535"/>
    <w:rPr>
      <w:sz w:val="16"/>
      <w:szCs w:val="16"/>
    </w:rPr>
  </w:style>
  <w:style w:type="paragraph" w:styleId="CommentText">
    <w:name w:val="annotation text"/>
    <w:basedOn w:val="Normal"/>
    <w:link w:val="CommentTextChar"/>
    <w:uiPriority w:val="99"/>
    <w:unhideWhenUsed/>
    <w:rsid w:val="00D87535"/>
    <w:pPr>
      <w:spacing w:line="240" w:lineRule="auto"/>
    </w:pPr>
    <w:rPr>
      <w:sz w:val="20"/>
      <w:szCs w:val="20"/>
    </w:rPr>
  </w:style>
  <w:style w:type="character" w:customStyle="1" w:styleId="CommentTextChar">
    <w:name w:val="Comment Text Char"/>
    <w:basedOn w:val="DefaultParagraphFont"/>
    <w:link w:val="CommentText"/>
    <w:uiPriority w:val="99"/>
    <w:rsid w:val="00D87535"/>
    <w:rPr>
      <w:sz w:val="20"/>
      <w:szCs w:val="20"/>
    </w:rPr>
  </w:style>
  <w:style w:type="paragraph" w:styleId="CommentSubject">
    <w:name w:val="annotation subject"/>
    <w:basedOn w:val="CommentText"/>
    <w:next w:val="CommentText"/>
    <w:link w:val="CommentSubjectChar"/>
    <w:uiPriority w:val="99"/>
    <w:semiHidden/>
    <w:unhideWhenUsed/>
    <w:rsid w:val="00D87535"/>
    <w:rPr>
      <w:b/>
      <w:bCs/>
    </w:rPr>
  </w:style>
  <w:style w:type="character" w:customStyle="1" w:styleId="CommentSubjectChar">
    <w:name w:val="Comment Subject Char"/>
    <w:basedOn w:val="CommentTextChar"/>
    <w:link w:val="CommentSubject"/>
    <w:uiPriority w:val="99"/>
    <w:semiHidden/>
    <w:rsid w:val="00D87535"/>
    <w:rPr>
      <w:b/>
      <w:bCs/>
      <w:sz w:val="20"/>
      <w:szCs w:val="20"/>
    </w:rPr>
  </w:style>
  <w:style w:type="character" w:styleId="Strong">
    <w:name w:val="Strong"/>
    <w:basedOn w:val="DefaultParagraphFont"/>
    <w:uiPriority w:val="22"/>
    <w:qFormat/>
    <w:rsid w:val="00367136"/>
    <w:rPr>
      <w:b/>
      <w:bCs/>
    </w:rPr>
  </w:style>
  <w:style w:type="table" w:customStyle="1" w:styleId="TableGrid1">
    <w:name w:val="Table Grid1"/>
    <w:basedOn w:val="TableNormal"/>
    <w:next w:val="TableGrid"/>
    <w:uiPriority w:val="39"/>
    <w:rsid w:val="005862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Table"/>
    <w:uiPriority w:val="1"/>
    <w:qFormat/>
    <w:rsid w:val="005862D0"/>
    <w:pPr>
      <w:spacing w:after="0" w:line="240" w:lineRule="auto"/>
      <w:ind w:firstLine="720"/>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2756273">
      <w:bodyDiv w:val="1"/>
      <w:marLeft w:val="0"/>
      <w:marRight w:val="0"/>
      <w:marTop w:val="0"/>
      <w:marBottom w:val="0"/>
      <w:divBdr>
        <w:top w:val="none" w:sz="0" w:space="0" w:color="auto"/>
        <w:left w:val="none" w:sz="0" w:space="0" w:color="auto"/>
        <w:bottom w:val="none" w:sz="0" w:space="0" w:color="auto"/>
        <w:right w:val="none" w:sz="0" w:space="0" w:color="auto"/>
      </w:divBdr>
    </w:div>
    <w:div w:id="640572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spglobal.com/spdji/en/indices/equity/sp-10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787/9870c393-en"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2.deloitte.com/ce/en/pages/global-business-services/articles/esg-explained-1-what-is-esg.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thecaq.org/sp-100-and-esg-reporting"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corporateregister.com/" TargetMode="External"/><Relationship Id="rId1" Type="http://schemas.openxmlformats.org/officeDocument/2006/relationships/hyperlink" Target="https://www.responsibilityreport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18719D-5339-480F-895D-4522A76CF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8379</Words>
  <Characters>51146</Characters>
  <Application>Microsoft Office Word</Application>
  <DocSecurity>0</DocSecurity>
  <Lines>1284</Lines>
  <Paragraphs>613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Alhanouf Almubarak (NBS - Postgraduate Researcher)</dc:creator>
  <cp:keywords/>
  <dc:description/>
  <cp:lastModifiedBy>Alhanouf Almubarak (NBS - Postgraduate Researcher)</cp:lastModifiedBy>
  <cp:revision>356</cp:revision>
  <dcterms:created xsi:type="dcterms:W3CDTF">2024-06-20T13:49:00Z</dcterms:created>
  <dcterms:modified xsi:type="dcterms:W3CDTF">2024-06-28T10:45:00Z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5ee386e8e6adbf86237b1378a6c042b987e126daf3a34bd16baa6e916395b5f8</vt:lpwstr>
  </property>
</Properties>
</file>