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1638300</wp:posOffset>
            </wp:positionH>
            <wp:positionV relativeFrom="paragraph">
              <wp:posOffset>247650</wp:posOffset>
            </wp:positionV>
            <wp:extent cx="3028950" cy="971550"/>
            <wp:effectExtent b="0" l="0" r="0" t="0"/>
            <wp:wrapSquare wrapText="bothSides" distB="0" distT="0" distL="114300" distR="114300"/>
            <wp:docPr descr="IANJ_SpelledOut_Graphic" id="3" name="image1.jpg"/>
            <a:graphic>
              <a:graphicData uri="http://schemas.openxmlformats.org/drawingml/2006/picture">
                <pic:pic>
                  <pic:nvPicPr>
                    <pic:cNvPr descr="IANJ_SpelledOut_Graphic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71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</wp:posOffset>
            </wp:positionH>
            <wp:positionV relativeFrom="paragraph">
              <wp:posOffset>0</wp:posOffset>
            </wp:positionV>
            <wp:extent cx="1466850" cy="1466850"/>
            <wp:effectExtent b="0" l="0" r="0" t="0"/>
            <wp:wrapSquare wrapText="bothSides" distB="0" distT="0" distL="114300" distR="114300"/>
            <wp:docPr descr="IANJ final" id="4" name="image2.jpg"/>
            <a:graphic>
              <a:graphicData uri="http://schemas.openxmlformats.org/drawingml/2006/picture">
                <pic:pic>
                  <pic:nvPicPr>
                    <pic:cNvPr descr="IANJ final"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78.0000000000000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78.0000000000000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78.0000000000000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78.0000000000000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78.0000000000000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Rule="auto"/>
        <w:rPr>
          <w:b w:val="1"/>
          <w:bCs w:val="1"/>
          <w:color w:val="1c4587"/>
          <w:sz w:val="28"/>
          <w:szCs w:val="28"/>
        </w:rPr>
      </w:pPr>
      <w:r w:rsidDel="00000000" w:rsidR="00000000" w:rsidRPr="00000000">
        <w:rPr>
          <w:b w:val="1"/>
          <w:bCs w:val="1"/>
          <w:color w:val="1c4587"/>
          <w:sz w:val="28"/>
          <w:szCs w:val="28"/>
          <w:rtl w:val="0"/>
        </w:rPr>
        <w:t xml:space="preserve">Fact Sheet: New Local Authority Powers for Enforcing Landscape Irrigation Licensing</w:t>
      </w:r>
    </w:p>
    <w:p w:rsidR="00000000" w:rsidDel="00000000" w:rsidP="00000000" w:rsidRDefault="00000000" w:rsidRPr="00000000" w14:paraId="00000008">
      <w:pPr>
        <w:spacing w:after="120" w:before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Chapter 262, P.L. 2025, </w:t>
      </w:r>
      <w:r w:rsidDel="00000000" w:rsidR="00000000" w:rsidRPr="00000000">
        <w:rPr>
          <w:sz w:val="24"/>
          <w:szCs w:val="24"/>
          <w:rtl w:val="0"/>
        </w:rPr>
        <w:t xml:space="preserve">introduces important changes to the rules to protect residents from safety risks and liability arising from </w:t>
      </w:r>
      <w:r w:rsidDel="00000000" w:rsidR="00000000" w:rsidRPr="00000000">
        <w:rPr>
          <w:sz w:val="24"/>
          <w:szCs w:val="24"/>
          <w:rtl w:val="0"/>
        </w:rPr>
        <w:t xml:space="preserve">unlicensed irrigation work.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Local authorities now have the power to investigate and fine anyone doing unlicensed work.</w:t>
      </w:r>
    </w:p>
    <w:p w:rsidR="00000000" w:rsidDel="00000000" w:rsidP="00000000" w:rsidRDefault="00000000" w:rsidRPr="00000000" w14:paraId="0000000A">
      <w:pPr>
        <w:spacing w:after="120" w:before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  <w:t xml:space="preserve">Who is responsible for enforcing the law?</w:t>
      </w:r>
    </w:p>
    <w:p w:rsidR="00000000" w:rsidDel="00000000" w:rsidP="00000000" w:rsidRDefault="00000000" w:rsidRPr="00000000" w14:paraId="0000000B">
      <w:pPr>
        <w:spacing w:after="120" w:before="12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law gives the "local enforcing agency" the authority to investigate violations and issue orders.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municipal construction officials</w:t>
      </w:r>
      <w:r w:rsidDel="00000000" w:rsidR="00000000" w:rsidRPr="00000000">
        <w:rPr>
          <w:sz w:val="24"/>
          <w:szCs w:val="24"/>
          <w:rtl w:val="0"/>
        </w:rPr>
        <w:t xml:space="preserve"> together with their assistants (as provided for in P.L. 1975, c.217).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county officials </w:t>
      </w:r>
      <w:r w:rsidDel="00000000" w:rsidR="00000000" w:rsidRPr="00000000">
        <w:rPr>
          <w:sz w:val="24"/>
          <w:szCs w:val="24"/>
          <w:rtl w:val="0"/>
        </w:rPr>
        <w:t xml:space="preserve">and their assistants.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people who are responsible </w:t>
      </w:r>
      <w:r w:rsidDel="00000000" w:rsidR="00000000" w:rsidRPr="00000000">
        <w:rPr>
          <w:sz w:val="24"/>
          <w:szCs w:val="24"/>
          <w:rtl w:val="0"/>
        </w:rPr>
        <w:t xml:space="preserve">(namely, those named in</w:t>
      </w:r>
      <w:r w:rsidDel="00000000" w:rsidR="00000000" w:rsidRPr="00000000">
        <w:rPr>
          <w:sz w:val="24"/>
          <w:szCs w:val="24"/>
          <w:rtl w:val="0"/>
        </w:rPr>
        <w:t xml:space="preserve">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state construction code</w:t>
      </w:r>
      <w:r w:rsidDel="00000000" w:rsidR="00000000" w:rsidRPr="00000000">
        <w:rPr>
          <w:sz w:val="24"/>
          <w:szCs w:val="24"/>
          <w:rtl w:val="0"/>
        </w:rPr>
        <w:t xml:space="preserve"> laws).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36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officials from Pilot County </w:t>
      </w:r>
      <w:r w:rsidDel="00000000" w:rsidR="00000000" w:rsidRPr="00000000">
        <w:rPr>
          <w:sz w:val="24"/>
          <w:szCs w:val="24"/>
          <w:rtl w:val="0"/>
        </w:rPr>
        <w:t xml:space="preserve">and their assistants (acting under the "County Code Enforcement Pilot Program" as stated in section 1 of P.L.2018, c.157)</w:t>
      </w:r>
    </w:p>
    <w:p w:rsidR="00000000" w:rsidDel="00000000" w:rsidP="00000000" w:rsidRDefault="00000000" w:rsidRPr="00000000" w14:paraId="00000010">
      <w:pPr>
        <w:spacing w:after="120" w:before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Penalties and Local Revenue:</w:t>
      </w:r>
    </w:p>
    <w:p w:rsidR="00000000" w:rsidDel="00000000" w:rsidP="00000000" w:rsidRDefault="00000000" w:rsidRPr="00000000" w14:paraId="00000011">
      <w:pPr>
        <w:spacing w:after="120" w:before="1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law sets significant fines to discourage unlicensed work.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Local authorities keep 70 percent of the fine, and the State Board gets 30 percent.</w:t>
      </w:r>
    </w:p>
    <w:p w:rsidR="00000000" w:rsidDel="00000000" w:rsidP="00000000" w:rsidRDefault="00000000" w:rsidRPr="00000000" w14:paraId="00000012">
      <w:pPr>
        <w:spacing w:after="120" w:before="12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civil penalty may be imposed only after a formal administrative order is issued, as stated in Section 10 of the law.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3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First Offense:</w:t>
      </w:r>
      <w:r w:rsidDel="00000000" w:rsidR="00000000" w:rsidRPr="00000000">
        <w:rPr>
          <w:sz w:val="24"/>
          <w:szCs w:val="24"/>
          <w:rtl w:val="0"/>
        </w:rPr>
        <w:t xml:space="preserve">  A civil administrative penalty of up to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$5,000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Second Offense:</w:t>
      </w:r>
      <w:r w:rsidDel="00000000" w:rsidR="00000000" w:rsidRPr="00000000">
        <w:rPr>
          <w:sz w:val="24"/>
          <w:szCs w:val="24"/>
          <w:rtl w:val="0"/>
        </w:rPr>
        <w:t xml:space="preserve">  A civil administrative penalty of up to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$10,000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36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Further offenses can lead to a civil penalty of up to $15,000. If unauthorized work continues for several days, each day counts as a separate offense, so daily fines can add up.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more information and the state statute, visit https://ianj.com/page-18057.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360" w:top="360" w:left="1440" w:right="1080" w:header="28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spacing w:line="240" w:lineRule="auto"/>
      <w:jc w:val="center"/>
      <w:rPr>
        <w:rFonts w:ascii="Arial" w:cs="Arial" w:eastAsia="Arial" w:hAnsi="Arial"/>
        <w:vertAlign w:val="baseline"/>
      </w:rPr>
    </w:pPr>
    <w:r w:rsidDel="00000000" w:rsidR="00000000" w:rsidRPr="00000000">
      <w:rPr>
        <w:rFonts w:ascii="Arial" w:cs="Arial" w:eastAsia="Arial" w:hAnsi="Arial"/>
        <w:rtl w:val="0"/>
      </w:rPr>
      <w:t xml:space="preserve">80 Morristown Rd Unit 3B Box 225, Bernardsville NJ 07924</w:t>
      <w:br w:type="textWrapping"/>
    </w:r>
    <w:r w:rsidDel="00000000" w:rsidR="00000000" w:rsidRPr="00000000">
      <w:rPr>
        <w:rFonts w:ascii="Arial" w:cs="Arial" w:eastAsia="Arial" w:hAnsi="Arial"/>
        <w:vertAlign w:val="baseline"/>
        <w:rtl w:val="0"/>
      </w:rPr>
      <w:t xml:space="preserve">Tel: 973-850-3366;</w:t>
    </w:r>
    <w:r w:rsidDel="00000000" w:rsidR="00000000" w:rsidRPr="00000000">
      <w:rPr>
        <w:rFonts w:ascii="Arial" w:cs="Arial" w:eastAsia="Arial" w:hAnsi="Arial"/>
        <w:rtl w:val="0"/>
      </w:rPr>
      <w:t xml:space="preserve"> </w:t>
    </w:r>
    <w:hyperlink r:id="rId1">
      <w:r w:rsidDel="00000000" w:rsidR="00000000" w:rsidRPr="00000000">
        <w:rPr>
          <w:rFonts w:ascii="Arial" w:cs="Arial" w:eastAsia="Arial" w:hAnsi="Arial"/>
          <w:color w:val="0000ff"/>
          <w:u w:val="single"/>
          <w:vertAlign w:val="baseline"/>
          <w:rtl w:val="0"/>
        </w:rPr>
        <w:t xml:space="preserve">www.ianj.com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ianj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qYW7pDITwOIFmhMjAcBQaGoqqg==">CgMxLjA4AHIhMWRxYWoyQndOdUJ3X3VOdDFLbG9aaUQ0V1JwZE13VUZt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