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-266699</wp:posOffset>
            </wp:positionH>
            <wp:positionV relativeFrom="paragraph">
              <wp:posOffset>0</wp:posOffset>
            </wp:positionV>
            <wp:extent cx="3721100" cy="1208405"/>
            <wp:effectExtent b="0" l="0" r="0" t="0"/>
            <wp:wrapSquare wrapText="bothSides" distB="0" distT="0" distL="114300" distR="114300"/>
            <wp:docPr descr="A black background with red text&#10;&#10;Description automatically generated with medium confidence" id="1" name="image1.png"/>
            <a:graphic>
              <a:graphicData uri="http://schemas.openxmlformats.org/drawingml/2006/picture">
                <pic:pic>
                  <pic:nvPicPr>
                    <pic:cNvPr descr="A black background with red text&#10;&#10;Description automatically generated with medium confidence" id="0" name="image1.png"/>
                    <pic:cNvPicPr preferRelativeResize="0"/>
                  </pic:nvPicPr>
                  <pic:blipFill>
                    <a:blip r:embed="rId6"/>
                    <a:srcRect b="0" l="0" r="0" t="0"/>
                    <a:stretch>
                      <a:fillRect/>
                    </a:stretch>
                  </pic:blipFill>
                  <pic:spPr>
                    <a:xfrm>
                      <a:off x="0" y="0"/>
                      <a:ext cx="3721100" cy="1208405"/>
                    </a:xfrm>
                    <a:prstGeom prst="rect"/>
                    <a:ln/>
                  </pic:spPr>
                </pic:pic>
              </a:graphicData>
            </a:graphic>
          </wp:anchor>
        </w:drawing>
      </w:r>
    </w:p>
    <w:p w:rsidR="00000000" w:rsidDel="00000000" w:rsidP="00000000" w:rsidRDefault="00000000" w:rsidRPr="00000000" w14:paraId="00000002">
      <w:pPr>
        <w:spacing w:line="300" w:lineRule="auto"/>
        <w:rPr>
          <w:rFonts w:ascii="Verdana" w:cs="Verdana" w:eastAsia="Verdana" w:hAnsi="Verdana"/>
        </w:rPr>
      </w:pPr>
      <w:r w:rsidDel="00000000" w:rsidR="00000000" w:rsidRPr="00000000">
        <w:rPr>
          <w:rtl w:val="0"/>
        </w:rPr>
      </w:r>
    </w:p>
    <w:p w:rsidR="00000000" w:rsidDel="00000000" w:rsidP="00000000" w:rsidRDefault="00000000" w:rsidRPr="00000000" w14:paraId="00000003">
      <w:pPr>
        <w:spacing w:line="300" w:lineRule="auto"/>
        <w:rPr>
          <w:rFonts w:ascii="Verdana" w:cs="Verdana" w:eastAsia="Verdana" w:hAnsi="Verdana"/>
        </w:rPr>
      </w:pPr>
      <w:r w:rsidDel="00000000" w:rsidR="00000000" w:rsidRPr="00000000">
        <w:rPr>
          <w:rtl w:val="0"/>
        </w:rPr>
      </w:r>
    </w:p>
    <w:p w:rsidR="00000000" w:rsidDel="00000000" w:rsidP="00000000" w:rsidRDefault="00000000" w:rsidRPr="00000000" w14:paraId="00000004">
      <w:pPr>
        <w:spacing w:line="300" w:lineRule="auto"/>
        <w:rPr>
          <w:rFonts w:ascii="Verdana" w:cs="Verdana" w:eastAsia="Verdana" w:hAnsi="Verdana"/>
        </w:rPr>
      </w:pPr>
      <w:r w:rsidDel="00000000" w:rsidR="00000000" w:rsidRPr="00000000">
        <w:rPr>
          <w:rtl w:val="0"/>
        </w:rPr>
      </w:r>
    </w:p>
    <w:p w:rsidR="00000000" w:rsidDel="00000000" w:rsidP="00000000" w:rsidRDefault="00000000" w:rsidRPr="00000000" w14:paraId="00000005">
      <w:pPr>
        <w:spacing w:line="300" w:lineRule="auto"/>
        <w:rPr>
          <w:rFonts w:ascii="Verdana" w:cs="Verdana" w:eastAsia="Verdana" w:hAnsi="Verdana"/>
        </w:rPr>
      </w:pPr>
      <w:r w:rsidDel="00000000" w:rsidR="00000000" w:rsidRPr="00000000">
        <w:rPr>
          <w:rFonts w:ascii="Verdana" w:cs="Verdana" w:eastAsia="Verdana" w:hAnsi="Verdana"/>
          <w:rtl w:val="0"/>
        </w:rPr>
        <w:tab/>
        <w:tab/>
        <w:tab/>
        <w:tab/>
        <w:tab/>
        <w:tab/>
        <w:tab/>
        <w:tab/>
        <w:tab/>
      </w:r>
    </w:p>
    <w:p w:rsidR="00000000" w:rsidDel="00000000" w:rsidP="00000000" w:rsidRDefault="00000000" w:rsidRPr="00000000" w14:paraId="00000006">
      <w:pPr>
        <w:spacing w:line="300" w:lineRule="auto"/>
        <w:rPr>
          <w:rFonts w:ascii="Verdana" w:cs="Verdana" w:eastAsia="Verdana" w:hAnsi="Verdana"/>
        </w:rPr>
      </w:pPr>
      <w:r w:rsidDel="00000000" w:rsidR="00000000" w:rsidRPr="00000000">
        <w:rPr>
          <w:rtl w:val="0"/>
        </w:rPr>
      </w:r>
    </w:p>
    <w:p w:rsidR="00000000" w:rsidDel="00000000" w:rsidP="00000000" w:rsidRDefault="00000000" w:rsidRPr="00000000" w14:paraId="00000007">
      <w:pPr>
        <w:spacing w:line="300" w:lineRule="auto"/>
        <w:rPr>
          <w:rFonts w:ascii="Verdana" w:cs="Verdana" w:eastAsia="Verdana" w:hAnsi="Verdana"/>
        </w:rPr>
      </w:pPr>
      <w:r w:rsidDel="00000000" w:rsidR="00000000" w:rsidRPr="00000000">
        <w:rPr>
          <w:rFonts w:ascii="Verdana" w:cs="Verdana" w:eastAsia="Verdana" w:hAnsi="Verdana"/>
          <w:rtl w:val="0"/>
        </w:rPr>
        <w:t xml:space="preserve">January 13th, 2025</w:t>
      </w:r>
    </w:p>
    <w:p w:rsidR="00000000" w:rsidDel="00000000" w:rsidP="00000000" w:rsidRDefault="00000000" w:rsidRPr="00000000" w14:paraId="00000008">
      <w:pPr>
        <w:spacing w:line="30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09">
      <w:pPr>
        <w:spacing w:line="300" w:lineRule="auto"/>
        <w:rPr>
          <w:rFonts w:ascii="Verdana" w:cs="Verdana" w:eastAsia="Verdana" w:hAnsi="Verdana"/>
        </w:rPr>
      </w:pPr>
      <w:r w:rsidDel="00000000" w:rsidR="00000000" w:rsidRPr="00000000">
        <w:rPr>
          <w:rtl w:val="0"/>
        </w:rPr>
      </w:r>
    </w:p>
    <w:p w:rsidR="00000000" w:rsidDel="00000000" w:rsidP="00000000" w:rsidRDefault="00000000" w:rsidRPr="00000000" w14:paraId="0000000A">
      <w:pPr>
        <w:spacing w:line="300" w:lineRule="auto"/>
        <w:rPr>
          <w:rFonts w:ascii="Verdana" w:cs="Verdana" w:eastAsia="Verdana" w:hAnsi="Verdana"/>
        </w:rPr>
      </w:pPr>
      <w:r w:rsidDel="00000000" w:rsidR="00000000" w:rsidRPr="00000000">
        <w:rPr>
          <w:rFonts w:ascii="Verdana" w:cs="Verdana" w:eastAsia="Verdana" w:hAnsi="Verdana"/>
          <w:rtl w:val="0"/>
        </w:rPr>
        <w:t xml:space="preserve">Dear clergy and lay leaders of the Diocese of Christ our Hope, </w:t>
      </w:r>
    </w:p>
    <w:p w:rsidR="00000000" w:rsidDel="00000000" w:rsidP="00000000" w:rsidRDefault="00000000" w:rsidRPr="00000000" w14:paraId="0000000B">
      <w:pPr>
        <w:spacing w:line="300" w:lineRule="auto"/>
        <w:rPr>
          <w:rFonts w:ascii="Verdana" w:cs="Verdana" w:eastAsia="Verdana" w:hAnsi="Verdana"/>
        </w:rPr>
      </w:pPr>
      <w:r w:rsidDel="00000000" w:rsidR="00000000" w:rsidRPr="00000000">
        <w:rPr>
          <w:rtl w:val="0"/>
        </w:rPr>
      </w:r>
    </w:p>
    <w:p w:rsidR="00000000" w:rsidDel="00000000" w:rsidP="00000000" w:rsidRDefault="00000000" w:rsidRPr="00000000" w14:paraId="0000000C">
      <w:pPr>
        <w:spacing w:line="300" w:lineRule="auto"/>
        <w:rPr>
          <w:rFonts w:ascii="Verdana" w:cs="Verdana" w:eastAsia="Verdana" w:hAnsi="Verdana"/>
          <w:highlight w:val="yellow"/>
        </w:rPr>
      </w:pPr>
      <w:r w:rsidDel="00000000" w:rsidR="00000000" w:rsidRPr="00000000">
        <w:rPr>
          <w:rFonts w:ascii="Verdana" w:cs="Verdana" w:eastAsia="Verdana" w:hAnsi="Verdana"/>
          <w:rtl w:val="0"/>
        </w:rPr>
        <w:t xml:space="preserve">Greetings from the Diocesan Council and from Bp. Alan Hawkins! We are honored to serve you and the staff of our diocese. </w:t>
      </w:r>
      <w:r w:rsidDel="00000000" w:rsidR="00000000" w:rsidRPr="00000000">
        <w:rPr>
          <w:rFonts w:ascii="Verdana" w:cs="Verdana" w:eastAsia="Verdana" w:hAnsi="Verdana"/>
          <w:rtl w:val="0"/>
        </w:rPr>
        <w:t xml:space="preserve">We thank the Lord for your faithfulness in ministry during 2024, and we await with expectation the Lord’s leading in 2025.</w:t>
      </w:r>
      <w:r w:rsidDel="00000000" w:rsidR="00000000" w:rsidRPr="00000000">
        <w:rPr>
          <w:rFonts w:ascii="Verdana" w:cs="Verdana" w:eastAsia="Verdana" w:hAnsi="Verdana"/>
          <w:highlight w:val="yellow"/>
          <w:rtl w:val="0"/>
        </w:rPr>
        <w:t xml:space="preserve"> </w:t>
      </w:r>
    </w:p>
    <w:p w:rsidR="00000000" w:rsidDel="00000000" w:rsidP="00000000" w:rsidRDefault="00000000" w:rsidRPr="00000000" w14:paraId="0000000D">
      <w:pPr>
        <w:spacing w:line="300" w:lineRule="auto"/>
        <w:rPr>
          <w:rFonts w:ascii="Verdana" w:cs="Verdana" w:eastAsia="Verdana" w:hAnsi="Verdana"/>
        </w:rPr>
      </w:pPr>
      <w:r w:rsidDel="00000000" w:rsidR="00000000" w:rsidRPr="00000000">
        <w:rPr>
          <w:rtl w:val="0"/>
        </w:rPr>
      </w:r>
    </w:p>
    <w:p w:rsidR="00000000" w:rsidDel="00000000" w:rsidP="00000000" w:rsidRDefault="00000000" w:rsidRPr="00000000" w14:paraId="0000000E">
      <w:pPr>
        <w:spacing w:line="300" w:lineRule="auto"/>
        <w:rPr>
          <w:rFonts w:ascii="Verdana" w:cs="Verdana" w:eastAsia="Verdana" w:hAnsi="Verdana"/>
        </w:rPr>
      </w:pPr>
      <w:r w:rsidDel="00000000" w:rsidR="00000000" w:rsidRPr="00000000">
        <w:rPr>
          <w:rFonts w:ascii="Verdana" w:cs="Verdana" w:eastAsia="Verdana" w:hAnsi="Verdana"/>
          <w:rtl w:val="0"/>
        </w:rPr>
        <w:t xml:space="preserve">We are launching the Ministry Grant Process for 2025 that allocates funds for 2026 and beyond. Resources for this process as well as the application link are on our website </w:t>
      </w:r>
      <w:hyperlink r:id="rId7">
        <w:r w:rsidDel="00000000" w:rsidR="00000000" w:rsidRPr="00000000">
          <w:rPr>
            <w:rFonts w:ascii="Verdana" w:cs="Verdana" w:eastAsia="Verdana" w:hAnsi="Verdana"/>
            <w:color w:val="1155cc"/>
            <w:u w:val="single"/>
            <w:rtl w:val="0"/>
          </w:rPr>
          <w:t xml:space="preserve">here</w:t>
        </w:r>
      </w:hyperlink>
      <w:r w:rsidDel="00000000" w:rsidR="00000000" w:rsidRPr="00000000">
        <w:rPr>
          <w:rFonts w:ascii="Verdana" w:cs="Verdana" w:eastAsia="Verdana" w:hAnsi="Verdana"/>
          <w:rtl w:val="0"/>
        </w:rPr>
        <w:t xml:space="preserve">.</w:t>
      </w:r>
      <w:r w:rsidDel="00000000" w:rsidR="00000000" w:rsidRPr="00000000">
        <w:rPr>
          <w:rtl w:val="0"/>
        </w:rPr>
      </w:r>
    </w:p>
    <w:p w:rsidR="00000000" w:rsidDel="00000000" w:rsidP="00000000" w:rsidRDefault="00000000" w:rsidRPr="00000000" w14:paraId="0000000F">
      <w:pPr>
        <w:spacing w:line="300" w:lineRule="auto"/>
        <w:rPr>
          <w:rFonts w:ascii="Verdana" w:cs="Verdana" w:eastAsia="Verdana" w:hAnsi="Verdana"/>
        </w:rPr>
      </w:pPr>
      <w:r w:rsidDel="00000000" w:rsidR="00000000" w:rsidRPr="00000000">
        <w:rPr>
          <w:rtl w:val="0"/>
        </w:rPr>
      </w:r>
    </w:p>
    <w:p w:rsidR="00000000" w:rsidDel="00000000" w:rsidP="00000000" w:rsidRDefault="00000000" w:rsidRPr="00000000" w14:paraId="00000010">
      <w:pPr>
        <w:spacing w:line="300" w:lineRule="auto"/>
        <w:rPr>
          <w:rFonts w:ascii="Verdana" w:cs="Verdana" w:eastAsia="Verdana" w:hAnsi="Verdana"/>
        </w:rPr>
      </w:pPr>
      <w:r w:rsidDel="00000000" w:rsidR="00000000" w:rsidRPr="00000000">
        <w:rPr>
          <w:rFonts w:ascii="Verdana" w:cs="Verdana" w:eastAsia="Verdana" w:hAnsi="Verdana"/>
          <w:rtl w:val="0"/>
        </w:rPr>
        <w:t xml:space="preserve">A summary of the process and timeline for the Ministry Grants can be found </w:t>
      </w:r>
      <w:hyperlink r:id="rId8">
        <w:r w:rsidDel="00000000" w:rsidR="00000000" w:rsidRPr="00000000">
          <w:rPr>
            <w:rFonts w:ascii="Verdana" w:cs="Verdana" w:eastAsia="Verdana" w:hAnsi="Verdana"/>
            <w:color w:val="1155cc"/>
            <w:u w:val="single"/>
            <w:rtl w:val="0"/>
          </w:rPr>
          <w:t xml:space="preserve">here</w:t>
        </w:r>
      </w:hyperlink>
      <w:r w:rsidDel="00000000" w:rsidR="00000000" w:rsidRPr="00000000">
        <w:rPr>
          <w:rFonts w:ascii="Verdana" w:cs="Verdana" w:eastAsia="Verdana" w:hAnsi="Verdana"/>
          <w:rtl w:val="0"/>
        </w:rPr>
        <w:t xml:space="preserve">. Please review it as guidance for the coming year. Here are some key guidances in the document that are highlighted below:</w:t>
      </w:r>
    </w:p>
    <w:p w:rsidR="00000000" w:rsidDel="00000000" w:rsidP="00000000" w:rsidRDefault="00000000" w:rsidRPr="00000000" w14:paraId="00000011">
      <w:pPr>
        <w:spacing w:line="30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12">
      <w:pPr>
        <w:numPr>
          <w:ilvl w:val="0"/>
          <w:numId w:val="1"/>
        </w:numPr>
        <w:spacing w:line="300" w:lineRule="auto"/>
        <w:ind w:left="720" w:hanging="360"/>
        <w:rPr>
          <w:rFonts w:ascii="Verdana" w:cs="Verdana" w:eastAsia="Verdana" w:hAnsi="Verdana"/>
        </w:rPr>
      </w:pPr>
      <w:r w:rsidDel="00000000" w:rsidR="00000000" w:rsidRPr="00000000">
        <w:rPr>
          <w:rFonts w:ascii="Verdana" w:cs="Verdana" w:eastAsia="Verdana" w:hAnsi="Verdana"/>
          <w:u w:val="single"/>
          <w:rtl w:val="0"/>
        </w:rPr>
        <w:t xml:space="preserve">Ministry Grant Working Group: </w:t>
      </w:r>
      <w:r w:rsidDel="00000000" w:rsidR="00000000" w:rsidRPr="00000000">
        <w:rPr>
          <w:rFonts w:ascii="Verdana" w:cs="Verdana" w:eastAsia="Verdana" w:hAnsi="Verdana"/>
          <w:rtl w:val="0"/>
        </w:rPr>
        <w:t xml:space="preserve">The grant process will be overseen by a working group consisting of two Diocesan Council members and 3-5 congregational members with experience in grant processes. This team will be evaluating all the requests and providing proposed funding to the Diocesan Council for final approval. </w:t>
      </w:r>
      <w:r w:rsidDel="00000000" w:rsidR="00000000" w:rsidRPr="00000000">
        <w:rPr>
          <w:rtl w:val="0"/>
        </w:rPr>
      </w:r>
    </w:p>
    <w:p w:rsidR="00000000" w:rsidDel="00000000" w:rsidP="00000000" w:rsidRDefault="00000000" w:rsidRPr="00000000" w14:paraId="00000013">
      <w:pPr>
        <w:numPr>
          <w:ilvl w:val="0"/>
          <w:numId w:val="1"/>
        </w:numPr>
        <w:spacing w:line="300" w:lineRule="auto"/>
        <w:ind w:left="720" w:hanging="360"/>
        <w:rPr>
          <w:rFonts w:ascii="Verdana" w:cs="Verdana" w:eastAsia="Verdana" w:hAnsi="Verdana"/>
          <w:u w:val="none"/>
        </w:rPr>
      </w:pPr>
      <w:r w:rsidDel="00000000" w:rsidR="00000000" w:rsidRPr="00000000">
        <w:rPr>
          <w:rFonts w:ascii="Verdana" w:cs="Verdana" w:eastAsia="Verdana" w:hAnsi="Verdana"/>
          <w:u w:val="single"/>
          <w:rtl w:val="0"/>
        </w:rPr>
        <w:t xml:space="preserve">Reporting on Approved Grants</w:t>
      </w:r>
      <w:r w:rsidDel="00000000" w:rsidR="00000000" w:rsidRPr="00000000">
        <w:rPr>
          <w:rFonts w:ascii="Verdana" w:cs="Verdana" w:eastAsia="Verdana" w:hAnsi="Verdana"/>
          <w:rtl w:val="0"/>
        </w:rPr>
        <w:t xml:space="preserve">: Reports are required twice yearly (Jan and July)</w:t>
      </w:r>
    </w:p>
    <w:p w:rsidR="00000000" w:rsidDel="00000000" w:rsidP="00000000" w:rsidRDefault="00000000" w:rsidRPr="00000000" w14:paraId="00000014">
      <w:pPr>
        <w:numPr>
          <w:ilvl w:val="0"/>
          <w:numId w:val="1"/>
        </w:numPr>
        <w:spacing w:line="300" w:lineRule="auto"/>
        <w:ind w:left="720" w:hanging="360"/>
        <w:rPr>
          <w:rFonts w:ascii="Verdana" w:cs="Verdana" w:eastAsia="Verdana" w:hAnsi="Verdana"/>
          <w:u w:val="none"/>
        </w:rPr>
      </w:pPr>
      <w:r w:rsidDel="00000000" w:rsidR="00000000" w:rsidRPr="00000000">
        <w:rPr>
          <w:rFonts w:ascii="Verdana" w:cs="Verdana" w:eastAsia="Verdana" w:hAnsi="Verdana"/>
          <w:u w:val="single"/>
          <w:rtl w:val="0"/>
        </w:rPr>
        <w:t xml:space="preserve">Funding Categories and Definition for 2025 grants</w:t>
      </w:r>
      <w:r w:rsidDel="00000000" w:rsidR="00000000" w:rsidRPr="00000000">
        <w:rPr>
          <w:rFonts w:ascii="Verdana" w:cs="Verdana" w:eastAsia="Verdana" w:hAnsi="Verdana"/>
          <w:rtl w:val="0"/>
        </w:rPr>
        <w:t xml:space="preserve">: For the 2025 grant cycle, there will be two areas of emphasis for the diocese based on the amount of funds available for 2026</w:t>
      </w:r>
    </w:p>
    <w:p w:rsidR="00000000" w:rsidDel="00000000" w:rsidP="00000000" w:rsidRDefault="00000000" w:rsidRPr="00000000" w14:paraId="00000015">
      <w:pPr>
        <w:numPr>
          <w:ilvl w:val="1"/>
          <w:numId w:val="1"/>
        </w:numPr>
        <w:spacing w:line="30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Church plants standard funding will be $210k over 6 years</w:t>
      </w:r>
    </w:p>
    <w:p w:rsidR="00000000" w:rsidDel="00000000" w:rsidP="00000000" w:rsidRDefault="00000000" w:rsidRPr="00000000" w14:paraId="00000016">
      <w:pPr>
        <w:numPr>
          <w:ilvl w:val="1"/>
          <w:numId w:val="1"/>
        </w:numPr>
        <w:spacing w:line="30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Curacy Accelerator standard funding will be $210k over 6 years</w:t>
      </w:r>
    </w:p>
    <w:p w:rsidR="00000000" w:rsidDel="00000000" w:rsidP="00000000" w:rsidRDefault="00000000" w:rsidRPr="00000000" w14:paraId="00000017">
      <w:pPr>
        <w:numPr>
          <w:ilvl w:val="0"/>
          <w:numId w:val="1"/>
        </w:numPr>
        <w:spacing w:line="300" w:lineRule="auto"/>
        <w:ind w:left="720" w:hanging="360"/>
        <w:rPr>
          <w:rFonts w:ascii="Verdana" w:cs="Verdana" w:eastAsia="Verdana" w:hAnsi="Verdana"/>
          <w:u w:val="none"/>
        </w:rPr>
      </w:pPr>
      <w:r w:rsidDel="00000000" w:rsidR="00000000" w:rsidRPr="00000000">
        <w:rPr>
          <w:rFonts w:ascii="Verdana" w:cs="Verdana" w:eastAsia="Verdana" w:hAnsi="Verdana"/>
          <w:u w:val="single"/>
          <w:rtl w:val="0"/>
        </w:rPr>
        <w:t xml:space="preserve">Guidance on 2026 Available Funds</w:t>
      </w:r>
      <w:r w:rsidDel="00000000" w:rsidR="00000000" w:rsidRPr="00000000">
        <w:rPr>
          <w:rFonts w:ascii="Verdana" w:cs="Verdana" w:eastAsia="Verdana" w:hAnsi="Verdana"/>
          <w:rtl w:val="0"/>
        </w:rPr>
        <w:t xml:space="preserve">: A major learning from past years is that it is important to set reasonable expectations regarding the level of funding available for the coming year as well as how that will affect the criteria for funding applications. Due to a large amount of currently running grants, the expected 2026 funds available are:</w:t>
      </w:r>
    </w:p>
    <w:p w:rsidR="00000000" w:rsidDel="00000000" w:rsidP="00000000" w:rsidRDefault="00000000" w:rsidRPr="00000000" w14:paraId="00000018">
      <w:pPr>
        <w:numPr>
          <w:ilvl w:val="1"/>
          <w:numId w:val="1"/>
        </w:numPr>
        <w:spacing w:line="30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$115,000 of general funds</w:t>
      </w:r>
    </w:p>
    <w:p w:rsidR="00000000" w:rsidDel="00000000" w:rsidP="00000000" w:rsidRDefault="00000000" w:rsidRPr="00000000" w14:paraId="00000019">
      <w:pPr>
        <w:numPr>
          <w:ilvl w:val="1"/>
          <w:numId w:val="1"/>
        </w:numPr>
        <w:spacing w:line="30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$74,000 in Flexible Funds (which are occasionally used for general funding but preferred toward one year grants)</w:t>
      </w:r>
    </w:p>
    <w:p w:rsidR="00000000" w:rsidDel="00000000" w:rsidP="00000000" w:rsidRDefault="00000000" w:rsidRPr="00000000" w14:paraId="0000001A">
      <w:pPr>
        <w:numPr>
          <w:ilvl w:val="0"/>
          <w:numId w:val="1"/>
        </w:numPr>
        <w:spacing w:line="300" w:lineRule="auto"/>
        <w:ind w:left="720" w:hanging="360"/>
        <w:rPr>
          <w:rFonts w:ascii="Verdana" w:cs="Verdana" w:eastAsia="Verdana" w:hAnsi="Verdana"/>
          <w:highlight w:val="white"/>
          <w:u w:val="none"/>
        </w:rPr>
      </w:pPr>
      <w:r w:rsidDel="00000000" w:rsidR="00000000" w:rsidRPr="00000000">
        <w:rPr>
          <w:rFonts w:ascii="Verdana" w:cs="Verdana" w:eastAsia="Verdana" w:hAnsi="Verdana"/>
          <w:highlight w:val="white"/>
          <w:rtl w:val="0"/>
        </w:rPr>
        <w:t xml:space="preserve">The available funds are estimated to be sufficient to support new</w:t>
      </w:r>
    </w:p>
    <w:p w:rsidR="00000000" w:rsidDel="00000000" w:rsidP="00000000" w:rsidRDefault="00000000" w:rsidRPr="00000000" w14:paraId="0000001B">
      <w:pPr>
        <w:spacing w:line="300" w:lineRule="auto"/>
        <w:ind w:firstLine="720"/>
        <w:rPr>
          <w:rFonts w:ascii="Verdana" w:cs="Verdana" w:eastAsia="Verdana" w:hAnsi="Verdana"/>
        </w:rPr>
      </w:pPr>
      <w:r w:rsidDel="00000000" w:rsidR="00000000" w:rsidRPr="00000000">
        <w:rPr>
          <w:rFonts w:ascii="Verdana" w:cs="Verdana" w:eastAsia="Verdana" w:hAnsi="Verdana"/>
          <w:highlight w:val="white"/>
          <w:rtl w:val="0"/>
        </w:rPr>
        <w:t xml:space="preserve">grants for:</w:t>
      </w:r>
      <w:r w:rsidDel="00000000" w:rsidR="00000000" w:rsidRPr="00000000">
        <w:rPr>
          <w:rtl w:val="0"/>
        </w:rPr>
      </w:r>
    </w:p>
    <w:p w:rsidR="00000000" w:rsidDel="00000000" w:rsidP="00000000" w:rsidRDefault="00000000" w:rsidRPr="00000000" w14:paraId="0000001C">
      <w:pPr>
        <w:numPr>
          <w:ilvl w:val="1"/>
          <w:numId w:val="1"/>
        </w:numPr>
        <w:ind w:left="1440" w:hanging="360"/>
        <w:rPr>
          <w:rFonts w:ascii="Verdana" w:cs="Verdana" w:eastAsia="Verdana" w:hAnsi="Verdana"/>
        </w:rPr>
      </w:pPr>
      <w:r w:rsidDel="00000000" w:rsidR="00000000" w:rsidRPr="00000000">
        <w:rPr>
          <w:rFonts w:ascii="Verdana" w:cs="Verdana" w:eastAsia="Verdana" w:hAnsi="Verdana"/>
          <w:highlight w:val="white"/>
          <w:rtl w:val="0"/>
        </w:rPr>
        <w:t xml:space="preserve">One or two church plants</w:t>
      </w:r>
      <w:r w:rsidDel="00000000" w:rsidR="00000000" w:rsidRPr="00000000">
        <w:rPr>
          <w:rtl w:val="0"/>
        </w:rPr>
      </w:r>
    </w:p>
    <w:p w:rsidR="00000000" w:rsidDel="00000000" w:rsidP="00000000" w:rsidRDefault="00000000" w:rsidRPr="00000000" w14:paraId="0000001D">
      <w:pPr>
        <w:numPr>
          <w:ilvl w:val="1"/>
          <w:numId w:val="1"/>
        </w:numPr>
        <w:ind w:left="1440" w:hanging="360"/>
        <w:rPr>
          <w:rFonts w:ascii="Verdana" w:cs="Verdana" w:eastAsia="Verdana" w:hAnsi="Verdana"/>
        </w:rPr>
      </w:pPr>
      <w:r w:rsidDel="00000000" w:rsidR="00000000" w:rsidRPr="00000000">
        <w:rPr>
          <w:rFonts w:ascii="Verdana" w:cs="Verdana" w:eastAsia="Verdana" w:hAnsi="Verdana"/>
          <w:highlight w:val="white"/>
          <w:rtl w:val="0"/>
        </w:rPr>
        <w:t xml:space="preserve">One curacy accelerator program</w:t>
      </w:r>
      <w:r w:rsidDel="00000000" w:rsidR="00000000" w:rsidRPr="00000000">
        <w:rPr>
          <w:rtl w:val="0"/>
        </w:rPr>
      </w:r>
    </w:p>
    <w:p w:rsidR="00000000" w:rsidDel="00000000" w:rsidP="00000000" w:rsidRDefault="00000000" w:rsidRPr="00000000" w14:paraId="0000001E">
      <w:pPr>
        <w:spacing w:line="276"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1F">
      <w:pPr>
        <w:spacing w:line="276" w:lineRule="auto"/>
        <w:ind w:left="0" w:firstLine="0"/>
        <w:rPr>
          <w:rFonts w:ascii="Verdana" w:cs="Verdana" w:eastAsia="Verdana" w:hAnsi="Verdana"/>
        </w:rPr>
      </w:pPr>
      <w:r w:rsidDel="00000000" w:rsidR="00000000" w:rsidRPr="00000000">
        <w:rPr>
          <w:rFonts w:ascii="Verdana" w:cs="Verdana" w:eastAsia="Verdana" w:hAnsi="Verdana"/>
          <w:rtl w:val="0"/>
        </w:rPr>
        <w:t xml:space="preserve">There is also an overview of the grant process timeline which is largely the same. We are encouraging Deaneries to set aside a time outside their deanery retreats that is specifically for a peer review (not approval) of proposed grants. </w:t>
      </w:r>
    </w:p>
    <w:p w:rsidR="00000000" w:rsidDel="00000000" w:rsidP="00000000" w:rsidRDefault="00000000" w:rsidRPr="00000000" w14:paraId="00000020">
      <w:pPr>
        <w:spacing w:line="300" w:lineRule="auto"/>
        <w:rPr>
          <w:rFonts w:ascii="Verdana" w:cs="Verdana" w:eastAsia="Verdana" w:hAnsi="Verdana"/>
        </w:rPr>
      </w:pPr>
      <w:r w:rsidDel="00000000" w:rsidR="00000000" w:rsidRPr="00000000">
        <w:rPr>
          <w:rtl w:val="0"/>
        </w:rPr>
      </w:r>
    </w:p>
    <w:p w:rsidR="00000000" w:rsidDel="00000000" w:rsidP="00000000" w:rsidRDefault="00000000" w:rsidRPr="00000000" w14:paraId="00000021">
      <w:pPr>
        <w:spacing w:line="300" w:lineRule="auto"/>
        <w:rPr>
          <w:rFonts w:ascii="Verdana" w:cs="Verdana" w:eastAsia="Verdana" w:hAnsi="Verdana"/>
        </w:rPr>
      </w:pPr>
      <w:r w:rsidDel="00000000" w:rsidR="00000000" w:rsidRPr="00000000">
        <w:rPr>
          <w:rFonts w:ascii="Verdana" w:cs="Verdana" w:eastAsia="Verdana" w:hAnsi="Verdana"/>
          <w:rtl w:val="0"/>
        </w:rPr>
        <w:t xml:space="preserve">We are excited to see where the Spirit is moving in our Diocese in the coming year and participate in His redemptive work.</w:t>
      </w:r>
      <w:r w:rsidDel="00000000" w:rsidR="00000000" w:rsidRPr="00000000">
        <w:rPr>
          <w:rFonts w:ascii="Verdana" w:cs="Verdana" w:eastAsia="Verdana" w:hAnsi="Verdana"/>
          <w:rtl w:val="0"/>
        </w:rPr>
        <w:t xml:space="preserve"> We pray that</w:t>
      </w:r>
      <w:r w:rsidDel="00000000" w:rsidR="00000000" w:rsidRPr="00000000">
        <w:rPr>
          <w:rFonts w:ascii="Verdana" w:cs="Verdana" w:eastAsia="Verdana" w:hAnsi="Verdana"/>
          <w:rtl w:val="0"/>
        </w:rPr>
        <w:t xml:space="preserve"> 2026</w:t>
      </w:r>
      <w:r w:rsidDel="00000000" w:rsidR="00000000" w:rsidRPr="00000000">
        <w:rPr>
          <w:rFonts w:ascii="Verdana" w:cs="Verdana" w:eastAsia="Verdana" w:hAnsi="Verdana"/>
          <w:rtl w:val="0"/>
        </w:rPr>
        <w:t xml:space="preserve"> will be a year in which our existing parishes are strengthened, new churches are planted, and the Good News is boldly proclaimed.</w:t>
      </w:r>
    </w:p>
    <w:p w:rsidR="00000000" w:rsidDel="00000000" w:rsidP="00000000" w:rsidRDefault="00000000" w:rsidRPr="00000000" w14:paraId="00000022">
      <w:pPr>
        <w:spacing w:line="300" w:lineRule="auto"/>
        <w:rPr>
          <w:rFonts w:ascii="Verdana" w:cs="Verdana" w:eastAsia="Verdana" w:hAnsi="Verdana"/>
        </w:rPr>
      </w:pPr>
      <w:r w:rsidDel="00000000" w:rsidR="00000000" w:rsidRPr="00000000">
        <w:rPr>
          <w:rtl w:val="0"/>
        </w:rPr>
      </w:r>
    </w:p>
    <w:p w:rsidR="00000000" w:rsidDel="00000000" w:rsidP="00000000" w:rsidRDefault="00000000" w:rsidRPr="00000000" w14:paraId="00000023">
      <w:pPr>
        <w:spacing w:line="300" w:lineRule="auto"/>
        <w:rPr>
          <w:rFonts w:ascii="Verdana" w:cs="Verdana" w:eastAsia="Verdana" w:hAnsi="Verdana"/>
        </w:rPr>
      </w:pPr>
      <w:r w:rsidDel="00000000" w:rsidR="00000000" w:rsidRPr="00000000">
        <w:rPr>
          <w:rFonts w:ascii="Verdana" w:cs="Verdana" w:eastAsia="Verdana" w:hAnsi="Verdana"/>
          <w:rtl w:val="0"/>
        </w:rPr>
        <w:t xml:space="preserve">It is a privilege to serve our churches through the Ministry Grant process, and we look forward to receiving your applications.</w:t>
      </w:r>
    </w:p>
    <w:p w:rsidR="00000000" w:rsidDel="00000000" w:rsidP="00000000" w:rsidRDefault="00000000" w:rsidRPr="00000000" w14:paraId="00000024">
      <w:pPr>
        <w:spacing w:line="300" w:lineRule="auto"/>
        <w:rPr>
          <w:rFonts w:ascii="Verdana" w:cs="Verdana" w:eastAsia="Verdana" w:hAnsi="Verdana"/>
        </w:rPr>
      </w:pPr>
      <w:r w:rsidDel="00000000" w:rsidR="00000000" w:rsidRPr="00000000">
        <w:rPr>
          <w:rtl w:val="0"/>
        </w:rPr>
      </w:r>
    </w:p>
    <w:p w:rsidR="00000000" w:rsidDel="00000000" w:rsidP="00000000" w:rsidRDefault="00000000" w:rsidRPr="00000000" w14:paraId="00000025">
      <w:pPr>
        <w:spacing w:line="300" w:lineRule="auto"/>
        <w:rPr>
          <w:rFonts w:ascii="Verdana" w:cs="Verdana" w:eastAsia="Verdana" w:hAnsi="Verdana"/>
        </w:rPr>
      </w:pPr>
      <w:r w:rsidDel="00000000" w:rsidR="00000000" w:rsidRPr="00000000">
        <w:rPr>
          <w:rtl w:val="0"/>
        </w:rPr>
      </w:r>
    </w:p>
    <w:p w:rsidR="00000000" w:rsidDel="00000000" w:rsidP="00000000" w:rsidRDefault="00000000" w:rsidRPr="00000000" w14:paraId="00000026">
      <w:pPr>
        <w:spacing w:line="300" w:lineRule="auto"/>
        <w:rPr>
          <w:rFonts w:ascii="Verdana" w:cs="Verdana" w:eastAsia="Verdana" w:hAnsi="Verdana"/>
        </w:rPr>
      </w:pPr>
      <w:r w:rsidDel="00000000" w:rsidR="00000000" w:rsidRPr="00000000">
        <w:rPr>
          <w:rFonts w:ascii="Verdana" w:cs="Verdana" w:eastAsia="Verdana" w:hAnsi="Verdana"/>
          <w:rtl w:val="0"/>
        </w:rPr>
        <w:t xml:space="preserve">In Christ,</w:t>
      </w:r>
    </w:p>
    <w:p w:rsidR="00000000" w:rsidDel="00000000" w:rsidP="00000000" w:rsidRDefault="00000000" w:rsidRPr="00000000" w14:paraId="00000027">
      <w:pPr>
        <w:spacing w:line="300" w:lineRule="auto"/>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8">
      <w:pPr>
        <w:spacing w:line="300"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Alan Hawkins, Bishop Coadjutor</w:t>
      </w:r>
    </w:p>
    <w:p w:rsidR="00000000" w:rsidDel="00000000" w:rsidP="00000000" w:rsidRDefault="00000000" w:rsidRPr="00000000" w14:paraId="00000029">
      <w:pPr>
        <w:spacing w:line="300"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Jerald Walz, Vice Chair, Diocesan Council</w:t>
      </w:r>
    </w:p>
    <w:p w:rsidR="00000000" w:rsidDel="00000000" w:rsidP="00000000" w:rsidRDefault="00000000" w:rsidRPr="00000000" w14:paraId="0000002A">
      <w:pPr>
        <w:rPr>
          <w:rFonts w:ascii="Verdana" w:cs="Verdana" w:eastAsia="Verdana" w:hAnsi="Verdana"/>
        </w:rPr>
      </w:pPr>
      <w:r w:rsidDel="00000000" w:rsidR="00000000" w:rsidRPr="00000000">
        <w:rPr>
          <w:rFonts w:ascii="Verdana" w:cs="Verdana" w:eastAsia="Verdana" w:hAnsi="Verdana"/>
          <w:highlight w:val="white"/>
          <w:rtl w:val="0"/>
        </w:rPr>
        <w:t xml:space="preserve">Lee Hilts, Chief Operating Officer (</w:t>
      </w:r>
      <w:hyperlink r:id="rId9">
        <w:r w:rsidDel="00000000" w:rsidR="00000000" w:rsidRPr="00000000">
          <w:rPr>
            <w:rFonts w:ascii="Verdana" w:cs="Verdana" w:eastAsia="Verdana" w:hAnsi="Verdana"/>
            <w:color w:val="1155cc"/>
            <w:highlight w:val="white"/>
            <w:u w:val="single"/>
            <w:rtl w:val="0"/>
          </w:rPr>
          <w:t xml:space="preserve">lhilts@adhope.org</w:t>
        </w:r>
      </w:hyperlink>
      <w:r w:rsidDel="00000000" w:rsidR="00000000" w:rsidRPr="00000000">
        <w:rPr>
          <w:rFonts w:ascii="Verdana" w:cs="Verdana" w:eastAsia="Verdana" w:hAnsi="Verdana"/>
          <w:highlight w:val="white"/>
          <w:rtl w:val="0"/>
        </w:rPr>
        <w:t xml:space="preserve"> for questions)</w:t>
      </w:r>
      <w:r w:rsidDel="00000000" w:rsidR="00000000" w:rsidRPr="00000000">
        <w:rPr>
          <w:rtl w:val="0"/>
        </w:rPr>
      </w:r>
    </w:p>
    <w:sectPr>
      <w:headerReference r:id="rId10" w:type="first"/>
      <w:headerReference r:id="rId11" w:type="even"/>
      <w:footerReference r:id="rId12" w:type="default"/>
      <w:footerReference r:id="rId13" w:type="first"/>
      <w:pgSz w:h="15840" w:w="12240" w:orient="portrait"/>
      <w:pgMar w:bottom="1417" w:top="1417" w:left="1701" w:right="1701" w:header="705.6" w:footer="705.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1460"/>
        <w:tab w:val="left" w:leader="none" w:pos="18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172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-1142999</wp:posOffset>
          </wp:positionH>
          <wp:positionV relativeFrom="paragraph">
            <wp:posOffset>-452754</wp:posOffset>
          </wp:positionV>
          <wp:extent cx="7853680" cy="10163175"/>
          <wp:effectExtent b="0" l="0" r="0" t="0"/>
          <wp:wrapNone/>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853680" cy="101631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hilts@adhope.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adhope.org/mission-expansion/" TargetMode="External"/><Relationship Id="rId8" Type="http://schemas.openxmlformats.org/officeDocument/2006/relationships/hyperlink" Target="https://adhope.org/article/ministry-grant-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