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E0180" w:rsidRDefault="007E0180">
      <w:pPr>
        <w:suppressAutoHyphen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 xml:space="preserve">PRIVATE </w:instrText>
      </w:r>
      <w:r>
        <w:rPr>
          <w:rFonts w:ascii="Times New Roman" w:hAnsi="Times New Roman" w:cs="Times New Roman"/>
          <w:spacing w:val="-2"/>
          <w:sz w:val="20"/>
          <w:szCs w:val="20"/>
        </w:rPr>
      </w:r>
      <w:r>
        <w:rPr>
          <w:rFonts w:ascii="Times New Roman" w:hAnsi="Times New Roman" w:cs="Times New Roman"/>
          <w:spacing w:val="-2"/>
          <w:sz w:val="20"/>
          <w:szCs w:val="20"/>
        </w:rPr>
        <w:fldChar w:fldCharType="end"/>
      </w:r>
    </w:p>
    <w:p w:rsidR="007E0180" w:rsidRDefault="007E0180">
      <w:pPr>
        <w:suppressAutoHyphens/>
        <w:spacing w:line="240" w:lineRule="atLeast"/>
        <w:rPr>
          <w:rFonts w:ascii="Times New Roman" w:hAnsi="Times New Roman" w:cs="Times New Roman"/>
          <w:sz w:val="20"/>
          <w:szCs w:val="20"/>
        </w:rPr>
      </w:pPr>
      <w:r>
        <w:rPr>
          <w:rFonts w:ascii="Times New Roman" w:hAnsi="Times New Roman" w:cs="Times New Roman"/>
          <w:b/>
          <w:bCs/>
          <w:sz w:val="20"/>
          <w:szCs w:val="20"/>
        </w:rPr>
        <w:t>OVERVIEW</w:t>
      </w:r>
    </w:p>
    <w:p w:rsidR="007E0180" w:rsidRDefault="007E0180">
      <w:pPr>
        <w:suppressAutoHyphens/>
        <w:spacing w:line="240" w:lineRule="atLeast"/>
        <w:rPr>
          <w:rFonts w:ascii="Times New Roman" w:hAnsi="Times New Roman" w:cs="Times New Roman"/>
          <w:sz w:val="20"/>
          <w:szCs w:val="20"/>
        </w:rPr>
      </w:pPr>
    </w:p>
    <w:p w:rsidR="007E0180" w:rsidRDefault="007E0180">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Monocacy Aqueduct is located on the C&amp;O Canal at milepost 42.19 northwest of Georgetown.  It bridges the Monocacy River close to its confluence with the Potomac River in a rural area in southern Frederick County, near Dickerson, Maryland. Its seven arches, rusticated piers and abutments total 516 feet, making it the longest aqueduct on the canal route.  It was considered a major engineering achievement in its day.</w:t>
      </w:r>
    </w:p>
    <w:p w:rsidR="007E0180" w:rsidRDefault="007E0180">
      <w:pPr>
        <w:suppressAutoHyphens/>
        <w:spacing w:line="240" w:lineRule="atLeast"/>
        <w:rPr>
          <w:rFonts w:ascii="Times New Roman" w:hAnsi="Times New Roman" w:cs="Times New Roman"/>
          <w:sz w:val="20"/>
          <w:szCs w:val="20"/>
        </w:rPr>
      </w:pPr>
    </w:p>
    <w:p w:rsidR="007E0180" w:rsidRDefault="007E0180">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Materials for the aqueduct were garnered locally.  Most of the stone is pink and white quartzite, quarried at the nearby Sugarloaf Mountain, and transported by boat and over a wooden tramway constructed especially for the project.  A smaller amount of the stone at the southern end is Seneca Sandstone.  The hydraulic cement mortar was procured from nearby Shepardstown, Virginia (now West Virginia), and Carrolton and Tuscarora in Maryland.  </w:t>
      </w:r>
    </w:p>
    <w:p w:rsidR="007E0180" w:rsidRDefault="007E0180">
      <w:pPr>
        <w:suppressAutoHyphens/>
        <w:spacing w:line="240" w:lineRule="atLeast"/>
        <w:rPr>
          <w:rFonts w:ascii="Times New Roman" w:hAnsi="Times New Roman" w:cs="Times New Roman"/>
          <w:sz w:val="20"/>
          <w:szCs w:val="20"/>
        </w:rPr>
      </w:pPr>
    </w:p>
    <w:p w:rsidR="007E0180" w:rsidRDefault="007E0180">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aqueduct was reputed to be exceptionally strong and well built.  The Confederate Army attempted to blow it up during the Civil War, but gave up after trying to drill it for explosives.  It also survived major floods that damaged some of the other aqueducts.  It was the devastating flood of Hurricane Agnes in 1972 that forced officials' attention on the Monocacy Aqueduct.  As a result of their concern, in 1975 a system of steel supports was installed to stabilize the structure and prevent collapse.  The magnificent structure remains in this condition today, partially obscured by the envelope of steel banding.</w:t>
      </w:r>
    </w:p>
    <w:p w:rsidR="007E0180" w:rsidRDefault="007E0180">
      <w:pPr>
        <w:suppressAutoHyphens/>
        <w:spacing w:line="240" w:lineRule="atLeast"/>
        <w:rPr>
          <w:rFonts w:ascii="Times New Roman" w:hAnsi="Times New Roman" w:cs="Times New Roman"/>
          <w:sz w:val="20"/>
          <w:szCs w:val="20"/>
        </w:rPr>
      </w:pPr>
    </w:p>
    <w:p w:rsidR="007E0180" w:rsidRDefault="007E0180">
      <w:pPr>
        <w:suppressAutoHyphens/>
        <w:spacing w:line="240" w:lineRule="atLeast"/>
        <w:rPr>
          <w:rFonts w:ascii="Times New Roman" w:hAnsi="Times New Roman" w:cs="Times New Roman"/>
          <w:b/>
          <w:bCs/>
          <w:sz w:val="20"/>
          <w:szCs w:val="20"/>
        </w:rPr>
      </w:pPr>
    </w:p>
    <w:p w:rsidR="007E0180" w:rsidRDefault="007E0180">
      <w:pPr>
        <w:suppressAutoHyphens/>
        <w:spacing w:line="240" w:lineRule="atLeast"/>
        <w:rPr>
          <w:rFonts w:ascii="Times New Roman" w:hAnsi="Times New Roman" w:cs="Times New Roman"/>
          <w:sz w:val="20"/>
          <w:szCs w:val="20"/>
        </w:rPr>
      </w:pPr>
      <w:r>
        <w:rPr>
          <w:rFonts w:ascii="Times New Roman" w:hAnsi="Times New Roman" w:cs="Times New Roman"/>
          <w:b/>
          <w:bCs/>
          <w:sz w:val="20"/>
          <w:szCs w:val="20"/>
        </w:rPr>
        <w:t>ARCHITECTURAL DESCRIPTION</w:t>
      </w:r>
    </w:p>
    <w:p w:rsidR="007E0180" w:rsidRDefault="007E0180">
      <w:pPr>
        <w:suppressAutoHyphens/>
        <w:spacing w:line="240" w:lineRule="atLeast"/>
        <w:rPr>
          <w:rFonts w:ascii="Times New Roman" w:hAnsi="Times New Roman" w:cs="Times New Roman"/>
          <w:sz w:val="20"/>
          <w:szCs w:val="20"/>
        </w:rPr>
      </w:pPr>
    </w:p>
    <w:p w:rsidR="007E0180" w:rsidRDefault="007E0180">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In October of 1828 Chief Engineer Benjamin Wright prepared plans and elevations for the aqueduct at the Monocacy River.  In a letter to the Board of Directors, he described the aqueduct as being:</w:t>
      </w:r>
    </w:p>
    <w:p w:rsidR="007E0180" w:rsidRDefault="007E0180">
      <w:pPr>
        <w:suppressAutoHyphens/>
        <w:spacing w:line="240" w:lineRule="atLeast"/>
        <w:rPr>
          <w:rFonts w:ascii="Times New Roman" w:hAnsi="Times New Roman" w:cs="Times New Roman"/>
          <w:sz w:val="20"/>
          <w:szCs w:val="20"/>
        </w:rPr>
      </w:pPr>
    </w:p>
    <w:p w:rsidR="007E0180" w:rsidRDefault="007E0180">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 xml:space="preserve">“with a water way 19 feet at bottom--20 feet at top.  The towpath parapet 8 feet wide and the other wall 6 feet wide.  I have drawn the plan to 7 arches of 54 feet span each and 6 piers and two abutments.  The piers are 10 feet thick, and a pilaster at each end of the pier projection one or two feet and 7 feet wide. </w:t>
      </w:r>
      <w:r>
        <w:rPr>
          <w:rStyle w:val="FootnoteReference"/>
          <w:rFonts w:ascii="Times New Roman" w:hAnsi="Times New Roman" w:cs="Times New Roman"/>
          <w:sz w:val="20"/>
          <w:szCs w:val="20"/>
        </w:rPr>
        <w:footnoteReference w:id="1"/>
      </w:r>
    </w:p>
    <w:p w:rsidR="007E0180" w:rsidRDefault="007E0180">
      <w:pPr>
        <w:suppressAutoHyphens/>
        <w:spacing w:line="240" w:lineRule="atLeast"/>
        <w:rPr>
          <w:rFonts w:ascii="Times New Roman" w:hAnsi="Times New Roman" w:cs="Times New Roman"/>
          <w:sz w:val="20"/>
          <w:szCs w:val="20"/>
        </w:rPr>
      </w:pPr>
    </w:p>
    <w:p w:rsidR="007E0180" w:rsidRDefault="007E0180">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As one can see from the accompanying architectural elevations and section, this is very close to what was built with the exception of the towpath actually being  9’-4” wide.</w:t>
      </w:r>
    </w:p>
    <w:p w:rsidR="007E0180" w:rsidRDefault="007E0180">
      <w:pPr>
        <w:suppressAutoHyphens/>
        <w:spacing w:line="240" w:lineRule="atLeast"/>
        <w:rPr>
          <w:rFonts w:ascii="Times New Roman" w:hAnsi="Times New Roman" w:cs="Times New Roman"/>
          <w:sz w:val="20"/>
          <w:szCs w:val="20"/>
        </w:rPr>
      </w:pPr>
    </w:p>
    <w:p w:rsidR="007E0180" w:rsidRDefault="007E0180">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orientation of the structure is in a general north-south direction, and the piers are numbered 1 to 6 from the south end.</w:t>
      </w:r>
    </w:p>
    <w:p w:rsidR="007E0180" w:rsidRDefault="007E0180">
      <w:pPr>
        <w:suppressAutoHyphens/>
        <w:spacing w:line="240" w:lineRule="atLeast"/>
        <w:rPr>
          <w:rFonts w:ascii="Times New Roman" w:hAnsi="Times New Roman" w:cs="Times New Roman"/>
          <w:sz w:val="20"/>
          <w:szCs w:val="20"/>
        </w:rPr>
      </w:pPr>
    </w:p>
    <w:p w:rsidR="007E0180" w:rsidRDefault="007E0180">
      <w:pPr>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Elevations</w:t>
      </w:r>
    </w:p>
    <w:p w:rsidR="007E0180" w:rsidRDefault="007E0180">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In elevation the towpath (west) elevation and the upstream (east) elevation are nearly identical.  Seven arches and six piers make up the 439 foot span from abutment to abutment; each arch spans 54 feet with a rise of 9 feet, and the arches are supported by six piers approximately 10 foot wide each.  The parapet wall extends approximately 10 feet above the top of the arch--in all the height of the structure at the river bank totals about 30 feet under normal conditions.  The wing walls of the abutment ends spread gracefully in a complex curve of  25 feet, ending with a 55 foot radius.  The total length of the structure including the abutment ends equals 516 feet.</w:t>
      </w:r>
    </w:p>
    <w:p w:rsidR="007E0180" w:rsidRDefault="007E0180">
      <w:pPr>
        <w:suppressAutoHyphens/>
        <w:spacing w:line="240" w:lineRule="atLeast"/>
        <w:rPr>
          <w:rFonts w:ascii="Times New Roman" w:hAnsi="Times New Roman" w:cs="Times New Roman"/>
          <w:sz w:val="20"/>
          <w:szCs w:val="20"/>
        </w:rPr>
      </w:pPr>
    </w:p>
    <w:p w:rsidR="007E0180" w:rsidRDefault="007E0180">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The facing stones of the aqueduct are smooth in texture, large in size, and laid in a standard, if monumental, coursing.  The stones of the archring and piers are rusticated with a steep two inch draft.  A vertical pilaster centered on each pier projects about 2 feet forward, and is articulated in the same rusticated stone.  Two additional pilasters occur at each abutment, punctuating the tight radius of the first curve.  A watertable protrudes as a horizontal band just above the crown of the keystone, and a projecting cornice caps the parapet.  The projecting and </w:t>
      </w:r>
      <w:r>
        <w:rPr>
          <w:rFonts w:ascii="Times New Roman" w:hAnsi="Times New Roman" w:cs="Times New Roman"/>
          <w:sz w:val="20"/>
          <w:szCs w:val="20"/>
        </w:rPr>
        <w:lastRenderedPageBreak/>
        <w:t xml:space="preserve">rusticated elements extend to the furthest pilaster on each abutment, then the wing wall changes to rough ashlar bond, and drops down to grade in large steps.  </w:t>
      </w:r>
    </w:p>
    <w:p w:rsidR="007E0180" w:rsidRDefault="007E0180">
      <w:pPr>
        <w:suppressAutoHyphens/>
        <w:spacing w:line="240" w:lineRule="atLeast"/>
        <w:rPr>
          <w:rFonts w:ascii="Times New Roman" w:hAnsi="Times New Roman" w:cs="Times New Roman"/>
          <w:sz w:val="20"/>
          <w:szCs w:val="20"/>
        </w:rPr>
      </w:pPr>
    </w:p>
    <w:p w:rsidR="007E0180" w:rsidRDefault="007E0180">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distinguishing feature of the towpath elevation was the wrought iron rail that occurred on the parapet of that side only.  When Canal Superintendent Elgin took some measurements of it in 1828 he described it as follows:</w:t>
      </w:r>
    </w:p>
    <w:p w:rsidR="007E0180" w:rsidRDefault="007E0180">
      <w:pPr>
        <w:suppressAutoHyphens/>
        <w:spacing w:line="240" w:lineRule="atLeast"/>
        <w:rPr>
          <w:rFonts w:ascii="Times New Roman" w:hAnsi="Times New Roman" w:cs="Times New Roman"/>
          <w:sz w:val="20"/>
          <w:szCs w:val="20"/>
        </w:rPr>
      </w:pPr>
    </w:p>
    <w:p w:rsidR="007E0180" w:rsidRDefault="007E0180">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“I find between each of these large bars 10 ft. 8 in., these large bars 1 1/2 inches square with a brace of 1 inch square.  There are 15 small bars of 3/4 in. rolled iron and eight inches from centre to centre of each; the length of these bars is 3 feet 7-1/2 inches above the small bars.  The rails is 2-1/2 by 3/4 inches.”</w:t>
      </w:r>
      <w:r>
        <w:rPr>
          <w:rStyle w:val="FootnoteReference"/>
          <w:rFonts w:ascii="Times New Roman" w:hAnsi="Times New Roman" w:cs="Times New Roman"/>
          <w:sz w:val="20"/>
          <w:szCs w:val="20"/>
        </w:rPr>
        <w:footnoteReference w:id="2"/>
      </w:r>
    </w:p>
    <w:p w:rsidR="007E0180" w:rsidRDefault="007E0180">
      <w:pPr>
        <w:tabs>
          <w:tab w:val="left" w:pos="-720"/>
          <w:tab w:val="left" w:pos="0"/>
        </w:tabs>
        <w:suppressAutoHyphens/>
        <w:spacing w:line="240" w:lineRule="atLeast"/>
        <w:ind w:left="720" w:hanging="720"/>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large and small bars were each individually set into the coping stone with lead.  The posts were braced with an “S” shaped brace that typically curved from the top of the post to the outside vertical face of the coping stone.  At each pilaster the coping stones project enough to accommodate a more elaborate brace which was set into the top face of the stone.  A single stone post was set at each end within the run of pickets marking the change from regular bond to ashlar bond.  After the center part of the rails between piers 2 and 5 were swept off during Hurricane Agnes that section was replaced with a pipe railing.</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Aqueduct Bed</w:t>
      </w: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The total width of the aqueduct is approximately 34’-8”, with a tow path parapet of 9’-4”, an upstream parapet of 6’-4”, and the canal prism of about 19 feet. The canal bed was originally about 7’-6” below the top of the parapet walls, and had a minimum thickness of about 2 1/2 feet. The massive stones of the side walls are in running bond. </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Close to the canal prism on the towpath side are numerous 1” diameter steel bolts at about 5 feet on center the entire length of the wall.  These bolts were used  to hold a wood timber in place.  This timber, the mule rail, was presumably to keep mules from stumbling into the canal.  Typically a boat rub rail was bolted to the vertical wall of the towpath parapet.  None of the bolts survive from the rub rail, but the round bolt holes appear in a regular pattern along the face of the wall.</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The stabilization project of 1975 consisted of several elements.  The structure was encased in a frame of steel channels, including framework in the canal prism that prohibits movement through it.  Tie rods were drilled and grouted into the masonry arches.  The project also included a waterproofing and drainage system for the canal bed, which  was covered with dirt and planted with grass, bringing the current grade of the interior bed about three feet higher than the original. </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b/>
          <w:bCs/>
          <w:sz w:val="20"/>
          <w:szCs w:val="20"/>
        </w:rPr>
        <w:t>BRIEF HISTORY OF THE AQUEDUCT</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On Independence day of 1828, President John Quincy Adams turned the first shovel of earth on the Chesapeake &amp; Ohio Canal.  His blessing and the festivities surrounding the event focused national attention on this project.</w:t>
      </w:r>
      <w:r>
        <w:rPr>
          <w:rStyle w:val="FootnoteReference"/>
          <w:rFonts w:ascii="Times New Roman" w:hAnsi="Times New Roman" w:cs="Times New Roman"/>
          <w:sz w:val="20"/>
          <w:szCs w:val="20"/>
        </w:rPr>
        <w:footnoteReference w:id="3"/>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Between July 1828 and the end of that year, the Monocacy Aqueduct project began with a flurry of activity.  Land was acquired from the neighboring landowners, the plans and specifications were prepared by Chief Engineer Wright, and a contract was let to the firm of Hitchcock and Hovey (referred to as Hovey) for the construction of the Aqueduct.</w:t>
      </w:r>
      <w:r>
        <w:rPr>
          <w:rStyle w:val="FootnoteReference"/>
          <w:rFonts w:ascii="Times New Roman" w:hAnsi="Times New Roman" w:cs="Times New Roman"/>
          <w:sz w:val="20"/>
          <w:szCs w:val="20"/>
        </w:rPr>
        <w:footnoteReference w:id="4"/>
      </w:r>
      <w:r>
        <w:rPr>
          <w:rFonts w:ascii="Times New Roman" w:hAnsi="Times New Roman" w:cs="Times New Roman"/>
          <w:sz w:val="20"/>
          <w:szCs w:val="20"/>
        </w:rPr>
        <w:t xml:space="preserve">  With all this in place, progress slowed.</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First of all, it was necessary to procure suitable hydraulic cement for the construction of the canal structures.  The use of imported cement was considered, but fortunately sources  were discovered in the upper Potomac Valley, including nearby  Shepardstown, (West) Virginia, and Tuscarora, Maryland .</w:t>
      </w:r>
      <w:r>
        <w:rPr>
          <w:rStyle w:val="FootnoteReference"/>
          <w:rFonts w:ascii="Times New Roman" w:hAnsi="Times New Roman" w:cs="Times New Roman"/>
          <w:sz w:val="20"/>
          <w:szCs w:val="20"/>
        </w:rPr>
        <w:footnoteReference w:id="5"/>
      </w:r>
      <w:r>
        <w:rPr>
          <w:rFonts w:ascii="Times New Roman" w:hAnsi="Times New Roman" w:cs="Times New Roman"/>
          <w:sz w:val="20"/>
          <w:szCs w:val="20"/>
        </w:rPr>
        <w:t xml:space="preserve">  The need to supply the construction </w:t>
      </w:r>
      <w:r>
        <w:rPr>
          <w:rFonts w:ascii="Times New Roman" w:hAnsi="Times New Roman" w:cs="Times New Roman"/>
          <w:sz w:val="20"/>
          <w:szCs w:val="20"/>
        </w:rPr>
        <w:lastRenderedPageBreak/>
        <w:t>of the locks, culverts and aqueducts of the C &amp; O Canal spawned a new industry of cement mills along the Potomac River.  The quality of the lime was somewhat inconsistent, and a vigilant eye was kept on it by the Canal Engineers.</w:t>
      </w:r>
      <w:r>
        <w:rPr>
          <w:rStyle w:val="FootnoteReference"/>
          <w:rFonts w:ascii="Times New Roman" w:hAnsi="Times New Roman" w:cs="Times New Roman"/>
          <w:sz w:val="20"/>
          <w:szCs w:val="20"/>
        </w:rPr>
        <w:footnoteReference w:id="6"/>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Another problem was that the stone that Hovey had quarried initially was of insufficient quality for the aqueduct, although it could be used for culverts.</w:t>
      </w:r>
      <w:r>
        <w:rPr>
          <w:rStyle w:val="FootnoteReference"/>
          <w:rFonts w:ascii="Times New Roman" w:hAnsi="Times New Roman" w:cs="Times New Roman"/>
          <w:sz w:val="20"/>
          <w:szCs w:val="20"/>
        </w:rPr>
        <w:footnoteReference w:id="7"/>
      </w:r>
      <w:r>
        <w:rPr>
          <w:rFonts w:ascii="Times New Roman" w:hAnsi="Times New Roman" w:cs="Times New Roman"/>
          <w:sz w:val="20"/>
          <w:szCs w:val="20"/>
        </w:rPr>
        <w:t xml:space="preserve">  Somewhat into the project, a superior stone was found at Nelson’s and Johnson's Quarries at the base of Sugarloaf Mountain, about 8 miles away.  </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 third problem was an insufficient number of laborers skilled in stonecutting and masonry.  The Canal Board  eventually advertised for laborers from other parts of the United States, and from Europe, offering a bonus to sign up.</w:t>
      </w:r>
      <w:r>
        <w:rPr>
          <w:rStyle w:val="FootnoteReference"/>
          <w:rFonts w:ascii="Times New Roman" w:hAnsi="Times New Roman" w:cs="Times New Roman"/>
          <w:sz w:val="20"/>
          <w:szCs w:val="20"/>
        </w:rPr>
        <w:footnoteReference w:id="8"/>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By the time the river was sounded for the placement of the foundation and construction actually started it was June of 1829.  It quickly became evident that Hovey was unequal to the task.  He and his men were not knowledgeable of the construction methods required and were incapable maintaining the high quality of work required to build the structure, in spite of explicitly detailed instructions from Inspector of Masonry Robert Leckie.  Leckie warned the Canal’s Board of Directors that Hovey would never complete the aqueduct.</w:t>
      </w:r>
      <w:r>
        <w:rPr>
          <w:rStyle w:val="FootnoteReference"/>
          <w:rFonts w:ascii="Times New Roman" w:hAnsi="Times New Roman" w:cs="Times New Roman"/>
          <w:sz w:val="20"/>
          <w:szCs w:val="20"/>
        </w:rPr>
        <w:footnoteReference w:id="9"/>
      </w:r>
      <w:r>
        <w:rPr>
          <w:rFonts w:ascii="Times New Roman" w:hAnsi="Times New Roman" w:cs="Times New Roman"/>
          <w:sz w:val="20"/>
          <w:szCs w:val="20"/>
        </w:rPr>
        <w:t xml:space="preserve">  Indeed, by the end of the year Hovey had abandoned this contract.</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In December A. P. Osborn, the Contractor for Culvert 17 and several other sections of the Canal, submitted a proposal to complete the aqueduct, which was accepted.  Attached to Osborn’s work order were detailed instructions with sketches from Engineer Wright on how to proceed.</w:t>
      </w:r>
      <w:r>
        <w:rPr>
          <w:rStyle w:val="FootnoteReference"/>
          <w:rFonts w:ascii="Times New Roman" w:hAnsi="Times New Roman" w:cs="Times New Roman"/>
          <w:sz w:val="20"/>
          <w:szCs w:val="20"/>
        </w:rPr>
        <w:footnoteReference w:id="10"/>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Osborn spent much of his time cutting the stone at Nelson’s Quarry, since the lease was to be up in March of the next year.</w:t>
      </w:r>
      <w:r>
        <w:rPr>
          <w:rStyle w:val="FootnoteReference"/>
          <w:rFonts w:ascii="Times New Roman" w:hAnsi="Times New Roman" w:cs="Times New Roman"/>
          <w:sz w:val="20"/>
          <w:szCs w:val="20"/>
        </w:rPr>
        <w:footnoteReference w:id="11"/>
      </w:r>
      <w:r>
        <w:rPr>
          <w:rFonts w:ascii="Times New Roman" w:hAnsi="Times New Roman" w:cs="Times New Roman"/>
          <w:sz w:val="20"/>
          <w:szCs w:val="20"/>
        </w:rPr>
        <w:t xml:space="preserve">  He also rebuilt three piers of the Nelson quarry granite, replacing inferior sandstone that had been previously used.  However, by the end of July Osborn assigned his contract to Byrne and LeBaron, a firm from Pennsylvania highly experienced in this type of construction.</w:t>
      </w:r>
      <w:r>
        <w:rPr>
          <w:rStyle w:val="FootnoteReference"/>
          <w:rFonts w:ascii="Times New Roman" w:hAnsi="Times New Roman" w:cs="Times New Roman"/>
          <w:sz w:val="20"/>
          <w:szCs w:val="20"/>
        </w:rPr>
        <w:footnoteReference w:id="12"/>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Byrne and LeBaron spent much of their early time on the job staging the project.  One of the ideas they implemented was to build a wooden tramway from Nelson’s quarry directly to the job site.  Until then, the stone had been carted by horse and wagon or by boat.  It is estimated that the tramway accelerated the process by about three months.</w:t>
      </w:r>
      <w:r>
        <w:rPr>
          <w:rStyle w:val="FootnoteReference"/>
          <w:rFonts w:ascii="Times New Roman" w:hAnsi="Times New Roman" w:cs="Times New Roman"/>
          <w:sz w:val="20"/>
          <w:szCs w:val="20"/>
        </w:rPr>
        <w:footnoteReference w:id="13"/>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In June the Canal was examined by two army engineers, by order of  President Andrew Jackson, at the request of the Canal Company.  Of the uncompleted Aqueduct the officers reported:</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“The work was executing in good faith by the contractor, and was vigilantly watched and inspected by the engineer.  We consider the plan judicious, as well as its execution, in which are united the true principles of economy, usefulness, and durability.”</w:t>
      </w:r>
      <w:r>
        <w:rPr>
          <w:rStyle w:val="FootnoteReference"/>
          <w:rFonts w:ascii="Times New Roman" w:hAnsi="Times New Roman" w:cs="Times New Roman"/>
          <w:sz w:val="20"/>
          <w:szCs w:val="20"/>
        </w:rPr>
        <w:footnoteReference w:id="14"/>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In spite of the improvements in methods and quality of construction, the project was subject to some of the same </w:t>
      </w:r>
      <w:r>
        <w:rPr>
          <w:rFonts w:ascii="Times New Roman" w:hAnsi="Times New Roman" w:cs="Times New Roman"/>
          <w:sz w:val="20"/>
          <w:szCs w:val="20"/>
        </w:rPr>
        <w:lastRenderedPageBreak/>
        <w:t>frustrations as before.  The scarcity of workmen was exacerbated by an outbreak of cholera, the cement supply could not keep pace with the demand, being required by so many canal projects, and construction lagged into the fall</w:t>
      </w:r>
      <w:r>
        <w:rPr>
          <w:rStyle w:val="FootnoteReference"/>
          <w:rFonts w:ascii="Times New Roman" w:hAnsi="Times New Roman" w:cs="Times New Roman"/>
          <w:sz w:val="20"/>
          <w:szCs w:val="20"/>
        </w:rPr>
        <w:footnoteReference w:id="15"/>
      </w:r>
      <w:r>
        <w:rPr>
          <w:rFonts w:ascii="Times New Roman" w:hAnsi="Times New Roman" w:cs="Times New Roman"/>
          <w:sz w:val="20"/>
          <w:szCs w:val="20"/>
        </w:rPr>
        <w:t>.  The aqueduct was not completed until May of the next year.  Water was let in October and the project closed out officially on December 6, 1833, four years after the original contract was let. In total, $127,895.57 was paid to three contractors on the Monocacy Aqueduct.</w:t>
      </w:r>
      <w:r>
        <w:rPr>
          <w:rStyle w:val="FootnoteReference"/>
          <w:rFonts w:ascii="Times New Roman" w:hAnsi="Times New Roman" w:cs="Times New Roman"/>
          <w:sz w:val="20"/>
          <w:szCs w:val="20"/>
        </w:rPr>
        <w:footnoteReference w:id="16"/>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Throughout the life of the Canal, the Monocacy Aqueduct was a serviceable and stable structure.  Its durability was renowned - during the Civil War,  Confederate troops tried to blowup the structure, but abandoned the project after drilling the stone for several hours with minimal progress.</w:t>
      </w:r>
      <w:r>
        <w:rPr>
          <w:rStyle w:val="FootnoteReference"/>
          <w:rFonts w:ascii="Times New Roman" w:hAnsi="Times New Roman" w:cs="Times New Roman"/>
          <w:sz w:val="20"/>
          <w:szCs w:val="20"/>
        </w:rPr>
        <w:footnoteReference w:id="17"/>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By 1872 the Chief Engineer of the Canal reported on the condition of all of the aqueducts.  He observed that while most of the structures were showing signs of wear and leakage and would require extensive repairs before long, repairs on the Monocacy could be put off until danger to its condition was more imminent.</w:t>
      </w:r>
      <w:r>
        <w:rPr>
          <w:rStyle w:val="FootnoteReference"/>
          <w:rFonts w:ascii="Times New Roman" w:hAnsi="Times New Roman" w:cs="Times New Roman"/>
          <w:sz w:val="20"/>
          <w:szCs w:val="20"/>
        </w:rPr>
        <w:footnoteReference w:id="18"/>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Little is recorded on the Aqueduct as the Canal went into receivership in 1889 and eventually closed down in 1924.  In 1950 C. D. Geisler conducted a field survey on the C&amp;O canal structures, and at that time recommended that the structure be spot grouted and the upstream spandrel and parapet be taken down and rebuilt.</w:t>
      </w:r>
      <w:r>
        <w:rPr>
          <w:rStyle w:val="FootnoteReference"/>
          <w:rFonts w:ascii="Times New Roman" w:hAnsi="Times New Roman" w:cs="Times New Roman"/>
          <w:sz w:val="20"/>
          <w:szCs w:val="20"/>
        </w:rPr>
        <w:footnoteReference w:id="19"/>
      </w:r>
      <w:r>
        <w:rPr>
          <w:rFonts w:ascii="Times New Roman" w:hAnsi="Times New Roman" w:cs="Times New Roman"/>
          <w:sz w:val="20"/>
          <w:szCs w:val="20"/>
        </w:rPr>
        <w:t xml:space="preserve">  </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damage of Hurricane Agnes in 1972 was extensive throughout the area.  The Monocacy Aqueduct lost over 200 feet of railing and coping stones, and worsened the condition of  the upstream wall.  The structure was subsequently stabilized with the steel banding and tie rods that may have saved the structure from collapse in later floods, although distracting from the historic appearance of the structure.</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b/>
          <w:bCs/>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b/>
          <w:bCs/>
          <w:sz w:val="20"/>
          <w:szCs w:val="20"/>
        </w:rPr>
        <w:t>STATEMENT OF SIGNIFICANCE AND HISTORICAL CONTEXT</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In 1979 the entire Chesapeake &amp; Ohio National Historical Park was listed in the National Register of Historic Places.  The nomination stated that the canal was “one of the most intact and impressive survivals of the American canal-building era.”  Using the national criteria for significance, the Monocacy Aqueduct appears to be a contributing resource both to the larger site and as an individual monument.  </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The criteria, as listed in </w:t>
      </w:r>
      <w:r>
        <w:rPr>
          <w:rFonts w:ascii="Times New Roman" w:hAnsi="Times New Roman" w:cs="Times New Roman"/>
          <w:i/>
          <w:iCs/>
          <w:sz w:val="20"/>
          <w:szCs w:val="20"/>
        </w:rPr>
        <w:t>National Register Bulletin 16</w:t>
      </w:r>
      <w:r>
        <w:rPr>
          <w:rFonts w:ascii="Times New Roman" w:hAnsi="Times New Roman" w:cs="Times New Roman"/>
          <w:sz w:val="20"/>
          <w:szCs w:val="20"/>
        </w:rPr>
        <w:t xml:space="preserve"> (U.S. Department of the Interior, National Park Service, Interagency Resources Division), read as follows:</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The quality of significance in American history, architecture, archeology, and culture is present in districts, sites, buildings, structures, and objects that possess integrity of location, design, setting materials, workmanship, feeling, and association, and:</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A.   that are associated with events that have made a significant contribution to the broad patterns of our history; or</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B.   that are associated with the lives of persons significant in our past; or</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 xml:space="preserve">C.   that embody the distinctive characteristics of a type, period, or method of construction or that represent the work of a master, or that possess high artistic values, or that represent a significant and distinguishable </w:t>
      </w:r>
      <w:r>
        <w:rPr>
          <w:rFonts w:ascii="Times New Roman" w:hAnsi="Times New Roman" w:cs="Times New Roman"/>
          <w:sz w:val="20"/>
          <w:szCs w:val="20"/>
        </w:rPr>
        <w:lastRenderedPageBreak/>
        <w:t>entity whose components may lack individual distinction; or</w:t>
      </w: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 xml:space="preserve">D.   that have yielded or will be likely to yield information important in prehistory or history.  </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Monocacy Aqueduct exhibits significant architectural and historical qualities of Criteria A &amp; C as follows:</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Criterion A</w:t>
      </w: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Monocacy Aqueduct provided an essential structural link for the C&amp;O Canal by enabling the canal to pass over the Monocacy River and maintain a conduit for the transportation of goods between western Maryland and Georgetown.  It is a major component in our understanding of the canal-building era in America.</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building of the Aqueduct itself illustrates and reflects the cultural history of American settlement, in that it advertised for and employed many immigrant laborers, particularly the Irish.</w:t>
      </w:r>
    </w:p>
    <w:p w:rsidR="007E0180" w:rsidRDefault="007E0180">
      <w:pPr>
        <w:tabs>
          <w:tab w:val="left" w:pos="-720"/>
        </w:tabs>
        <w:suppressAutoHyphens/>
        <w:spacing w:line="240" w:lineRule="atLeast"/>
        <w:jc w:val="both"/>
        <w:rPr>
          <w:rFonts w:ascii="Times New Roman" w:hAnsi="Times New Roman" w:cs="Times New Roman"/>
          <w:spacing w:val="-2"/>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Aqueduct also played a part in the Civil War, when Confederate forces tried to blow it up for strategic reasons.</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Criterion C</w:t>
      </w: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As the largest of the eleven aqueducts constructed along the C&amp;O Canal, the Monocacy Aqueduct is considered a major engineering achievement of the American canal-building era.  It was considered to be extremely well built; indeed, the Confederate forces abandoned the idea of blowing it up when they tried drilling into its massive structure.  With its dependence on local materials, it contributed to the development of cement mills in the Potomac Valley. It was also an elegant structure, with its rustication of important elements, and its detailing of projecting pilasters, water table, and coping stones.  </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b/>
          <w:bCs/>
          <w:sz w:val="20"/>
          <w:szCs w:val="20"/>
        </w:rPr>
        <w:t>Integrity</w:t>
      </w: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National Register defines seven “aspects of integrity” that must be considered in analyzing the historical significance of a site.  These include integrity of location, design, setting, materials, workmanship, feeling, and association.  The Monocacy Aqueduct strongly retains integrity of location, setting, and association.  While the steel banding detracts from its qualities of integrity of design, materials, workmanship and feeling, the structure still conveys important information about those qualities.  As a whole, it retains sufficient integrity to qualify as a contributing resource in the C&amp;O Canal National Historical Park.</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b/>
          <w:bCs/>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b/>
          <w:bCs/>
          <w:sz w:val="20"/>
          <w:szCs w:val="20"/>
        </w:rPr>
        <w:t>IDENTIFICATION OF HISTORIC FABRIC TO BE PRESERVED</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Unlike some other aqueducts such as the Conococheague that have been extensively damaged over the years by floods and accidents, the Monocacy aqueduct remains largely intact under the steel stabilization.  It is doubtful that the Monocacy Aqueduct would have survived the last thirty years without the banding, but it could be restored to its structural integrity and original appearance.  Most of the original stone is intact, in place, or is available, having been recovered from the river.  The steel banding erected in 1975 is not historic, is not an  elegant structure, and detracts from the visual integrity of the Aqueduct itself.  </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Sections of the original handrails are intact to varying degrees at the north and south ends of the towpath parapet, and should be restored.</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 number of the bolts from the mule rail and the rub rail bolt holes are still in place.  Under the restoration/preservation alternates, the mule and rub rails should be re-installed.</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b/>
          <w:bCs/>
          <w:sz w:val="20"/>
          <w:szCs w:val="20"/>
        </w:rPr>
        <w:t>PROPOSED USE AND TREATMENT OF THE AQUEDUCT AND ITS SITE</w:t>
      </w:r>
    </w:p>
    <w:p w:rsidR="007E0180" w:rsidRDefault="007E0180">
      <w:pPr>
        <w:tabs>
          <w:tab w:val="left" w:pos="-720"/>
        </w:tabs>
        <w:suppressAutoHyphens/>
        <w:spacing w:line="240" w:lineRule="atLeast"/>
        <w:rPr>
          <w:rFonts w:ascii="Times New Roman" w:hAnsi="Times New Roman" w:cs="Times New Roman"/>
          <w:sz w:val="20"/>
          <w:szCs w:val="20"/>
        </w:rPr>
      </w:pPr>
    </w:p>
    <w:p w:rsidR="007E0180" w:rsidRDefault="007E0180">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As a singular rural structure, the Monocacy aqueduct stands alone without many contextual references to the rest of the canal system.  It is enough to be a monumental structure that carries hikers and bikers over the Monocacy River.  Appreciation of the impressive structure and the role it played in the canal system would be enhanced by the </w:t>
      </w:r>
      <w:r>
        <w:rPr>
          <w:rFonts w:ascii="Times New Roman" w:hAnsi="Times New Roman" w:cs="Times New Roman"/>
          <w:sz w:val="20"/>
          <w:szCs w:val="20"/>
        </w:rPr>
        <w:lastRenderedPageBreak/>
        <w:t>removal of the steel bracing, preservation of  the original railing, as well as by the addition of interpretive signage.</w:t>
      </w:r>
    </w:p>
    <w:sectPr w:rsidR="007E0180" w:rsidSect="007E0180">
      <w:headerReference w:type="even" r:id="rId7"/>
      <w:headerReference w:type="default" r:id="rId8"/>
      <w:footerReference w:type="even" r:id="rId9"/>
      <w:footerReference w:type="default" r:id="rId10"/>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180" w:rsidRDefault="007E0180">
      <w:pPr>
        <w:spacing w:line="20" w:lineRule="exact"/>
      </w:pPr>
    </w:p>
  </w:endnote>
  <w:endnote w:type="continuationSeparator" w:id="0">
    <w:p w:rsidR="007E0180" w:rsidRDefault="007E0180" w:rsidP="007E0180">
      <w:r>
        <w:t xml:space="preserve"> </w:t>
      </w:r>
    </w:p>
  </w:endnote>
  <w:endnote w:type="continuationNotice" w:id="1">
    <w:p w:rsidR="007E0180" w:rsidRDefault="007E0180" w:rsidP="007E01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80" w:rsidRDefault="007E0180">
    <w:pPr>
      <w:spacing w:before="140" w:line="100" w:lineRule="exact"/>
      <w:rPr>
        <w:sz w:val="10"/>
        <w:szCs w:val="10"/>
      </w:rPr>
    </w:pPr>
  </w:p>
  <w:p w:rsidR="007E0180" w:rsidRDefault="007E0180">
    <w:pPr>
      <w:suppressAutoHyphens/>
      <w:spacing w:line="240" w:lineRule="atLeast"/>
      <w:jc w:val="both"/>
      <w:rPr>
        <w:rFonts w:ascii="Times New Roman" w:hAnsi="Times New Roman" w:cs="Times New Roman"/>
        <w:spacing w:val="-2"/>
        <w:sz w:val="16"/>
        <w:szCs w:val="16"/>
      </w:rPr>
    </w:pPr>
    <w:r>
      <w:rPr>
        <w:rFonts w:ascii="Times New Roman" w:hAnsi="Times New Roman" w:cs="Times New Roman"/>
        <w:spacing w:val="-2"/>
        <w:sz w:val="16"/>
        <w:szCs w:val="16"/>
      </w:rPr>
      <w:t>page II-</w:t>
    </w:r>
    <w:r>
      <w:rPr>
        <w:rFonts w:ascii="Times New Roman" w:hAnsi="Times New Roman" w:cs="Times New Roman"/>
        <w:spacing w:val="-2"/>
        <w:sz w:val="16"/>
        <w:szCs w:val="16"/>
      </w:rPr>
      <w:fldChar w:fldCharType="begin"/>
    </w:r>
    <w:r>
      <w:rPr>
        <w:rFonts w:ascii="Times New Roman" w:hAnsi="Times New Roman" w:cs="Times New Roman"/>
        <w:spacing w:val="-2"/>
        <w:sz w:val="16"/>
        <w:szCs w:val="16"/>
      </w:rPr>
      <w:instrText>page \* arabic</w:instrText>
    </w:r>
    <w:r>
      <w:rPr>
        <w:rFonts w:ascii="Times New Roman" w:hAnsi="Times New Roman" w:cs="Times New Roman"/>
        <w:spacing w:val="-2"/>
        <w:sz w:val="16"/>
        <w:szCs w:val="16"/>
      </w:rPr>
      <w:fldChar w:fldCharType="separate"/>
    </w:r>
    <w:r w:rsidR="00237573">
      <w:rPr>
        <w:rFonts w:ascii="Times New Roman" w:hAnsi="Times New Roman" w:cs="Times New Roman"/>
        <w:noProof/>
        <w:spacing w:val="-2"/>
        <w:sz w:val="16"/>
        <w:szCs w:val="16"/>
      </w:rPr>
      <w:t>6</w:t>
    </w:r>
    <w:r>
      <w:rPr>
        <w:rFonts w:ascii="Times New Roman" w:hAnsi="Times New Roman" w:cs="Times New Roman"/>
        <w:spacing w:val="-2"/>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80" w:rsidRDefault="007E0180">
    <w:pPr>
      <w:spacing w:before="140" w:line="100" w:lineRule="exact"/>
      <w:rPr>
        <w:sz w:val="10"/>
        <w:szCs w:val="10"/>
      </w:rPr>
    </w:pPr>
  </w:p>
  <w:p w:rsidR="007E0180" w:rsidRDefault="007E0180">
    <w:pPr>
      <w:tabs>
        <w:tab w:val="right" w:pos="9360"/>
      </w:tabs>
      <w:suppressAutoHyphens/>
      <w:spacing w:line="240" w:lineRule="atLeast"/>
      <w:jc w:val="both"/>
      <w:rPr>
        <w:rFonts w:ascii="Times New Roman" w:hAnsi="Times New Roman" w:cs="Times New Roman"/>
        <w:spacing w:val="-2"/>
        <w:sz w:val="16"/>
        <w:szCs w:val="16"/>
      </w:rPr>
    </w:pPr>
    <w:r>
      <w:rPr>
        <w:rFonts w:ascii="Times New Roman" w:hAnsi="Times New Roman" w:cs="Times New Roman"/>
        <w:spacing w:val="-2"/>
        <w:sz w:val="16"/>
        <w:szCs w:val="16"/>
      </w:rPr>
      <w:tab/>
      <w:t>page II-</w:t>
    </w:r>
    <w:r>
      <w:rPr>
        <w:rFonts w:ascii="Times New Roman" w:hAnsi="Times New Roman" w:cs="Times New Roman"/>
        <w:spacing w:val="-2"/>
        <w:sz w:val="16"/>
        <w:szCs w:val="16"/>
      </w:rPr>
      <w:fldChar w:fldCharType="begin"/>
    </w:r>
    <w:r>
      <w:rPr>
        <w:rFonts w:ascii="Times New Roman" w:hAnsi="Times New Roman" w:cs="Times New Roman"/>
        <w:spacing w:val="-2"/>
        <w:sz w:val="16"/>
        <w:szCs w:val="16"/>
      </w:rPr>
      <w:instrText>page \* arabic</w:instrText>
    </w:r>
    <w:r>
      <w:rPr>
        <w:rFonts w:ascii="Times New Roman" w:hAnsi="Times New Roman" w:cs="Times New Roman"/>
        <w:spacing w:val="-2"/>
        <w:sz w:val="16"/>
        <w:szCs w:val="16"/>
      </w:rPr>
      <w:fldChar w:fldCharType="separate"/>
    </w:r>
    <w:r w:rsidR="00237573">
      <w:rPr>
        <w:rFonts w:ascii="Times New Roman" w:hAnsi="Times New Roman" w:cs="Times New Roman"/>
        <w:noProof/>
        <w:spacing w:val="-2"/>
        <w:sz w:val="16"/>
        <w:szCs w:val="16"/>
      </w:rPr>
      <w:t>1</w:t>
    </w:r>
    <w:r>
      <w:rPr>
        <w:rFonts w:ascii="Times New Roman" w:hAnsi="Times New Roman" w:cs="Times New Roman"/>
        <w:spacing w:val="-2"/>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180" w:rsidRDefault="007E0180" w:rsidP="007E0180">
      <w:r>
        <w:separator/>
      </w:r>
    </w:p>
  </w:footnote>
  <w:footnote w:type="continuationSeparator" w:id="0">
    <w:p w:rsidR="007E0180" w:rsidRDefault="007E0180" w:rsidP="007E0180">
      <w:r>
        <w:continuationSeparator/>
      </w:r>
    </w:p>
  </w:footnote>
  <w:footnote w:id="1">
    <w:p w:rsidR="007E0180" w:rsidRDefault="007E0180">
      <w:pPr>
        <w:pStyle w:val="FootnoteText"/>
        <w:tabs>
          <w:tab w:val="clear" w:pos="-720"/>
          <w:tab w:val="left" w:pos="-864"/>
          <w:tab w:val="left" w:pos="540"/>
        </w:tabs>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Wright to Board of Directors, October 1828, Letters Received, C&amp;O Co., as quoted in Unrau, Harlan D., </w:t>
      </w:r>
      <w:r>
        <w:rPr>
          <w:rFonts w:ascii="Times New Roman" w:hAnsi="Times New Roman" w:cs="Times New Roman"/>
          <w:i/>
          <w:iCs/>
          <w:sz w:val="18"/>
          <w:szCs w:val="18"/>
        </w:rPr>
        <w:t>Historic Structures</w:t>
      </w:r>
    </w:p>
    <w:p w:rsidR="007E0180" w:rsidRDefault="007E0180">
      <w:pPr>
        <w:pStyle w:val="FootnoteText"/>
        <w:tabs>
          <w:tab w:val="clear" w:pos="-720"/>
          <w:tab w:val="left" w:pos="-864"/>
          <w:tab w:val="left" w:pos="360"/>
        </w:tabs>
        <w:jc w:val="both"/>
        <w:rPr>
          <w:rFonts w:ascii="Times New Roman" w:hAnsi="Times New Roman" w:cs="Times New Roman"/>
          <w:sz w:val="18"/>
          <w:szCs w:val="18"/>
        </w:rPr>
      </w:pPr>
      <w:r>
        <w:rPr>
          <w:rFonts w:ascii="Times New Roman" w:hAnsi="Times New Roman" w:cs="Times New Roman"/>
          <w:i/>
          <w:iCs/>
          <w:sz w:val="18"/>
          <w:szCs w:val="18"/>
        </w:rPr>
        <w:tab/>
        <w:t xml:space="preserve"> Report (HSR), The Monocacy Aqueduct</w:t>
      </w:r>
      <w:r>
        <w:rPr>
          <w:rFonts w:ascii="Times New Roman" w:hAnsi="Times New Roman" w:cs="Times New Roman"/>
          <w:sz w:val="18"/>
          <w:szCs w:val="18"/>
        </w:rPr>
        <w:t>, 1976,  p. 6.</w:t>
      </w:r>
    </w:p>
  </w:footnote>
  <w:footnote w:id="2">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Elgin to Gore.  May 25, 1828, Letters received, C&amp;O Co., as quoted by Unrau,  p. 50.</w:t>
      </w:r>
    </w:p>
  </w:footnote>
  <w:footnote w:id="3">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National Park Service (NPS) Handbook No. 142, </w:t>
      </w:r>
      <w:r>
        <w:rPr>
          <w:rFonts w:ascii="Times New Roman" w:hAnsi="Times New Roman" w:cs="Times New Roman"/>
          <w:i/>
          <w:iCs/>
          <w:sz w:val="18"/>
          <w:szCs w:val="18"/>
        </w:rPr>
        <w:t>Chesapeake and Ohio Canal,</w:t>
      </w:r>
      <w:r>
        <w:rPr>
          <w:rFonts w:ascii="Times New Roman" w:hAnsi="Times New Roman" w:cs="Times New Roman"/>
          <w:sz w:val="18"/>
          <w:szCs w:val="18"/>
        </w:rPr>
        <w:t xml:space="preserve">  (Washington, D.C.,  1991),  p. 20.</w:t>
      </w:r>
    </w:p>
  </w:footnote>
  <w:footnote w:id="4">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Unrau, p. 6-7.</w:t>
      </w:r>
    </w:p>
  </w:footnote>
  <w:footnote w:id="5">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Hahn, Thomas F. &amp; Emory L. Kemp.  </w:t>
      </w:r>
      <w:r>
        <w:rPr>
          <w:rFonts w:ascii="Times New Roman" w:hAnsi="Times New Roman" w:cs="Times New Roman"/>
          <w:i/>
          <w:iCs/>
          <w:sz w:val="18"/>
          <w:szCs w:val="18"/>
        </w:rPr>
        <w:t>Cement Mills along the Potomac River</w:t>
      </w:r>
      <w:r>
        <w:rPr>
          <w:rFonts w:ascii="Times New Roman" w:hAnsi="Times New Roman" w:cs="Times New Roman"/>
          <w:sz w:val="18"/>
          <w:szCs w:val="18"/>
        </w:rPr>
        <w:t>,  Institute for the History of Technology &amp;</w:t>
      </w:r>
    </w:p>
    <w:p w:rsidR="007E0180" w:rsidRDefault="007E0180">
      <w:pPr>
        <w:pStyle w:val="FootnoteText"/>
        <w:tabs>
          <w:tab w:val="clear" w:pos="-720"/>
          <w:tab w:val="left" w:pos="360"/>
        </w:tabs>
        <w:jc w:val="both"/>
        <w:rPr>
          <w:rFonts w:ascii="Times New Roman" w:hAnsi="Times New Roman" w:cs="Times New Roman"/>
          <w:sz w:val="18"/>
          <w:szCs w:val="18"/>
        </w:rPr>
      </w:pPr>
      <w:r>
        <w:rPr>
          <w:rFonts w:ascii="Times New Roman" w:hAnsi="Times New Roman" w:cs="Times New Roman"/>
          <w:sz w:val="18"/>
          <w:szCs w:val="18"/>
        </w:rPr>
        <w:tab/>
        <w:t xml:space="preserve"> Industrial Archaeology,  Monograph Series, Volume 2, Number 1.  Morgantown, West Virginia, 1994,  p. 30.</w:t>
      </w:r>
    </w:p>
  </w:footnote>
  <w:footnote w:id="6">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Unrau, p. 8, 12.</w:t>
      </w:r>
    </w:p>
  </w:footnote>
  <w:footnote w:id="7">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Unrau,  p. 8.</w:t>
      </w:r>
    </w:p>
  </w:footnote>
  <w:footnote w:id="8">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Unrau,  p. 9 and Hahn &amp; Kemp,  p. 25.</w:t>
      </w:r>
    </w:p>
  </w:footnote>
  <w:footnote w:id="9">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Leckie to Board of directors, July 23, 1829, Letters received, C&amp;O CO., as quoted in Unrau.,  p. 12.</w:t>
      </w:r>
    </w:p>
  </w:footnote>
  <w:footnote w:id="10">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Unrau, p. 21.</w:t>
      </w:r>
    </w:p>
  </w:footnote>
  <w:footnote w:id="11">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Unrau, p. 23.</w:t>
      </w:r>
    </w:p>
  </w:footnote>
  <w:footnote w:id="12">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Unrau, p. 29.</w:t>
      </w:r>
    </w:p>
  </w:footnote>
  <w:footnote w:id="13">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Unrau, p. 35.</w:t>
      </w:r>
    </w:p>
  </w:footnote>
  <w:footnote w:id="14">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Report of Col. John J. Abert and Col. James Kearney of the United States Topographical Engineers, upon an Examination of</w:t>
      </w:r>
    </w:p>
    <w:p w:rsidR="007E0180" w:rsidRDefault="007E0180">
      <w:pPr>
        <w:pStyle w:val="FootnoteText"/>
        <w:tabs>
          <w:tab w:val="clear" w:pos="-720"/>
          <w:tab w:val="left" w:pos="360"/>
        </w:tabs>
        <w:jc w:val="both"/>
        <w:rPr>
          <w:rFonts w:ascii="Times New Roman" w:hAnsi="Times New Roman" w:cs="Times New Roman"/>
          <w:sz w:val="18"/>
          <w:szCs w:val="18"/>
        </w:rPr>
      </w:pPr>
      <w:r>
        <w:rPr>
          <w:rFonts w:ascii="Times New Roman" w:hAnsi="Times New Roman" w:cs="Times New Roman"/>
          <w:sz w:val="18"/>
          <w:szCs w:val="18"/>
        </w:rPr>
        <w:tab/>
        <w:t xml:space="preserve"> the Chesapeake and Ohio Canal from Washington City to “Point of Rocks” (Washington, 1831), reprinted in Chesapeake</w:t>
      </w:r>
    </w:p>
    <w:p w:rsidR="007E0180" w:rsidRDefault="007E0180">
      <w:pPr>
        <w:pStyle w:val="FootnoteText"/>
        <w:tabs>
          <w:tab w:val="clear" w:pos="-720"/>
          <w:tab w:val="left" w:pos="360"/>
        </w:tabs>
        <w:jc w:val="both"/>
        <w:rPr>
          <w:rFonts w:ascii="Times New Roman" w:hAnsi="Times New Roman" w:cs="Times New Roman"/>
          <w:sz w:val="18"/>
          <w:szCs w:val="18"/>
        </w:rPr>
      </w:pPr>
      <w:r>
        <w:rPr>
          <w:rFonts w:ascii="Times New Roman" w:hAnsi="Times New Roman" w:cs="Times New Roman"/>
          <w:sz w:val="18"/>
          <w:szCs w:val="18"/>
        </w:rPr>
        <w:tab/>
        <w:t xml:space="preserve"> and Ohio Canal: Report to Accompany H. R. 94, 24d cong., 1st sess., 1834, H. Doc 414, p.91, as quoted in Unrau, p. 39.</w:t>
      </w:r>
    </w:p>
  </w:footnote>
  <w:footnote w:id="15">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Unrau, p. 48.</w:t>
      </w:r>
    </w:p>
  </w:footnote>
  <w:footnote w:id="16">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Unrau, p. 48.</w:t>
      </w:r>
    </w:p>
  </w:footnote>
  <w:footnote w:id="17">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Unrau, p. 52 and NPS, p. 86.</w:t>
      </w:r>
    </w:p>
  </w:footnote>
  <w:footnote w:id="18">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20"/>
          <w:szCs w:val="20"/>
        </w:rPr>
        <w:footnoteRef/>
      </w:r>
      <w:r>
        <w:rPr>
          <w:rFonts w:ascii="Times New Roman" w:hAnsi="Times New Roman" w:cs="Times New Roman"/>
          <w:sz w:val="18"/>
          <w:szCs w:val="18"/>
        </w:rPr>
        <w:t xml:space="preserve"> Report of W. R. Hutton, Chief Engineer, As to Condition of Chesapeake and Ohio Canal, With Estimate of cost of</w:t>
      </w:r>
    </w:p>
    <w:p w:rsidR="007E0180" w:rsidRDefault="007E0180">
      <w:pPr>
        <w:pStyle w:val="FootnoteText"/>
        <w:tabs>
          <w:tab w:val="clear" w:pos="-720"/>
          <w:tab w:val="left" w:pos="360"/>
        </w:tabs>
        <w:jc w:val="both"/>
        <w:rPr>
          <w:rFonts w:ascii="Times New Roman" w:hAnsi="Times New Roman" w:cs="Times New Roman"/>
          <w:sz w:val="18"/>
          <w:szCs w:val="18"/>
        </w:rPr>
      </w:pPr>
      <w:r>
        <w:rPr>
          <w:rFonts w:ascii="Times New Roman" w:hAnsi="Times New Roman" w:cs="Times New Roman"/>
          <w:sz w:val="18"/>
          <w:szCs w:val="18"/>
        </w:rPr>
        <w:tab/>
        <w:t>Extraordinary Repairs Required During the Current Year, August 14th, 1872 (Annapolis, 1872), pp 15-16, as quoted in</w:t>
      </w:r>
    </w:p>
    <w:p w:rsidR="007E0180" w:rsidRDefault="007E0180">
      <w:pPr>
        <w:pStyle w:val="FootnoteText"/>
        <w:tabs>
          <w:tab w:val="clear" w:pos="-720"/>
          <w:tab w:val="left" w:pos="360"/>
        </w:tabs>
        <w:jc w:val="both"/>
        <w:rPr>
          <w:rFonts w:ascii="Times New Roman" w:hAnsi="Times New Roman" w:cs="Times New Roman"/>
          <w:sz w:val="18"/>
          <w:szCs w:val="18"/>
        </w:rPr>
      </w:pPr>
      <w:r>
        <w:rPr>
          <w:rFonts w:ascii="Times New Roman" w:hAnsi="Times New Roman" w:cs="Times New Roman"/>
          <w:sz w:val="18"/>
          <w:szCs w:val="18"/>
        </w:rPr>
        <w:tab/>
        <w:t>Unrau, p. 54.</w:t>
      </w:r>
    </w:p>
  </w:footnote>
  <w:footnote w:id="19">
    <w:p w:rsidR="007E0180" w:rsidRDefault="007E0180">
      <w:pPr>
        <w:pStyle w:val="FootnoteText"/>
        <w:jc w:val="both"/>
        <w:rPr>
          <w:rFonts w:ascii="Times New Roman" w:hAnsi="Times New Roman" w:cs="Times New Roman"/>
          <w:sz w:val="18"/>
          <w:szCs w:val="18"/>
        </w:rPr>
      </w:pPr>
      <w:r>
        <w:rPr>
          <w:rStyle w:val="FootnoteReference"/>
          <w:rFonts w:ascii="Times New Roman" w:hAnsi="Times New Roman" w:cs="Times New Roman"/>
          <w:sz w:val="20"/>
          <w:szCs w:val="20"/>
        </w:rPr>
        <w:footnoteRef/>
      </w:r>
      <w:r>
        <w:rPr>
          <w:rFonts w:ascii="Times New Roman" w:hAnsi="Times New Roman" w:cs="Times New Roman"/>
          <w:sz w:val="18"/>
          <w:szCs w:val="18"/>
        </w:rPr>
        <w:t xml:space="preserve"> U. S. Congress, House, Committee on Public Lands, </w:t>
      </w:r>
      <w:r>
        <w:rPr>
          <w:rFonts w:ascii="Times New Roman" w:hAnsi="Times New Roman" w:cs="Times New Roman"/>
          <w:sz w:val="18"/>
          <w:szCs w:val="18"/>
          <w:u w:val="single"/>
        </w:rPr>
        <w:t>Chesapeake and Ohio Canal Report</w:t>
      </w:r>
      <w:r>
        <w:rPr>
          <w:rFonts w:ascii="Times New Roman" w:hAnsi="Times New Roman" w:cs="Times New Roman"/>
          <w:sz w:val="18"/>
          <w:szCs w:val="18"/>
        </w:rPr>
        <w:t>, 81st Cong., 2d sess., 1950. H. Doc,</w:t>
      </w:r>
    </w:p>
    <w:p w:rsidR="007E0180" w:rsidRDefault="007E0180">
      <w:pPr>
        <w:pStyle w:val="FootnoteText"/>
        <w:tabs>
          <w:tab w:val="clear" w:pos="-720"/>
          <w:tab w:val="left" w:pos="360"/>
        </w:tabs>
        <w:jc w:val="both"/>
        <w:rPr>
          <w:rFonts w:ascii="Times New Roman" w:hAnsi="Times New Roman" w:cs="Times New Roman"/>
          <w:sz w:val="18"/>
          <w:szCs w:val="18"/>
        </w:rPr>
      </w:pPr>
      <w:r>
        <w:rPr>
          <w:rFonts w:ascii="Times New Roman" w:hAnsi="Times New Roman" w:cs="Times New Roman"/>
          <w:sz w:val="18"/>
          <w:szCs w:val="18"/>
        </w:rPr>
        <w:tab/>
        <w:t xml:space="preserve"> 687, p. 71, as quoted in Unrau, p. 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80" w:rsidRDefault="007E0180">
    <w:pPr>
      <w:tabs>
        <w:tab w:val="right" w:pos="9360"/>
      </w:tabs>
      <w:suppressAutoHyphens/>
      <w:spacing w:line="240" w:lineRule="atLeast"/>
      <w:jc w:val="both"/>
      <w:rPr>
        <w:rFonts w:ascii="Times New Roman" w:hAnsi="Times New Roman" w:cs="Times New Roman"/>
        <w:spacing w:val="-2"/>
        <w:sz w:val="16"/>
        <w:szCs w:val="16"/>
      </w:rPr>
    </w:pPr>
    <w:r>
      <w:rPr>
        <w:rFonts w:ascii="Times New Roman" w:hAnsi="Times New Roman" w:cs="Times New Roman"/>
        <w:b/>
        <w:bCs/>
        <w:spacing w:val="-2"/>
        <w:sz w:val="16"/>
        <w:szCs w:val="16"/>
      </w:rPr>
      <w:t>architrave p.c., architects</w:t>
    </w:r>
    <w:r>
      <w:rPr>
        <w:rFonts w:ascii="Times New Roman" w:hAnsi="Times New Roman" w:cs="Times New Roman"/>
        <w:spacing w:val="-2"/>
        <w:sz w:val="16"/>
        <w:szCs w:val="16"/>
      </w:rPr>
      <w:tab/>
      <w:t>Monocacy Aqueduct</w:t>
    </w:r>
  </w:p>
  <w:p w:rsidR="007E0180" w:rsidRDefault="007E0180">
    <w:pPr>
      <w:tabs>
        <w:tab w:val="right" w:pos="9360"/>
      </w:tabs>
      <w:suppressAutoHyphens/>
      <w:spacing w:line="240" w:lineRule="atLeast"/>
      <w:jc w:val="both"/>
      <w:rPr>
        <w:rFonts w:ascii="Times New Roman" w:hAnsi="Times New Roman" w:cs="Times New Roman"/>
        <w:spacing w:val="-2"/>
        <w:sz w:val="16"/>
        <w:szCs w:val="16"/>
      </w:rPr>
    </w:pPr>
    <w:r>
      <w:rPr>
        <w:rFonts w:ascii="Times New Roman" w:hAnsi="Times New Roman" w:cs="Times New Roman"/>
        <w:spacing w:val="-2"/>
        <w:sz w:val="16"/>
        <w:szCs w:val="16"/>
      </w:rPr>
      <w:tab/>
      <w:t>Section II:  History and Evolution of Monocacy Aqueduct</w:t>
    </w:r>
  </w:p>
  <w:p w:rsidR="007E0180" w:rsidRDefault="007E0180">
    <w:pPr>
      <w:tabs>
        <w:tab w:val="right" w:pos="9360"/>
      </w:tabs>
      <w:suppressAutoHyphens/>
      <w:spacing w:line="240" w:lineRule="atLeast"/>
      <w:jc w:val="both"/>
      <w:rPr>
        <w:rFonts w:ascii="Times New Roman" w:hAnsi="Times New Roman" w:cs="Times New Roman"/>
        <w:spacing w:val="-2"/>
        <w:sz w:val="16"/>
        <w:szCs w:val="16"/>
      </w:rPr>
    </w:pPr>
    <w:r>
      <w:rPr>
        <w:rFonts w:ascii="Times New Roman" w:hAnsi="Times New Roman" w:cs="Times New Roman"/>
        <w:b/>
        <w:bCs/>
        <w:spacing w:val="-2"/>
        <w:sz w:val="16"/>
        <w:szCs w:val="16"/>
      </w:rPr>
      <w:t>________________________________________________________________________________________________________________________</w:t>
    </w:r>
  </w:p>
  <w:p w:rsidR="007E0180" w:rsidRDefault="007E0180">
    <w:pPr>
      <w:spacing w:after="140" w:line="100" w:lineRule="exact"/>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80" w:rsidRDefault="007E0180">
    <w:pPr>
      <w:tabs>
        <w:tab w:val="right" w:pos="9360"/>
      </w:tabs>
      <w:suppressAutoHyphens/>
      <w:spacing w:line="240" w:lineRule="atLeast"/>
      <w:jc w:val="both"/>
      <w:rPr>
        <w:rFonts w:ascii="Times New Roman" w:hAnsi="Times New Roman" w:cs="Times New Roman"/>
        <w:spacing w:val="-2"/>
        <w:sz w:val="16"/>
        <w:szCs w:val="16"/>
      </w:rPr>
    </w:pPr>
    <w:r>
      <w:rPr>
        <w:rFonts w:ascii="Times New Roman" w:hAnsi="Times New Roman" w:cs="Times New Roman"/>
        <w:spacing w:val="-2"/>
        <w:sz w:val="16"/>
        <w:szCs w:val="16"/>
      </w:rPr>
      <w:t>Monocacy Aqueduct</w:t>
    </w:r>
    <w:r>
      <w:rPr>
        <w:rFonts w:ascii="Times New Roman" w:hAnsi="Times New Roman" w:cs="Times New Roman"/>
        <w:b/>
        <w:bCs/>
        <w:spacing w:val="-2"/>
        <w:sz w:val="16"/>
        <w:szCs w:val="16"/>
      </w:rPr>
      <w:tab/>
      <w:t>architrave p.c., architects</w:t>
    </w:r>
  </w:p>
  <w:p w:rsidR="007E0180" w:rsidRDefault="007E0180">
    <w:pPr>
      <w:tabs>
        <w:tab w:val="right" w:pos="9360"/>
      </w:tabs>
      <w:suppressAutoHyphens/>
      <w:spacing w:line="240" w:lineRule="atLeast"/>
      <w:jc w:val="both"/>
      <w:rPr>
        <w:rFonts w:ascii="Times New Roman" w:hAnsi="Times New Roman" w:cs="Times New Roman"/>
        <w:spacing w:val="-2"/>
        <w:sz w:val="16"/>
        <w:szCs w:val="16"/>
      </w:rPr>
    </w:pPr>
    <w:r>
      <w:rPr>
        <w:rFonts w:ascii="Times New Roman" w:hAnsi="Times New Roman" w:cs="Times New Roman"/>
        <w:spacing w:val="-2"/>
        <w:sz w:val="16"/>
        <w:szCs w:val="16"/>
      </w:rPr>
      <w:t>Section II:  History and Evolution of Monocacy Aqueduct</w:t>
    </w:r>
  </w:p>
  <w:p w:rsidR="007E0180" w:rsidRDefault="007E0180">
    <w:pPr>
      <w:tabs>
        <w:tab w:val="right" w:pos="9360"/>
      </w:tabs>
      <w:suppressAutoHyphens/>
      <w:spacing w:line="240" w:lineRule="atLeast"/>
      <w:jc w:val="both"/>
      <w:rPr>
        <w:rFonts w:ascii="Times New Roman" w:hAnsi="Times New Roman" w:cs="Times New Roman"/>
        <w:spacing w:val="-2"/>
        <w:sz w:val="16"/>
        <w:szCs w:val="16"/>
      </w:rPr>
    </w:pPr>
    <w:r>
      <w:rPr>
        <w:rFonts w:ascii="Times New Roman" w:hAnsi="Times New Roman" w:cs="Times New Roman"/>
        <w:b/>
        <w:bCs/>
        <w:spacing w:val="-2"/>
        <w:sz w:val="16"/>
        <w:szCs w:val="16"/>
      </w:rPr>
      <w:t>________________________________________________________________________________________________________________________</w:t>
    </w:r>
  </w:p>
  <w:p w:rsidR="007E0180" w:rsidRDefault="007E0180">
    <w:pPr>
      <w:spacing w:after="140" w:line="10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720"/>
  <w:hyphenationZone w:val="95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80"/>
    <w:rsid w:val="00237573"/>
    <w:rsid w:val="007E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97D1E9-B97C-4E6A-BA09-F8118AD3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Heading1">
    <w:name w:val="heading 1"/>
    <w:basedOn w:val="Normal"/>
    <w:next w:val="Normal"/>
    <w:link w:val="Heading1Char"/>
    <w:uiPriority w:val="99"/>
    <w:qFormat/>
    <w:pPr>
      <w:tabs>
        <w:tab w:val="left" w:pos="-720"/>
      </w:tabs>
      <w:suppressAutoHyphens/>
      <w:spacing w:line="240" w:lineRule="atLeast"/>
      <w:outlineLvl w:val="0"/>
    </w:pPr>
  </w:style>
  <w:style w:type="paragraph" w:styleId="Heading2">
    <w:name w:val="heading 2"/>
    <w:basedOn w:val="Normal"/>
    <w:next w:val="Normal"/>
    <w:link w:val="Heading2Char"/>
    <w:uiPriority w:val="99"/>
    <w:qFormat/>
    <w:pPr>
      <w:tabs>
        <w:tab w:val="left" w:pos="0"/>
        <w:tab w:val="left" w:pos="576"/>
        <w:tab w:val="left" w:pos="720"/>
        <w:tab w:val="left" w:pos="1296"/>
        <w:tab w:val="left" w:pos="1872"/>
        <w:tab w:val="left" w:pos="2448"/>
        <w:tab w:val="left" w:pos="3024"/>
        <w:tab w:val="left" w:pos="3600"/>
        <w:tab w:val="left" w:pos="4176"/>
        <w:tab w:val="left" w:pos="4752"/>
        <w:tab w:val="left" w:pos="5328"/>
        <w:tab w:val="left" w:pos="5904"/>
        <w:tab w:val="left" w:pos="6480"/>
      </w:tabs>
      <w:suppressAutoHyphens/>
      <w:spacing w:line="240" w:lineRule="atLeast"/>
      <w:outlineLvl w:val="1"/>
    </w:pPr>
  </w:style>
  <w:style w:type="paragraph" w:styleId="Heading3">
    <w:name w:val="heading 3"/>
    <w:basedOn w:val="Normal"/>
    <w:next w:val="Normal"/>
    <w:link w:val="Heading3Char"/>
    <w:uiPriority w:val="99"/>
    <w:qFormat/>
    <w:pPr>
      <w:tabs>
        <w:tab w:val="left" w:pos="0"/>
        <w:tab w:val="left" w:pos="576"/>
        <w:tab w:val="left" w:pos="1152"/>
        <w:tab w:val="left" w:pos="1872"/>
        <w:tab w:val="left" w:pos="2448"/>
        <w:tab w:val="left" w:pos="3024"/>
        <w:tab w:val="left" w:pos="3600"/>
        <w:tab w:val="left" w:pos="4176"/>
        <w:tab w:val="left" w:pos="4752"/>
        <w:tab w:val="left" w:pos="5328"/>
        <w:tab w:val="left" w:pos="5904"/>
        <w:tab w:val="left" w:pos="6480"/>
      </w:tabs>
      <w:suppressAutoHyphens/>
      <w:spacing w:line="240" w:lineRule="atLeast"/>
      <w:outlineLvl w:val="2"/>
    </w:pPr>
  </w:style>
  <w:style w:type="paragraph" w:styleId="Heading4">
    <w:name w:val="heading 4"/>
    <w:basedOn w:val="Normal"/>
    <w:next w:val="Normal"/>
    <w:link w:val="Heading4Char"/>
    <w:uiPriority w:val="99"/>
    <w:qFormat/>
    <w:pPr>
      <w:tabs>
        <w:tab w:val="left" w:pos="0"/>
        <w:tab w:val="left" w:pos="1152"/>
        <w:tab w:val="left" w:pos="1728"/>
        <w:tab w:val="left" w:pos="1872"/>
        <w:tab w:val="left" w:pos="2448"/>
        <w:tab w:val="left" w:pos="3024"/>
        <w:tab w:val="left" w:pos="3600"/>
        <w:tab w:val="left" w:pos="4176"/>
        <w:tab w:val="left" w:pos="4752"/>
        <w:tab w:val="left" w:pos="5328"/>
        <w:tab w:val="left" w:pos="5904"/>
        <w:tab w:val="left" w:pos="6480"/>
      </w:tabs>
      <w:suppressAutoHyphens/>
      <w:spacing w:line="240" w:lineRule="atLeast"/>
      <w:outlineLvl w:val="3"/>
    </w:pPr>
  </w:style>
  <w:style w:type="paragraph" w:styleId="Heading5">
    <w:name w:val="heading 5"/>
    <w:basedOn w:val="Normal"/>
    <w:next w:val="Normal"/>
    <w:link w:val="Heading5Char"/>
    <w:uiPriority w:val="99"/>
    <w:qFormat/>
    <w:pPr>
      <w:tabs>
        <w:tab w:val="left" w:pos="0"/>
        <w:tab w:val="left" w:pos="1728"/>
        <w:tab w:val="left" w:pos="2304"/>
        <w:tab w:val="left" w:pos="3024"/>
        <w:tab w:val="left" w:pos="3600"/>
        <w:tab w:val="left" w:pos="4176"/>
        <w:tab w:val="left" w:pos="4752"/>
        <w:tab w:val="left" w:pos="5328"/>
        <w:tab w:val="left" w:pos="5904"/>
        <w:tab w:val="left" w:pos="6480"/>
      </w:tabs>
      <w:suppressAutoHyphens/>
      <w:spacing w:line="240" w:lineRule="atLeast"/>
      <w:outlineLvl w:val="4"/>
    </w:pPr>
  </w:style>
  <w:style w:type="paragraph" w:styleId="Heading6">
    <w:name w:val="heading 6"/>
    <w:basedOn w:val="Normal"/>
    <w:next w:val="Normal"/>
    <w:link w:val="Heading6Char"/>
    <w:uiPriority w:val="99"/>
    <w:qFormat/>
    <w:pPr>
      <w:tabs>
        <w:tab w:val="left" w:pos="0"/>
        <w:tab w:val="left" w:pos="2700"/>
        <w:tab w:val="left" w:pos="3024"/>
        <w:tab w:val="left" w:pos="3600"/>
        <w:tab w:val="left" w:pos="4752"/>
        <w:tab w:val="left" w:pos="5328"/>
        <w:tab w:val="left" w:pos="5904"/>
        <w:tab w:val="left" w:pos="6480"/>
      </w:tabs>
      <w:suppressAutoHyphens/>
      <w:spacing w:line="240" w:lineRule="atLeast"/>
      <w:outlineLvl w:val="5"/>
    </w:pPr>
  </w:style>
  <w:style w:type="paragraph" w:styleId="Heading7">
    <w:name w:val="heading 7"/>
    <w:basedOn w:val="Normal"/>
    <w:next w:val="Normal"/>
    <w:link w:val="Heading7Char"/>
    <w:uiPriority w:val="99"/>
    <w:qFormat/>
    <w:pPr>
      <w:tabs>
        <w:tab w:val="left" w:pos="-720"/>
      </w:tabs>
      <w:suppressAutoHyphens/>
      <w:spacing w:line="240" w:lineRule="atLeast"/>
      <w:outlineLvl w:val="6"/>
    </w:pPr>
  </w:style>
  <w:style w:type="paragraph" w:styleId="Heading8">
    <w:name w:val="heading 8"/>
    <w:basedOn w:val="Normal"/>
    <w:next w:val="Normal"/>
    <w:link w:val="Heading8Char"/>
    <w:uiPriority w:val="99"/>
    <w:qFormat/>
    <w:pPr>
      <w:tabs>
        <w:tab w:val="left" w:pos="-720"/>
      </w:tabs>
      <w:suppressAutoHyphens/>
      <w:spacing w:line="240" w:lineRule="atLeast"/>
      <w:outlineLvl w:val="7"/>
    </w:p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pPr>
      <w:tabs>
        <w:tab w:val="left" w:pos="-720"/>
      </w:tabs>
      <w:suppressAutoHyphens/>
      <w:spacing w:line="240" w:lineRule="atLeast"/>
      <w:jc w:val="both"/>
    </w:pPr>
    <w:rPr>
      <w:spacing w:val="-3"/>
    </w:rPr>
  </w:style>
  <w:style w:type="character" w:customStyle="1" w:styleId="EndnoteTextChar">
    <w:name w:val="Endnote Text Char"/>
    <w:basedOn w:val="DefaultParagraphFont"/>
    <w:link w:val="EndnoteText"/>
    <w:uiPriority w:val="99"/>
    <w:semiHidden/>
    <w:rsid w:val="007E0180"/>
    <w:rPr>
      <w:rFonts w:ascii="Courier New" w:hAnsi="Courier New" w:cs="Courier New"/>
      <w:sz w:val="20"/>
      <w:szCs w:val="20"/>
    </w:rPr>
  </w:style>
  <w:style w:type="character" w:styleId="EndnoteReference">
    <w:name w:val="endnote reference"/>
    <w:basedOn w:val="DefaultParagraphFont"/>
    <w:uiPriority w:val="99"/>
    <w:rPr>
      <w:rFonts w:ascii="Courier New" w:hAnsi="Courier New" w:cs="Courier New"/>
      <w:sz w:val="24"/>
      <w:szCs w:val="24"/>
      <w:vertAlign w:val="superscript"/>
      <w:lang w:val="en-US"/>
    </w:rPr>
  </w:style>
  <w:style w:type="paragraph" w:styleId="FootnoteText">
    <w:name w:val="footnote text"/>
    <w:basedOn w:val="Normal"/>
    <w:link w:val="FootnoteTextChar"/>
    <w:uiPriority w:val="99"/>
    <w:pPr>
      <w:tabs>
        <w:tab w:val="left" w:pos="-720"/>
      </w:tabs>
      <w:suppressAutoHyphens/>
      <w:spacing w:line="240" w:lineRule="atLeast"/>
    </w:pPr>
  </w:style>
  <w:style w:type="character" w:customStyle="1" w:styleId="FootnoteTextChar">
    <w:name w:val="Footnote Text Char"/>
    <w:basedOn w:val="DefaultParagraphFont"/>
    <w:link w:val="FootnoteText"/>
    <w:uiPriority w:val="99"/>
    <w:semiHidden/>
    <w:rsid w:val="007E0180"/>
    <w:rPr>
      <w:rFonts w:ascii="Courier New" w:hAnsi="Courier New" w:cs="Courier New"/>
      <w:sz w:val="20"/>
      <w:szCs w:val="20"/>
    </w:rPr>
  </w:style>
  <w:style w:type="character" w:styleId="FootnoteReference">
    <w:name w:val="footnote reference"/>
    <w:basedOn w:val="DefaultParagraphFont"/>
    <w:uiPriority w:val="99"/>
    <w:rPr>
      <w:rFonts w:ascii="Courier New" w:hAnsi="Courier New" w:cs="Courier New"/>
      <w:sz w:val="24"/>
      <w:szCs w:val="24"/>
      <w:vertAlign w:val="superscript"/>
      <w:lang w:val="en-US"/>
    </w:rPr>
  </w:style>
  <w:style w:type="character" w:customStyle="1" w:styleId="Heading1Char">
    <w:name w:val="Heading 1 Char"/>
    <w:basedOn w:val="DefaultParagraphFont"/>
    <w:link w:val="Heading1"/>
    <w:uiPriority w:val="9"/>
    <w:rsid w:val="007E018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E018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E018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E0180"/>
    <w:rPr>
      <w:b/>
      <w:bCs/>
      <w:sz w:val="28"/>
      <w:szCs w:val="28"/>
    </w:rPr>
  </w:style>
  <w:style w:type="character" w:customStyle="1" w:styleId="Heading5Char">
    <w:name w:val="Heading 5 Char"/>
    <w:basedOn w:val="DefaultParagraphFont"/>
    <w:link w:val="Heading5"/>
    <w:uiPriority w:val="9"/>
    <w:semiHidden/>
    <w:rsid w:val="007E0180"/>
    <w:rPr>
      <w:b/>
      <w:bCs/>
      <w:i/>
      <w:iCs/>
      <w:sz w:val="26"/>
      <w:szCs w:val="26"/>
    </w:rPr>
  </w:style>
  <w:style w:type="character" w:customStyle="1" w:styleId="Heading6Char">
    <w:name w:val="Heading 6 Char"/>
    <w:basedOn w:val="DefaultParagraphFont"/>
    <w:link w:val="Heading6"/>
    <w:uiPriority w:val="9"/>
    <w:semiHidden/>
    <w:rsid w:val="007E0180"/>
    <w:rPr>
      <w:b/>
      <w:bCs/>
    </w:rPr>
  </w:style>
  <w:style w:type="character" w:customStyle="1" w:styleId="Heading7Char">
    <w:name w:val="Heading 7 Char"/>
    <w:basedOn w:val="DefaultParagraphFont"/>
    <w:link w:val="Heading7"/>
    <w:uiPriority w:val="9"/>
    <w:semiHidden/>
    <w:rsid w:val="007E0180"/>
    <w:rPr>
      <w:sz w:val="24"/>
      <w:szCs w:val="24"/>
    </w:rPr>
  </w:style>
  <w:style w:type="character" w:customStyle="1" w:styleId="Heading8Char">
    <w:name w:val="Heading 8 Char"/>
    <w:basedOn w:val="DefaultParagraphFont"/>
    <w:link w:val="Heading8"/>
    <w:uiPriority w:val="9"/>
    <w:semiHidden/>
    <w:rsid w:val="007E0180"/>
    <w:rPr>
      <w:i/>
      <w:iCs/>
      <w:sz w:val="24"/>
      <w:szCs w:val="24"/>
    </w:rPr>
  </w:style>
  <w:style w:type="character" w:customStyle="1" w:styleId="DefaultParagraphFo">
    <w:name w:val="Default Paragraph Fo"/>
    <w:basedOn w:val="DefaultParagraphFont"/>
    <w:uiPriority w:val="99"/>
  </w:style>
  <w:style w:type="paragraph" w:customStyle="1" w:styleId="AT">
    <w:name w:val="AT"/>
    <w:uiPriority w:val="99"/>
    <w:pPr>
      <w:widowControl w:val="0"/>
      <w:tabs>
        <w:tab w:val="left" w:pos="0"/>
        <w:tab w:val="left" w:pos="864"/>
        <w:tab w:val="left" w:pos="144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1">
    <w:name w:val="P1"/>
    <w:uiPriority w:val="99"/>
    <w:pPr>
      <w:widowControl w:val="0"/>
      <w:tabs>
        <w:tab w:val="left" w:pos="0"/>
        <w:tab w:val="left" w:pos="288"/>
        <w:tab w:val="left" w:pos="864"/>
        <w:tab w:val="left" w:pos="144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2">
    <w:name w:val="P2"/>
    <w:uiPriority w:val="99"/>
    <w:pPr>
      <w:widowControl w:val="0"/>
      <w:tabs>
        <w:tab w:val="left" w:pos="0"/>
        <w:tab w:val="left" w:pos="864"/>
        <w:tab w:val="left" w:pos="144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3">
    <w:name w:val="P3"/>
    <w:uiPriority w:val="99"/>
    <w:pPr>
      <w:widowControl w:val="0"/>
      <w:tabs>
        <w:tab w:val="left" w:pos="0"/>
        <w:tab w:val="left" w:pos="1440"/>
        <w:tab w:val="left" w:pos="2016"/>
        <w:tab w:val="left" w:pos="216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4">
    <w:name w:val="P4"/>
    <w:uiPriority w:val="99"/>
    <w:pPr>
      <w:widowControl w:val="0"/>
      <w:tabs>
        <w:tab w:val="left" w:pos="0"/>
        <w:tab w:val="left" w:pos="2016"/>
        <w:tab w:val="left" w:pos="2592"/>
        <w:tab w:val="left" w:pos="288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5">
    <w:name w:val="P5"/>
    <w:uiPriority w:val="99"/>
    <w:pPr>
      <w:widowControl w:val="0"/>
      <w:tabs>
        <w:tab w:val="left" w:pos="0"/>
        <w:tab w:val="left" w:pos="2592"/>
        <w:tab w:val="left" w:pos="3168"/>
        <w:tab w:val="left" w:pos="360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T">
    <w:name w:val="PT"/>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ST">
    <w:name w:val="ST"/>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2"/>
      <w:sz w:val="20"/>
      <w:szCs w:val="20"/>
    </w:rPr>
  </w:style>
  <w:style w:type="paragraph" w:styleId="Header">
    <w:name w:val="header"/>
    <w:basedOn w:val="Normal"/>
    <w:link w:val="HeaderChar"/>
    <w:uiPriority w:val="99"/>
    <w:pPr>
      <w:tabs>
        <w:tab w:val="left" w:pos="0"/>
        <w:tab w:val="center" w:pos="4320"/>
        <w:tab w:val="right" w:pos="8640"/>
      </w:tabs>
      <w:suppressAutoHyphens/>
      <w:spacing w:line="240" w:lineRule="atLeast"/>
    </w:pPr>
  </w:style>
  <w:style w:type="character" w:customStyle="1" w:styleId="HeaderChar">
    <w:name w:val="Header Char"/>
    <w:basedOn w:val="DefaultParagraphFont"/>
    <w:link w:val="Header"/>
    <w:uiPriority w:val="99"/>
    <w:semiHidden/>
    <w:rsid w:val="007E0180"/>
    <w:rPr>
      <w:rFonts w:ascii="Courier New" w:hAnsi="Courier New" w:cs="Courier New"/>
      <w:sz w:val="24"/>
      <w:szCs w:val="24"/>
    </w:rPr>
  </w:style>
  <w:style w:type="paragraph" w:styleId="Footer">
    <w:name w:val="footer"/>
    <w:basedOn w:val="Normal"/>
    <w:link w:val="FooterChar"/>
    <w:uiPriority w:val="99"/>
    <w:pPr>
      <w:tabs>
        <w:tab w:val="left" w:pos="0"/>
        <w:tab w:val="center" w:pos="4320"/>
        <w:tab w:val="right" w:pos="8640"/>
      </w:tabs>
      <w:suppressAutoHyphens/>
      <w:spacing w:line="240" w:lineRule="atLeast"/>
    </w:pPr>
  </w:style>
  <w:style w:type="character" w:customStyle="1" w:styleId="FooterChar">
    <w:name w:val="Footer Char"/>
    <w:basedOn w:val="DefaultParagraphFont"/>
    <w:link w:val="Footer"/>
    <w:uiPriority w:val="99"/>
    <w:semiHidden/>
    <w:rsid w:val="007E0180"/>
    <w:rPr>
      <w:rFonts w:ascii="Courier New" w:hAnsi="Courier New" w:cs="Courier New"/>
      <w:sz w:val="24"/>
      <w:szCs w:val="24"/>
    </w:rPr>
  </w:style>
  <w:style w:type="character" w:styleId="PageNumber">
    <w:name w:val="page number"/>
    <w:basedOn w:val="DefaultParagraphFont"/>
    <w:uiPriority w:val="99"/>
  </w:style>
  <w:style w:type="paragraph" w:styleId="BodyText2">
    <w:name w:val="Body Text 2"/>
    <w:basedOn w:val="Normal"/>
    <w:link w:val="BodyText2Char"/>
    <w:uiPriority w:val="99"/>
    <w:pPr>
      <w:tabs>
        <w:tab w:val="left" w:pos="-720"/>
      </w:tabs>
      <w:suppressAutoHyphens/>
      <w:spacing w:line="240" w:lineRule="atLeast"/>
    </w:pPr>
  </w:style>
  <w:style w:type="character" w:customStyle="1" w:styleId="BodyText2Char">
    <w:name w:val="Body Text 2 Char"/>
    <w:basedOn w:val="DefaultParagraphFont"/>
    <w:link w:val="BodyText2"/>
    <w:uiPriority w:val="99"/>
    <w:semiHidden/>
    <w:rsid w:val="007E0180"/>
    <w:rPr>
      <w:rFonts w:ascii="Courier New" w:hAnsi="Courier New" w:cs="Courier New"/>
      <w:sz w:val="24"/>
      <w:szCs w:val="24"/>
    </w:rPr>
  </w:style>
  <w:style w:type="paragraph" w:styleId="BodyText3">
    <w:name w:val="Body Text 3"/>
    <w:basedOn w:val="Normal"/>
    <w:link w:val="BodyText3Char"/>
    <w:uiPriority w:val="99"/>
    <w:pPr>
      <w:tabs>
        <w:tab w:val="left" w:pos="-720"/>
      </w:tabs>
      <w:suppressAutoHyphens/>
      <w:spacing w:line="240" w:lineRule="atLeast"/>
      <w:jc w:val="both"/>
    </w:pPr>
    <w:rPr>
      <w:i/>
      <w:iCs/>
      <w:spacing w:val="-3"/>
    </w:rPr>
  </w:style>
  <w:style w:type="character" w:customStyle="1" w:styleId="BodyText3Char">
    <w:name w:val="Body Text 3 Char"/>
    <w:basedOn w:val="DefaultParagraphFont"/>
    <w:link w:val="BodyText3"/>
    <w:uiPriority w:val="99"/>
    <w:semiHidden/>
    <w:rsid w:val="007E0180"/>
    <w:rPr>
      <w:rFonts w:ascii="Courier New" w:hAnsi="Courier New" w:cs="Courier New"/>
      <w:sz w:val="16"/>
      <w:szCs w:val="16"/>
    </w:rPr>
  </w:style>
  <w:style w:type="paragraph" w:styleId="BodyText">
    <w:name w:val="Body Text"/>
    <w:basedOn w:val="Normal"/>
    <w:link w:val="BodyTextChar"/>
    <w:uiPriority w:val="99"/>
    <w:pPr>
      <w:tabs>
        <w:tab w:val="left" w:pos="-720"/>
      </w:tabs>
      <w:suppressAutoHyphens/>
      <w:spacing w:line="240" w:lineRule="atLeast"/>
      <w:jc w:val="both"/>
    </w:pPr>
    <w:rPr>
      <w:i/>
      <w:iCs/>
      <w:spacing w:val="-3"/>
    </w:rPr>
  </w:style>
  <w:style w:type="character" w:customStyle="1" w:styleId="BodyTextChar">
    <w:name w:val="Body Text Char"/>
    <w:basedOn w:val="DefaultParagraphFont"/>
    <w:link w:val="BodyText"/>
    <w:uiPriority w:val="99"/>
    <w:semiHidden/>
    <w:rsid w:val="007E0180"/>
    <w:rPr>
      <w:rFonts w:ascii="Courier New" w:hAnsi="Courier New" w:cs="Courier Ne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Monocacy Aqueduct</vt:lpstr>
    </vt:vector>
  </TitlesOfParts>
  <Company/>
  <LinksUpToDate>false</LinksUpToDate>
  <CharactersWithSpaces>17091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BAbrams</dc:creator>
  <cp:keywords/>
  <dc:description/>
  <cp:lastModifiedBy>BAbrams</cp:lastModifiedBy>
  <cp:revision>2</cp:revision>
  <dcterms:created xsi:type="dcterms:W3CDTF">2016-08-26T15:50:00Z</dcterms:created>
  <dcterms:modified xsi:type="dcterms:W3CDTF">2016-08-26T15:50:00Z</dcterms:modified>
</cp:coreProperties>
</file>