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5184"/>
        <w:gridCol w:w="5184"/>
      </w:tblGrid>
      <w:tr>
        <w:tc>
          <w:tcPr>
            <w:tcW w:type="dxa" w:w="5328"/>
            <w:tcMar>
              <w:top w:w="0" w:type="dxa"/>
              <w:start w:w="0" w:type="dxa"/>
              <w:bottom w:w="0" w:type="dxa"/>
              <w:end w:w="0" w:type="dxa"/>
            </w:tcMar>
            <w:vAlign w:val="center"/>
          </w:tcPr>
          <w:p>
            <w:pPr>
              <w:jc w:val="left"/>
            </w:pPr>
            <w:r>
              <w:drawing>
                <wp:inline xmlns:a="http://schemas.openxmlformats.org/drawingml/2006/main" xmlns:pic="http://schemas.openxmlformats.org/drawingml/2006/picture">
                  <wp:extent cx="1353312" cy="1391114"/>
                  <wp:docPr id="1" name="Picture 1"/>
                  <wp:cNvGraphicFramePr>
                    <a:graphicFrameLocks noChangeAspect="1"/>
                  </wp:cNvGraphicFramePr>
                  <a:graphic>
                    <a:graphicData uri="http://schemas.openxmlformats.org/drawingml/2006/picture">
                      <pic:pic>
                        <pic:nvPicPr>
                          <pic:cNvPr id="0" name="DMG.jpg"/>
                          <pic:cNvPicPr/>
                        </pic:nvPicPr>
                        <pic:blipFill>
                          <a:blip r:embed="rId9"/>
                          <a:stretch>
                            <a:fillRect/>
                          </a:stretch>
                        </pic:blipFill>
                        <pic:spPr>
                          <a:xfrm>
                            <a:off x="0" y="0"/>
                            <a:ext cx="1353312" cy="1391114"/>
                          </a:xfrm>
                          <a:prstGeom prst="rect"/>
                        </pic:spPr>
                      </pic:pic>
                    </a:graphicData>
                  </a:graphic>
                </wp:inline>
              </w:drawing>
            </w:r>
          </w:p>
        </w:tc>
        <w:tc>
          <w:tcPr>
            <w:tcW w:type="dxa" w:w="5328"/>
            <w:tcMar>
              <w:top w:w="0" w:type="dxa"/>
              <w:start w:w="0" w:type="dxa"/>
              <w:bottom w:w="0" w:type="dxa"/>
              <w:end w:w="0" w:type="dxa"/>
            </w:tcMar>
            <w:vAlign w:val="center"/>
          </w:tcPr>
          <w:p>
            <w:pPr>
              <w:jc w:val="right"/>
            </w:pPr>
            <w:r>
              <w:drawing>
                <wp:inline xmlns:a="http://schemas.openxmlformats.org/drawingml/2006/main" xmlns:pic="http://schemas.openxmlformats.org/drawingml/2006/picture">
                  <wp:extent cx="2240280" cy="868108"/>
                  <wp:docPr id="2" name="Picture 2"/>
                  <wp:cNvGraphicFramePr>
                    <a:graphicFrameLocks noChangeAspect="1"/>
                  </wp:cNvGraphicFramePr>
                  <a:graphic>
                    <a:graphicData uri="http://schemas.openxmlformats.org/drawingml/2006/picture">
                      <pic:pic>
                        <pic:nvPicPr>
                          <pic:cNvPr id="0" name="patchett ag air(1).jpg"/>
                          <pic:cNvPicPr/>
                        </pic:nvPicPr>
                        <pic:blipFill>
                          <a:blip r:embed="rId10"/>
                          <a:stretch>
                            <a:fillRect/>
                          </a:stretch>
                        </pic:blipFill>
                        <pic:spPr>
                          <a:xfrm>
                            <a:off x="0" y="0"/>
                            <a:ext cx="2240280" cy="868108"/>
                          </a:xfrm>
                          <a:prstGeom prst="rect"/>
                        </pic:spPr>
                      </pic:pic>
                    </a:graphicData>
                  </a:graphic>
                </wp:inline>
              </w:drawing>
            </w:r>
          </w:p>
        </w:tc>
      </w:tr>
    </w:tbl>
    <w:p>
      <w:pPr>
        <w:spacing w:before="40" w:after="0"/>
        <w:jc w:val="center"/>
      </w:pPr>
      <w:r>
        <w:rPr>
          <w:rFonts w:ascii="Arial" w:hAnsi="Arial"/>
          <w:b/>
          <w:color w:val="A0002D"/>
          <w:sz w:val="38"/>
        </w:rPr>
        <w:t>PATCHETT AG-AIR LTD</w:t>
      </w:r>
    </w:p>
    <w:p>
      <w:pPr>
        <w:spacing w:after="140"/>
        <w:jc w:val="center"/>
      </w:pPr>
      <w:r>
        <w:rPr>
          <w:b/>
          <w:color w:val="0A7AC3"/>
          <w:sz w:val="27"/>
        </w:rPr>
        <w:t>RIDER INFORMATION</w:t>
      </w:r>
    </w:p>
    <w:p>
      <w:pPr>
        <w:keepLines/>
        <w:spacing w:before="64" w:after="20"/>
      </w:pPr>
      <w:r>
        <w:rPr>
          <w:b/>
          <w:color w:val="0A7AC3"/>
          <w:sz w:val="20"/>
        </w:rPr>
        <w:t>1. Official Start Time</w:t>
      </w:r>
    </w:p>
    <w:p>
      <w:pPr>
        <w:keepLines/>
        <w:spacing w:after="44"/>
        <w:ind w:left="173"/>
      </w:pPr>
      <w:r>
        <w:rPr>
          <w:b w:val="0"/>
          <w:color w:val="202020"/>
          <w:sz w:val="18"/>
        </w:rPr>
        <w:t xml:space="preserve">The official event start time is </w:t>
      </w:r>
      <w:r>
        <w:rPr>
          <w:b/>
          <w:color w:val="202020"/>
          <w:sz w:val="18"/>
        </w:rPr>
        <w:t>midnight, 26 September 2026</w:t>
      </w:r>
      <w:r>
        <w:rPr>
          <w:b w:val="0"/>
          <w:color w:val="202020"/>
          <w:sz w:val="18"/>
        </w:rPr>
        <w:t>. This marks the beginning of the period of jurisdiction for all Equestrian Sports New Zealand (ESNZ) General Regulations and ESNZ Dressage Rules. Dressage NZ Articles 420-430 regarding prohibited gear apply from the time of arrival at the event.</w:t>
      </w:r>
    </w:p>
    <w:p>
      <w:pPr>
        <w:keepLines/>
        <w:spacing w:before="64" w:after="20"/>
      </w:pPr>
      <w:r>
        <w:rPr>
          <w:b/>
          <w:color w:val="0A7AC3"/>
          <w:sz w:val="20"/>
        </w:rPr>
        <w:t>2. Official Finish Time, Protests &amp; Complaints</w:t>
      </w:r>
    </w:p>
    <w:p>
      <w:pPr>
        <w:keepLines/>
        <w:spacing w:after="44"/>
        <w:ind w:left="173"/>
      </w:pPr>
      <w:r>
        <w:rPr>
          <w:b w:val="0"/>
          <w:color w:val="202020"/>
          <w:sz w:val="18"/>
        </w:rPr>
        <w:t xml:space="preserve">The official finish time will be </w:t>
      </w:r>
      <w:r>
        <w:rPr>
          <w:b/>
          <w:color w:val="202020"/>
          <w:sz w:val="18"/>
        </w:rPr>
        <w:t>60 minutes after completion of the last class, or 60 minutes after completion of all presentations, whichever is later.</w:t>
      </w:r>
      <w:r>
        <w:rPr>
          <w:b w:val="0"/>
          <w:color w:val="202020"/>
          <w:sz w:val="18"/>
        </w:rPr>
        <w:t xml:space="preserve"> Protests and complaints may be considered by the Ground Jury in accordance with Article 137 of the ESNZ General Regulations. As a guideline only, protests should be lodged within 60 minutes of the relevant competition and complaints within 60 minutes of completion of the event. The Ground Jury is the sole judge of time in both cases. Rules: www.nzequestrian.org.nz/esnz/rules-regulations/</w:t>
      </w:r>
    </w:p>
    <w:p>
      <w:pPr>
        <w:keepLines/>
        <w:spacing w:before="64" w:after="20"/>
      </w:pPr>
      <w:r>
        <w:rPr>
          <w:b/>
          <w:color w:val="0A7AC3"/>
          <w:sz w:val="20"/>
        </w:rPr>
        <w:t>3. Prizegiving</w:t>
      </w:r>
    </w:p>
    <w:p>
      <w:pPr>
        <w:keepLines/>
        <w:spacing w:after="44"/>
        <w:ind w:left="173"/>
      </w:pPr>
      <w:r>
        <w:rPr>
          <w:b/>
          <w:color w:val="202020"/>
          <w:sz w:val="18"/>
        </w:rPr>
        <w:t xml:space="preserve">Saturday approx. 4.15 pm | Sunday approx. 4.15 pm. </w:t>
      </w:r>
      <w:r>
        <w:rPr>
          <w:b w:val="0"/>
          <w:color w:val="202020"/>
          <w:sz w:val="18"/>
        </w:rPr>
        <w:t>Attendance by Champions and Reserves is highly recommended. Please make every effort to attend and show your support for our generous sponsors.</w:t>
      </w:r>
    </w:p>
    <w:p>
      <w:pPr>
        <w:keepLines/>
        <w:spacing w:before="64" w:after="20"/>
      </w:pPr>
      <w:r>
        <w:rPr>
          <w:b/>
          <w:color w:val="0A7AC3"/>
          <w:sz w:val="20"/>
        </w:rPr>
        <w:t>4. Music for Freestyles</w:t>
      </w:r>
    </w:p>
    <w:p>
      <w:pPr>
        <w:keepLines/>
        <w:spacing w:after="44"/>
        <w:ind w:left="173"/>
      </w:pPr>
      <w:r>
        <w:rPr>
          <w:b w:val="0"/>
          <w:color w:val="202020"/>
          <w:sz w:val="18"/>
        </w:rPr>
        <w:t xml:space="preserve">Please deliver freestyle music to the </w:t>
      </w:r>
      <w:r>
        <w:rPr>
          <w:b/>
          <w:color w:val="202020"/>
          <w:sz w:val="18"/>
        </w:rPr>
        <w:t>Music Caravan at least two hours before your class.</w:t>
      </w:r>
      <w:r>
        <w:rPr>
          <w:b w:val="0"/>
          <w:color w:val="202020"/>
          <w:sz w:val="18"/>
        </w:rPr>
        <w:t xml:space="preserve"> Music must be supplied on a USB and saved as either an MP3 or video file.</w:t>
      </w:r>
    </w:p>
    <w:p>
      <w:pPr>
        <w:keepLines/>
        <w:spacing w:before="64" w:after="20"/>
      </w:pPr>
      <w:r>
        <w:rPr>
          <w:b/>
          <w:color w:val="0A7AC3"/>
          <w:sz w:val="20"/>
        </w:rPr>
        <w:t>5. Arena Familiarisation</w:t>
      </w:r>
    </w:p>
    <w:p>
      <w:pPr>
        <w:keepLines/>
        <w:spacing w:after="44"/>
        <w:ind w:left="173"/>
      </w:pPr>
      <w:r>
        <w:rPr>
          <w:b w:val="0"/>
          <w:color w:val="202020"/>
          <w:sz w:val="18"/>
        </w:rPr>
        <w:t xml:space="preserve">There is </w:t>
      </w:r>
      <w:r>
        <w:rPr>
          <w:b/>
          <w:color w:val="202020"/>
          <w:sz w:val="18"/>
        </w:rPr>
        <w:t>no arena familiarisation</w:t>
      </w:r>
      <w:r>
        <w:rPr>
          <w:b w:val="0"/>
          <w:color w:val="202020"/>
          <w:sz w:val="18"/>
        </w:rPr>
        <w:t>.</w:t>
      </w:r>
    </w:p>
    <w:p>
      <w:pPr>
        <w:keepLines/>
        <w:spacing w:before="64" w:after="20"/>
      </w:pPr>
      <w:r>
        <w:rPr>
          <w:b/>
          <w:color w:val="0A7AC3"/>
          <w:sz w:val="20"/>
        </w:rPr>
        <w:t>6. First Aid</w:t>
      </w:r>
    </w:p>
    <w:p>
      <w:pPr>
        <w:keepLines/>
        <w:spacing w:after="44"/>
        <w:ind w:left="173"/>
      </w:pPr>
      <w:r>
        <w:rPr>
          <w:b w:val="0"/>
          <w:color w:val="202020"/>
          <w:sz w:val="18"/>
        </w:rPr>
        <w:t xml:space="preserve">For First Aid assistance, please see the </w:t>
      </w:r>
      <w:r>
        <w:rPr>
          <w:b/>
          <w:color w:val="202020"/>
          <w:sz w:val="18"/>
        </w:rPr>
        <w:t>Event Office</w:t>
      </w:r>
      <w:r>
        <w:rPr>
          <w:b w:val="0"/>
          <w:color w:val="202020"/>
          <w:sz w:val="18"/>
        </w:rPr>
        <w:t>.</w:t>
      </w:r>
    </w:p>
    <w:p>
      <w:pPr>
        <w:keepLines/>
        <w:spacing w:before="64" w:after="20"/>
      </w:pPr>
      <w:r>
        <w:rPr>
          <w:b/>
          <w:color w:val="0A7AC3"/>
          <w:sz w:val="20"/>
        </w:rPr>
        <w:t>7. Steward</w:t>
      </w:r>
    </w:p>
    <w:p>
      <w:pPr>
        <w:keepLines/>
        <w:spacing w:after="44"/>
        <w:ind w:left="173"/>
      </w:pPr>
      <w:r>
        <w:rPr>
          <w:b w:val="0"/>
          <w:color w:val="202020"/>
          <w:sz w:val="18"/>
        </w:rPr>
        <w:t xml:space="preserve">Event Steward: </w:t>
      </w:r>
      <w:r>
        <w:rPr>
          <w:b/>
          <w:color w:val="202020"/>
          <w:sz w:val="18"/>
        </w:rPr>
        <w:t>Alexandra Stowasser</w:t>
      </w:r>
      <w:r>
        <w:rPr>
          <w:b w:val="0"/>
          <w:color w:val="202020"/>
          <w:sz w:val="18"/>
        </w:rPr>
        <w:t>.</w:t>
      </w:r>
    </w:p>
    <w:p>
      <w:pPr>
        <w:keepLines/>
        <w:spacing w:before="64" w:after="20"/>
      </w:pPr>
      <w:r>
        <w:rPr>
          <w:b/>
          <w:color w:val="0A7AC3"/>
          <w:sz w:val="20"/>
        </w:rPr>
        <w:t>8. Horse/Pony Identification Tags</w:t>
      </w:r>
    </w:p>
    <w:p>
      <w:pPr>
        <w:keepLines/>
        <w:spacing w:after="44"/>
        <w:ind w:left="173"/>
      </w:pPr>
      <w:r>
        <w:rPr>
          <w:b w:val="0"/>
          <w:color w:val="202020"/>
          <w:sz w:val="18"/>
        </w:rPr>
        <w:t xml:space="preserve">Horses and ponies must have an ID tag attached at all times when in yards, covered yards or tied to a float. The tag must clearly show the </w:t>
      </w:r>
      <w:r>
        <w:rPr>
          <w:b/>
          <w:color w:val="202020"/>
          <w:sz w:val="18"/>
        </w:rPr>
        <w:t>rider's name, phone number and horse/pony's name</w:t>
      </w:r>
      <w:r>
        <w:rPr>
          <w:b w:val="0"/>
          <w:color w:val="202020"/>
          <w:sz w:val="18"/>
        </w:rPr>
        <w:t>.</w:t>
      </w:r>
    </w:p>
    <w:p>
      <w:pPr>
        <w:spacing w:before="100" w:after="60"/>
        <w:jc w:val="center"/>
      </w:pPr>
      <w:r>
        <w:rPr>
          <w:b/>
          <w:color w:val="0A7AC3"/>
          <w:sz w:val="19"/>
        </w:rPr>
        <w:t>EVENT RECEPTION / OFFICE HOURS: 7.00 am - 5.00 pm SATURDAY &amp; SUNDAY</w:t>
      </w:r>
    </w:p>
    <w:tbl>
      <w:tblPr>
        <w:tblW w:type="auto" w:w="0"/>
        <w:jc w:val="center"/>
        <w:tblLayout w:type="fixed"/>
        <w:tblLook w:firstColumn="1" w:firstRow="1" w:lastColumn="0" w:lastRow="0" w:noHBand="0" w:noVBand="1" w:val="04A0"/>
      </w:tblPr>
      <w:tblGrid>
        <w:gridCol w:w="5112"/>
        <w:gridCol w:w="5112"/>
      </w:tblGrid>
      <w:tr>
        <w:tc>
          <w:tcPr>
            <w:tcW w:type="dxa" w:w="5328"/>
            <w:tcMar>
              <w:top w:w="75" w:type="dxa"/>
              <w:start w:w="100" w:type="dxa"/>
              <w:bottom w:w="75" w:type="dxa"/>
              <w:end w:w="100" w:type="dxa"/>
            </w:tcMar>
            <w:vAlign w:val="center"/>
            <w:shd w:fill="EAF4FA"/>
            <w:tcBorders>
              <w:top w:val="single" w:sz="3" w:color="C7DDEB"/>
              <w:bottom w:val="single" w:sz="3" w:color="C7DDEB"/>
              <w:left w:val="single" w:sz="3" w:color="C7DDEB"/>
              <w:right w:val="single" w:sz="3" w:color="C7DDEB"/>
            </w:tcBorders>
          </w:tcPr>
          <w:p>
            <w:pPr>
              <w:spacing w:after="0"/>
            </w:pPr>
            <w:r>
              <w:rPr>
                <w:b/>
                <w:color w:val="0A7AC3"/>
                <w:sz w:val="17"/>
              </w:rPr>
              <w:t>EMERGENCIES</w:t>
              <w:br/>
            </w:r>
            <w:r>
              <w:rPr>
                <w:b/>
                <w:sz w:val="17"/>
              </w:rPr>
              <w:t>Dial 111</w:t>
            </w:r>
          </w:p>
        </w:tc>
        <w:tc>
          <w:tcPr>
            <w:tcW w:type="dxa" w:w="5328"/>
            <w:tcMar>
              <w:top w:w="75" w:type="dxa"/>
              <w:start w:w="100" w:type="dxa"/>
              <w:bottom w:w="75" w:type="dxa"/>
              <w:end w:w="100" w:type="dxa"/>
            </w:tcMar>
            <w:vAlign w:val="center"/>
            <w:shd w:fill="EAF4FA"/>
            <w:tcBorders>
              <w:top w:val="single" w:sz="3" w:color="C7DDEB"/>
              <w:bottom w:val="single" w:sz="3" w:color="C7DDEB"/>
              <w:left w:val="single" w:sz="3" w:color="C7DDEB"/>
              <w:right w:val="single" w:sz="3" w:color="C7DDEB"/>
            </w:tcBorders>
          </w:tcPr>
          <w:p>
            <w:pPr>
              <w:spacing w:after="0"/>
            </w:pPr>
            <w:r>
              <w:rPr>
                <w:b/>
                <w:color w:val="0A7AC3"/>
                <w:sz w:val="17"/>
              </w:rPr>
              <w:t>24-Hour Medical / Urgent Care</w:t>
              <w:br/>
            </w:r>
            <w:r>
              <w:rPr>
                <w:b w:val="0"/>
                <w:sz w:val="17"/>
              </w:rPr>
              <w:t>03 520 6377</w:t>
            </w:r>
          </w:p>
        </w:tc>
      </w:tr>
      <w:tr>
        <w:tc>
          <w:tcPr>
            <w:tcW w:type="dxa" w:w="5112"/>
            <w:tcMar>
              <w:top w:w="75" w:type="dxa"/>
              <w:start w:w="100" w:type="dxa"/>
              <w:bottom w:w="75" w:type="dxa"/>
              <w:end w:w="100" w:type="dxa"/>
            </w:tcMar>
            <w:vAlign w:val="center"/>
            <w:shd w:fill="EAF4FA"/>
            <w:tcBorders>
              <w:top w:val="single" w:sz="3" w:color="C7DDEB"/>
              <w:bottom w:val="single" w:sz="3" w:color="C7DDEB"/>
              <w:left w:val="single" w:sz="3" w:color="C7DDEB"/>
              <w:right w:val="single" w:sz="3" w:color="C7DDEB"/>
            </w:tcBorders>
          </w:tcPr>
          <w:p>
            <w:pPr>
              <w:spacing w:after="0"/>
            </w:pPr>
            <w:r>
              <w:rPr>
                <w:b/>
                <w:color w:val="0A7AC3"/>
                <w:sz w:val="17"/>
              </w:rPr>
              <w:t>Local Vet - Vets on Alabama</w:t>
              <w:br/>
            </w:r>
            <w:r>
              <w:rPr>
                <w:b w:val="0"/>
                <w:sz w:val="17"/>
              </w:rPr>
              <w:t>03 578 6965</w:t>
            </w:r>
          </w:p>
        </w:tc>
        <w:tc>
          <w:tcPr>
            <w:tcW w:type="dxa" w:w="5112"/>
            <w:tcMar>
              <w:top w:w="75" w:type="dxa"/>
              <w:start w:w="100" w:type="dxa"/>
              <w:bottom w:w="75" w:type="dxa"/>
              <w:end w:w="100" w:type="dxa"/>
            </w:tcMar>
            <w:vAlign w:val="center"/>
            <w:shd w:fill="EAF4FA"/>
            <w:tcBorders>
              <w:top w:val="single" w:sz="3" w:color="C7DDEB"/>
              <w:bottom w:val="single" w:sz="3" w:color="C7DDEB"/>
              <w:left w:val="single" w:sz="3" w:color="C7DDEB"/>
              <w:right w:val="single" w:sz="3" w:color="C7DDEB"/>
            </w:tcBorders>
          </w:tcPr>
          <w:p>
            <w:pPr>
              <w:spacing w:after="0"/>
            </w:pPr>
            <w:r>
              <w:rPr>
                <w:b/>
                <w:color w:val="0A7AC3"/>
                <w:sz w:val="17"/>
              </w:rPr>
              <w:t>Farrier - Earl Paewai</w:t>
              <w:br/>
            </w:r>
            <w:r>
              <w:rPr>
                <w:b w:val="0"/>
                <w:sz w:val="17"/>
              </w:rPr>
              <w:t>027 230 3674</w:t>
            </w:r>
          </w:p>
        </w:tc>
      </w:tr>
      <w:tr>
        <w:tc>
          <w:tcPr>
            <w:tcW w:type="dxa" w:w="5112"/>
            <w:tcMar>
              <w:top w:w="75" w:type="dxa"/>
              <w:start w:w="100" w:type="dxa"/>
              <w:bottom w:w="75" w:type="dxa"/>
              <w:end w:w="100" w:type="dxa"/>
            </w:tcMar>
            <w:vAlign w:val="center"/>
            <w:shd w:fill="EAF4FA"/>
            <w:tcBorders>
              <w:top w:val="single" w:sz="3" w:color="C7DDEB"/>
              <w:bottom w:val="single" w:sz="3" w:color="C7DDEB"/>
              <w:left w:val="single" w:sz="3" w:color="C7DDEB"/>
              <w:right w:val="single" w:sz="3" w:color="C7DDEB"/>
            </w:tcBorders>
          </w:tcPr>
          <w:p>
            <w:pPr>
              <w:spacing w:after="0"/>
            </w:pPr>
            <w:r>
              <w:rPr>
                <w:b/>
                <w:color w:val="0A7AC3"/>
                <w:sz w:val="17"/>
              </w:rPr>
              <w:t>Event Secretary - Sharon Inwood</w:t>
              <w:br/>
            </w:r>
            <w:r>
              <w:rPr>
                <w:b w:val="0"/>
                <w:sz w:val="17"/>
              </w:rPr>
              <w:t>marlboroughdressage@xtra.co.nz</w:t>
            </w:r>
          </w:p>
        </w:tc>
        <w:tc>
          <w:tcPr>
            <w:tcW w:type="dxa" w:w="5112"/>
            <w:tcMar>
              <w:top w:w="75" w:type="dxa"/>
              <w:start w:w="100" w:type="dxa"/>
              <w:bottom w:w="75" w:type="dxa"/>
              <w:end w:w="100" w:type="dxa"/>
            </w:tcMar>
            <w:vAlign w:val="center"/>
            <w:shd w:fill="EAF4FA"/>
            <w:tcBorders>
              <w:top w:val="single" w:sz="3" w:color="C7DDEB"/>
              <w:bottom w:val="single" w:sz="3" w:color="C7DDEB"/>
              <w:left w:val="single" w:sz="3" w:color="C7DDEB"/>
              <w:right w:val="single" w:sz="3" w:color="C7DDEB"/>
            </w:tcBorders>
          </w:tcPr>
          <w:p>
            <w:pPr>
              <w:spacing w:after="0"/>
            </w:pPr>
            <w:r>
              <w:rPr>
                <w:b/>
                <w:color w:val="0A7AC3"/>
                <w:sz w:val="17"/>
              </w:rPr>
              <w:t>Day Secretary</w:t>
              <w:br/>
            </w:r>
            <w:r>
              <w:rPr>
                <w:b w:val="0"/>
                <w:sz w:val="17"/>
              </w:rPr>
              <w:t>Janelle Saunders</w:t>
            </w:r>
          </w:p>
        </w:tc>
      </w:tr>
      <w:tr>
        <w:tc>
          <w:tcPr>
            <w:tcW w:type="dxa" w:w="5112"/>
            <w:tcMar>
              <w:top w:w="75" w:type="dxa"/>
              <w:start w:w="100" w:type="dxa"/>
              <w:bottom w:w="75" w:type="dxa"/>
              <w:end w:w="100" w:type="dxa"/>
            </w:tcMar>
            <w:vAlign w:val="center"/>
            <w:shd w:fill="EAF4FA"/>
            <w:tcBorders>
              <w:top w:val="single" w:sz="3" w:color="C7DDEB"/>
              <w:bottom w:val="single" w:sz="3" w:color="C7DDEB"/>
              <w:left w:val="single" w:sz="3" w:color="C7DDEB"/>
              <w:right w:val="single" w:sz="3" w:color="C7DDEB"/>
            </w:tcBorders>
          </w:tcPr>
          <w:p>
            <w:pPr>
              <w:spacing w:after="0"/>
            </w:pPr>
            <w:r>
              <w:rPr>
                <w:b/>
                <w:color w:val="0A7AC3"/>
                <w:sz w:val="17"/>
              </w:rPr>
              <w:t>Yard Manager</w:t>
              <w:br/>
            </w:r>
            <w:r>
              <w:rPr>
                <w:b w:val="0"/>
                <w:sz w:val="17"/>
              </w:rPr>
              <w:t>Tracy Rose Russell</w:t>
            </w:r>
          </w:p>
        </w:tc>
        <w:tc>
          <w:tcPr>
            <w:tcW w:type="dxa" w:w="5112"/>
            <w:tcMar>
              <w:top w:w="75" w:type="dxa"/>
              <w:start w:w="100" w:type="dxa"/>
              <w:bottom w:w="75" w:type="dxa"/>
              <w:end w:w="100" w:type="dxa"/>
            </w:tcMar>
            <w:vAlign w:val="center"/>
            <w:shd w:fill="EAF4FA"/>
            <w:tcBorders>
              <w:top w:val="single" w:sz="3" w:color="C7DDEB"/>
              <w:bottom w:val="single" w:sz="3" w:color="C7DDEB"/>
              <w:left w:val="single" w:sz="3" w:color="C7DDEB"/>
              <w:right w:val="single" w:sz="3" w:color="C7DDEB"/>
            </w:tcBorders>
          </w:tcPr>
          <w:p>
            <w:pPr>
              <w:spacing w:after="0"/>
            </w:pPr>
            <w:r>
              <w:t xml:space="preserve"> </w:t>
            </w:r>
          </w:p>
        </w:tc>
      </w:tr>
    </w:tbl>
    <w:p>
      <w:pPr>
        <w:spacing w:before="100" w:after="0"/>
        <w:jc w:val="center"/>
      </w:pPr>
      <w:r>
        <w:rPr>
          <w:i/>
          <w:color w:val="5A5A5A"/>
          <w:sz w:val="16"/>
        </w:rPr>
        <w:t>Dressage Marlborough  |  Proudly supported by naming rights sponsor Patchett Ag-Air Ltd</w:t>
      </w:r>
    </w:p>
    <w:sectPr w:rsidR="00FC693F" w:rsidRPr="0006063C" w:rsidSect="00034616">
      <w:pgSz w:w="12240" w:h="15840"/>
      <w:pgMar w:top="547" w:right="792" w:bottom="605"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7" w:lineRule="auto"/>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