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40" w:type="dxa"/>
        <w:tblCellSpacing w:w="0" w:type="dxa"/>
        <w:tblCellMar>
          <w:left w:w="0" w:type="dxa"/>
          <w:right w:w="0" w:type="dxa"/>
        </w:tblCellMar>
        <w:tblLook w:val="04A0"/>
      </w:tblPr>
      <w:tblGrid>
        <w:gridCol w:w="149"/>
        <w:gridCol w:w="3165"/>
        <w:gridCol w:w="4500"/>
        <w:gridCol w:w="2627"/>
        <w:gridCol w:w="299"/>
      </w:tblGrid>
      <w:tr w:rsidR="003C5CE9" w:rsidTr="003C5CE9">
        <w:trPr>
          <w:trHeight w:val="2685"/>
          <w:tblCellSpacing w:w="0" w:type="dxa"/>
        </w:trPr>
        <w:tc>
          <w:tcPr>
            <w:tcW w:w="3330" w:type="dxa"/>
            <w:gridSpan w:val="2"/>
            <w:vMerge w:val="restart"/>
            <w:hideMark/>
          </w:tcPr>
          <w:p w:rsidR="003C5CE9" w:rsidRDefault="003C5CE9">
            <w:pPr>
              <w:rPr>
                <w:rFonts w:asciiTheme="minorHAnsi" w:eastAsiaTheme="minorEastAsia" w:hAnsiTheme="minorHAnsi" w:cstheme="minorBidi"/>
                <w:color w:val="auto"/>
                <w:sz w:val="22"/>
                <w:szCs w:val="22"/>
              </w:rPr>
            </w:pPr>
          </w:p>
        </w:tc>
        <w:tc>
          <w:tcPr>
            <w:tcW w:w="4470" w:type="dxa"/>
            <w:hideMark/>
          </w:tcPr>
          <w:p w:rsidR="003C5CE9" w:rsidRDefault="003C5CE9">
            <w:pPr>
              <w:rPr>
                <w:rFonts w:eastAsia="Times New Roman"/>
                <w:color w:val="auto"/>
                <w:sz w:val="24"/>
                <w:szCs w:val="24"/>
              </w:rPr>
            </w:pPr>
            <w:r>
              <w:rPr>
                <w:rFonts w:eastAsia="Times New Roman"/>
                <w:noProof/>
                <w:color w:val="auto"/>
                <w:sz w:val="24"/>
                <w:szCs w:val="24"/>
              </w:rPr>
              <w:drawing>
                <wp:inline distT="0" distB="0" distL="0" distR="0">
                  <wp:extent cx="2838450" cy="1709420"/>
                  <wp:effectExtent l="19050" t="0" r="0" b="0"/>
                  <wp:docPr id="1" name="Picture 1" descr="cid:image001.jpg@01CB429C.52CE8A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B429C.52CE8A30"/>
                          <pic:cNvPicPr>
                            <a:picLocks noChangeAspect="1" noChangeArrowheads="1"/>
                          </pic:cNvPicPr>
                        </pic:nvPicPr>
                        <pic:blipFill>
                          <a:blip r:embed="rId4" r:link="rId5"/>
                          <a:srcRect/>
                          <a:stretch>
                            <a:fillRect/>
                          </a:stretch>
                        </pic:blipFill>
                        <pic:spPr bwMode="auto">
                          <a:xfrm>
                            <a:off x="0" y="0"/>
                            <a:ext cx="2838450" cy="1709420"/>
                          </a:xfrm>
                          <a:prstGeom prst="rect">
                            <a:avLst/>
                          </a:prstGeom>
                          <a:noFill/>
                          <a:ln w="9525">
                            <a:noFill/>
                            <a:miter lim="800000"/>
                            <a:headEnd/>
                            <a:tailEnd/>
                          </a:ln>
                        </pic:spPr>
                      </pic:pic>
                    </a:graphicData>
                  </a:graphic>
                </wp:inline>
              </w:drawing>
            </w:r>
          </w:p>
        </w:tc>
        <w:tc>
          <w:tcPr>
            <w:tcW w:w="2940" w:type="dxa"/>
            <w:gridSpan w:val="2"/>
            <w:hideMark/>
          </w:tcPr>
          <w:p w:rsidR="003C5CE9" w:rsidRDefault="003C5CE9">
            <w:pPr>
              <w:rPr>
                <w:rFonts w:asciiTheme="minorHAnsi" w:eastAsiaTheme="minorEastAsia" w:hAnsiTheme="minorHAnsi" w:cstheme="minorBidi"/>
                <w:color w:val="auto"/>
                <w:sz w:val="22"/>
                <w:szCs w:val="22"/>
              </w:rPr>
            </w:pPr>
          </w:p>
        </w:tc>
      </w:tr>
      <w:tr w:rsidR="003C5CE9" w:rsidTr="003C5CE9">
        <w:trPr>
          <w:trHeight w:val="135"/>
          <w:tblCellSpacing w:w="0" w:type="dxa"/>
        </w:trPr>
        <w:tc>
          <w:tcPr>
            <w:tcW w:w="0" w:type="auto"/>
            <w:gridSpan w:val="2"/>
            <w:vMerge/>
            <w:vAlign w:val="center"/>
            <w:hideMark/>
          </w:tcPr>
          <w:p w:rsidR="003C5CE9" w:rsidRDefault="003C5CE9">
            <w:pPr>
              <w:rPr>
                <w:rFonts w:asciiTheme="minorHAnsi" w:eastAsiaTheme="minorEastAsia" w:hAnsiTheme="minorHAnsi" w:cstheme="minorBidi"/>
                <w:color w:val="auto"/>
                <w:sz w:val="22"/>
                <w:szCs w:val="22"/>
              </w:rPr>
            </w:pPr>
          </w:p>
        </w:tc>
        <w:tc>
          <w:tcPr>
            <w:tcW w:w="7410" w:type="dxa"/>
            <w:gridSpan w:val="3"/>
            <w:hideMark/>
          </w:tcPr>
          <w:p w:rsidR="003C5CE9" w:rsidRDefault="003C5CE9">
            <w:pPr>
              <w:rPr>
                <w:rFonts w:asciiTheme="minorHAnsi" w:eastAsiaTheme="minorEastAsia" w:hAnsiTheme="minorHAnsi" w:cstheme="minorBidi"/>
                <w:color w:val="auto"/>
                <w:sz w:val="22"/>
                <w:szCs w:val="22"/>
              </w:rPr>
            </w:pPr>
          </w:p>
        </w:tc>
      </w:tr>
      <w:tr w:rsidR="003C5CE9" w:rsidTr="003C5CE9">
        <w:trPr>
          <w:gridAfter w:val="1"/>
          <w:wAfter w:w="300" w:type="dxa"/>
          <w:trHeight w:val="4320"/>
          <w:tblCellSpacing w:w="0" w:type="dxa"/>
        </w:trPr>
        <w:tc>
          <w:tcPr>
            <w:tcW w:w="150" w:type="dxa"/>
            <w:vMerge w:val="restart"/>
            <w:hideMark/>
          </w:tcPr>
          <w:p w:rsidR="003C5CE9" w:rsidRDefault="003C5CE9">
            <w:pPr>
              <w:rPr>
                <w:rFonts w:asciiTheme="minorHAnsi" w:eastAsiaTheme="minorEastAsia" w:hAnsiTheme="minorHAnsi" w:cstheme="minorBidi"/>
                <w:color w:val="auto"/>
                <w:sz w:val="22"/>
                <w:szCs w:val="22"/>
              </w:rPr>
            </w:pPr>
          </w:p>
        </w:tc>
        <w:tc>
          <w:tcPr>
            <w:tcW w:w="10290" w:type="dxa"/>
            <w:gridSpan w:val="3"/>
            <w:vMerge w:val="restart"/>
            <w:hideMark/>
          </w:tcPr>
          <w:p w:rsidR="003C5CE9" w:rsidRDefault="003C5CE9">
            <w:pPr>
              <w:jc w:val="center"/>
            </w:pPr>
            <w:r>
              <w:rPr>
                <w:b/>
                <w:bCs/>
                <w:sz w:val="30"/>
                <w:szCs w:val="30"/>
              </w:rPr>
              <w:t>Special Enrollment Period for Adult Children ages 19 to 26</w:t>
            </w:r>
          </w:p>
          <w:p w:rsidR="003C5CE9" w:rsidRDefault="003C5CE9">
            <w:r>
              <w:t> </w:t>
            </w:r>
          </w:p>
          <w:p w:rsidR="003C5CE9" w:rsidRDefault="003C5CE9">
            <w:r>
              <w:rPr>
                <w:sz w:val="24"/>
                <w:szCs w:val="24"/>
              </w:rPr>
              <w:t>Starting August 26th 2010 and ending on September 24th Sutter Delta Medical Center and the East Bay Region will hold a special enrollment period for the Adult Children of our employees.   In keeping with our commitment to be an “employer of choice,” we have decided to implement NOW the provisions of the new Health Care Reform legislation concerning coverage for adult dependent children up to age 26 rather than wait until the mandatory effective date of January 1, 2011.</w:t>
            </w:r>
          </w:p>
          <w:p w:rsidR="003C5CE9" w:rsidRDefault="003C5CE9">
            <w:r>
              <w:rPr>
                <w:sz w:val="24"/>
                <w:szCs w:val="24"/>
              </w:rPr>
              <w:t> </w:t>
            </w:r>
          </w:p>
          <w:p w:rsidR="003C5CE9" w:rsidRDefault="003C5CE9">
            <w:r>
              <w:rPr>
                <w:sz w:val="24"/>
                <w:szCs w:val="24"/>
              </w:rPr>
              <w:t>Notice is being mailed to all benefit-eligible employees in each affiliate in the Region.</w:t>
            </w:r>
          </w:p>
          <w:p w:rsidR="003C5CE9" w:rsidRDefault="003C5CE9">
            <w:r>
              <w:rPr>
                <w:sz w:val="24"/>
                <w:szCs w:val="24"/>
              </w:rPr>
              <w:t> </w:t>
            </w:r>
          </w:p>
          <w:p w:rsidR="003C5CE9" w:rsidRDefault="003C5CE9">
            <w:r>
              <w:rPr>
                <w:b/>
                <w:bCs/>
                <w:sz w:val="26"/>
                <w:szCs w:val="26"/>
              </w:rPr>
              <w:t>If you do not have adult children between the ages of 19 and 26, this does not apply to you.</w:t>
            </w:r>
          </w:p>
          <w:p w:rsidR="003C5CE9" w:rsidRDefault="003C5CE9">
            <w:r>
              <w:rPr>
                <w:b/>
                <w:bCs/>
                <w:sz w:val="24"/>
                <w:szCs w:val="24"/>
              </w:rPr>
              <w:t> </w:t>
            </w:r>
          </w:p>
          <w:p w:rsidR="003C5CE9" w:rsidRDefault="003C5CE9" w:rsidP="003C5CE9">
            <w:r>
              <w:rPr>
                <w:sz w:val="24"/>
                <w:szCs w:val="24"/>
              </w:rPr>
              <w:t>Please watch your home mailbox for this important information about this special enrollment period for Adult Children. Should you have any questions, please do not hesitate to contact the Human Resources Department for more information.</w:t>
            </w:r>
          </w:p>
        </w:tc>
      </w:tr>
      <w:tr w:rsidR="003C5CE9" w:rsidTr="003C5CE9">
        <w:trPr>
          <w:gridAfter w:val="1"/>
          <w:wAfter w:w="300" w:type="dxa"/>
          <w:trHeight w:val="276"/>
          <w:tblCellSpacing w:w="0" w:type="dxa"/>
        </w:trPr>
        <w:tc>
          <w:tcPr>
            <w:tcW w:w="0" w:type="auto"/>
            <w:vMerge/>
            <w:vAlign w:val="center"/>
            <w:hideMark/>
          </w:tcPr>
          <w:p w:rsidR="003C5CE9" w:rsidRDefault="003C5CE9">
            <w:pPr>
              <w:rPr>
                <w:rFonts w:asciiTheme="minorHAnsi" w:eastAsiaTheme="minorEastAsia" w:hAnsiTheme="minorHAnsi" w:cstheme="minorBidi"/>
                <w:color w:val="auto"/>
                <w:sz w:val="22"/>
                <w:szCs w:val="22"/>
              </w:rPr>
            </w:pPr>
          </w:p>
        </w:tc>
        <w:tc>
          <w:tcPr>
            <w:tcW w:w="0" w:type="auto"/>
            <w:gridSpan w:val="3"/>
            <w:vMerge/>
            <w:vAlign w:val="center"/>
            <w:hideMark/>
          </w:tcPr>
          <w:p w:rsidR="003C5CE9" w:rsidRDefault="003C5CE9"/>
        </w:tc>
      </w:tr>
    </w:tbl>
    <w:p w:rsidR="000219D8" w:rsidRDefault="000219D8"/>
    <w:sectPr w:rsidR="000219D8" w:rsidSect="000219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C5CE9"/>
    <w:rsid w:val="000219D8"/>
    <w:rsid w:val="000854E9"/>
    <w:rsid w:val="002F4353"/>
    <w:rsid w:val="003C5CE9"/>
    <w:rsid w:val="008E40B2"/>
    <w:rsid w:val="009E72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CE9"/>
    <w:pPr>
      <w:spacing w:after="0" w:line="240" w:lineRule="auto"/>
    </w:pPr>
    <w:rPr>
      <w:rFonts w:ascii="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5CE9"/>
    <w:rPr>
      <w:rFonts w:ascii="Tahoma" w:hAnsi="Tahoma" w:cs="Tahoma"/>
      <w:sz w:val="16"/>
      <w:szCs w:val="16"/>
    </w:rPr>
  </w:style>
  <w:style w:type="character" w:customStyle="1" w:styleId="BalloonTextChar">
    <w:name w:val="Balloon Text Char"/>
    <w:basedOn w:val="DefaultParagraphFont"/>
    <w:link w:val="BalloonText"/>
    <w:uiPriority w:val="99"/>
    <w:semiHidden/>
    <w:rsid w:val="003C5CE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75663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1.jpg@01CB429C.52CE8A30"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145</Words>
  <Characters>830</Characters>
  <Application>Microsoft Office Word</Application>
  <DocSecurity>0</DocSecurity>
  <Lines>6</Lines>
  <Paragraphs>1</Paragraphs>
  <ScaleCrop>false</ScaleCrop>
  <Company> Sutter Delta Medical center</Company>
  <LinksUpToDate>false</LinksUpToDate>
  <CharactersWithSpaces>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Green</dc:creator>
  <cp:keywords/>
  <dc:description/>
  <cp:lastModifiedBy>Christine Green</cp:lastModifiedBy>
  <cp:revision>1</cp:revision>
  <dcterms:created xsi:type="dcterms:W3CDTF">2010-08-24T15:13:00Z</dcterms:created>
  <dcterms:modified xsi:type="dcterms:W3CDTF">2010-08-24T15:15:00Z</dcterms:modified>
</cp:coreProperties>
</file>